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260350</wp:posOffset>
            </wp:positionH>
            <wp:positionV relativeFrom="page">
              <wp:posOffset>835025</wp:posOffset>
            </wp:positionV>
            <wp:extent cx="70408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40880" cy="8890"/>
                    </a:xfrm>
                    <a:prstGeom prst="rect">
                      <a:avLst/>
                    </a:prstGeom>
                    <a:noFill/>
                  </pic:spPr>
                </pic:pic>
              </a:graphicData>
            </a:graphic>
          </wp:anchor>
        </w:drawing>
        <w:drawing>
          <wp:anchor simplePos="0" relativeHeight="251657728" behindDoc="1" locked="0" layoutInCell="0" allowOverlap="1">
            <wp:simplePos x="0" y="0"/>
            <wp:positionH relativeFrom="page">
              <wp:posOffset>260350</wp:posOffset>
            </wp:positionH>
            <wp:positionV relativeFrom="page">
              <wp:posOffset>860425</wp:posOffset>
            </wp:positionV>
            <wp:extent cx="70408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18, 2019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5715</wp:posOffset>
            </wp:positionV>
            <wp:extent cx="155194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37"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1-10658</w:t>
            </w:r>
          </w:p>
        </w:tc>
        <w:tc>
          <w:tcPr>
            <w:tcW w:w="400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4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(I.R.S. Employer Identification No.)</w:t>
            </w: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1977390</wp:posOffset>
            </wp:positionH>
            <wp:positionV relativeFrom="paragraph">
              <wp:posOffset>36830</wp:posOffset>
            </wp:positionV>
            <wp:extent cx="3302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1986280</wp:posOffset>
            </wp:positionH>
            <wp:positionV relativeFrom="paragraph">
              <wp:posOffset>36830</wp:posOffset>
            </wp:positionV>
            <wp:extent cx="32931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387"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Stock, par value $0.10 per share</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MU</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17" w:lineRule="exact"/>
        <w:rPr>
          <w:sz w:val="24"/>
          <w:szCs w:val="24"/>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14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107950</wp:posOffset>
            </wp:positionH>
            <wp:positionV relativeFrom="paragraph">
              <wp:posOffset>21590</wp:posOffset>
            </wp:positionV>
            <wp:extent cx="70408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408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47625</wp:posOffset>
            </wp:positionV>
            <wp:extent cx="70408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2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00" w:lineRule="exact"/>
        <w:rPr>
          <w:sz w:val="20"/>
          <w:szCs w:val="20"/>
          <w:color w:val="auto"/>
        </w:rPr>
      </w:pPr>
    </w:p>
    <w:p>
      <w:pPr>
        <w:spacing w:after="0" w:line="28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December 18, 2019, we announced the financial results for our first quarter of fiscal 2020 ended November 28, 2019. The full text of the press release issued in connection with the announcement is attached as Exhibit 99.1 to this Current Report on Form 8-K.</w:t>
      </w:r>
    </w:p>
    <w:p>
      <w:pPr>
        <w:spacing w:after="0" w:line="2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Item 2.02 of this Current Report on Form 8-K shall not be deemed “filed” for the purposes of Section 18 of the Securities Exchange Act of 1934, as amended (the “Exchange Act”), or otherwise subject to the liabilities of that section. The information in Item 2.02 of this Current Report on Form 8-K shall not be incorporated by reference into any filing or other document pursuant to the Securities Act of 1933, as amended (the “Securities Act”), or the Exchange Act, except as shall be expressly set forth by specific reference in such filing or document.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527"/>
        </w:trPr>
        <w:tc>
          <w:tcPr>
            <w:tcW w:w="1360" w:type="dxa"/>
            <w:vAlign w:val="bottom"/>
          </w:tcPr>
          <w:p>
            <w:pPr>
              <w:spacing w:after="0"/>
              <w:rPr>
                <w:sz w:val="24"/>
                <w:szCs w:val="24"/>
                <w:color w:val="auto"/>
              </w:rPr>
            </w:pPr>
          </w:p>
        </w:tc>
        <w:tc>
          <w:tcPr>
            <w:tcW w:w="100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 Exhibits.</w:t>
            </w:r>
          </w:p>
        </w:tc>
      </w:tr>
      <w:tr>
        <w:trPr>
          <w:trHeight w:val="891"/>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3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r>
      <w:tr>
        <w:trPr>
          <w:trHeight w:val="223"/>
        </w:trPr>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issued on December 18, 2019</w:t>
              </w:r>
            </w:hyperlink>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r>
    </w:tbl>
    <w:p>
      <w:pPr>
        <w:sectPr>
          <w:pgSz w:w="11900" w:h="16838" w:orient="portrait"/>
          <w:cols w:equalWidth="0" w:num="1">
            <w:col w:w="11420"/>
          </w:cols>
          <w:pgMar w:left="240" w:top="941" w:right="23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92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MICRON TECHNOLOGY, INC.</w:t>
            </w:r>
          </w:p>
        </w:tc>
        <w:tc>
          <w:tcPr>
            <w:tcW w:w="0" w:type="dxa"/>
            <w:vAlign w:val="bottom"/>
          </w:tcPr>
          <w:p>
            <w:pPr>
              <w:spacing w:after="0"/>
              <w:rPr>
                <w:sz w:val="1"/>
                <w:szCs w:val="1"/>
                <w:color w:val="auto"/>
              </w:rPr>
            </w:pPr>
          </w:p>
        </w:tc>
      </w:tr>
      <w:tr>
        <w:trPr>
          <w:trHeight w:val="7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18, 2019</w:t>
            </w:r>
          </w:p>
        </w:tc>
        <w:tc>
          <w:tcPr>
            <w:tcW w:w="26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600" w:type="dxa"/>
            <w:vAlign w:val="bottom"/>
            <w:vMerge w:val="restart"/>
          </w:tcPr>
          <w:p>
            <w:pPr>
              <w:ind w:left="170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600" w:type="dxa"/>
            <w:vAlign w:val="bottom"/>
            <w:vMerge w:val="continue"/>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A. Zinsner</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26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1320"/>
          </w:cols>
          <w:pgMar w:left="240" w:top="88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1540" w:type="dxa"/>
            <w:vAlign w:val="bottom"/>
          </w:tcPr>
          <w:p>
            <w:pPr>
              <w:spacing w:after="0"/>
              <w:rPr>
                <w:sz w:val="20"/>
                <w:szCs w:val="20"/>
                <w:color w:val="auto"/>
              </w:rPr>
            </w:pPr>
            <w:r>
              <w:rPr>
                <w:rFonts w:ascii="Arial" w:cs="Arial" w:eastAsia="Arial" w:hAnsi="Arial"/>
                <w:sz w:val="18"/>
                <w:szCs w:val="18"/>
                <w:color w:val="auto"/>
              </w:rPr>
              <w:t>Contacts:</w:t>
            </w:r>
          </w:p>
        </w:tc>
        <w:tc>
          <w:tcPr>
            <w:tcW w:w="2660" w:type="dxa"/>
            <w:vAlign w:val="bottom"/>
            <w:gridSpan w:val="2"/>
          </w:tcPr>
          <w:p>
            <w:pPr>
              <w:spacing w:after="0"/>
              <w:rPr>
                <w:sz w:val="20"/>
                <w:szCs w:val="20"/>
                <w:color w:val="auto"/>
              </w:rPr>
            </w:pPr>
            <w:r>
              <w:rPr>
                <w:rFonts w:ascii="Arial" w:cs="Arial" w:eastAsia="Arial" w:hAnsi="Arial"/>
                <w:sz w:val="18"/>
                <w:szCs w:val="18"/>
                <w:color w:val="auto"/>
              </w:rPr>
              <w:t>Farhan Ahmad</w:t>
            </w:r>
          </w:p>
        </w:tc>
        <w:tc>
          <w:tcPr>
            <w:tcW w:w="2500" w:type="dxa"/>
            <w:vAlign w:val="bottom"/>
            <w:gridSpan w:val="3"/>
          </w:tcPr>
          <w:p>
            <w:pPr>
              <w:ind w:left="500"/>
              <w:spacing w:after="0"/>
              <w:rPr>
                <w:sz w:val="20"/>
                <w:szCs w:val="20"/>
                <w:color w:val="auto"/>
              </w:rPr>
            </w:pPr>
            <w:r>
              <w:rPr>
                <w:rFonts w:ascii="Arial" w:cs="Arial" w:eastAsia="Arial" w:hAnsi="Arial"/>
                <w:sz w:val="18"/>
                <w:szCs w:val="18"/>
                <w:color w:val="auto"/>
                <w:w w:val="98"/>
              </w:rPr>
              <w:t>Erica Rodriguez Pompen</w:t>
            </w:r>
          </w:p>
        </w:tc>
      </w:tr>
      <w:tr>
        <w:trPr>
          <w:trHeight w:val="257"/>
        </w:trPr>
        <w:tc>
          <w:tcPr>
            <w:tcW w:w="1540" w:type="dxa"/>
            <w:vAlign w:val="bottom"/>
          </w:tcPr>
          <w:p>
            <w:pPr>
              <w:spacing w:after="0"/>
              <w:rPr>
                <w:sz w:val="22"/>
                <w:szCs w:val="22"/>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500" w:type="dxa"/>
            <w:vAlign w:val="bottom"/>
            <w:gridSpan w:val="3"/>
          </w:tcPr>
          <w:p>
            <w:pPr>
              <w:ind w:left="500"/>
              <w:spacing w:after="0"/>
              <w:rPr>
                <w:sz w:val="20"/>
                <w:szCs w:val="20"/>
                <w:color w:val="auto"/>
              </w:rPr>
            </w:pPr>
            <w:r>
              <w:rPr>
                <w:rFonts w:ascii="Arial" w:cs="Arial" w:eastAsia="Arial" w:hAnsi="Arial"/>
                <w:sz w:val="18"/>
                <w:szCs w:val="18"/>
                <w:color w:val="auto"/>
              </w:rPr>
              <w:t>Media Relations</w:t>
            </w:r>
          </w:p>
        </w:tc>
      </w:tr>
      <w:tr>
        <w:trPr>
          <w:trHeight w:val="212"/>
        </w:trPr>
        <w:tc>
          <w:tcPr>
            <w:tcW w:w="154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0090DA"/>
              </w:rPr>
              <w:t>farhanahmad@micron.com</w:t>
            </w:r>
          </w:p>
        </w:tc>
        <w:tc>
          <w:tcPr>
            <w:tcW w:w="2500" w:type="dxa"/>
            <w:vAlign w:val="bottom"/>
            <w:gridSpan w:val="3"/>
          </w:tcPr>
          <w:p>
            <w:pPr>
              <w:ind w:left="500"/>
              <w:spacing w:after="0"/>
              <w:rPr>
                <w:sz w:val="20"/>
                <w:szCs w:val="20"/>
                <w:color w:val="auto"/>
              </w:rPr>
            </w:pPr>
            <w:r>
              <w:rPr>
                <w:rFonts w:ascii="Arial" w:cs="Arial" w:eastAsia="Arial" w:hAnsi="Arial"/>
                <w:sz w:val="18"/>
                <w:szCs w:val="18"/>
                <w:color w:val="0090DA"/>
              </w:rPr>
              <w:t>epompen@micron.com</w:t>
            </w:r>
          </w:p>
        </w:tc>
      </w:tr>
      <w:tr>
        <w:trPr>
          <w:trHeight w:val="20"/>
        </w:trPr>
        <w:tc>
          <w:tcPr>
            <w:tcW w:w="1540" w:type="dxa"/>
            <w:vAlign w:val="bottom"/>
          </w:tcPr>
          <w:p>
            <w:pPr>
              <w:spacing w:after="0" w:line="20" w:lineRule="exact"/>
              <w:rPr>
                <w:sz w:val="1"/>
                <w:szCs w:val="1"/>
                <w:color w:val="auto"/>
              </w:rPr>
            </w:pPr>
          </w:p>
        </w:tc>
        <w:tc>
          <w:tcPr>
            <w:tcW w:w="2160" w:type="dxa"/>
            <w:vAlign w:val="bottom"/>
            <w:shd w:val="clear" w:color="auto" w:fill="0090DA"/>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shd w:val="clear" w:color="auto" w:fill="0090DA"/>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81"/>
        </w:trPr>
        <w:tc>
          <w:tcPr>
            <w:tcW w:w="154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(408) 834-1927</w:t>
            </w:r>
          </w:p>
        </w:tc>
        <w:tc>
          <w:tcPr>
            <w:tcW w:w="500" w:type="dxa"/>
            <w:vAlign w:val="bottom"/>
          </w:tcPr>
          <w:p>
            <w:pPr>
              <w:spacing w:after="0"/>
              <w:rPr>
                <w:sz w:val="24"/>
                <w:szCs w:val="24"/>
                <w:color w:val="auto"/>
              </w:rPr>
            </w:pPr>
          </w:p>
        </w:tc>
        <w:tc>
          <w:tcPr>
            <w:tcW w:w="2360" w:type="dxa"/>
            <w:vAlign w:val="bottom"/>
            <w:gridSpan w:val="2"/>
          </w:tcPr>
          <w:p>
            <w:pPr>
              <w:ind w:left="500"/>
              <w:spacing w:after="0"/>
              <w:rPr>
                <w:sz w:val="20"/>
                <w:szCs w:val="20"/>
                <w:color w:val="auto"/>
              </w:rPr>
            </w:pPr>
            <w:r>
              <w:rPr>
                <w:rFonts w:ascii="Arial" w:cs="Arial" w:eastAsia="Arial" w:hAnsi="Arial"/>
                <w:sz w:val="18"/>
                <w:szCs w:val="18"/>
                <w:color w:val="auto"/>
              </w:rPr>
              <w:t>(408) 834-1873</w:t>
            </w:r>
          </w:p>
        </w:tc>
        <w:tc>
          <w:tcPr>
            <w:tcW w:w="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 REPORTS RESULTS FOR THE</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QUARTER OF FISCAL 2020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Solid results through challenging environment; well-positioned for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anticipated recovery starting in the fiscal third quarter</w:t>
      </w:r>
    </w:p>
    <w:p>
      <w:pPr>
        <w:spacing w:after="0" w:line="215"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December 18, 2019 – Micron Technology, Inc. (Nasdaq: MU) today announced results for its first quarter of fiscal 2020, which</w:t>
      </w:r>
      <w:r>
        <w:rPr>
          <w:rFonts w:ascii="Arial" w:cs="Arial" w:eastAsia="Arial" w:hAnsi="Arial"/>
          <w:sz w:val="18"/>
          <w:szCs w:val="18"/>
          <w:b w:val="1"/>
          <w:bCs w:val="1"/>
          <w:color w:val="auto"/>
        </w:rPr>
        <w:t xml:space="preserve"> </w:t>
      </w:r>
      <w:r>
        <w:rPr>
          <w:rFonts w:ascii="Arial" w:cs="Arial" w:eastAsia="Arial" w:hAnsi="Arial"/>
          <w:sz w:val="18"/>
          <w:szCs w:val="18"/>
          <w:color w:val="auto"/>
        </w:rPr>
        <w:t>ended November 28, 2019.</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Q1 2020 highlights</w:t>
      </w:r>
    </w:p>
    <w:p>
      <w:pPr>
        <w:spacing w:after="0" w:line="33"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Revenues of $5.14 billion versus $4.87 billion for the prior quarter and $7.91 billion for the same period last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of $491 million, or $0.43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of $548 million, or $0.48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$2.01 billion versus $2.23 billion for the prior quarter and $4.81 billion for the same period last year</w:t>
      </w:r>
    </w:p>
    <w:p>
      <w:pPr>
        <w:spacing w:after="0" w:line="230"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"Micron posted solid first quarter results, delivering good profitability and positive free cash flow. With our strong execution and improving industry conditions, we are optimistic that Micron's fiscal second quarter will be the cyclical bottom for our financial performance," said Micron Technology President and CEO Sanjay Mehrotra. "Our significantly improved competitive position, dramatically stronger product portfolio, structurally higher profitability and investment-grade balance sheet position Micron very well to drive long-term shareholder value."</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Quarterly Financial Results</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4680" w:type="dxa"/>
            <w:vAlign w:val="bottom"/>
          </w:tcPr>
          <w:p>
            <w:pPr>
              <w:spacing w:after="0"/>
              <w:rPr>
                <w:sz w:val="23"/>
                <w:szCs w:val="23"/>
                <w:color w:val="auto"/>
              </w:rPr>
            </w:pPr>
          </w:p>
        </w:tc>
        <w:tc>
          <w:tcPr>
            <w:tcW w:w="180" w:type="dxa"/>
            <w:vAlign w:val="bottom"/>
            <w:tcBorders>
              <w:bottom w:val="single" w:sz="8" w:color="0090DA"/>
            </w:tcBorders>
          </w:tcPr>
          <w:p>
            <w:pPr>
              <w:spacing w:after="0"/>
              <w:rPr>
                <w:sz w:val="23"/>
                <w:szCs w:val="23"/>
                <w:color w:val="auto"/>
              </w:rPr>
            </w:pPr>
          </w:p>
        </w:tc>
        <w:tc>
          <w:tcPr>
            <w:tcW w:w="700" w:type="dxa"/>
            <w:vAlign w:val="bottom"/>
            <w:tcBorders>
              <w:bottom w:val="single" w:sz="8" w:color="0090DA"/>
            </w:tcBorders>
          </w:tcPr>
          <w:p>
            <w:pPr>
              <w:spacing w:after="0"/>
              <w:rPr>
                <w:sz w:val="23"/>
                <w:szCs w:val="23"/>
                <w:color w:val="auto"/>
              </w:rPr>
            </w:pPr>
          </w:p>
        </w:tc>
        <w:tc>
          <w:tcPr>
            <w:tcW w:w="360" w:type="dxa"/>
            <w:vAlign w:val="bottom"/>
            <w:tcBorders>
              <w:bottom w:val="single" w:sz="8" w:color="0090DA"/>
            </w:tcBorders>
          </w:tcPr>
          <w:p>
            <w:pPr>
              <w:spacing w:after="0"/>
              <w:rPr>
                <w:sz w:val="23"/>
                <w:szCs w:val="23"/>
                <w:color w:val="auto"/>
              </w:rPr>
            </w:pPr>
          </w:p>
        </w:tc>
        <w:tc>
          <w:tcPr>
            <w:tcW w:w="760" w:type="dxa"/>
            <w:vAlign w:val="bottom"/>
            <w:tcBorders>
              <w:bottom w:val="single" w:sz="8" w:color="0090DA"/>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GAAP </w:t>
            </w:r>
            <w:r>
              <w:rPr>
                <w:rFonts w:ascii="Times New Roman" w:cs="Times New Roman" w:eastAsia="Times New Roman" w:hAnsi="Times New Roman"/>
                <w:sz w:val="23"/>
                <w:szCs w:val="23"/>
                <w:b w:val="1"/>
                <w:bCs w:val="1"/>
                <w:color w:val="auto"/>
                <w:w w:val="98"/>
                <w:vertAlign w:val="superscript"/>
              </w:rPr>
              <w:t>(1)</w:t>
            </w:r>
          </w:p>
        </w:tc>
        <w:tc>
          <w:tcPr>
            <w:tcW w:w="380" w:type="dxa"/>
            <w:vAlign w:val="bottom"/>
            <w:tcBorders>
              <w:bottom w:val="single" w:sz="8" w:color="0090DA"/>
            </w:tcBorders>
          </w:tcPr>
          <w:p>
            <w:pPr>
              <w:spacing w:after="0"/>
              <w:rPr>
                <w:sz w:val="23"/>
                <w:szCs w:val="23"/>
                <w:color w:val="auto"/>
              </w:rPr>
            </w:pPr>
          </w:p>
        </w:tc>
        <w:tc>
          <w:tcPr>
            <w:tcW w:w="720" w:type="dxa"/>
            <w:vAlign w:val="bottom"/>
            <w:tcBorders>
              <w:bottom w:val="single" w:sz="8" w:color="0090DA"/>
            </w:tcBorders>
          </w:tcPr>
          <w:p>
            <w:pPr>
              <w:spacing w:after="0"/>
              <w:rPr>
                <w:sz w:val="23"/>
                <w:szCs w:val="23"/>
                <w:color w:val="auto"/>
              </w:rPr>
            </w:pPr>
          </w:p>
        </w:tc>
        <w:tc>
          <w:tcPr>
            <w:tcW w:w="200" w:type="dxa"/>
            <w:vAlign w:val="bottom"/>
            <w:tcBorders>
              <w:bottom w:val="single" w:sz="8" w:color="0090DA"/>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0090DA"/>
            </w:tcBorders>
          </w:tcPr>
          <w:p>
            <w:pPr>
              <w:spacing w:after="0"/>
              <w:rPr>
                <w:sz w:val="23"/>
                <w:szCs w:val="23"/>
                <w:color w:val="auto"/>
              </w:rPr>
            </w:pPr>
          </w:p>
        </w:tc>
        <w:tc>
          <w:tcPr>
            <w:tcW w:w="720" w:type="dxa"/>
            <w:vAlign w:val="bottom"/>
            <w:tcBorders>
              <w:bottom w:val="single" w:sz="8" w:color="0090DA"/>
            </w:tcBorders>
          </w:tcPr>
          <w:p>
            <w:pPr>
              <w:spacing w:after="0"/>
              <w:rPr>
                <w:sz w:val="23"/>
                <w:szCs w:val="23"/>
                <w:color w:val="auto"/>
              </w:rPr>
            </w:pPr>
          </w:p>
        </w:tc>
        <w:tc>
          <w:tcPr>
            <w:tcW w:w="200" w:type="dxa"/>
            <w:vAlign w:val="bottom"/>
            <w:tcBorders>
              <w:bottom w:val="single" w:sz="8" w:color="0090DA"/>
            </w:tcBorders>
          </w:tcPr>
          <w:p>
            <w:pPr>
              <w:spacing w:after="0"/>
              <w:rPr>
                <w:sz w:val="23"/>
                <w:szCs w:val="23"/>
                <w:color w:val="auto"/>
              </w:rPr>
            </w:pPr>
          </w:p>
        </w:tc>
        <w:tc>
          <w:tcPr>
            <w:tcW w:w="1300" w:type="dxa"/>
            <w:vAlign w:val="bottom"/>
            <w:tcBorders>
              <w:bottom w:val="single" w:sz="8" w:color="0090DA"/>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5"/>
              </w:rPr>
              <w:t xml:space="preserve">Non-GAAP </w:t>
            </w:r>
            <w:r>
              <w:rPr>
                <w:rFonts w:ascii="Times New Roman" w:cs="Times New Roman" w:eastAsia="Times New Roman" w:hAnsi="Times New Roman"/>
                <w:sz w:val="23"/>
                <w:szCs w:val="23"/>
                <w:b w:val="1"/>
                <w:bCs w:val="1"/>
                <w:color w:val="auto"/>
                <w:w w:val="95"/>
                <w:vertAlign w:val="superscript"/>
              </w:rPr>
              <w:t>(2)</w:t>
            </w:r>
          </w:p>
        </w:tc>
        <w:tc>
          <w:tcPr>
            <w:tcW w:w="720" w:type="dxa"/>
            <w:vAlign w:val="bottom"/>
            <w:tcBorders>
              <w:bottom w:val="single" w:sz="8" w:color="0090DA"/>
            </w:tcBorders>
          </w:tcPr>
          <w:p>
            <w:pPr>
              <w:spacing w:after="0"/>
              <w:rPr>
                <w:sz w:val="23"/>
                <w:szCs w:val="23"/>
                <w:color w:val="auto"/>
              </w:rPr>
            </w:pPr>
          </w:p>
        </w:tc>
        <w:tc>
          <w:tcPr>
            <w:tcW w:w="200" w:type="dxa"/>
            <w:vAlign w:val="bottom"/>
            <w:tcBorders>
              <w:bottom w:val="single" w:sz="8" w:color="0090DA"/>
            </w:tcBorders>
          </w:tcPr>
          <w:p>
            <w:pPr>
              <w:spacing w:after="0"/>
              <w:rPr>
                <w:sz w:val="23"/>
                <w:szCs w:val="23"/>
                <w:color w:val="auto"/>
              </w:rPr>
            </w:pPr>
          </w:p>
        </w:tc>
      </w:tr>
      <w:tr>
        <w:trPr>
          <w:trHeight w:val="237"/>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FQ1-20</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FQ4-19</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FQ1-19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FQ1-20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FQ4-19</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FQ1-19</w:t>
            </w:r>
          </w:p>
        </w:tc>
        <w:tc>
          <w:tcPr>
            <w:tcW w:w="200" w:type="dxa"/>
            <w:vAlign w:val="bottom"/>
          </w:tcPr>
          <w:p>
            <w:pPr>
              <w:spacing w:after="0"/>
              <w:rPr>
                <w:sz w:val="20"/>
                <w:szCs w:val="20"/>
                <w:color w:val="auto"/>
              </w:rPr>
            </w:pPr>
          </w:p>
        </w:tc>
      </w:tr>
      <w:tr>
        <w:trPr>
          <w:trHeight w:val="27"/>
        </w:trPr>
        <w:tc>
          <w:tcPr>
            <w:tcW w:w="4680" w:type="dxa"/>
            <w:vAlign w:val="bottom"/>
            <w:tcBorders>
              <w:bottom w:val="single" w:sz="8" w:color="0090DA"/>
            </w:tcBorders>
          </w:tcPr>
          <w:p>
            <w:pPr>
              <w:spacing w:after="0"/>
              <w:rPr>
                <w:sz w:val="2"/>
                <w:szCs w:val="2"/>
                <w:color w:val="auto"/>
              </w:rPr>
            </w:pPr>
          </w:p>
        </w:tc>
        <w:tc>
          <w:tcPr>
            <w:tcW w:w="180" w:type="dxa"/>
            <w:vAlign w:val="bottom"/>
            <w:tcBorders>
              <w:bottom w:val="single" w:sz="8" w:color="0090DA"/>
            </w:tcBorders>
          </w:tcPr>
          <w:p>
            <w:pPr>
              <w:spacing w:after="0"/>
              <w:rPr>
                <w:sz w:val="2"/>
                <w:szCs w:val="2"/>
                <w:color w:val="auto"/>
              </w:rPr>
            </w:pPr>
          </w:p>
        </w:tc>
        <w:tc>
          <w:tcPr>
            <w:tcW w:w="700" w:type="dxa"/>
            <w:vAlign w:val="bottom"/>
            <w:tcBorders>
              <w:bottom w:val="single" w:sz="8" w:color="0090DA"/>
            </w:tcBorders>
          </w:tcPr>
          <w:p>
            <w:pPr>
              <w:spacing w:after="0"/>
              <w:rPr>
                <w:sz w:val="2"/>
                <w:szCs w:val="2"/>
                <w:color w:val="auto"/>
              </w:rPr>
            </w:pPr>
          </w:p>
        </w:tc>
        <w:tc>
          <w:tcPr>
            <w:tcW w:w="360" w:type="dxa"/>
            <w:vAlign w:val="bottom"/>
            <w:tcBorders>
              <w:bottom w:val="single" w:sz="8" w:color="0090DA"/>
            </w:tcBorders>
          </w:tcPr>
          <w:p>
            <w:pPr>
              <w:spacing w:after="0"/>
              <w:rPr>
                <w:sz w:val="2"/>
                <w:szCs w:val="2"/>
                <w:color w:val="auto"/>
              </w:rPr>
            </w:pPr>
          </w:p>
        </w:tc>
        <w:tc>
          <w:tcPr>
            <w:tcW w:w="760" w:type="dxa"/>
            <w:vAlign w:val="bottom"/>
            <w:tcBorders>
              <w:bottom w:val="single" w:sz="8" w:color="0090DA"/>
            </w:tcBorders>
          </w:tcPr>
          <w:p>
            <w:pPr>
              <w:spacing w:after="0"/>
              <w:rPr>
                <w:sz w:val="2"/>
                <w:szCs w:val="2"/>
                <w:color w:val="auto"/>
              </w:rPr>
            </w:pPr>
          </w:p>
        </w:tc>
        <w:tc>
          <w:tcPr>
            <w:tcW w:w="380" w:type="dxa"/>
            <w:vAlign w:val="bottom"/>
            <w:tcBorders>
              <w:bottom w:val="single" w:sz="8" w:color="0090DA"/>
            </w:tcBorders>
          </w:tcPr>
          <w:p>
            <w:pPr>
              <w:spacing w:after="0"/>
              <w:rPr>
                <w:sz w:val="2"/>
                <w:szCs w:val="2"/>
                <w:color w:val="auto"/>
              </w:rPr>
            </w:pPr>
          </w:p>
        </w:tc>
        <w:tc>
          <w:tcPr>
            <w:tcW w:w="720" w:type="dxa"/>
            <w:vAlign w:val="bottom"/>
            <w:tcBorders>
              <w:bottom w:val="single" w:sz="8" w:color="0090DA"/>
            </w:tcBorders>
          </w:tcPr>
          <w:p>
            <w:pPr>
              <w:spacing w:after="0"/>
              <w:rPr>
                <w:sz w:val="2"/>
                <w:szCs w:val="2"/>
                <w:color w:val="auto"/>
              </w:rPr>
            </w:pPr>
          </w:p>
        </w:tc>
        <w:tc>
          <w:tcPr>
            <w:tcW w:w="200" w:type="dxa"/>
            <w:vAlign w:val="bottom"/>
            <w:tcBorders>
              <w:bottom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0090DA"/>
            </w:tcBorders>
          </w:tcPr>
          <w:p>
            <w:pPr>
              <w:spacing w:after="0"/>
              <w:rPr>
                <w:sz w:val="2"/>
                <w:szCs w:val="2"/>
                <w:color w:val="auto"/>
              </w:rPr>
            </w:pPr>
          </w:p>
        </w:tc>
        <w:tc>
          <w:tcPr>
            <w:tcW w:w="720" w:type="dxa"/>
            <w:vAlign w:val="bottom"/>
            <w:tcBorders>
              <w:bottom w:val="single" w:sz="8" w:color="0090DA"/>
            </w:tcBorders>
          </w:tcPr>
          <w:p>
            <w:pPr>
              <w:spacing w:after="0"/>
              <w:rPr>
                <w:sz w:val="2"/>
                <w:szCs w:val="2"/>
                <w:color w:val="auto"/>
              </w:rPr>
            </w:pPr>
          </w:p>
        </w:tc>
        <w:tc>
          <w:tcPr>
            <w:tcW w:w="200" w:type="dxa"/>
            <w:vAlign w:val="bottom"/>
            <w:tcBorders>
              <w:bottom w:val="single" w:sz="8" w:color="0090DA"/>
            </w:tcBorders>
          </w:tcPr>
          <w:p>
            <w:pPr>
              <w:spacing w:after="0"/>
              <w:rPr>
                <w:sz w:val="2"/>
                <w:szCs w:val="2"/>
                <w:color w:val="auto"/>
              </w:rPr>
            </w:pPr>
          </w:p>
        </w:tc>
        <w:tc>
          <w:tcPr>
            <w:tcW w:w="180" w:type="dxa"/>
            <w:vAlign w:val="bottom"/>
            <w:tcBorders>
              <w:bottom w:val="single" w:sz="8" w:color="0090DA"/>
            </w:tcBorders>
          </w:tcPr>
          <w:p>
            <w:pPr>
              <w:spacing w:after="0"/>
              <w:rPr>
                <w:sz w:val="2"/>
                <w:szCs w:val="2"/>
                <w:color w:val="auto"/>
              </w:rPr>
            </w:pPr>
          </w:p>
        </w:tc>
        <w:tc>
          <w:tcPr>
            <w:tcW w:w="720" w:type="dxa"/>
            <w:vAlign w:val="bottom"/>
            <w:tcBorders>
              <w:bottom w:val="single" w:sz="8" w:color="0090DA"/>
            </w:tcBorders>
          </w:tcPr>
          <w:p>
            <w:pPr>
              <w:spacing w:after="0"/>
              <w:rPr>
                <w:sz w:val="2"/>
                <w:szCs w:val="2"/>
                <w:color w:val="auto"/>
              </w:rPr>
            </w:pPr>
          </w:p>
        </w:tc>
        <w:tc>
          <w:tcPr>
            <w:tcW w:w="400" w:type="dxa"/>
            <w:vAlign w:val="bottom"/>
            <w:tcBorders>
              <w:bottom w:val="single" w:sz="8" w:color="0090DA"/>
            </w:tcBorders>
          </w:tcPr>
          <w:p>
            <w:pPr>
              <w:spacing w:after="0"/>
              <w:rPr>
                <w:sz w:val="2"/>
                <w:szCs w:val="2"/>
                <w:color w:val="auto"/>
              </w:rPr>
            </w:pPr>
          </w:p>
        </w:tc>
        <w:tc>
          <w:tcPr>
            <w:tcW w:w="720" w:type="dxa"/>
            <w:vAlign w:val="bottom"/>
            <w:tcBorders>
              <w:bottom w:val="single" w:sz="8" w:color="0090DA"/>
            </w:tcBorders>
          </w:tcPr>
          <w:p>
            <w:pPr>
              <w:spacing w:after="0"/>
              <w:rPr>
                <w:sz w:val="2"/>
                <w:szCs w:val="2"/>
                <w:color w:val="auto"/>
              </w:rPr>
            </w:pPr>
          </w:p>
        </w:tc>
        <w:tc>
          <w:tcPr>
            <w:tcW w:w="200" w:type="dxa"/>
            <w:vAlign w:val="bottom"/>
            <w:tcBorders>
              <w:bottom w:val="single" w:sz="8" w:color="0090DA"/>
            </w:tcBorders>
          </w:tcPr>
          <w:p>
            <w:pPr>
              <w:spacing w:after="0"/>
              <w:rPr>
                <w:sz w:val="2"/>
                <w:szCs w:val="2"/>
                <w:color w:val="auto"/>
              </w:rPr>
            </w:pPr>
          </w:p>
        </w:tc>
      </w:tr>
      <w:tr>
        <w:trPr>
          <w:trHeight w:val="34"/>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68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3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3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7,913</w:t>
            </w:r>
          </w:p>
        </w:tc>
        <w:tc>
          <w:tcPr>
            <w:tcW w:w="480" w:type="dxa"/>
            <w:vAlign w:val="bottom"/>
            <w:tcBorders>
              <w:bottom w:val="single" w:sz="8" w:color="DDDDDD"/>
            </w:tcBorders>
            <w:gridSpan w:val="3"/>
            <w:shd w:val="clear" w:color="auto" w:fill="DDDDDD"/>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200" w:type="dxa"/>
            <w:vAlign w:val="bottom"/>
            <w:tcBorders>
              <w:bottom w:val="single" w:sz="8" w:color="DDDDDD"/>
            </w:tcBorders>
            <w:shd w:val="clear" w:color="auto" w:fill="DDDDDD"/>
          </w:tcPr>
          <w:p>
            <w:pPr>
              <w:spacing w:after="0"/>
              <w:rPr>
                <w:sz w:val="21"/>
                <w:szCs w:val="21"/>
                <w:color w:val="auto"/>
              </w:rPr>
            </w:pPr>
          </w:p>
        </w:tc>
        <w:tc>
          <w:tcPr>
            <w:tcW w:w="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4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7,913</w:t>
            </w:r>
          </w:p>
        </w:tc>
        <w:tc>
          <w:tcPr>
            <w:tcW w:w="200" w:type="dxa"/>
            <w:vAlign w:val="bottom"/>
            <w:tcBorders>
              <w:bottom w:val="single" w:sz="8" w:color="DDDDDD"/>
            </w:tcBorders>
            <w:shd w:val="clear" w:color="auto" w:fill="DDDDDD"/>
          </w:tcPr>
          <w:p>
            <w:pPr>
              <w:spacing w:after="0"/>
              <w:rPr>
                <w:sz w:val="21"/>
                <w:szCs w:val="2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2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68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8"/>
                <w:szCs w:val="18"/>
                <w:i w:val="1"/>
                <w:iCs w:val="1"/>
                <w:color w:val="auto"/>
              </w:rPr>
              <w:t>percent of revenue</w:t>
            </w:r>
          </w:p>
        </w:tc>
        <w:tc>
          <w:tcPr>
            <w:tcW w:w="180" w:type="dxa"/>
            <w:vAlign w:val="bottom"/>
            <w:tcBorders>
              <w:bottom w:val="single" w:sz="8" w:color="DDDDDD"/>
            </w:tcBorders>
            <w:shd w:val="clear" w:color="auto" w:fill="DDDDDD"/>
          </w:tcPr>
          <w:p>
            <w:pPr>
              <w:spacing w:after="0"/>
              <w:rPr>
                <w:sz w:val="21"/>
                <w:szCs w:val="21"/>
                <w:color w:val="auto"/>
              </w:rPr>
            </w:pPr>
          </w:p>
        </w:tc>
        <w:tc>
          <w:tcPr>
            <w:tcW w:w="7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i w:val="1"/>
                <w:iCs w:val="1"/>
                <w:color w:val="auto"/>
              </w:rPr>
              <w:t>26.6</w:t>
            </w:r>
          </w:p>
        </w:tc>
        <w:tc>
          <w:tcPr>
            <w:tcW w:w="360" w:type="dxa"/>
            <w:vAlign w:val="bottom"/>
            <w:tcBorders>
              <w:bottom w:val="single" w:sz="8" w:color="DDDDDD"/>
            </w:tcBorders>
            <w:shd w:val="clear" w:color="auto" w:fill="DDDDDD"/>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w:t>
            </w:r>
          </w:p>
        </w:tc>
        <w:tc>
          <w:tcPr>
            <w:tcW w:w="7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i w:val="1"/>
                <w:iCs w:val="1"/>
                <w:color w:val="auto"/>
              </w:rPr>
              <w:t>28.6</w:t>
            </w:r>
          </w:p>
        </w:tc>
        <w:tc>
          <w:tcPr>
            <w:tcW w:w="380" w:type="dxa"/>
            <w:vAlign w:val="bottom"/>
            <w:tcBorders>
              <w:bottom w:val="single" w:sz="8" w:color="DDDDDD"/>
            </w:tcBorders>
            <w:shd w:val="clear" w:color="auto" w:fill="DDDDDD"/>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w:t>
            </w: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i w:val="1"/>
                <w:iCs w:val="1"/>
                <w:color w:val="auto"/>
              </w:rPr>
              <w:t>58.3</w:t>
            </w:r>
          </w:p>
        </w:tc>
        <w:tc>
          <w:tcPr>
            <w:tcW w:w="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Borders>
              <w:bottom w:val="single" w:sz="8" w:color="DDDDDD"/>
            </w:tcBorders>
            <w:shd w:val="clear" w:color="auto" w:fill="DDDDDD"/>
          </w:tcPr>
          <w:p>
            <w:pPr>
              <w:spacing w:after="0"/>
              <w:rPr>
                <w:sz w:val="21"/>
                <w:szCs w:val="21"/>
                <w:color w:val="auto"/>
              </w:rPr>
            </w:pPr>
          </w:p>
        </w:tc>
        <w:tc>
          <w:tcPr>
            <w:tcW w:w="180" w:type="dxa"/>
            <w:vAlign w:val="bottom"/>
            <w:tcBorders>
              <w:bottom w:val="single" w:sz="8" w:color="DDDDDD"/>
            </w:tcBorders>
            <w:shd w:val="clear" w:color="auto" w:fill="DDDDDD"/>
          </w:tcPr>
          <w:p>
            <w:pPr>
              <w:spacing w:after="0"/>
              <w:rPr>
                <w:sz w:val="21"/>
                <w:szCs w:val="21"/>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i w:val="1"/>
                <w:iCs w:val="1"/>
                <w:color w:val="auto"/>
              </w:rPr>
              <w:t>27.3</w:t>
            </w:r>
          </w:p>
        </w:tc>
        <w:tc>
          <w:tcPr>
            <w:tcW w:w="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Borders>
              <w:bottom w:val="single" w:sz="8" w:color="DDDDDD"/>
            </w:tcBorders>
            <w:shd w:val="clear" w:color="auto" w:fill="DDDDDD"/>
          </w:tcPr>
          <w:p>
            <w:pPr>
              <w:spacing w:after="0"/>
              <w:rPr>
                <w:sz w:val="21"/>
                <w:szCs w:val="21"/>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i w:val="1"/>
                <w:iCs w:val="1"/>
                <w:color w:val="auto"/>
              </w:rPr>
              <w:t>30.6</w:t>
            </w:r>
          </w:p>
        </w:tc>
        <w:tc>
          <w:tcPr>
            <w:tcW w:w="400" w:type="dxa"/>
            <w:vAlign w:val="bottom"/>
            <w:tcBorders>
              <w:bottom w:val="single" w:sz="8" w:color="DDDDDD"/>
            </w:tcBorders>
            <w:shd w:val="clear" w:color="auto" w:fill="DDDDDD"/>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i w:val="1"/>
                <w:iCs w:val="1"/>
                <w:color w:val="auto"/>
              </w:rPr>
              <w:t>59.0</w:t>
            </w:r>
          </w:p>
        </w:tc>
        <w:tc>
          <w:tcPr>
            <w:tcW w:w="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68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bottom w:val="single" w:sz="8" w:color="DDDDDD"/>
            </w:tcBorders>
            <w:shd w:val="clear" w:color="auto" w:fill="DDDDDD"/>
          </w:tcPr>
          <w:p>
            <w:pPr>
              <w:spacing w:after="0"/>
              <w:rPr>
                <w:sz w:val="21"/>
                <w:szCs w:val="21"/>
                <w:color w:val="auto"/>
              </w:rPr>
            </w:pPr>
          </w:p>
        </w:tc>
        <w:tc>
          <w:tcPr>
            <w:tcW w:w="7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360" w:type="dxa"/>
            <w:vAlign w:val="bottom"/>
            <w:tcBorders>
              <w:bottom w:val="single" w:sz="8" w:color="DDDDDD"/>
            </w:tcBorders>
            <w:shd w:val="clear" w:color="auto" w:fill="DDDDDD"/>
          </w:tcPr>
          <w:p>
            <w:pPr>
              <w:spacing w:after="0"/>
              <w:rPr>
                <w:sz w:val="21"/>
                <w:szCs w:val="21"/>
                <w:color w:val="auto"/>
              </w:rPr>
            </w:pPr>
          </w:p>
        </w:tc>
        <w:tc>
          <w:tcPr>
            <w:tcW w:w="7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380" w:type="dxa"/>
            <w:vAlign w:val="bottom"/>
            <w:tcBorders>
              <w:bottom w:val="single" w:sz="8" w:color="DDDDDD"/>
            </w:tcBorders>
            <w:shd w:val="clear" w:color="auto" w:fill="DDDDDD"/>
          </w:tcPr>
          <w:p>
            <w:pPr>
              <w:spacing w:after="0"/>
              <w:rPr>
                <w:sz w:val="21"/>
                <w:szCs w:val="21"/>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200" w:type="dxa"/>
            <w:vAlign w:val="bottom"/>
            <w:tcBorders>
              <w:bottom w:val="single" w:sz="8" w:color="DDDDDD"/>
            </w:tcBorders>
            <w:shd w:val="clear" w:color="auto" w:fill="DDDDDD"/>
          </w:tcPr>
          <w:p>
            <w:pPr>
              <w:spacing w:after="0"/>
              <w:rPr>
                <w:sz w:val="21"/>
                <w:szCs w:val="21"/>
                <w:color w:val="auto"/>
              </w:rPr>
            </w:pPr>
          </w:p>
        </w:tc>
        <w:tc>
          <w:tcPr>
            <w:tcW w:w="100" w:type="dxa"/>
            <w:vAlign w:val="bottom"/>
            <w:tcBorders>
              <w:bottom w:val="single" w:sz="8" w:color="DDDDDD"/>
            </w:tcBorders>
            <w:shd w:val="clear" w:color="auto" w:fill="DDDDDD"/>
          </w:tcPr>
          <w:p>
            <w:pPr>
              <w:spacing w:after="0"/>
              <w:rPr>
                <w:sz w:val="21"/>
                <w:szCs w:val="21"/>
                <w:color w:val="auto"/>
              </w:rPr>
            </w:pPr>
          </w:p>
        </w:tc>
        <w:tc>
          <w:tcPr>
            <w:tcW w:w="180" w:type="dxa"/>
            <w:vAlign w:val="bottom"/>
            <w:tcBorders>
              <w:bottom w:val="single" w:sz="8" w:color="DDDDDD"/>
            </w:tcBorders>
            <w:shd w:val="clear" w:color="auto" w:fill="DDDDDD"/>
          </w:tcPr>
          <w:p>
            <w:pPr>
              <w:spacing w:after="0"/>
              <w:rPr>
                <w:sz w:val="21"/>
                <w:szCs w:val="21"/>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00" w:type="dxa"/>
            <w:vAlign w:val="bottom"/>
            <w:tcBorders>
              <w:bottom w:val="single" w:sz="8" w:color="DDDDDD"/>
            </w:tcBorders>
            <w:shd w:val="clear" w:color="auto" w:fill="DDDDDD"/>
          </w:tcPr>
          <w:p>
            <w:pPr>
              <w:spacing w:after="0"/>
              <w:rPr>
                <w:sz w:val="21"/>
                <w:szCs w:val="21"/>
                <w:color w:val="auto"/>
              </w:rPr>
            </w:pPr>
          </w:p>
        </w:tc>
        <w:tc>
          <w:tcPr>
            <w:tcW w:w="180" w:type="dxa"/>
            <w:vAlign w:val="bottom"/>
            <w:tcBorders>
              <w:bottom w:val="single" w:sz="8" w:color="DDDDDD"/>
            </w:tcBorders>
            <w:shd w:val="clear" w:color="auto" w:fill="DDDDDD"/>
          </w:tcPr>
          <w:p>
            <w:pPr>
              <w:spacing w:after="0"/>
              <w:rPr>
                <w:sz w:val="21"/>
                <w:szCs w:val="21"/>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400" w:type="dxa"/>
            <w:vAlign w:val="bottom"/>
            <w:tcBorders>
              <w:bottom w:val="single" w:sz="8" w:color="DDDDDD"/>
            </w:tcBorders>
            <w:shd w:val="clear" w:color="auto" w:fill="DDDDDD"/>
          </w:tcPr>
          <w:p>
            <w:pPr>
              <w:spacing w:after="0"/>
              <w:rPr>
                <w:sz w:val="21"/>
                <w:szCs w:val="21"/>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200" w:type="dxa"/>
            <w:vAlign w:val="bottom"/>
            <w:tcBorders>
              <w:bottom w:val="single" w:sz="8" w:color="DDDDDD"/>
            </w:tcBorders>
            <w:shd w:val="clear" w:color="auto" w:fill="DDDDDD"/>
          </w:tcPr>
          <w:p>
            <w:pPr>
              <w:spacing w:after="0"/>
              <w:rPr>
                <w:sz w:val="21"/>
                <w:szCs w:val="2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percent of revenue</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10.1</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13.3</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47.5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14.3</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49.1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68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Net income attributable to Micron</w:t>
            </w:r>
          </w:p>
        </w:tc>
        <w:tc>
          <w:tcPr>
            <w:tcW w:w="180" w:type="dxa"/>
            <w:vAlign w:val="bottom"/>
            <w:tcBorders>
              <w:bottom w:val="single" w:sz="8" w:color="DDDDDD"/>
            </w:tcBorders>
            <w:shd w:val="clear" w:color="auto" w:fill="DDDDDD"/>
          </w:tcPr>
          <w:p>
            <w:pPr>
              <w:spacing w:after="0"/>
              <w:rPr>
                <w:sz w:val="21"/>
                <w:szCs w:val="21"/>
                <w:color w:val="auto"/>
              </w:rPr>
            </w:pPr>
          </w:p>
        </w:tc>
        <w:tc>
          <w:tcPr>
            <w:tcW w:w="7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360" w:type="dxa"/>
            <w:vAlign w:val="bottom"/>
            <w:tcBorders>
              <w:bottom w:val="single" w:sz="8" w:color="DDDDDD"/>
            </w:tcBorders>
            <w:shd w:val="clear" w:color="auto" w:fill="DDDDDD"/>
          </w:tcPr>
          <w:p>
            <w:pPr>
              <w:spacing w:after="0"/>
              <w:rPr>
                <w:sz w:val="21"/>
                <w:szCs w:val="21"/>
                <w:color w:val="auto"/>
              </w:rPr>
            </w:pPr>
          </w:p>
        </w:tc>
        <w:tc>
          <w:tcPr>
            <w:tcW w:w="7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380" w:type="dxa"/>
            <w:vAlign w:val="bottom"/>
            <w:tcBorders>
              <w:bottom w:val="single" w:sz="8" w:color="DDDDDD"/>
            </w:tcBorders>
            <w:shd w:val="clear" w:color="auto" w:fill="DDDDDD"/>
          </w:tcPr>
          <w:p>
            <w:pPr>
              <w:spacing w:after="0"/>
              <w:rPr>
                <w:sz w:val="21"/>
                <w:szCs w:val="21"/>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200" w:type="dxa"/>
            <w:vAlign w:val="bottom"/>
            <w:tcBorders>
              <w:bottom w:val="single" w:sz="8" w:color="DDDDDD"/>
            </w:tcBorders>
            <w:shd w:val="clear" w:color="auto" w:fill="DDDDDD"/>
          </w:tcPr>
          <w:p>
            <w:pPr>
              <w:spacing w:after="0"/>
              <w:rPr>
                <w:sz w:val="21"/>
                <w:szCs w:val="21"/>
                <w:color w:val="auto"/>
              </w:rPr>
            </w:pPr>
          </w:p>
        </w:tc>
        <w:tc>
          <w:tcPr>
            <w:tcW w:w="100" w:type="dxa"/>
            <w:vAlign w:val="bottom"/>
            <w:tcBorders>
              <w:bottom w:val="single" w:sz="8" w:color="DDDDDD"/>
            </w:tcBorders>
            <w:shd w:val="clear" w:color="auto" w:fill="DDDDDD"/>
          </w:tcPr>
          <w:p>
            <w:pPr>
              <w:spacing w:after="0"/>
              <w:rPr>
                <w:sz w:val="21"/>
                <w:szCs w:val="21"/>
                <w:color w:val="auto"/>
              </w:rPr>
            </w:pPr>
          </w:p>
        </w:tc>
        <w:tc>
          <w:tcPr>
            <w:tcW w:w="180" w:type="dxa"/>
            <w:vAlign w:val="bottom"/>
            <w:tcBorders>
              <w:bottom w:val="single" w:sz="8" w:color="DDDDDD"/>
            </w:tcBorders>
            <w:shd w:val="clear" w:color="auto" w:fill="DDDDDD"/>
          </w:tcPr>
          <w:p>
            <w:pPr>
              <w:spacing w:after="0"/>
              <w:rPr>
                <w:sz w:val="21"/>
                <w:szCs w:val="21"/>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00" w:type="dxa"/>
            <w:vAlign w:val="bottom"/>
            <w:tcBorders>
              <w:bottom w:val="single" w:sz="8" w:color="DDDDDD"/>
            </w:tcBorders>
            <w:shd w:val="clear" w:color="auto" w:fill="DDDDDD"/>
          </w:tcPr>
          <w:p>
            <w:pPr>
              <w:spacing w:after="0"/>
              <w:rPr>
                <w:sz w:val="21"/>
                <w:szCs w:val="21"/>
                <w:color w:val="auto"/>
              </w:rPr>
            </w:pPr>
          </w:p>
        </w:tc>
        <w:tc>
          <w:tcPr>
            <w:tcW w:w="180" w:type="dxa"/>
            <w:vAlign w:val="bottom"/>
            <w:tcBorders>
              <w:bottom w:val="single" w:sz="8" w:color="DDDDDD"/>
            </w:tcBorders>
            <w:shd w:val="clear" w:color="auto" w:fill="DDDDDD"/>
          </w:tcPr>
          <w:p>
            <w:pPr>
              <w:spacing w:after="0"/>
              <w:rPr>
                <w:sz w:val="21"/>
                <w:szCs w:val="21"/>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400" w:type="dxa"/>
            <w:vAlign w:val="bottom"/>
            <w:tcBorders>
              <w:bottom w:val="single" w:sz="8" w:color="DDDDDD"/>
            </w:tcBorders>
            <w:shd w:val="clear" w:color="auto" w:fill="DDDDDD"/>
          </w:tcPr>
          <w:p>
            <w:pPr>
              <w:spacing w:after="0"/>
              <w:rPr>
                <w:sz w:val="21"/>
                <w:szCs w:val="21"/>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200" w:type="dxa"/>
            <w:vAlign w:val="bottom"/>
            <w:tcBorders>
              <w:bottom w:val="single" w:sz="8" w:color="DDDDDD"/>
            </w:tcBorders>
            <w:shd w:val="clear" w:color="auto" w:fill="DDDDDD"/>
          </w:tcPr>
          <w:p>
            <w:pPr>
              <w:spacing w:after="0"/>
              <w:rPr>
                <w:sz w:val="21"/>
                <w:szCs w:val="2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tcPr>
          <w:p>
            <w:pPr>
              <w:spacing w:after="0"/>
              <w:rPr>
                <w:sz w:val="21"/>
                <w:szCs w:val="21"/>
                <w:color w:val="auto"/>
              </w:rPr>
            </w:pPr>
          </w:p>
        </w:tc>
      </w:tr>
    </w:tbl>
    <w:p>
      <w:pPr>
        <w:spacing w:after="0" w:line="355"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Investments in capital expenditures, net of amounts funded by partners, were $1.93 billion for the first quarter of fiscal 2020, which resulted in adjusted free cash flows</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of $79 million. Micron repurchased an aggregate of 1 million shares of its common stock for $ 50 million during the first quarter of fiscal 2020 and ended the quarter with cash, marketable investments, and restricted cash of $8.31 billion, for a net cash</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position of $2.66 billion.</w:t>
      </w:r>
    </w:p>
    <w:p>
      <w:pPr>
        <w:sectPr>
          <w:pgSz w:w="11900" w:h="16838" w:orient="portrait"/>
          <w:cols w:equalWidth="0" w:num="1">
            <w:col w:w="11420"/>
          </w:cols>
          <w:pgMar w:left="240" w:top="88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886"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53"/>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Business Outlook</w:t>
            </w:r>
          </w:p>
        </w:tc>
        <w:tc>
          <w:tcPr>
            <w:tcW w:w="234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451"/>
        </w:trPr>
        <w:tc>
          <w:tcPr>
            <w:tcW w:w="6860" w:type="dxa"/>
            <w:vAlign w:val="bottom"/>
            <w:gridSpan w:val="2"/>
          </w:tcPr>
          <w:p>
            <w:pPr>
              <w:spacing w:after="0"/>
              <w:rPr>
                <w:sz w:val="20"/>
                <w:szCs w:val="20"/>
                <w:color w:val="auto"/>
              </w:rPr>
            </w:pPr>
            <w:r>
              <w:rPr>
                <w:rFonts w:ascii="Arial" w:cs="Arial" w:eastAsia="Arial" w:hAnsi="Arial"/>
                <w:sz w:val="18"/>
                <w:szCs w:val="18"/>
                <w:color w:val="auto"/>
              </w:rPr>
              <w:t>The following table presents Micron’s guidance for the second quarter of fiscal 2020:</w:t>
            </w:r>
          </w:p>
        </w:tc>
        <w:tc>
          <w:tcPr>
            <w:tcW w:w="234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93"/>
        </w:trPr>
        <w:tc>
          <w:tcPr>
            <w:tcW w:w="20" w:type="dxa"/>
            <w:vAlign w:val="bottom"/>
          </w:tcPr>
          <w:p>
            <w:pPr>
              <w:spacing w:after="0"/>
              <w:rPr>
                <w:sz w:val="24"/>
                <w:szCs w:val="24"/>
                <w:color w:val="auto"/>
              </w:rPr>
            </w:pPr>
          </w:p>
        </w:tc>
        <w:tc>
          <w:tcPr>
            <w:tcW w:w="6840" w:type="dxa"/>
            <w:vAlign w:val="bottom"/>
            <w:tcBorders>
              <w:bottom w:val="single" w:sz="8" w:color="0090D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FQ2-20</w:t>
            </w:r>
          </w:p>
        </w:tc>
        <w:tc>
          <w:tcPr>
            <w:tcW w:w="2340" w:type="dxa"/>
            <w:vAlign w:val="bottom"/>
            <w:tcBorders>
              <w:bottom w:val="single" w:sz="8" w:color="0090DA"/>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xml:space="preserve">GAAP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 xml:space="preserve"> Outlook</w:t>
            </w:r>
          </w:p>
        </w:tc>
        <w:tc>
          <w:tcPr>
            <w:tcW w:w="2220" w:type="dxa"/>
            <w:vAlign w:val="bottom"/>
            <w:tcBorders>
              <w:bottom w:val="single" w:sz="8" w:color="0090DA"/>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Non-GAAP </w:t>
            </w:r>
            <w:r>
              <w:rPr>
                <w:rFonts w:ascii="Times New Roman" w:cs="Times New Roman" w:eastAsia="Times New Roman" w:hAnsi="Times New Roman"/>
                <w:sz w:val="23"/>
                <w:szCs w:val="23"/>
                <w:b w:val="1"/>
                <w:bCs w:val="1"/>
                <w:color w:val="auto"/>
                <w:vertAlign w:val="superscript"/>
              </w:rPr>
              <w:t>(2)</w:t>
            </w:r>
            <w:r>
              <w:rPr>
                <w:rFonts w:ascii="Times New Roman" w:cs="Times New Roman" w:eastAsia="Times New Roman" w:hAnsi="Times New Roman"/>
                <w:sz w:val="18"/>
                <w:szCs w:val="18"/>
                <w:b w:val="1"/>
                <w:bCs w:val="1"/>
                <w:color w:val="auto"/>
              </w:rPr>
              <w:t xml:space="preserve"> Outlook</w:t>
            </w:r>
          </w:p>
        </w:tc>
      </w:tr>
      <w:tr>
        <w:trPr>
          <w:trHeight w:val="34"/>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8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340" w:type="dxa"/>
            <w:vAlign w:val="bottom"/>
            <w:shd w:val="clear" w:color="auto" w:fill="DDDDDD"/>
          </w:tcPr>
          <w:p>
            <w:pPr>
              <w:jc w:val="right"/>
              <w:ind w:right="150"/>
              <w:spacing w:after="0"/>
              <w:rPr>
                <w:sz w:val="20"/>
                <w:szCs w:val="20"/>
                <w:color w:val="auto"/>
              </w:rPr>
            </w:pPr>
            <w:r>
              <w:rPr>
                <w:rFonts w:ascii="Times New Roman" w:cs="Times New Roman" w:eastAsia="Times New Roman" w:hAnsi="Times New Roman"/>
                <w:sz w:val="18"/>
                <w:szCs w:val="18"/>
                <w:color w:val="auto"/>
              </w:rPr>
              <w:t>$4.5 billion - $4.8 billion</w:t>
            </w:r>
          </w:p>
        </w:tc>
        <w:tc>
          <w:tcPr>
            <w:tcW w:w="2220" w:type="dxa"/>
            <w:vAlign w:val="bottom"/>
            <w:shd w:val="clear" w:color="auto" w:fill="DDDDDD"/>
          </w:tcPr>
          <w:p>
            <w:pPr>
              <w:jc w:val="right"/>
              <w:ind w:right="70"/>
              <w:spacing w:after="0"/>
              <w:rPr>
                <w:sz w:val="20"/>
                <w:szCs w:val="20"/>
                <w:color w:val="auto"/>
              </w:rPr>
            </w:pPr>
            <w:r>
              <w:rPr>
                <w:rFonts w:ascii="Times New Roman" w:cs="Times New Roman" w:eastAsia="Times New Roman" w:hAnsi="Times New Roman"/>
                <w:sz w:val="18"/>
                <w:szCs w:val="18"/>
                <w:color w:val="auto"/>
              </w:rPr>
              <w:t>$4.5 billion - $4.8 billion</w:t>
            </w:r>
          </w:p>
        </w:tc>
      </w:tr>
      <w:tr>
        <w:trPr>
          <w:trHeight w:val="270"/>
        </w:trPr>
        <w:tc>
          <w:tcPr>
            <w:tcW w:w="2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 ± 1.5%</w:t>
            </w:r>
          </w:p>
        </w:tc>
        <w:tc>
          <w:tcPr>
            <w:tcW w:w="2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 ± 1.5%</w:t>
            </w:r>
          </w:p>
        </w:tc>
      </w:tr>
      <w:tr>
        <w:trPr>
          <w:trHeight w:val="270"/>
        </w:trPr>
        <w:tc>
          <w:tcPr>
            <w:tcW w:w="20" w:type="dxa"/>
            <w:vAlign w:val="bottom"/>
          </w:tcPr>
          <w:p>
            <w:pPr>
              <w:spacing w:after="0"/>
              <w:rPr>
                <w:sz w:val="23"/>
                <w:szCs w:val="23"/>
                <w:color w:val="auto"/>
              </w:rPr>
            </w:pPr>
          </w:p>
        </w:tc>
        <w:tc>
          <w:tcPr>
            <w:tcW w:w="68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340" w:type="dxa"/>
            <w:vAlign w:val="bottom"/>
            <w:shd w:val="clear" w:color="auto" w:fill="DDDDDD"/>
          </w:tcPr>
          <w:p>
            <w:pPr>
              <w:jc w:val="right"/>
              <w:ind w:right="150"/>
              <w:spacing w:after="0"/>
              <w:rPr>
                <w:sz w:val="20"/>
                <w:szCs w:val="20"/>
                <w:color w:val="auto"/>
              </w:rPr>
            </w:pPr>
            <w:r>
              <w:rPr>
                <w:rFonts w:ascii="Times New Roman" w:cs="Times New Roman" w:eastAsia="Times New Roman" w:hAnsi="Times New Roman"/>
                <w:sz w:val="18"/>
                <w:szCs w:val="18"/>
                <w:color w:val="auto"/>
              </w:rPr>
              <w:t>$878 million ± $25 million</w:t>
            </w:r>
          </w:p>
        </w:tc>
        <w:tc>
          <w:tcPr>
            <w:tcW w:w="2220" w:type="dxa"/>
            <w:vAlign w:val="bottom"/>
            <w:shd w:val="clear" w:color="auto" w:fill="DDDDDD"/>
          </w:tcPr>
          <w:p>
            <w:pPr>
              <w:jc w:val="right"/>
              <w:ind w:right="70"/>
              <w:spacing w:after="0"/>
              <w:rPr>
                <w:sz w:val="20"/>
                <w:szCs w:val="20"/>
                <w:color w:val="auto"/>
              </w:rPr>
            </w:pPr>
            <w:r>
              <w:rPr>
                <w:rFonts w:ascii="Times New Roman" w:cs="Times New Roman" w:eastAsia="Times New Roman" w:hAnsi="Times New Roman"/>
                <w:sz w:val="18"/>
                <w:szCs w:val="18"/>
                <w:color w:val="auto"/>
              </w:rPr>
              <w:t>$825 million ± $25 million</w:t>
            </w:r>
          </w:p>
        </w:tc>
      </w:tr>
      <w:tr>
        <w:trPr>
          <w:trHeight w:val="270"/>
        </w:trPr>
        <w:tc>
          <w:tcPr>
            <w:tcW w:w="2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 million</w:t>
            </w:r>
          </w:p>
        </w:tc>
        <w:tc>
          <w:tcPr>
            <w:tcW w:w="2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 million</w:t>
            </w:r>
          </w:p>
        </w:tc>
      </w:tr>
      <w:tr>
        <w:trPr>
          <w:trHeight w:val="270"/>
        </w:trPr>
        <w:tc>
          <w:tcPr>
            <w:tcW w:w="20" w:type="dxa"/>
            <w:vAlign w:val="bottom"/>
          </w:tcPr>
          <w:p>
            <w:pPr>
              <w:spacing w:after="0"/>
              <w:rPr>
                <w:sz w:val="23"/>
                <w:szCs w:val="23"/>
                <w:color w:val="auto"/>
              </w:rPr>
            </w:pPr>
          </w:p>
        </w:tc>
        <w:tc>
          <w:tcPr>
            <w:tcW w:w="68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340" w:type="dxa"/>
            <w:vAlign w:val="bottom"/>
            <w:shd w:val="clear" w:color="auto" w:fill="DDDDDD"/>
          </w:tcPr>
          <w:p>
            <w:pPr>
              <w:jc w:val="right"/>
              <w:ind w:right="150"/>
              <w:spacing w:after="0"/>
              <w:rPr>
                <w:sz w:val="20"/>
                <w:szCs w:val="20"/>
                <w:color w:val="auto"/>
              </w:rPr>
            </w:pPr>
            <w:r>
              <w:rPr>
                <w:rFonts w:ascii="Times New Roman" w:cs="Times New Roman" w:eastAsia="Times New Roman" w:hAnsi="Times New Roman"/>
                <w:sz w:val="18"/>
                <w:szCs w:val="18"/>
                <w:color w:val="auto"/>
              </w:rPr>
              <w:t>$0.25 ± $0.06</w:t>
            </w:r>
          </w:p>
        </w:tc>
        <w:tc>
          <w:tcPr>
            <w:tcW w:w="2220" w:type="dxa"/>
            <w:vAlign w:val="bottom"/>
            <w:shd w:val="clear" w:color="auto" w:fill="DDDDDD"/>
          </w:tcPr>
          <w:p>
            <w:pPr>
              <w:jc w:val="right"/>
              <w:ind w:right="70"/>
              <w:spacing w:after="0"/>
              <w:rPr>
                <w:sz w:val="20"/>
                <w:szCs w:val="20"/>
                <w:color w:val="auto"/>
              </w:rPr>
            </w:pPr>
            <w:r>
              <w:rPr>
                <w:rFonts w:ascii="Times New Roman" w:cs="Times New Roman" w:eastAsia="Times New Roman" w:hAnsi="Times New Roman"/>
                <w:sz w:val="18"/>
                <w:szCs w:val="18"/>
                <w:color w:val="auto"/>
              </w:rPr>
              <w:t>$0.35 ± $0.06</w:t>
            </w:r>
          </w:p>
        </w:tc>
      </w:tr>
    </w:tbl>
    <w:p>
      <w:pPr>
        <w:spacing w:after="0" w:line="328" w:lineRule="exact"/>
        <w:rPr>
          <w:sz w:val="20"/>
          <w:szCs w:val="20"/>
          <w:color w:val="auto"/>
        </w:rPr>
      </w:pPr>
    </w:p>
    <w:p>
      <w:pPr>
        <w:ind w:right="1000"/>
        <w:spacing w:after="0" w:line="292" w:lineRule="auto"/>
        <w:rPr>
          <w:sz w:val="20"/>
          <w:szCs w:val="20"/>
          <w:color w:val="auto"/>
        </w:rPr>
      </w:pPr>
      <w:r>
        <w:rPr>
          <w:rFonts w:ascii="Arial" w:cs="Arial" w:eastAsia="Arial" w:hAnsi="Arial"/>
          <w:sz w:val="18"/>
          <w:szCs w:val="18"/>
          <w:color w:val="auto"/>
        </w:rPr>
        <w:t xml:space="preserve">Further information regarding Micron’s business outlook is included in the prepared remarks and slides, which have been posted at </w:t>
      </w:r>
      <w:r>
        <w:rPr>
          <w:rFonts w:ascii="Arial" w:cs="Arial" w:eastAsia="Arial" w:hAnsi="Arial"/>
          <w:sz w:val="18"/>
          <w:szCs w:val="18"/>
          <w:u w:val="single" w:color="auto"/>
          <w:color w:val="0090DA"/>
        </w:rPr>
        <w:t>investors.micron.com</w:t>
      </w:r>
      <w:r>
        <w:rPr>
          <w:rFonts w:ascii="Arial" w:cs="Arial" w:eastAsia="Arial" w:hAnsi="Arial"/>
          <w:sz w:val="18"/>
          <w:szCs w:val="18"/>
          <w:color w:val="000000"/>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w:t>
      </w:r>
    </w:p>
    <w:p>
      <w:pPr>
        <w:spacing w:after="0" w:line="25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Micron will host a conference call on Wednesday, December 18, 2019 at 2:30 p.m. MT to discuss its first fiscal quarter financial results and provide forward-looking guidance for its second fiscal quarter. A live webcast of the call will be available online at </w:t>
      </w:r>
      <w:r>
        <w:rPr>
          <w:rFonts w:ascii="Arial" w:cs="Arial" w:eastAsia="Arial" w:hAnsi="Arial"/>
          <w:sz w:val="18"/>
          <w:szCs w:val="18"/>
          <w:u w:val="single" w:color="auto"/>
          <w:color w:val="0090DA"/>
        </w:rPr>
        <w:t>investors.micron.com</w:t>
      </w:r>
      <w:r>
        <w:rPr>
          <w:rFonts w:ascii="Arial" w:cs="Arial" w:eastAsia="Arial" w:hAnsi="Arial"/>
          <w:sz w:val="18"/>
          <w:szCs w:val="18"/>
          <w:color w:val="auto"/>
        </w:rPr>
        <w:t xml:space="preserve">. A webcast replay will be available for one year after the call. For Investor Relations and other company updates, follow @MicronTech on Twitter at </w:t>
      </w:r>
      <w:r>
        <w:rPr>
          <w:rFonts w:ascii="Arial" w:cs="Arial" w:eastAsia="Arial" w:hAnsi="Arial"/>
          <w:sz w:val="18"/>
          <w:szCs w:val="18"/>
          <w:u w:val="single" w:color="auto"/>
          <w:color w:val="0090DA"/>
        </w:rPr>
        <w:t>twitter.com/MicronTech</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54"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We are an industry leader in innovative memory and storage solutions. Through our global brands — Micron</w:t>
      </w:r>
      <w:r>
        <w:rPr>
          <w:rFonts w:ascii="Arial" w:cs="Arial" w:eastAsia="Arial" w:hAnsi="Arial"/>
          <w:sz w:val="23"/>
          <w:szCs w:val="23"/>
          <w:color w:val="auto"/>
          <w:vertAlign w:val="superscript"/>
        </w:rPr>
        <w:t>®</w:t>
      </w:r>
      <w:r>
        <w:rPr>
          <w:rFonts w:ascii="Arial" w:cs="Arial" w:eastAsia="Arial" w:hAnsi="Arial"/>
          <w:sz w:val="18"/>
          <w:szCs w:val="18"/>
          <w:color w:val="auto"/>
        </w:rPr>
        <w:t>, Crucial</w:t>
      </w:r>
      <w:r>
        <w:rPr>
          <w:rFonts w:ascii="Arial" w:cs="Arial" w:eastAsia="Arial" w:hAnsi="Arial"/>
          <w:sz w:val="23"/>
          <w:szCs w:val="23"/>
          <w:color w:val="auto"/>
          <w:vertAlign w:val="superscript"/>
        </w:rPr>
        <w:t>®</w:t>
      </w:r>
      <w:r>
        <w:rPr>
          <w:rFonts w:ascii="Arial" w:cs="Arial" w:eastAsia="Arial" w:hAnsi="Arial"/>
          <w:sz w:val="18"/>
          <w:szCs w:val="18"/>
          <w:color w:val="auto"/>
        </w:rPr>
        <w:t>, and Ballistix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our broad portfolio of high-performance memory and storage technologies, including DRAM, NAND, 3D XPoint™ memory, and NOR, is transforming how the world uses information to enrich life. Backed by 40 years of technology leadership, our memory and storage solutions enable disruptive trends, including artificial intelligence, 5G, machine learning, and autonomous vehicles, in key market segments like mobile, data center, client, consumer, industrial, graphics, automotive, and networking. Our common stock is traded on the Nasdaq under the MU symbol. To learn more about Micron Technology, Inc., visit </w:t>
      </w:r>
      <w:r>
        <w:rPr>
          <w:rFonts w:ascii="Arial" w:cs="Arial" w:eastAsia="Arial" w:hAnsi="Arial"/>
          <w:sz w:val="18"/>
          <w:szCs w:val="18"/>
          <w:u w:val="single" w:color="auto"/>
          <w:color w:val="0090DA"/>
        </w:rPr>
        <w:t>micron.com</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Micron and the Micron orbit logo are trademarks of Micron Technology, Inc. All other trademarks are the property of their respective owners.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This press release contains forward-looking statements regarding the industry, our strategic position, and financial and operating results. These forward-looking statements are subject to a number of risks and uncertainties that could cause actual results to differ materially. Please refer to the documents we file with the Securities and Exchange Commission, specifically our most recent Form 10-K.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8"/>
          <w:szCs w:val="18"/>
          <w:u w:val="single" w:color="auto"/>
          <w:color w:val="0090DA"/>
        </w:rPr>
        <w:t>www.micron.com/certainfactors</w:t>
      </w:r>
      <w:r>
        <w:rPr>
          <w:rFonts w:ascii="Arial" w:cs="Arial" w:eastAsia="Arial" w:hAnsi="Arial"/>
          <w:sz w:val="18"/>
          <w:szCs w:val="18"/>
          <w:color w:val="auto"/>
        </w:rPr>
        <w:t>. Although we believe that the expectations reflected in the forward-looking statements are reasonable, we cannot guarantee future results, levels of activity, performance, or achievements. We are under no duty to update any of the forward-looking statements after the date of this release to conform these statements to actual results.</w:t>
      </w:r>
    </w:p>
    <w:p>
      <w:pPr>
        <w:spacing w:after="0" w:line="178" w:lineRule="exact"/>
        <w:rPr>
          <w:sz w:val="20"/>
          <w:szCs w:val="20"/>
          <w:color w:val="auto"/>
        </w:rPr>
      </w:pPr>
    </w:p>
    <w:p>
      <w:pPr>
        <w:ind w:left="320" w:hanging="312"/>
        <w:spacing w:after="0"/>
        <w:tabs>
          <w:tab w:leader="none" w:pos="32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GAAP represents U.S. Generally Accepted Accounting Principles.</w:t>
      </w:r>
    </w:p>
    <w:p>
      <w:pPr>
        <w:jc w:val="both"/>
        <w:ind w:left="340" w:right="60" w:hanging="332"/>
        <w:spacing w:after="0" w:line="229" w:lineRule="auto"/>
        <w:tabs>
          <w:tab w:leader="none" w:pos="334"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Non-GAAP represents GAAP excluding the impact of certain activities, which management excludes in analyzing our operating results and understanding trends in our earnings. Non-GAAP shares used in per share calculations also include the impact of our outstanding capped call transactions and the effect of stock-based compensation.</w:t>
      </w:r>
    </w:p>
    <w:p>
      <w:pPr>
        <w:ind w:left="340" w:right="20" w:hanging="332"/>
        <w:spacing w:after="0" w:line="219" w:lineRule="auto"/>
        <w:tabs>
          <w:tab w:leader="none" w:pos="334"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Adjusted free cash flow consists of cash provided by operating activities less investments in capital expenditures, net of amounts funded by partners.</w:t>
      </w:r>
    </w:p>
    <w:p>
      <w:pPr>
        <w:spacing w:after="0" w:line="1" w:lineRule="exact"/>
        <w:rPr>
          <w:rFonts w:ascii="Arial" w:cs="Arial" w:eastAsia="Arial" w:hAnsi="Arial"/>
          <w:sz w:val="23"/>
          <w:szCs w:val="23"/>
          <w:color w:val="auto"/>
          <w:vertAlign w:val="superscript"/>
        </w:rPr>
      </w:pPr>
    </w:p>
    <w:p>
      <w:pPr>
        <w:ind w:left="320" w:hanging="312"/>
        <w:spacing w:after="0" w:line="200" w:lineRule="auto"/>
        <w:tabs>
          <w:tab w:leader="none" w:pos="32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Net cash consists of cash, marketable investments, and restricted cash less current and long-term debt.</w:t>
      </w:r>
    </w:p>
    <w:p>
      <w:pPr>
        <w:spacing w:after="0" w:line="217"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Further information regarding Micron’s use of non-GAAP measures and reconciliations between GAAP and non-GAAP measures are included within this press release.</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8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1st Qtr.</w:t>
            </w:r>
          </w:p>
        </w:tc>
        <w:tc>
          <w:tcPr>
            <w:tcW w:w="22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4th Qtr.</w:t>
            </w:r>
          </w:p>
        </w:tc>
        <w:tc>
          <w:tcPr>
            <w:tcW w:w="160" w:type="dxa"/>
            <w:vAlign w:val="bottom"/>
          </w:tcPr>
          <w:p>
            <w:pPr>
              <w:spacing w:after="0"/>
              <w:rPr>
                <w:sz w:val="20"/>
                <w:szCs w:val="20"/>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1st Qtr.</w:t>
            </w:r>
          </w:p>
        </w:tc>
      </w:tr>
      <w:tr>
        <w:trPr>
          <w:trHeight w:val="248"/>
        </w:trPr>
        <w:tc>
          <w:tcPr>
            <w:tcW w:w="7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November 28,</w:t>
            </w:r>
          </w:p>
        </w:tc>
        <w:tc>
          <w:tcPr>
            <w:tcW w:w="220" w:type="dxa"/>
            <w:vAlign w:val="bottom"/>
          </w:tcPr>
          <w:p>
            <w:pPr>
              <w:spacing w:after="0"/>
              <w:rPr>
                <w:sz w:val="21"/>
                <w:szCs w:val="21"/>
                <w:color w:val="auto"/>
              </w:rPr>
            </w:pP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August 29,</w:t>
            </w:r>
          </w:p>
        </w:tc>
        <w:tc>
          <w:tcPr>
            <w:tcW w:w="160" w:type="dxa"/>
            <w:vAlign w:val="bottom"/>
          </w:tcPr>
          <w:p>
            <w:pPr>
              <w:spacing w:after="0"/>
              <w:rPr>
                <w:sz w:val="21"/>
                <w:szCs w:val="21"/>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November 29,</w:t>
            </w:r>
          </w:p>
        </w:tc>
      </w:tr>
      <w:tr>
        <w:trPr>
          <w:trHeight w:val="238"/>
        </w:trPr>
        <w:tc>
          <w:tcPr>
            <w:tcW w:w="7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2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6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7420" w:type="dxa"/>
            <w:vAlign w:val="bottom"/>
            <w:tcBorders>
              <w:bottom w:val="single" w:sz="8" w:color="0090DA"/>
            </w:tcBorders>
          </w:tcPr>
          <w:p>
            <w:pPr>
              <w:spacing w:after="0"/>
              <w:rPr>
                <w:sz w:val="2"/>
                <w:szCs w:val="2"/>
                <w:color w:val="auto"/>
              </w:rPr>
            </w:pPr>
          </w:p>
        </w:tc>
        <w:tc>
          <w:tcPr>
            <w:tcW w:w="120" w:type="dxa"/>
            <w:vAlign w:val="bottom"/>
            <w:tcBorders>
              <w:bottom w:val="single" w:sz="8" w:color="0090DA"/>
            </w:tcBorders>
          </w:tcPr>
          <w:p>
            <w:pPr>
              <w:spacing w:after="0"/>
              <w:rPr>
                <w:sz w:val="2"/>
                <w:szCs w:val="2"/>
                <w:color w:val="auto"/>
              </w:rPr>
            </w:pPr>
          </w:p>
        </w:tc>
        <w:tc>
          <w:tcPr>
            <w:tcW w:w="1180" w:type="dxa"/>
            <w:vAlign w:val="bottom"/>
            <w:tcBorders>
              <w:bottom w:val="single" w:sz="8" w:color="0090DA"/>
            </w:tcBorders>
          </w:tcPr>
          <w:p>
            <w:pPr>
              <w:spacing w:after="0"/>
              <w:rPr>
                <w:sz w:val="2"/>
                <w:szCs w:val="2"/>
                <w:color w:val="auto"/>
              </w:rPr>
            </w:pPr>
          </w:p>
        </w:tc>
        <w:tc>
          <w:tcPr>
            <w:tcW w:w="220" w:type="dxa"/>
            <w:vAlign w:val="bottom"/>
            <w:tcBorders>
              <w:bottom w:val="single" w:sz="8" w:color="0090DA"/>
            </w:tcBorders>
          </w:tcPr>
          <w:p>
            <w:pPr>
              <w:spacing w:after="0"/>
              <w:rPr>
                <w:sz w:val="2"/>
                <w:szCs w:val="2"/>
                <w:color w:val="auto"/>
              </w:rPr>
            </w:pPr>
          </w:p>
        </w:tc>
        <w:tc>
          <w:tcPr>
            <w:tcW w:w="1100" w:type="dxa"/>
            <w:vAlign w:val="bottom"/>
            <w:tcBorders>
              <w:bottom w:val="single" w:sz="8" w:color="0090DA"/>
            </w:tcBorders>
          </w:tcPr>
          <w:p>
            <w:pPr>
              <w:spacing w:after="0"/>
              <w:rPr>
                <w:sz w:val="2"/>
                <w:szCs w:val="2"/>
                <w:color w:val="auto"/>
              </w:rPr>
            </w:pPr>
          </w:p>
        </w:tc>
        <w:tc>
          <w:tcPr>
            <w:tcW w:w="160" w:type="dxa"/>
            <w:vAlign w:val="bottom"/>
            <w:tcBorders>
              <w:bottom w:val="single" w:sz="8" w:color="0090DA"/>
            </w:tcBorders>
          </w:tcPr>
          <w:p>
            <w:pPr>
              <w:spacing w:after="0"/>
              <w:rPr>
                <w:sz w:val="2"/>
                <w:szCs w:val="2"/>
                <w:color w:val="auto"/>
              </w:rPr>
            </w:pPr>
          </w:p>
        </w:tc>
        <w:tc>
          <w:tcPr>
            <w:tcW w:w="1200" w:type="dxa"/>
            <w:vAlign w:val="bottom"/>
            <w:tcBorders>
              <w:bottom w:val="single" w:sz="8" w:color="0090DA"/>
            </w:tcBorders>
          </w:tcPr>
          <w:p>
            <w:pPr>
              <w:spacing w:after="0"/>
              <w:rPr>
                <w:sz w:val="2"/>
                <w:szCs w:val="2"/>
                <w:color w:val="auto"/>
              </w:rPr>
            </w:pPr>
          </w:p>
        </w:tc>
      </w:tr>
      <w:tr>
        <w:trPr>
          <w:trHeight w:val="34"/>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2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D1D2D4"/>
            </w:tcBorders>
            <w:shd w:val="clear" w:color="auto" w:fill="D1D2D4"/>
          </w:tcPr>
          <w:p>
            <w:pPr>
              <w:jc w:val="right"/>
              <w:ind w:right="30"/>
              <w:spacing w:after="0"/>
              <w:rPr>
                <w:sz w:val="20"/>
                <w:szCs w:val="20"/>
                <w:color w:val="auto"/>
              </w:rPr>
            </w:pPr>
            <w:r>
              <w:rPr>
                <w:rFonts w:ascii="Times New Roman" w:cs="Times New Roman" w:eastAsia="Times New Roman" w:hAnsi="Times New Roman"/>
                <w:sz w:val="18"/>
                <w:szCs w:val="18"/>
                <w:color w:val="auto"/>
              </w:rPr>
              <w:t>5,144</w:t>
            </w:r>
          </w:p>
        </w:tc>
        <w:tc>
          <w:tcPr>
            <w:tcW w:w="22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4,870</w:t>
            </w:r>
          </w:p>
        </w:tc>
        <w:tc>
          <w:tcPr>
            <w:tcW w:w="16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D1D2D4"/>
            </w:tcBorders>
            <w:shd w:val="clear" w:color="auto" w:fill="D1D2D4"/>
          </w:tcPr>
          <w:p>
            <w:pPr>
              <w:jc w:val="right"/>
              <w:ind w:right="50"/>
              <w:spacing w:after="0"/>
              <w:rPr>
                <w:sz w:val="20"/>
                <w:szCs w:val="20"/>
                <w:color w:val="auto"/>
              </w:rPr>
            </w:pPr>
            <w:r>
              <w:rPr>
                <w:rFonts w:ascii="Times New Roman" w:cs="Times New Roman" w:eastAsia="Times New Roman" w:hAnsi="Times New Roman"/>
                <w:sz w:val="18"/>
                <w:szCs w:val="18"/>
                <w:color w:val="auto"/>
              </w:rPr>
              <w:t>7,913</w:t>
            </w: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3,778</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3,475</w:t>
            </w:r>
          </w:p>
        </w:tc>
        <w:tc>
          <w:tcPr>
            <w:tcW w:w="1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3,298</w:t>
            </w:r>
          </w:p>
        </w:tc>
      </w:tr>
      <w:tr>
        <w:trPr>
          <w:trHeight w:val="27"/>
        </w:trPr>
        <w:tc>
          <w:tcPr>
            <w:tcW w:w="7420" w:type="dxa"/>
            <w:vAlign w:val="bottom"/>
            <w:tcBorders>
              <w:bottom w:val="single" w:sz="8" w:color="D1D2D4"/>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D1D2D4"/>
            </w:tcBorders>
            <w:shd w:val="clear" w:color="auto" w:fill="D1D2D4"/>
          </w:tcPr>
          <w:p>
            <w:pPr>
              <w:ind w:left="220"/>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Borders>
              <w:bottom w:val="single" w:sz="8" w:color="D1D2D4"/>
            </w:tcBorders>
            <w:shd w:val="clear" w:color="auto" w:fill="D1D2D4"/>
          </w:tcPr>
          <w:p>
            <w:pPr>
              <w:spacing w:after="0"/>
              <w:rPr>
                <w:sz w:val="21"/>
                <w:szCs w:val="21"/>
                <w:color w:val="auto"/>
              </w:rPr>
            </w:pPr>
          </w:p>
        </w:tc>
        <w:tc>
          <w:tcPr>
            <w:tcW w:w="1180" w:type="dxa"/>
            <w:vAlign w:val="bottom"/>
            <w:tcBorders>
              <w:bottom w:val="single" w:sz="8" w:color="D1D2D4"/>
            </w:tcBorders>
            <w:shd w:val="clear" w:color="auto" w:fill="D1D2D4"/>
          </w:tcPr>
          <w:p>
            <w:pPr>
              <w:jc w:val="right"/>
              <w:ind w:right="30"/>
              <w:spacing w:after="0"/>
              <w:rPr>
                <w:sz w:val="20"/>
                <w:szCs w:val="20"/>
                <w:color w:val="auto"/>
              </w:rPr>
            </w:pPr>
            <w:r>
              <w:rPr>
                <w:rFonts w:ascii="Times New Roman" w:cs="Times New Roman" w:eastAsia="Times New Roman" w:hAnsi="Times New Roman"/>
                <w:sz w:val="18"/>
                <w:szCs w:val="18"/>
                <w:color w:val="auto"/>
              </w:rPr>
              <w:t>1,366</w:t>
            </w:r>
          </w:p>
        </w:tc>
        <w:tc>
          <w:tcPr>
            <w:tcW w:w="220" w:type="dxa"/>
            <w:vAlign w:val="bottom"/>
            <w:tcBorders>
              <w:bottom w:val="single" w:sz="8" w:color="D1D2D4"/>
            </w:tcBorders>
            <w:shd w:val="clear" w:color="auto" w:fill="D1D2D4"/>
          </w:tcPr>
          <w:p>
            <w:pPr>
              <w:spacing w:after="0"/>
              <w:rPr>
                <w:sz w:val="21"/>
                <w:szCs w:val="21"/>
                <w:color w:val="auto"/>
              </w:rPr>
            </w:pPr>
          </w:p>
        </w:tc>
        <w:tc>
          <w:tcPr>
            <w:tcW w:w="110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1,395</w:t>
            </w:r>
          </w:p>
        </w:tc>
        <w:tc>
          <w:tcPr>
            <w:tcW w:w="160" w:type="dxa"/>
            <w:vAlign w:val="bottom"/>
            <w:tcBorders>
              <w:bottom w:val="single" w:sz="8" w:color="D1D2D4"/>
            </w:tcBorders>
            <w:shd w:val="clear" w:color="auto" w:fill="D1D2D4"/>
          </w:tcPr>
          <w:p>
            <w:pPr>
              <w:spacing w:after="0"/>
              <w:rPr>
                <w:sz w:val="21"/>
                <w:szCs w:val="21"/>
                <w:color w:val="auto"/>
              </w:rPr>
            </w:pPr>
          </w:p>
        </w:tc>
        <w:tc>
          <w:tcPr>
            <w:tcW w:w="1200" w:type="dxa"/>
            <w:vAlign w:val="bottom"/>
            <w:tcBorders>
              <w:bottom w:val="single" w:sz="8" w:color="D1D2D4"/>
            </w:tcBorders>
            <w:shd w:val="clear" w:color="auto" w:fill="D1D2D4"/>
          </w:tcPr>
          <w:p>
            <w:pPr>
              <w:jc w:val="right"/>
              <w:ind w:right="50"/>
              <w:spacing w:after="0"/>
              <w:rPr>
                <w:sz w:val="20"/>
                <w:szCs w:val="20"/>
                <w:color w:val="auto"/>
              </w:rPr>
            </w:pPr>
            <w:r>
              <w:rPr>
                <w:rFonts w:ascii="Times New Roman" w:cs="Times New Roman" w:eastAsia="Times New Roman" w:hAnsi="Times New Roman"/>
                <w:sz w:val="18"/>
                <w:szCs w:val="18"/>
                <w:color w:val="auto"/>
              </w:rPr>
              <w:t>4,615</w:t>
            </w:r>
          </w:p>
        </w:tc>
      </w:tr>
      <w:tr>
        <w:trPr>
          <w:trHeight w:val="257"/>
        </w:trPr>
        <w:tc>
          <w:tcPr>
            <w:tcW w:w="7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0"/>
        </w:trPr>
        <w:tc>
          <w:tcPr>
            <w:tcW w:w="742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D1D2D4"/>
            </w:tcBorders>
            <w:shd w:val="clear" w:color="auto" w:fill="D1D2D4"/>
          </w:tcPr>
          <w:p>
            <w:pPr>
              <w:spacing w:after="0"/>
              <w:rPr>
                <w:sz w:val="21"/>
                <w:szCs w:val="21"/>
                <w:color w:val="auto"/>
              </w:rPr>
            </w:pPr>
          </w:p>
        </w:tc>
        <w:tc>
          <w:tcPr>
            <w:tcW w:w="1180" w:type="dxa"/>
            <w:vAlign w:val="bottom"/>
            <w:tcBorders>
              <w:bottom w:val="single" w:sz="8" w:color="D1D2D4"/>
            </w:tcBorders>
            <w:shd w:val="clear" w:color="auto" w:fill="D1D2D4"/>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Borders>
              <w:bottom w:val="single" w:sz="8" w:color="D1D2D4"/>
            </w:tcBorders>
            <w:shd w:val="clear" w:color="auto" w:fill="D1D2D4"/>
          </w:tcPr>
          <w:p>
            <w:pPr>
              <w:spacing w:after="0"/>
              <w:rPr>
                <w:sz w:val="21"/>
                <w:szCs w:val="21"/>
                <w:color w:val="auto"/>
              </w:rPr>
            </w:pPr>
          </w:p>
        </w:tc>
        <w:tc>
          <w:tcPr>
            <w:tcW w:w="110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Borders>
              <w:bottom w:val="single" w:sz="8" w:color="D1D2D4"/>
            </w:tcBorders>
            <w:shd w:val="clear" w:color="auto" w:fill="D1D2D4"/>
          </w:tcPr>
          <w:p>
            <w:pPr>
              <w:spacing w:after="0"/>
              <w:rPr>
                <w:sz w:val="21"/>
                <w:szCs w:val="21"/>
                <w:color w:val="auto"/>
              </w:rPr>
            </w:pPr>
          </w:p>
        </w:tc>
        <w:tc>
          <w:tcPr>
            <w:tcW w:w="1200" w:type="dxa"/>
            <w:vAlign w:val="bottom"/>
            <w:tcBorders>
              <w:bottom w:val="single" w:sz="8" w:color="D1D2D4"/>
            </w:tcBorders>
            <w:shd w:val="clear" w:color="auto" w:fill="D1D2D4"/>
          </w:tcPr>
          <w:p>
            <w:pPr>
              <w:jc w:val="right"/>
              <w:ind w:right="50"/>
              <w:spacing w:after="0"/>
              <w:rPr>
                <w:sz w:val="20"/>
                <w:szCs w:val="20"/>
                <w:color w:val="auto"/>
              </w:rPr>
            </w:pPr>
            <w:r>
              <w:rPr>
                <w:rFonts w:ascii="Times New Roman" w:cs="Times New Roman" w:eastAsia="Times New Roman" w:hAnsi="Times New Roman"/>
                <w:sz w:val="18"/>
                <w:szCs w:val="18"/>
                <w:color w:val="auto"/>
              </w:rPr>
              <w:t>209</w:t>
            </w: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640</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623</w:t>
            </w:r>
          </w:p>
        </w:tc>
        <w:tc>
          <w:tcPr>
            <w:tcW w:w="1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611</w:t>
            </w: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42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20" w:type="dxa"/>
            <w:vAlign w:val="bottom"/>
            <w:tcBorders>
              <w:bottom w:val="single" w:sz="8" w:color="D1D2D4"/>
            </w:tcBorders>
            <w:shd w:val="clear" w:color="auto" w:fill="D1D2D4"/>
          </w:tcPr>
          <w:p>
            <w:pPr>
              <w:spacing w:after="0"/>
              <w:rPr>
                <w:sz w:val="23"/>
                <w:szCs w:val="23"/>
                <w:color w:val="auto"/>
              </w:rPr>
            </w:pPr>
          </w:p>
        </w:tc>
        <w:tc>
          <w:tcPr>
            <w:tcW w:w="118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D1D2D4"/>
            </w:tcBorders>
            <w:shd w:val="clear" w:color="auto" w:fill="D1D2D4"/>
          </w:tcPr>
          <w:p>
            <w:pPr>
              <w:spacing w:after="0"/>
              <w:rPr>
                <w:sz w:val="23"/>
                <w:szCs w:val="23"/>
                <w:color w:val="auto"/>
              </w:rPr>
            </w:pPr>
          </w:p>
        </w:tc>
        <w:tc>
          <w:tcPr>
            <w:tcW w:w="110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Borders>
              <w:bottom w:val="single" w:sz="8" w:color="D1D2D4"/>
            </w:tcBorders>
            <w:shd w:val="clear" w:color="auto" w:fill="D1D2D4"/>
          </w:tcPr>
          <w:p>
            <w:pPr>
              <w:spacing w:after="0"/>
              <w:rPr>
                <w:sz w:val="23"/>
                <w:szCs w:val="23"/>
                <w:color w:val="auto"/>
              </w:rPr>
            </w:pPr>
          </w:p>
        </w:tc>
        <w:tc>
          <w:tcPr>
            <w:tcW w:w="1200" w:type="dxa"/>
            <w:vAlign w:val="bottom"/>
            <w:tcBorders>
              <w:bottom w:val="single" w:sz="8" w:color="D1D2D4"/>
            </w:tcBorders>
            <w:shd w:val="clear" w:color="auto" w:fill="D1D2D4"/>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r>
      <w:tr>
        <w:trPr>
          <w:trHeight w:val="237"/>
        </w:trPr>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3,759</w:t>
            </w: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742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2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D1D2D4"/>
            </w:tcBorders>
            <w:shd w:val="clear" w:color="auto" w:fill="D1D2D4"/>
          </w:tcPr>
          <w:p>
            <w:pPr>
              <w:spacing w:after="0"/>
              <w:rPr>
                <w:sz w:val="21"/>
                <w:szCs w:val="21"/>
                <w:color w:val="auto"/>
              </w:rPr>
            </w:pPr>
          </w:p>
        </w:tc>
        <w:tc>
          <w:tcPr>
            <w:tcW w:w="118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bottom w:val="single" w:sz="8" w:color="D1D2D4"/>
            </w:tcBorders>
            <w:shd w:val="clear" w:color="auto" w:fill="D1D2D4"/>
          </w:tcPr>
          <w:p>
            <w:pPr>
              <w:spacing w:after="0"/>
              <w:rPr>
                <w:sz w:val="21"/>
                <w:szCs w:val="21"/>
                <w:color w:val="auto"/>
              </w:rPr>
            </w:pPr>
          </w:p>
        </w:tc>
        <w:tc>
          <w:tcPr>
            <w:tcW w:w="110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Borders>
              <w:bottom w:val="single" w:sz="8" w:color="D1D2D4"/>
            </w:tcBorders>
            <w:shd w:val="clear" w:color="auto" w:fill="D1D2D4"/>
          </w:tcPr>
          <w:p>
            <w:pPr>
              <w:spacing w:after="0"/>
              <w:rPr>
                <w:sz w:val="21"/>
                <w:szCs w:val="21"/>
                <w:color w:val="auto"/>
              </w:rPr>
            </w:pPr>
          </w:p>
        </w:tc>
        <w:tc>
          <w:tcPr>
            <w:tcW w:w="120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7420" w:type="dxa"/>
            <w:vAlign w:val="bottom"/>
            <w:tcBorders>
              <w:bottom w:val="single" w:sz="8" w:color="D1D2D4"/>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D1D2D4"/>
            </w:tcBorders>
            <w:shd w:val="clear" w:color="auto" w:fill="D1D2D4"/>
          </w:tcPr>
          <w:p>
            <w:pPr>
              <w:spacing w:after="0"/>
              <w:rPr>
                <w:sz w:val="21"/>
                <w:szCs w:val="21"/>
                <w:color w:val="auto"/>
              </w:rPr>
            </w:pPr>
          </w:p>
        </w:tc>
        <w:tc>
          <w:tcPr>
            <w:tcW w:w="120" w:type="dxa"/>
            <w:vAlign w:val="bottom"/>
            <w:tcBorders>
              <w:bottom w:val="single" w:sz="8" w:color="D1D2D4"/>
            </w:tcBorders>
            <w:shd w:val="clear" w:color="auto" w:fill="D1D2D4"/>
          </w:tcPr>
          <w:p>
            <w:pPr>
              <w:spacing w:after="0"/>
              <w:rPr>
                <w:sz w:val="21"/>
                <w:szCs w:val="21"/>
                <w:color w:val="auto"/>
              </w:rPr>
            </w:pPr>
          </w:p>
        </w:tc>
        <w:tc>
          <w:tcPr>
            <w:tcW w:w="1180" w:type="dxa"/>
            <w:vAlign w:val="bottom"/>
            <w:tcBorders>
              <w:bottom w:val="single" w:sz="8" w:color="D1D2D4"/>
            </w:tcBorders>
            <w:shd w:val="clear" w:color="auto" w:fill="D1D2D4"/>
          </w:tcPr>
          <w:p>
            <w:pPr>
              <w:jc w:val="right"/>
              <w:ind w:right="30"/>
              <w:spacing w:after="0"/>
              <w:rPr>
                <w:sz w:val="20"/>
                <w:szCs w:val="20"/>
                <w:color w:val="auto"/>
              </w:rPr>
            </w:pPr>
            <w:r>
              <w:rPr>
                <w:rFonts w:ascii="Times New Roman" w:cs="Times New Roman" w:eastAsia="Times New Roman" w:hAnsi="Times New Roman"/>
                <w:sz w:val="18"/>
                <w:szCs w:val="18"/>
                <w:color w:val="auto"/>
              </w:rPr>
              <w:t>561</w:t>
            </w:r>
          </w:p>
        </w:tc>
        <w:tc>
          <w:tcPr>
            <w:tcW w:w="220" w:type="dxa"/>
            <w:vAlign w:val="bottom"/>
            <w:tcBorders>
              <w:bottom w:val="single" w:sz="8" w:color="D1D2D4"/>
            </w:tcBorders>
            <w:shd w:val="clear" w:color="auto" w:fill="D1D2D4"/>
          </w:tcPr>
          <w:p>
            <w:pPr>
              <w:spacing w:after="0"/>
              <w:rPr>
                <w:sz w:val="21"/>
                <w:szCs w:val="21"/>
                <w:color w:val="auto"/>
              </w:rPr>
            </w:pPr>
          </w:p>
        </w:tc>
        <w:tc>
          <w:tcPr>
            <w:tcW w:w="110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655</w:t>
            </w:r>
          </w:p>
        </w:tc>
        <w:tc>
          <w:tcPr>
            <w:tcW w:w="160" w:type="dxa"/>
            <w:vAlign w:val="bottom"/>
            <w:tcBorders>
              <w:bottom w:val="single" w:sz="8" w:color="D1D2D4"/>
            </w:tcBorders>
            <w:shd w:val="clear" w:color="auto" w:fill="D1D2D4"/>
          </w:tcPr>
          <w:p>
            <w:pPr>
              <w:spacing w:after="0"/>
              <w:rPr>
                <w:sz w:val="21"/>
                <w:szCs w:val="21"/>
                <w:color w:val="auto"/>
              </w:rPr>
            </w:pPr>
          </w:p>
        </w:tc>
        <w:tc>
          <w:tcPr>
            <w:tcW w:w="1200" w:type="dxa"/>
            <w:vAlign w:val="bottom"/>
            <w:tcBorders>
              <w:bottom w:val="single" w:sz="8" w:color="D1D2D4"/>
            </w:tcBorders>
            <w:shd w:val="clear" w:color="auto" w:fill="D1D2D4"/>
          </w:tcPr>
          <w:p>
            <w:pPr>
              <w:jc w:val="right"/>
              <w:ind w:right="50"/>
              <w:spacing w:after="0"/>
              <w:rPr>
                <w:sz w:val="20"/>
                <w:szCs w:val="20"/>
                <w:color w:val="auto"/>
              </w:rPr>
            </w:pPr>
            <w:r>
              <w:rPr>
                <w:rFonts w:ascii="Times New Roman" w:cs="Times New Roman" w:eastAsia="Times New Roman" w:hAnsi="Times New Roman"/>
                <w:sz w:val="18"/>
                <w:szCs w:val="18"/>
                <w:color w:val="auto"/>
              </w:rPr>
              <w:t>3,773</w:t>
            </w:r>
          </w:p>
        </w:tc>
      </w:tr>
      <w:tr>
        <w:trPr>
          <w:trHeight w:val="257"/>
        </w:trPr>
        <w:tc>
          <w:tcPr>
            <w:tcW w:w="7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0"/>
        </w:trPr>
        <w:tc>
          <w:tcPr>
            <w:tcW w:w="742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0" w:type="dxa"/>
            <w:vAlign w:val="bottom"/>
            <w:tcBorders>
              <w:bottom w:val="single" w:sz="8" w:color="D1D2D4"/>
            </w:tcBorders>
            <w:shd w:val="clear" w:color="auto" w:fill="D1D2D4"/>
          </w:tcPr>
          <w:p>
            <w:pPr>
              <w:spacing w:after="0"/>
              <w:rPr>
                <w:sz w:val="21"/>
                <w:szCs w:val="21"/>
                <w:color w:val="auto"/>
              </w:rPr>
            </w:pPr>
          </w:p>
        </w:tc>
        <w:tc>
          <w:tcPr>
            <w:tcW w:w="118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bottom w:val="single" w:sz="8" w:color="D1D2D4"/>
            </w:tcBorders>
            <w:shd w:val="clear" w:color="auto" w:fill="D1D2D4"/>
          </w:tcPr>
          <w:p>
            <w:pPr>
              <w:spacing w:after="0"/>
              <w:rPr>
                <w:sz w:val="21"/>
                <w:szCs w:val="21"/>
                <w:color w:val="auto"/>
              </w:rPr>
            </w:pPr>
          </w:p>
        </w:tc>
        <w:tc>
          <w:tcPr>
            <w:tcW w:w="110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Borders>
              <w:bottom w:val="single" w:sz="8" w:color="D1D2D4"/>
            </w:tcBorders>
            <w:shd w:val="clear" w:color="auto" w:fill="D1D2D4"/>
          </w:tcPr>
          <w:p>
            <w:pPr>
              <w:spacing w:after="0"/>
              <w:rPr>
                <w:sz w:val="21"/>
                <w:szCs w:val="21"/>
                <w:color w:val="auto"/>
              </w:rPr>
            </w:pPr>
          </w:p>
        </w:tc>
        <w:tc>
          <w:tcPr>
            <w:tcW w:w="120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(477)</w:t>
            </w: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net income (loss) of equity method investees</w:t>
            </w: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20" w:type="dxa"/>
            <w:vAlign w:val="bottom"/>
            <w:tcBorders>
              <w:bottom w:val="single" w:sz="8" w:color="D1D2D4"/>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D1D2D4"/>
            </w:tcBorders>
            <w:shd w:val="clear" w:color="auto" w:fill="D1D2D4"/>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D1D2D4"/>
            </w:tcBorders>
            <w:shd w:val="clear" w:color="auto" w:fill="D1D2D4"/>
          </w:tcPr>
          <w:p>
            <w:pPr>
              <w:spacing w:after="0"/>
              <w:rPr>
                <w:sz w:val="21"/>
                <w:szCs w:val="21"/>
                <w:color w:val="auto"/>
              </w:rPr>
            </w:pPr>
          </w:p>
        </w:tc>
        <w:tc>
          <w:tcPr>
            <w:tcW w:w="1180" w:type="dxa"/>
            <w:vAlign w:val="bottom"/>
            <w:tcBorders>
              <w:bottom w:val="single" w:sz="8" w:color="D1D2D4"/>
            </w:tcBorders>
            <w:shd w:val="clear" w:color="auto" w:fill="D1D2D4"/>
          </w:tcPr>
          <w:p>
            <w:pPr>
              <w:jc w:val="right"/>
              <w:ind w:right="30"/>
              <w:spacing w:after="0"/>
              <w:rPr>
                <w:sz w:val="20"/>
                <w:szCs w:val="20"/>
                <w:color w:val="auto"/>
              </w:rPr>
            </w:pPr>
            <w:r>
              <w:rPr>
                <w:rFonts w:ascii="Times New Roman" w:cs="Times New Roman" w:eastAsia="Times New Roman" w:hAnsi="Times New Roman"/>
                <w:sz w:val="18"/>
                <w:szCs w:val="18"/>
                <w:color w:val="auto"/>
              </w:rPr>
              <w:t>508</w:t>
            </w:r>
          </w:p>
        </w:tc>
        <w:tc>
          <w:tcPr>
            <w:tcW w:w="220" w:type="dxa"/>
            <w:vAlign w:val="bottom"/>
            <w:tcBorders>
              <w:bottom w:val="single" w:sz="8" w:color="D1D2D4"/>
            </w:tcBorders>
            <w:shd w:val="clear" w:color="auto" w:fill="D1D2D4"/>
          </w:tcPr>
          <w:p>
            <w:pPr>
              <w:spacing w:after="0"/>
              <w:rPr>
                <w:sz w:val="21"/>
                <w:szCs w:val="21"/>
                <w:color w:val="auto"/>
              </w:rPr>
            </w:pPr>
          </w:p>
        </w:tc>
        <w:tc>
          <w:tcPr>
            <w:tcW w:w="110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586</w:t>
            </w:r>
          </w:p>
        </w:tc>
        <w:tc>
          <w:tcPr>
            <w:tcW w:w="160" w:type="dxa"/>
            <w:vAlign w:val="bottom"/>
            <w:tcBorders>
              <w:bottom w:val="single" w:sz="8" w:color="D1D2D4"/>
            </w:tcBorders>
            <w:shd w:val="clear" w:color="auto" w:fill="D1D2D4"/>
          </w:tcPr>
          <w:p>
            <w:pPr>
              <w:spacing w:after="0"/>
              <w:rPr>
                <w:sz w:val="21"/>
                <w:szCs w:val="21"/>
                <w:color w:val="auto"/>
              </w:rPr>
            </w:pPr>
          </w:p>
        </w:tc>
        <w:tc>
          <w:tcPr>
            <w:tcW w:w="1200" w:type="dxa"/>
            <w:vAlign w:val="bottom"/>
            <w:tcBorders>
              <w:bottom w:val="single" w:sz="8" w:color="D1D2D4"/>
            </w:tcBorders>
            <w:shd w:val="clear" w:color="auto" w:fill="D1D2D4"/>
          </w:tcPr>
          <w:p>
            <w:pPr>
              <w:jc w:val="right"/>
              <w:ind w:right="50"/>
              <w:spacing w:after="0"/>
              <w:rPr>
                <w:sz w:val="20"/>
                <w:szCs w:val="20"/>
                <w:color w:val="auto"/>
              </w:rPr>
            </w:pPr>
            <w:r>
              <w:rPr>
                <w:rFonts w:ascii="Times New Roman" w:cs="Times New Roman" w:eastAsia="Times New Roman" w:hAnsi="Times New Roman"/>
                <w:sz w:val="18"/>
                <w:szCs w:val="18"/>
                <w:color w:val="auto"/>
              </w:rPr>
              <w:t>3,296</w:t>
            </w:r>
          </w:p>
        </w:tc>
      </w:tr>
      <w:tr>
        <w:trPr>
          <w:trHeight w:val="257"/>
        </w:trPr>
        <w:tc>
          <w:tcPr>
            <w:tcW w:w="7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742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0" w:type="dxa"/>
            <w:vAlign w:val="bottom"/>
            <w:tcBorders>
              <w:bottom w:val="single" w:sz="8" w:color="D1D2D4"/>
            </w:tcBorders>
            <w:shd w:val="clear" w:color="auto" w:fill="D1D2D4"/>
          </w:tcPr>
          <w:p>
            <w:pPr>
              <w:spacing w:after="0"/>
              <w:rPr>
                <w:sz w:val="23"/>
                <w:szCs w:val="23"/>
                <w:color w:val="auto"/>
              </w:rPr>
            </w:pPr>
          </w:p>
        </w:tc>
        <w:tc>
          <w:tcPr>
            <w:tcW w:w="118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D1D2D4"/>
            </w:tcBorders>
            <w:shd w:val="clear" w:color="auto" w:fill="D1D2D4"/>
          </w:tcPr>
          <w:p>
            <w:pPr>
              <w:spacing w:after="0"/>
              <w:rPr>
                <w:sz w:val="23"/>
                <w:szCs w:val="23"/>
                <w:color w:val="auto"/>
              </w:rPr>
            </w:pPr>
          </w:p>
        </w:tc>
        <w:tc>
          <w:tcPr>
            <w:tcW w:w="110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D1D2D4"/>
            </w:tcBorders>
            <w:shd w:val="clear" w:color="auto" w:fill="D1D2D4"/>
          </w:tcPr>
          <w:p>
            <w:pPr>
              <w:spacing w:after="0"/>
              <w:rPr>
                <w:sz w:val="23"/>
                <w:szCs w:val="23"/>
                <w:color w:val="auto"/>
              </w:rPr>
            </w:pPr>
          </w:p>
        </w:tc>
        <w:tc>
          <w:tcPr>
            <w:tcW w:w="120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64"/>
        </w:trPr>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attributable to Micron</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491</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561</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3,293</w:t>
            </w:r>
          </w:p>
        </w:tc>
      </w:tr>
      <w:tr>
        <w:trPr>
          <w:trHeight w:val="20"/>
        </w:trPr>
        <w:tc>
          <w:tcPr>
            <w:tcW w:w="742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742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20" w:type="dxa"/>
            <w:vAlign w:val="bottom"/>
            <w:tcBorders>
              <w:bottom w:val="single" w:sz="8" w:color="D1D2D4"/>
            </w:tcBorders>
            <w:shd w:val="clear" w:color="auto" w:fill="D1D2D4"/>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D1D2D4"/>
            </w:tcBorders>
            <w:shd w:val="clear" w:color="auto" w:fill="D1D2D4"/>
          </w:tcPr>
          <w:p>
            <w:pPr>
              <w:jc w:val="right"/>
              <w:ind w:right="30"/>
              <w:spacing w:after="0"/>
              <w:rPr>
                <w:sz w:val="20"/>
                <w:szCs w:val="20"/>
                <w:color w:val="auto"/>
              </w:rPr>
            </w:pPr>
            <w:r>
              <w:rPr>
                <w:rFonts w:ascii="Times New Roman" w:cs="Times New Roman" w:eastAsia="Times New Roman" w:hAnsi="Times New Roman"/>
                <w:sz w:val="18"/>
                <w:szCs w:val="18"/>
                <w:color w:val="auto"/>
              </w:rPr>
              <w:t>0.44</w:t>
            </w:r>
          </w:p>
        </w:tc>
        <w:tc>
          <w:tcPr>
            <w:tcW w:w="22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0.51</w:t>
            </w:r>
          </w:p>
        </w:tc>
        <w:tc>
          <w:tcPr>
            <w:tcW w:w="16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D1D2D4"/>
            </w:tcBorders>
            <w:shd w:val="clear" w:color="auto" w:fill="D1D2D4"/>
          </w:tcPr>
          <w:p>
            <w:pPr>
              <w:jc w:val="right"/>
              <w:ind w:right="50"/>
              <w:spacing w:after="0"/>
              <w:rPr>
                <w:sz w:val="20"/>
                <w:szCs w:val="20"/>
                <w:color w:val="auto"/>
              </w:rPr>
            </w:pPr>
            <w:r>
              <w:rPr>
                <w:rFonts w:ascii="Times New Roman" w:cs="Times New Roman" w:eastAsia="Times New Roman" w:hAnsi="Times New Roman"/>
                <w:sz w:val="18"/>
                <w:szCs w:val="18"/>
                <w:color w:val="auto"/>
              </w:rPr>
              <w:t>2.91</w:t>
            </w:r>
          </w:p>
        </w:tc>
      </w:tr>
      <w:tr>
        <w:trPr>
          <w:trHeight w:val="243"/>
        </w:trPr>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0.43</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0.49</w:t>
            </w:r>
          </w:p>
        </w:tc>
        <w:tc>
          <w:tcPr>
            <w:tcW w:w="1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2.81</w:t>
            </w: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742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shares used in per share calculations</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20" w:type="dxa"/>
            <w:vAlign w:val="bottom"/>
            <w:tcBorders>
              <w:bottom w:val="single" w:sz="8" w:color="D1D2D4"/>
            </w:tcBorders>
            <w:shd w:val="clear" w:color="auto" w:fill="D1D2D4"/>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D1D2D4"/>
            </w:tcBorders>
            <w:shd w:val="clear" w:color="auto" w:fill="D1D2D4"/>
          </w:tcPr>
          <w:p>
            <w:pPr>
              <w:spacing w:after="0"/>
              <w:rPr>
                <w:sz w:val="21"/>
                <w:szCs w:val="21"/>
                <w:color w:val="auto"/>
              </w:rPr>
            </w:pPr>
          </w:p>
        </w:tc>
        <w:tc>
          <w:tcPr>
            <w:tcW w:w="1180" w:type="dxa"/>
            <w:vAlign w:val="bottom"/>
            <w:tcBorders>
              <w:bottom w:val="single" w:sz="8" w:color="D1D2D4"/>
            </w:tcBorders>
            <w:shd w:val="clear" w:color="auto" w:fill="D1D2D4"/>
          </w:tcPr>
          <w:p>
            <w:pPr>
              <w:jc w:val="right"/>
              <w:ind w:right="30"/>
              <w:spacing w:after="0"/>
              <w:rPr>
                <w:sz w:val="20"/>
                <w:szCs w:val="20"/>
                <w:color w:val="auto"/>
              </w:rPr>
            </w:pPr>
            <w:r>
              <w:rPr>
                <w:rFonts w:ascii="Times New Roman" w:cs="Times New Roman" w:eastAsia="Times New Roman" w:hAnsi="Times New Roman"/>
                <w:sz w:val="18"/>
                <w:szCs w:val="18"/>
                <w:color w:val="auto"/>
              </w:rPr>
              <w:t>1,107</w:t>
            </w:r>
          </w:p>
        </w:tc>
        <w:tc>
          <w:tcPr>
            <w:tcW w:w="220" w:type="dxa"/>
            <w:vAlign w:val="bottom"/>
            <w:tcBorders>
              <w:bottom w:val="single" w:sz="8" w:color="D1D2D4"/>
            </w:tcBorders>
            <w:shd w:val="clear" w:color="auto" w:fill="D1D2D4"/>
          </w:tcPr>
          <w:p>
            <w:pPr>
              <w:spacing w:after="0"/>
              <w:rPr>
                <w:sz w:val="21"/>
                <w:szCs w:val="21"/>
                <w:color w:val="auto"/>
              </w:rPr>
            </w:pPr>
          </w:p>
        </w:tc>
        <w:tc>
          <w:tcPr>
            <w:tcW w:w="110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1,104</w:t>
            </w:r>
          </w:p>
        </w:tc>
        <w:tc>
          <w:tcPr>
            <w:tcW w:w="160" w:type="dxa"/>
            <w:vAlign w:val="bottom"/>
            <w:tcBorders>
              <w:bottom w:val="single" w:sz="8" w:color="D1D2D4"/>
            </w:tcBorders>
            <w:shd w:val="clear" w:color="auto" w:fill="D1D2D4"/>
          </w:tcPr>
          <w:p>
            <w:pPr>
              <w:spacing w:after="0"/>
              <w:rPr>
                <w:sz w:val="21"/>
                <w:szCs w:val="21"/>
                <w:color w:val="auto"/>
              </w:rPr>
            </w:pPr>
          </w:p>
        </w:tc>
        <w:tc>
          <w:tcPr>
            <w:tcW w:w="1200" w:type="dxa"/>
            <w:vAlign w:val="bottom"/>
            <w:tcBorders>
              <w:bottom w:val="single" w:sz="8" w:color="D1D2D4"/>
            </w:tcBorders>
            <w:shd w:val="clear" w:color="auto" w:fill="D1D2D4"/>
          </w:tcPr>
          <w:p>
            <w:pPr>
              <w:jc w:val="right"/>
              <w:ind w:right="50"/>
              <w:spacing w:after="0"/>
              <w:rPr>
                <w:sz w:val="20"/>
                <w:szCs w:val="20"/>
                <w:color w:val="auto"/>
              </w:rPr>
            </w:pPr>
            <w:r>
              <w:rPr>
                <w:rFonts w:ascii="Times New Roman" w:cs="Times New Roman" w:eastAsia="Times New Roman" w:hAnsi="Times New Roman"/>
                <w:sz w:val="18"/>
                <w:szCs w:val="18"/>
                <w:color w:val="auto"/>
              </w:rPr>
              <w:t>1,133</w:t>
            </w:r>
          </w:p>
        </w:tc>
      </w:tr>
      <w:tr>
        <w:trPr>
          <w:trHeight w:val="243"/>
        </w:trPr>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1,129</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1,128</w:t>
            </w:r>
          </w:p>
        </w:tc>
        <w:tc>
          <w:tcPr>
            <w:tcW w:w="1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1,174</w:t>
            </w:r>
          </w:p>
        </w:tc>
      </w:tr>
    </w:tbl>
    <w:p>
      <w:pPr>
        <w:spacing w:after="0" w:line="200" w:lineRule="exact"/>
        <w:rPr>
          <w:sz w:val="20"/>
          <w:szCs w:val="20"/>
          <w:color w:val="auto"/>
        </w:rPr>
      </w:pPr>
    </w:p>
    <w:p>
      <w:pPr>
        <w:sectPr>
          <w:pgSz w:w="11900" w:h="16838" w:orient="portrait"/>
          <w:cols w:equalWidth="0" w:num="1">
            <w:col w:w="11420"/>
          </w:cols>
          <w:pgMar w:left="240" w:top="884" w:right="239" w:bottom="11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884" w:right="239" w:bottom="1119"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November 28,</w:t>
            </w:r>
          </w:p>
        </w:tc>
        <w:tc>
          <w:tcPr>
            <w:tcW w:w="22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August 29,</w:t>
            </w:r>
          </w:p>
        </w:tc>
      </w:tr>
      <w:tr>
        <w:trPr>
          <w:trHeight w:val="238"/>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8760" w:type="dxa"/>
            <w:vAlign w:val="bottom"/>
            <w:tcBorders>
              <w:bottom w:val="single" w:sz="8" w:color="0090DA"/>
            </w:tcBorders>
          </w:tcPr>
          <w:p>
            <w:pPr>
              <w:spacing w:after="0"/>
              <w:rPr>
                <w:sz w:val="2"/>
                <w:szCs w:val="2"/>
                <w:color w:val="auto"/>
              </w:rPr>
            </w:pPr>
          </w:p>
        </w:tc>
        <w:tc>
          <w:tcPr>
            <w:tcW w:w="120" w:type="dxa"/>
            <w:vAlign w:val="bottom"/>
            <w:tcBorders>
              <w:bottom w:val="single" w:sz="8" w:color="0090DA"/>
            </w:tcBorders>
          </w:tcPr>
          <w:p>
            <w:pPr>
              <w:spacing w:after="0"/>
              <w:rPr>
                <w:sz w:val="2"/>
                <w:szCs w:val="2"/>
                <w:color w:val="auto"/>
              </w:rPr>
            </w:pPr>
          </w:p>
        </w:tc>
        <w:tc>
          <w:tcPr>
            <w:tcW w:w="1160" w:type="dxa"/>
            <w:vAlign w:val="bottom"/>
            <w:tcBorders>
              <w:bottom w:val="single" w:sz="8" w:color="0090DA"/>
            </w:tcBorders>
          </w:tcPr>
          <w:p>
            <w:pPr>
              <w:spacing w:after="0"/>
              <w:rPr>
                <w:sz w:val="2"/>
                <w:szCs w:val="2"/>
                <w:color w:val="auto"/>
              </w:rPr>
            </w:pPr>
          </w:p>
        </w:tc>
        <w:tc>
          <w:tcPr>
            <w:tcW w:w="220" w:type="dxa"/>
            <w:vAlign w:val="bottom"/>
            <w:tcBorders>
              <w:bottom w:val="single" w:sz="8" w:color="0090DA"/>
            </w:tcBorders>
          </w:tcPr>
          <w:p>
            <w:pPr>
              <w:spacing w:after="0"/>
              <w:rPr>
                <w:sz w:val="2"/>
                <w:szCs w:val="2"/>
                <w:color w:val="auto"/>
              </w:rPr>
            </w:pPr>
          </w:p>
        </w:tc>
        <w:tc>
          <w:tcPr>
            <w:tcW w:w="1140" w:type="dxa"/>
            <w:vAlign w:val="bottom"/>
            <w:tcBorders>
              <w:bottom w:val="single" w:sz="8" w:color="0090DA"/>
            </w:tcBorders>
          </w:tcPr>
          <w:p>
            <w:pPr>
              <w:spacing w:after="0"/>
              <w:rPr>
                <w:sz w:val="2"/>
                <w:szCs w:val="2"/>
                <w:color w:val="auto"/>
              </w:rPr>
            </w:pPr>
          </w:p>
        </w:tc>
      </w:tr>
      <w:tr>
        <w:trPr>
          <w:trHeight w:val="34"/>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76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D1D2D4"/>
            </w:tcBorders>
            <w:shd w:val="clear" w:color="auto" w:fill="D1D2D4"/>
          </w:tcPr>
          <w:p>
            <w:pPr>
              <w:spacing w:after="0"/>
              <w:rPr>
                <w:sz w:val="21"/>
                <w:szCs w:val="21"/>
                <w:color w:val="auto"/>
              </w:rPr>
            </w:pPr>
          </w:p>
        </w:tc>
        <w:tc>
          <w:tcPr>
            <w:tcW w:w="1140" w:type="dxa"/>
            <w:vAlign w:val="bottom"/>
            <w:tcBorders>
              <w:bottom w:val="single" w:sz="8" w:color="D1D2D4"/>
            </w:tcBorders>
            <w:shd w:val="clear" w:color="auto" w:fill="D1D2D4"/>
          </w:tcPr>
          <w:p>
            <w:pPr>
              <w:spacing w:after="0"/>
              <w:rPr>
                <w:sz w:val="21"/>
                <w:szCs w:val="21"/>
                <w:color w:val="auto"/>
              </w:rPr>
            </w:pPr>
          </w:p>
        </w:tc>
      </w:tr>
      <w:tr>
        <w:trPr>
          <w:trHeight w:val="243"/>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6,969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7,152</w:t>
            </w:r>
          </w:p>
        </w:tc>
      </w:tr>
      <w:tr>
        <w:trPr>
          <w:trHeight w:val="27"/>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76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619</w:t>
            </w:r>
          </w:p>
        </w:tc>
        <w:tc>
          <w:tcPr>
            <w:tcW w:w="220" w:type="dxa"/>
            <w:vAlign w:val="bottom"/>
            <w:tcBorders>
              <w:bottom w:val="single" w:sz="8" w:color="D1D2D4"/>
            </w:tcBorders>
            <w:shd w:val="clear" w:color="auto" w:fill="D1D2D4"/>
          </w:tcPr>
          <w:p>
            <w:pPr>
              <w:spacing w:after="0"/>
              <w:rPr>
                <w:sz w:val="21"/>
                <w:szCs w:val="21"/>
                <w:color w:val="auto"/>
              </w:rPr>
            </w:pPr>
          </w:p>
        </w:tc>
        <w:tc>
          <w:tcPr>
            <w:tcW w:w="1140" w:type="dxa"/>
            <w:vAlign w:val="bottom"/>
            <w:tcBorders>
              <w:bottom w:val="single" w:sz="8" w:color="D1D2D4"/>
            </w:tcBorders>
            <w:shd w:val="clear" w:color="auto" w:fill="D1D2D4"/>
          </w:tcPr>
          <w:p>
            <w:pPr>
              <w:jc w:val="right"/>
              <w:ind w:right="50"/>
              <w:spacing w:after="0"/>
              <w:rPr>
                <w:sz w:val="20"/>
                <w:szCs w:val="20"/>
                <w:color w:val="auto"/>
              </w:rPr>
            </w:pPr>
            <w:r>
              <w:rPr>
                <w:rFonts w:ascii="Times New Roman" w:cs="Times New Roman" w:eastAsia="Times New Roman" w:hAnsi="Times New Roman"/>
                <w:sz w:val="18"/>
                <w:szCs w:val="18"/>
                <w:color w:val="auto"/>
              </w:rPr>
              <w:t>803</w:t>
            </w:r>
          </w:p>
        </w:tc>
      </w:tr>
      <w:tr>
        <w:trPr>
          <w:trHeight w:val="243"/>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3,419</w:t>
            </w: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3,195</w:t>
            </w:r>
          </w:p>
        </w:tc>
      </w:tr>
      <w:tr>
        <w:trPr>
          <w:trHeight w:val="27"/>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76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4,943</w:t>
            </w:r>
          </w:p>
        </w:tc>
        <w:tc>
          <w:tcPr>
            <w:tcW w:w="220" w:type="dxa"/>
            <w:vAlign w:val="bottom"/>
            <w:tcBorders>
              <w:bottom w:val="single" w:sz="8" w:color="D1D2D4"/>
            </w:tcBorders>
            <w:shd w:val="clear" w:color="auto" w:fill="D1D2D4"/>
          </w:tcPr>
          <w:p>
            <w:pPr>
              <w:spacing w:after="0"/>
              <w:rPr>
                <w:sz w:val="21"/>
                <w:szCs w:val="21"/>
                <w:color w:val="auto"/>
              </w:rPr>
            </w:pPr>
          </w:p>
        </w:tc>
        <w:tc>
          <w:tcPr>
            <w:tcW w:w="1140" w:type="dxa"/>
            <w:vAlign w:val="bottom"/>
            <w:tcBorders>
              <w:bottom w:val="single" w:sz="8" w:color="D1D2D4"/>
            </w:tcBorders>
            <w:shd w:val="clear" w:color="auto" w:fill="D1D2D4"/>
          </w:tcPr>
          <w:p>
            <w:pPr>
              <w:jc w:val="right"/>
              <w:ind w:right="50"/>
              <w:spacing w:after="0"/>
              <w:rPr>
                <w:sz w:val="20"/>
                <w:szCs w:val="20"/>
                <w:color w:val="auto"/>
              </w:rPr>
            </w:pPr>
            <w:r>
              <w:rPr>
                <w:rFonts w:ascii="Times New Roman" w:cs="Times New Roman" w:eastAsia="Times New Roman" w:hAnsi="Times New Roman"/>
                <w:sz w:val="18"/>
                <w:szCs w:val="18"/>
                <w:color w:val="auto"/>
              </w:rPr>
              <w:t>5,118</w:t>
            </w:r>
          </w:p>
        </w:tc>
      </w:tr>
      <w:tr>
        <w:trPr>
          <w:trHeight w:val="243"/>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235</w:t>
            </w:r>
          </w:p>
        </w:tc>
      </w:tr>
      <w:tr>
        <w:trPr>
          <w:trHeight w:val="27"/>
        </w:trPr>
        <w:tc>
          <w:tcPr>
            <w:tcW w:w="8760" w:type="dxa"/>
            <w:vAlign w:val="bottom"/>
            <w:tcBorders>
              <w:bottom w:val="single" w:sz="8" w:color="D1D2D4"/>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760" w:type="dxa"/>
            <w:vAlign w:val="bottom"/>
            <w:tcBorders>
              <w:bottom w:val="single" w:sz="8" w:color="D1D2D4"/>
            </w:tcBorders>
            <w:shd w:val="clear" w:color="auto" w:fill="D1D2D4"/>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16,167</w:t>
            </w:r>
          </w:p>
        </w:tc>
        <w:tc>
          <w:tcPr>
            <w:tcW w:w="220" w:type="dxa"/>
            <w:vAlign w:val="bottom"/>
            <w:tcBorders>
              <w:bottom w:val="single" w:sz="8" w:color="D1D2D4"/>
            </w:tcBorders>
            <w:shd w:val="clear" w:color="auto" w:fill="D1D2D4"/>
          </w:tcPr>
          <w:p>
            <w:pPr>
              <w:spacing w:after="0"/>
              <w:rPr>
                <w:sz w:val="21"/>
                <w:szCs w:val="21"/>
                <w:color w:val="auto"/>
              </w:rPr>
            </w:pPr>
          </w:p>
        </w:tc>
        <w:tc>
          <w:tcPr>
            <w:tcW w:w="1140" w:type="dxa"/>
            <w:vAlign w:val="bottom"/>
            <w:tcBorders>
              <w:bottom w:val="single" w:sz="8" w:color="D1D2D4"/>
            </w:tcBorders>
            <w:shd w:val="clear" w:color="auto" w:fill="D1D2D4"/>
          </w:tcPr>
          <w:p>
            <w:pPr>
              <w:jc w:val="right"/>
              <w:ind w:right="50"/>
              <w:spacing w:after="0"/>
              <w:rPr>
                <w:sz w:val="20"/>
                <w:szCs w:val="20"/>
                <w:color w:val="auto"/>
              </w:rPr>
            </w:pPr>
            <w:r>
              <w:rPr>
                <w:rFonts w:ascii="Times New Roman" w:cs="Times New Roman" w:eastAsia="Times New Roman" w:hAnsi="Times New Roman"/>
                <w:sz w:val="18"/>
                <w:szCs w:val="18"/>
                <w:color w:val="auto"/>
              </w:rPr>
              <w:t>16,503</w:t>
            </w:r>
          </w:p>
        </w:tc>
      </w:tr>
      <w:tr>
        <w:trPr>
          <w:trHeight w:val="243"/>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marketable investments</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599</w:t>
            </w: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1,164</w:t>
            </w:r>
          </w:p>
        </w:tc>
      </w:tr>
      <w:tr>
        <w:trPr>
          <w:trHeight w:val="27"/>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76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29,352</w:t>
            </w:r>
          </w:p>
        </w:tc>
        <w:tc>
          <w:tcPr>
            <w:tcW w:w="220" w:type="dxa"/>
            <w:vAlign w:val="bottom"/>
            <w:tcBorders>
              <w:bottom w:val="single" w:sz="8" w:color="D1D2D4"/>
            </w:tcBorders>
            <w:shd w:val="clear" w:color="auto" w:fill="D1D2D4"/>
          </w:tcPr>
          <w:p>
            <w:pPr>
              <w:spacing w:after="0"/>
              <w:rPr>
                <w:sz w:val="21"/>
                <w:szCs w:val="21"/>
                <w:color w:val="auto"/>
              </w:rPr>
            </w:pPr>
          </w:p>
        </w:tc>
        <w:tc>
          <w:tcPr>
            <w:tcW w:w="1140" w:type="dxa"/>
            <w:vAlign w:val="bottom"/>
            <w:tcBorders>
              <w:bottom w:val="single" w:sz="8" w:color="D1D2D4"/>
            </w:tcBorders>
            <w:shd w:val="clear" w:color="auto" w:fill="D1D2D4"/>
          </w:tcPr>
          <w:p>
            <w:pPr>
              <w:jc w:val="right"/>
              <w:ind w:right="50"/>
              <w:spacing w:after="0"/>
              <w:rPr>
                <w:sz w:val="20"/>
                <w:szCs w:val="20"/>
                <w:color w:val="auto"/>
              </w:rPr>
            </w:pPr>
            <w:r>
              <w:rPr>
                <w:rFonts w:ascii="Times New Roman" w:cs="Times New Roman" w:eastAsia="Times New Roman" w:hAnsi="Times New Roman"/>
                <w:sz w:val="18"/>
                <w:szCs w:val="18"/>
                <w:color w:val="auto"/>
              </w:rPr>
              <w:t>28,240</w:t>
            </w:r>
          </w:p>
        </w:tc>
      </w:tr>
      <w:tr>
        <w:trPr>
          <w:trHeight w:val="243"/>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340</w:t>
            </w:r>
          </w:p>
        </w:tc>
      </w:tr>
      <w:tr>
        <w:trPr>
          <w:trHeight w:val="27"/>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76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783</w:t>
            </w:r>
          </w:p>
        </w:tc>
        <w:tc>
          <w:tcPr>
            <w:tcW w:w="220" w:type="dxa"/>
            <w:vAlign w:val="bottom"/>
            <w:tcBorders>
              <w:bottom w:val="single" w:sz="8" w:color="D1D2D4"/>
            </w:tcBorders>
            <w:shd w:val="clear" w:color="auto" w:fill="D1D2D4"/>
          </w:tcPr>
          <w:p>
            <w:pPr>
              <w:spacing w:after="0"/>
              <w:rPr>
                <w:sz w:val="21"/>
                <w:szCs w:val="21"/>
                <w:color w:val="auto"/>
              </w:rPr>
            </w:pPr>
          </w:p>
        </w:tc>
        <w:tc>
          <w:tcPr>
            <w:tcW w:w="1140" w:type="dxa"/>
            <w:vAlign w:val="bottom"/>
            <w:tcBorders>
              <w:bottom w:val="single" w:sz="8" w:color="D1D2D4"/>
            </w:tcBorders>
            <w:shd w:val="clear" w:color="auto" w:fill="D1D2D4"/>
          </w:tcPr>
          <w:p>
            <w:pPr>
              <w:jc w:val="right"/>
              <w:ind w:right="50"/>
              <w:spacing w:after="0"/>
              <w:rPr>
                <w:sz w:val="20"/>
                <w:szCs w:val="20"/>
                <w:color w:val="auto"/>
              </w:rPr>
            </w:pPr>
            <w:r>
              <w:rPr>
                <w:rFonts w:ascii="Times New Roman" w:cs="Times New Roman" w:eastAsia="Times New Roman" w:hAnsi="Times New Roman"/>
                <w:sz w:val="18"/>
                <w:szCs w:val="18"/>
                <w:color w:val="auto"/>
              </w:rPr>
              <w:t>837</w:t>
            </w:r>
          </w:p>
        </w:tc>
      </w:tr>
      <w:tr>
        <w:trPr>
          <w:trHeight w:val="243"/>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1,228</w:t>
            </w: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1,228</w:t>
            </w:r>
          </w:p>
        </w:tc>
      </w:tr>
      <w:tr>
        <w:trPr>
          <w:trHeight w:val="27"/>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76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608</w:t>
            </w:r>
          </w:p>
        </w:tc>
        <w:tc>
          <w:tcPr>
            <w:tcW w:w="220" w:type="dxa"/>
            <w:vAlign w:val="bottom"/>
            <w:tcBorders>
              <w:bottom w:val="single" w:sz="8" w:color="D1D2D4"/>
            </w:tcBorders>
            <w:shd w:val="clear" w:color="auto" w:fill="D1D2D4"/>
          </w:tcPr>
          <w:p>
            <w:pPr>
              <w:spacing w:after="0"/>
              <w:rPr>
                <w:sz w:val="21"/>
                <w:szCs w:val="21"/>
                <w:color w:val="auto"/>
              </w:rPr>
            </w:pPr>
          </w:p>
        </w:tc>
        <w:tc>
          <w:tcPr>
            <w:tcW w:w="1140" w:type="dxa"/>
            <w:vAlign w:val="bottom"/>
            <w:tcBorders>
              <w:bottom w:val="single" w:sz="8" w:color="D1D2D4"/>
            </w:tcBorders>
            <w:shd w:val="clear" w:color="auto" w:fill="D1D2D4"/>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579</w:t>
            </w: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575</w:t>
            </w:r>
          </w:p>
        </w:tc>
      </w:tr>
      <w:tr>
        <w:trPr>
          <w:trHeight w:val="27"/>
        </w:trPr>
        <w:tc>
          <w:tcPr>
            <w:tcW w:w="8760" w:type="dxa"/>
            <w:vAlign w:val="bottom"/>
            <w:tcBorders>
              <w:bottom w:val="single" w:sz="8" w:color="D1D2D4"/>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8760" w:type="dxa"/>
            <w:vAlign w:val="bottom"/>
            <w:tcBorders>
              <w:bottom w:val="single" w:sz="8" w:color="D1D2D4"/>
            </w:tcBorders>
            <w:shd w:val="clear" w:color="auto" w:fill="D1D2D4"/>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49,649</w:t>
            </w:r>
          </w:p>
        </w:tc>
        <w:tc>
          <w:tcPr>
            <w:tcW w:w="220" w:type="dxa"/>
            <w:vAlign w:val="bottom"/>
            <w:tcBorders>
              <w:bottom w:val="single" w:sz="8" w:color="auto"/>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D1D2D4"/>
          </w:tcPr>
          <w:p>
            <w:pPr>
              <w:jc w:val="right"/>
              <w:ind w:right="50"/>
              <w:spacing w:after="0"/>
              <w:rPr>
                <w:sz w:val="20"/>
                <w:szCs w:val="20"/>
                <w:color w:val="auto"/>
              </w:rPr>
            </w:pPr>
            <w:r>
              <w:rPr>
                <w:rFonts w:ascii="Times New Roman" w:cs="Times New Roman" w:eastAsia="Times New Roman" w:hAnsi="Times New Roman"/>
                <w:sz w:val="18"/>
                <w:szCs w:val="18"/>
                <w:color w:val="auto"/>
              </w:rPr>
              <w:t>48,887</w:t>
            </w:r>
          </w:p>
        </w:tc>
      </w:tr>
      <w:tr>
        <w:trPr>
          <w:trHeight w:val="20"/>
        </w:trPr>
        <w:tc>
          <w:tcPr>
            <w:tcW w:w="87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r>
      <w:tr>
        <w:trPr>
          <w:trHeight w:val="163"/>
        </w:trPr>
        <w:tc>
          <w:tcPr>
            <w:tcW w:w="8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50"/>
        </w:trPr>
        <w:tc>
          <w:tcPr>
            <w:tcW w:w="876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D1D2D4"/>
            </w:tcBorders>
            <w:shd w:val="clear" w:color="auto" w:fill="D1D2D4"/>
          </w:tcPr>
          <w:p>
            <w:pPr>
              <w:spacing w:after="0"/>
              <w:rPr>
                <w:sz w:val="21"/>
                <w:szCs w:val="21"/>
                <w:color w:val="auto"/>
              </w:rPr>
            </w:pPr>
          </w:p>
        </w:tc>
        <w:tc>
          <w:tcPr>
            <w:tcW w:w="1140" w:type="dxa"/>
            <w:vAlign w:val="bottom"/>
            <w:tcBorders>
              <w:bottom w:val="single" w:sz="8" w:color="D1D2D4"/>
            </w:tcBorders>
            <w:shd w:val="clear" w:color="auto" w:fill="D1D2D4"/>
          </w:tcPr>
          <w:p>
            <w:pPr>
              <w:spacing w:after="0"/>
              <w:rPr>
                <w:sz w:val="21"/>
                <w:szCs w:val="21"/>
                <w:color w:val="auto"/>
              </w:rPr>
            </w:pPr>
          </w:p>
        </w:tc>
      </w:tr>
      <w:tr>
        <w:trPr>
          <w:trHeight w:val="243"/>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4,626</w:t>
            </w:r>
          </w:p>
        </w:tc>
      </w:tr>
      <w:tr>
        <w:trPr>
          <w:trHeight w:val="27"/>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76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color w:val="auto"/>
              </w:rPr>
              <w:t>Current debt</w:t>
            </w:r>
          </w:p>
        </w:tc>
        <w:tc>
          <w:tcPr>
            <w:tcW w:w="12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462</w:t>
            </w:r>
          </w:p>
        </w:tc>
        <w:tc>
          <w:tcPr>
            <w:tcW w:w="220" w:type="dxa"/>
            <w:vAlign w:val="bottom"/>
            <w:tcBorders>
              <w:bottom w:val="single" w:sz="8" w:color="D1D2D4"/>
            </w:tcBorders>
            <w:shd w:val="clear" w:color="auto" w:fill="D1D2D4"/>
          </w:tcPr>
          <w:p>
            <w:pPr>
              <w:spacing w:after="0"/>
              <w:rPr>
                <w:sz w:val="21"/>
                <w:szCs w:val="21"/>
                <w:color w:val="auto"/>
              </w:rPr>
            </w:pPr>
          </w:p>
        </w:tc>
        <w:tc>
          <w:tcPr>
            <w:tcW w:w="1140" w:type="dxa"/>
            <w:vAlign w:val="bottom"/>
            <w:tcBorders>
              <w:bottom w:val="single" w:sz="8" w:color="D1D2D4"/>
            </w:tcBorders>
            <w:shd w:val="clear" w:color="auto" w:fill="D1D2D4"/>
          </w:tcPr>
          <w:p>
            <w:pPr>
              <w:jc w:val="right"/>
              <w:ind w:right="50"/>
              <w:spacing w:after="0"/>
              <w:rPr>
                <w:sz w:val="20"/>
                <w:szCs w:val="20"/>
                <w:color w:val="auto"/>
              </w:rPr>
            </w:pPr>
            <w:r>
              <w:rPr>
                <w:rFonts w:ascii="Times New Roman" w:cs="Times New Roman" w:eastAsia="Times New Roman" w:hAnsi="Times New Roman"/>
                <w:sz w:val="18"/>
                <w:szCs w:val="18"/>
                <w:color w:val="auto"/>
              </w:rPr>
              <w:t>1,310</w:t>
            </w:r>
          </w:p>
        </w:tc>
      </w:tr>
      <w:tr>
        <w:trPr>
          <w:trHeight w:val="243"/>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w:t>
            </w: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454</w:t>
            </w:r>
          </w:p>
        </w:tc>
      </w:tr>
      <w:tr>
        <w:trPr>
          <w:trHeight w:val="27"/>
        </w:trPr>
        <w:tc>
          <w:tcPr>
            <w:tcW w:w="8760" w:type="dxa"/>
            <w:vAlign w:val="bottom"/>
            <w:tcBorders>
              <w:bottom w:val="single" w:sz="8" w:color="D1D2D4"/>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760" w:type="dxa"/>
            <w:vAlign w:val="bottom"/>
            <w:tcBorders>
              <w:bottom w:val="single" w:sz="8" w:color="D1D2D4"/>
            </w:tcBorders>
            <w:shd w:val="clear" w:color="auto" w:fill="D1D2D4"/>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6,317</w:t>
            </w:r>
          </w:p>
        </w:tc>
        <w:tc>
          <w:tcPr>
            <w:tcW w:w="220" w:type="dxa"/>
            <w:vAlign w:val="bottom"/>
            <w:tcBorders>
              <w:bottom w:val="single" w:sz="8" w:color="D1D2D4"/>
            </w:tcBorders>
            <w:shd w:val="clear" w:color="auto" w:fill="D1D2D4"/>
          </w:tcPr>
          <w:p>
            <w:pPr>
              <w:spacing w:after="0"/>
              <w:rPr>
                <w:sz w:val="21"/>
                <w:szCs w:val="21"/>
                <w:color w:val="auto"/>
              </w:rPr>
            </w:pPr>
          </w:p>
        </w:tc>
        <w:tc>
          <w:tcPr>
            <w:tcW w:w="1140" w:type="dxa"/>
            <w:vAlign w:val="bottom"/>
            <w:tcBorders>
              <w:bottom w:val="single" w:sz="8" w:color="D1D2D4"/>
            </w:tcBorders>
            <w:shd w:val="clear" w:color="auto" w:fill="D1D2D4"/>
          </w:tcPr>
          <w:p>
            <w:pPr>
              <w:jc w:val="right"/>
              <w:ind w:right="50"/>
              <w:spacing w:after="0"/>
              <w:rPr>
                <w:sz w:val="20"/>
                <w:szCs w:val="20"/>
                <w:color w:val="auto"/>
              </w:rPr>
            </w:pPr>
            <w:r>
              <w:rPr>
                <w:rFonts w:ascii="Times New Roman" w:cs="Times New Roman" w:eastAsia="Times New Roman" w:hAnsi="Times New Roman"/>
                <w:sz w:val="18"/>
                <w:szCs w:val="18"/>
                <w:color w:val="auto"/>
              </w:rPr>
              <w:t>6,390</w:t>
            </w:r>
          </w:p>
        </w:tc>
      </w:tr>
      <w:tr>
        <w:trPr>
          <w:trHeight w:val="243"/>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5,188</w:t>
            </w: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4,541</w:t>
            </w:r>
          </w:p>
        </w:tc>
      </w:tr>
      <w:tr>
        <w:trPr>
          <w:trHeight w:val="27"/>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76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2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511</w:t>
            </w:r>
          </w:p>
        </w:tc>
        <w:tc>
          <w:tcPr>
            <w:tcW w:w="220" w:type="dxa"/>
            <w:vAlign w:val="bottom"/>
            <w:tcBorders>
              <w:bottom w:val="single" w:sz="8" w:color="D1D2D4"/>
            </w:tcBorders>
            <w:shd w:val="clear" w:color="auto" w:fill="D1D2D4"/>
          </w:tcPr>
          <w:p>
            <w:pPr>
              <w:spacing w:after="0"/>
              <w:rPr>
                <w:sz w:val="21"/>
                <w:szCs w:val="21"/>
                <w:color w:val="auto"/>
              </w:rPr>
            </w:pPr>
          </w:p>
        </w:tc>
        <w:tc>
          <w:tcPr>
            <w:tcW w:w="1140" w:type="dxa"/>
            <w:vAlign w:val="bottom"/>
            <w:tcBorders>
              <w:bottom w:val="single" w:sz="8" w:color="D1D2D4"/>
            </w:tcBorders>
            <w:shd w:val="clear" w:color="auto" w:fill="D1D2D4"/>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unearned government incentives</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609</w:t>
            </w: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636</w:t>
            </w:r>
          </w:p>
        </w:tc>
      </w:tr>
      <w:tr>
        <w:trPr>
          <w:trHeight w:val="27"/>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76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Borders>
              <w:bottom w:val="single" w:sz="8" w:color="D1D2D4"/>
            </w:tcBorders>
            <w:shd w:val="clear" w:color="auto" w:fill="D1D2D4"/>
          </w:tcPr>
          <w:p>
            <w:pPr>
              <w:spacing w:after="0"/>
              <w:rPr>
                <w:sz w:val="23"/>
                <w:szCs w:val="23"/>
                <w:color w:val="auto"/>
              </w:rPr>
            </w:pPr>
          </w:p>
        </w:tc>
        <w:tc>
          <w:tcPr>
            <w:tcW w:w="116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426</w:t>
            </w:r>
          </w:p>
        </w:tc>
        <w:tc>
          <w:tcPr>
            <w:tcW w:w="220" w:type="dxa"/>
            <w:vAlign w:val="bottom"/>
            <w:tcBorders>
              <w:bottom w:val="single" w:sz="8" w:color="D1D2D4"/>
            </w:tcBorders>
            <w:shd w:val="clear" w:color="auto" w:fill="D1D2D4"/>
          </w:tcPr>
          <w:p>
            <w:pPr>
              <w:spacing w:after="0"/>
              <w:rPr>
                <w:sz w:val="23"/>
                <w:szCs w:val="23"/>
                <w:color w:val="auto"/>
              </w:rPr>
            </w:pPr>
          </w:p>
        </w:tc>
        <w:tc>
          <w:tcPr>
            <w:tcW w:w="1140" w:type="dxa"/>
            <w:vAlign w:val="bottom"/>
            <w:tcBorders>
              <w:bottom w:val="single" w:sz="8" w:color="D1D2D4"/>
            </w:tcBorders>
            <w:shd w:val="clear" w:color="auto" w:fill="D1D2D4"/>
          </w:tcPr>
          <w:p>
            <w:pPr>
              <w:jc w:val="right"/>
              <w:ind w:right="50"/>
              <w:spacing w:after="0"/>
              <w:rPr>
                <w:sz w:val="20"/>
                <w:szCs w:val="20"/>
                <w:color w:val="auto"/>
              </w:rPr>
            </w:pPr>
            <w:r>
              <w:rPr>
                <w:rFonts w:ascii="Times New Roman" w:cs="Times New Roman" w:eastAsia="Times New Roman" w:hAnsi="Times New Roman"/>
                <w:sz w:val="18"/>
                <w:szCs w:val="18"/>
                <w:color w:val="auto"/>
              </w:rPr>
              <w:t>452</w:t>
            </w:r>
          </w:p>
        </w:tc>
      </w:tr>
      <w:tr>
        <w:trPr>
          <w:trHeight w:val="237"/>
        </w:trPr>
        <w:tc>
          <w:tcPr>
            <w:tcW w:w="8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13,051</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12,019</w:t>
            </w:r>
          </w:p>
        </w:tc>
      </w:tr>
      <w:tr>
        <w:trPr>
          <w:trHeight w:val="27"/>
        </w:trPr>
        <w:tc>
          <w:tcPr>
            <w:tcW w:w="8760" w:type="dxa"/>
            <w:vAlign w:val="bottom"/>
            <w:tcBorders>
              <w:bottom w:val="single" w:sz="8" w:color="D1D2D4"/>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6"/>
        </w:trPr>
        <w:tc>
          <w:tcPr>
            <w:tcW w:w="876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220" w:type="dxa"/>
            <w:vAlign w:val="bottom"/>
            <w:shd w:val="clear" w:color="auto" w:fill="D1D2D4"/>
          </w:tcPr>
          <w:p>
            <w:pPr>
              <w:spacing w:after="0"/>
              <w:rPr>
                <w:sz w:val="17"/>
                <w:szCs w:val="17"/>
                <w:color w:val="auto"/>
              </w:rPr>
            </w:pPr>
          </w:p>
        </w:tc>
        <w:tc>
          <w:tcPr>
            <w:tcW w:w="1140" w:type="dxa"/>
            <w:vAlign w:val="bottom"/>
            <w:shd w:val="clear" w:color="auto" w:fill="D1D2D4"/>
          </w:tcPr>
          <w:p>
            <w:pPr>
              <w:spacing w:after="0"/>
              <w:rPr>
                <w:sz w:val="17"/>
                <w:szCs w:val="17"/>
                <w:color w:val="auto"/>
              </w:rPr>
            </w:pPr>
          </w:p>
        </w:tc>
      </w:tr>
      <w:tr>
        <w:trPr>
          <w:trHeight w:val="243"/>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8760" w:type="dxa"/>
            <w:vAlign w:val="bottom"/>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1160" w:type="dxa"/>
            <w:vAlign w:val="bottom"/>
            <w:shd w:val="clear" w:color="auto" w:fill="D1D2D4"/>
          </w:tcPr>
          <w:p>
            <w:pPr>
              <w:spacing w:after="0"/>
              <w:rPr>
                <w:sz w:val="18"/>
                <w:szCs w:val="18"/>
                <w:color w:val="auto"/>
              </w:rPr>
            </w:pPr>
          </w:p>
        </w:tc>
        <w:tc>
          <w:tcPr>
            <w:tcW w:w="220" w:type="dxa"/>
            <w:vAlign w:val="bottom"/>
            <w:shd w:val="clear" w:color="auto" w:fill="D1D2D4"/>
          </w:tcPr>
          <w:p>
            <w:pPr>
              <w:spacing w:after="0"/>
              <w:rPr>
                <w:sz w:val="18"/>
                <w:szCs w:val="18"/>
                <w:color w:val="auto"/>
              </w:rPr>
            </w:pPr>
          </w:p>
        </w:tc>
        <w:tc>
          <w:tcPr>
            <w:tcW w:w="1140" w:type="dxa"/>
            <w:vAlign w:val="bottom"/>
            <w:shd w:val="clear" w:color="auto" w:fill="D1D2D4"/>
          </w:tcPr>
          <w:p>
            <w:pPr>
              <w:spacing w:after="0"/>
              <w:rPr>
                <w:sz w:val="18"/>
                <w:szCs w:val="18"/>
                <w:color w:val="auto"/>
              </w:rPr>
            </w:pPr>
          </w:p>
        </w:tc>
      </w:tr>
      <w:tr>
        <w:trPr>
          <w:trHeight w:val="243"/>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w:t>
            </w:r>
          </w:p>
        </w:tc>
      </w:tr>
      <w:tr>
        <w:trPr>
          <w:trHeight w:val="27"/>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8760" w:type="dxa"/>
            <w:vAlign w:val="bottom"/>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1160" w:type="dxa"/>
            <w:vAlign w:val="bottom"/>
            <w:shd w:val="clear" w:color="auto" w:fill="D1D2D4"/>
          </w:tcPr>
          <w:p>
            <w:pPr>
              <w:spacing w:after="0"/>
              <w:rPr>
                <w:sz w:val="18"/>
                <w:szCs w:val="18"/>
                <w:color w:val="auto"/>
              </w:rPr>
            </w:pPr>
          </w:p>
        </w:tc>
        <w:tc>
          <w:tcPr>
            <w:tcW w:w="220" w:type="dxa"/>
            <w:vAlign w:val="bottom"/>
            <w:shd w:val="clear" w:color="auto" w:fill="D1D2D4"/>
          </w:tcPr>
          <w:p>
            <w:pPr>
              <w:spacing w:after="0"/>
              <w:rPr>
                <w:sz w:val="18"/>
                <w:szCs w:val="18"/>
                <w:color w:val="auto"/>
              </w:rPr>
            </w:pPr>
          </w:p>
        </w:tc>
        <w:tc>
          <w:tcPr>
            <w:tcW w:w="1140" w:type="dxa"/>
            <w:vAlign w:val="bottom"/>
            <w:shd w:val="clear" w:color="auto" w:fill="D1D2D4"/>
          </w:tcPr>
          <w:p>
            <w:pPr>
              <w:spacing w:after="0"/>
              <w:rPr>
                <w:sz w:val="18"/>
                <w:szCs w:val="18"/>
                <w:color w:val="auto"/>
              </w:rPr>
            </w:pPr>
          </w:p>
        </w:tc>
      </w:tr>
      <w:tr>
        <w:trPr>
          <w:trHeight w:val="243"/>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Micron shareholders’ equity</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760" w:type="dxa"/>
            <w:vAlign w:val="bottom"/>
            <w:tcBorders>
              <w:bottom w:val="single" w:sz="8" w:color="D1D2D4"/>
            </w:tcBorders>
            <w:shd w:val="clear" w:color="auto" w:fill="D1D2D4"/>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Borders>
              <w:bottom w:val="single" w:sz="8" w:color="D1D2D4"/>
            </w:tcBorders>
            <w:shd w:val="clear" w:color="auto" w:fill="D1D2D4"/>
          </w:tcPr>
          <w:p>
            <w:pPr>
              <w:spacing w:after="0"/>
              <w:rPr>
                <w:sz w:val="21"/>
                <w:szCs w:val="21"/>
                <w:color w:val="auto"/>
              </w:rPr>
            </w:pPr>
          </w:p>
        </w:tc>
        <w:tc>
          <w:tcPr>
            <w:tcW w:w="1140" w:type="dxa"/>
            <w:vAlign w:val="bottom"/>
            <w:tcBorders>
              <w:bottom w:val="single" w:sz="8" w:color="D1D2D4"/>
            </w:tcBorders>
            <w:shd w:val="clear" w:color="auto" w:fill="D1D2D4"/>
          </w:tcPr>
          <w:p>
            <w:pPr>
              <w:jc w:val="right"/>
              <w:ind w:right="50"/>
              <w:spacing w:after="0"/>
              <w:rPr>
                <w:sz w:val="20"/>
                <w:szCs w:val="20"/>
                <w:color w:val="auto"/>
              </w:rPr>
            </w:pPr>
            <w:r>
              <w:rPr>
                <w:rFonts w:ascii="Times New Roman" w:cs="Times New Roman" w:eastAsia="Times New Roman" w:hAnsi="Times New Roman"/>
                <w:sz w:val="18"/>
                <w:szCs w:val="18"/>
                <w:color w:val="auto"/>
              </w:rPr>
              <w:t>118</w:t>
            </w:r>
          </w:p>
        </w:tc>
      </w:tr>
      <w:tr>
        <w:trPr>
          <w:trHeight w:val="243"/>
        </w:trPr>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capital</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8,428</w:t>
            </w: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8,214</w:t>
            </w:r>
          </w:p>
        </w:tc>
      </w:tr>
      <w:tr>
        <w:trPr>
          <w:trHeight w:val="27"/>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760" w:type="dxa"/>
            <w:vAlign w:val="bottom"/>
            <w:tcBorders>
              <w:bottom w:val="single" w:sz="8" w:color="D1D2D4"/>
            </w:tcBorders>
            <w:shd w:val="clear" w:color="auto" w:fill="D1D2D4"/>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31,218</w:t>
            </w:r>
          </w:p>
        </w:tc>
        <w:tc>
          <w:tcPr>
            <w:tcW w:w="220" w:type="dxa"/>
            <w:vAlign w:val="bottom"/>
            <w:tcBorders>
              <w:bottom w:val="single" w:sz="8" w:color="D1D2D4"/>
            </w:tcBorders>
            <w:shd w:val="clear" w:color="auto" w:fill="D1D2D4"/>
          </w:tcPr>
          <w:p>
            <w:pPr>
              <w:spacing w:after="0"/>
              <w:rPr>
                <w:sz w:val="21"/>
                <w:szCs w:val="21"/>
                <w:color w:val="auto"/>
              </w:rPr>
            </w:pPr>
          </w:p>
        </w:tc>
        <w:tc>
          <w:tcPr>
            <w:tcW w:w="1140" w:type="dxa"/>
            <w:vAlign w:val="bottom"/>
            <w:tcBorders>
              <w:bottom w:val="single" w:sz="8" w:color="D1D2D4"/>
            </w:tcBorders>
            <w:shd w:val="clear" w:color="auto" w:fill="D1D2D4"/>
          </w:tcPr>
          <w:p>
            <w:pPr>
              <w:jc w:val="right"/>
              <w:ind w:right="50"/>
              <w:spacing w:after="0"/>
              <w:rPr>
                <w:sz w:val="20"/>
                <w:szCs w:val="20"/>
                <w:color w:val="auto"/>
              </w:rPr>
            </w:pPr>
            <w:r>
              <w:rPr>
                <w:rFonts w:ascii="Times New Roman" w:cs="Times New Roman" w:eastAsia="Times New Roman" w:hAnsi="Times New Roman"/>
                <w:sz w:val="18"/>
                <w:szCs w:val="18"/>
                <w:color w:val="auto"/>
              </w:rPr>
              <w:t>30,761</w:t>
            </w:r>
          </w:p>
        </w:tc>
      </w:tr>
      <w:tr>
        <w:trPr>
          <w:trHeight w:val="243"/>
        </w:trPr>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Treasury stock</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(3,221)</w:t>
            </w:r>
          </w:p>
        </w:tc>
      </w:tr>
      <w:tr>
        <w:trPr>
          <w:trHeight w:val="27"/>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760" w:type="dxa"/>
            <w:vAlign w:val="bottom"/>
            <w:tcBorders>
              <w:bottom w:val="single" w:sz="8" w:color="D1D2D4"/>
            </w:tcBorders>
            <w:shd w:val="clear" w:color="auto" w:fill="D1D2D4"/>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Borders>
              <w:bottom w:val="single" w:sz="8" w:color="D1D2D4"/>
            </w:tcBorders>
            <w:shd w:val="clear" w:color="auto" w:fill="D1D2D4"/>
          </w:tcPr>
          <w:p>
            <w:pPr>
              <w:spacing w:after="0"/>
              <w:rPr>
                <w:sz w:val="23"/>
                <w:szCs w:val="23"/>
                <w:color w:val="auto"/>
              </w:rPr>
            </w:pPr>
          </w:p>
        </w:tc>
        <w:tc>
          <w:tcPr>
            <w:tcW w:w="116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D1D2D4"/>
            </w:tcBorders>
            <w:shd w:val="clear" w:color="auto" w:fill="D1D2D4"/>
          </w:tcPr>
          <w:p>
            <w:pPr>
              <w:spacing w:after="0"/>
              <w:rPr>
                <w:sz w:val="23"/>
                <w:szCs w:val="23"/>
                <w:color w:val="auto"/>
              </w:rPr>
            </w:pPr>
          </w:p>
        </w:tc>
        <w:tc>
          <w:tcPr>
            <w:tcW w:w="1140" w:type="dxa"/>
            <w:vAlign w:val="bottom"/>
            <w:tcBorders>
              <w:bottom w:val="single" w:sz="8" w:color="D1D2D4"/>
            </w:tcBorders>
            <w:shd w:val="clear" w:color="auto" w:fill="D1D2D4"/>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r>
      <w:tr>
        <w:trPr>
          <w:trHeight w:val="237"/>
        </w:trPr>
        <w:tc>
          <w:tcPr>
            <w:tcW w:w="8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Micron shareholders’ equity</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36,500</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35,881</w:t>
            </w:r>
          </w:p>
        </w:tc>
      </w:tr>
      <w:tr>
        <w:trPr>
          <w:trHeight w:val="27"/>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76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color w:val="auto"/>
              </w:rPr>
              <w:t>Noncontrolling interest in subsidiary</w:t>
            </w:r>
          </w:p>
        </w:tc>
        <w:tc>
          <w:tcPr>
            <w:tcW w:w="120" w:type="dxa"/>
            <w:vAlign w:val="bottom"/>
            <w:tcBorders>
              <w:bottom w:val="single" w:sz="8" w:color="D1D2D4"/>
            </w:tcBorders>
            <w:shd w:val="clear" w:color="auto" w:fill="D1D2D4"/>
          </w:tcPr>
          <w:p>
            <w:pPr>
              <w:spacing w:after="0"/>
              <w:rPr>
                <w:sz w:val="23"/>
                <w:szCs w:val="23"/>
                <w:color w:val="auto"/>
              </w:rPr>
            </w:pPr>
          </w:p>
        </w:tc>
        <w:tc>
          <w:tcPr>
            <w:tcW w:w="116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D1D2D4"/>
            </w:tcBorders>
            <w:shd w:val="clear" w:color="auto" w:fill="D1D2D4"/>
          </w:tcPr>
          <w:p>
            <w:pPr>
              <w:spacing w:after="0"/>
              <w:rPr>
                <w:sz w:val="23"/>
                <w:szCs w:val="23"/>
                <w:color w:val="auto"/>
              </w:rPr>
            </w:pPr>
          </w:p>
        </w:tc>
        <w:tc>
          <w:tcPr>
            <w:tcW w:w="1140" w:type="dxa"/>
            <w:vAlign w:val="bottom"/>
            <w:tcBorders>
              <w:bottom w:val="single" w:sz="8" w:color="D1D2D4"/>
            </w:tcBorders>
            <w:shd w:val="clear" w:color="auto" w:fill="D1D2D4"/>
          </w:tcPr>
          <w:p>
            <w:pPr>
              <w:jc w:val="right"/>
              <w:ind w:right="50"/>
              <w:spacing w:after="0"/>
              <w:rPr>
                <w:sz w:val="20"/>
                <w:szCs w:val="20"/>
                <w:color w:val="auto"/>
              </w:rPr>
            </w:pPr>
            <w:r>
              <w:rPr>
                <w:rFonts w:ascii="Times New Roman" w:cs="Times New Roman" w:eastAsia="Times New Roman" w:hAnsi="Times New Roman"/>
                <w:sz w:val="18"/>
                <w:szCs w:val="18"/>
                <w:color w:val="auto"/>
              </w:rPr>
              <w:t>889</w:t>
            </w:r>
          </w:p>
        </w:tc>
      </w:tr>
      <w:tr>
        <w:trPr>
          <w:trHeight w:val="237"/>
        </w:trPr>
        <w:tc>
          <w:tcPr>
            <w:tcW w:w="8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36,500</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36,770</w:t>
            </w:r>
          </w:p>
        </w:tc>
      </w:tr>
      <w:tr>
        <w:trPr>
          <w:trHeight w:val="27"/>
        </w:trPr>
        <w:tc>
          <w:tcPr>
            <w:tcW w:w="8760" w:type="dxa"/>
            <w:vAlign w:val="bottom"/>
            <w:tcBorders>
              <w:bottom w:val="single" w:sz="8" w:color="D1D2D4"/>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8760" w:type="dxa"/>
            <w:vAlign w:val="bottom"/>
            <w:tcBorders>
              <w:bottom w:val="single" w:sz="8" w:color="D1D2D4"/>
            </w:tcBorders>
            <w:shd w:val="clear" w:color="auto" w:fill="D1D2D4"/>
          </w:tcPr>
          <w:p>
            <w:pPr>
              <w:ind w:left="4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20" w:type="dxa"/>
            <w:vAlign w:val="bottom"/>
            <w:tcBorders>
              <w:bottom w:val="single" w:sz="8" w:color="auto"/>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49,649</w:t>
            </w:r>
          </w:p>
        </w:tc>
        <w:tc>
          <w:tcPr>
            <w:tcW w:w="220" w:type="dxa"/>
            <w:vAlign w:val="bottom"/>
            <w:tcBorders>
              <w:bottom w:val="single" w:sz="8" w:color="auto"/>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D1D2D4"/>
          </w:tcPr>
          <w:p>
            <w:pPr>
              <w:jc w:val="right"/>
              <w:ind w:right="50"/>
              <w:spacing w:after="0"/>
              <w:rPr>
                <w:sz w:val="20"/>
                <w:szCs w:val="20"/>
                <w:color w:val="auto"/>
              </w:rPr>
            </w:pPr>
            <w:r>
              <w:rPr>
                <w:rFonts w:ascii="Times New Roman" w:cs="Times New Roman" w:eastAsia="Times New Roman" w:hAnsi="Times New Roman"/>
                <w:sz w:val="18"/>
                <w:szCs w:val="18"/>
                <w:color w:val="auto"/>
              </w:rPr>
              <w:t>48,887</w:t>
            </w:r>
          </w:p>
        </w:tc>
      </w:tr>
      <w:tr>
        <w:trPr>
          <w:trHeight w:val="20"/>
        </w:trPr>
        <w:tc>
          <w:tcPr>
            <w:tcW w:w="87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84" w:right="239" w:bottom="10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884" w:right="239" w:bottom="1092" w:gutter="0" w:footer="0" w:header="0"/>
          <w:type w:val="continuous"/>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November 28,</w:t>
            </w:r>
          </w:p>
        </w:tc>
        <w:tc>
          <w:tcPr>
            <w:tcW w:w="16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November 29,</w:t>
            </w:r>
          </w:p>
        </w:tc>
      </w:tr>
      <w:tr>
        <w:trPr>
          <w:trHeight w:val="238"/>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760" w:type="dxa"/>
            <w:vAlign w:val="bottom"/>
            <w:tcBorders>
              <w:bottom w:val="single" w:sz="8" w:color="0090DA"/>
            </w:tcBorders>
          </w:tcPr>
          <w:p>
            <w:pPr>
              <w:spacing w:after="0"/>
              <w:rPr>
                <w:sz w:val="2"/>
                <w:szCs w:val="2"/>
                <w:color w:val="auto"/>
              </w:rPr>
            </w:pPr>
          </w:p>
        </w:tc>
        <w:tc>
          <w:tcPr>
            <w:tcW w:w="100" w:type="dxa"/>
            <w:vAlign w:val="bottom"/>
            <w:tcBorders>
              <w:bottom w:val="single" w:sz="8" w:color="0090DA"/>
            </w:tcBorders>
          </w:tcPr>
          <w:p>
            <w:pPr>
              <w:spacing w:after="0"/>
              <w:rPr>
                <w:sz w:val="2"/>
                <w:szCs w:val="2"/>
                <w:color w:val="auto"/>
              </w:rPr>
            </w:pPr>
          </w:p>
        </w:tc>
        <w:tc>
          <w:tcPr>
            <w:tcW w:w="1160" w:type="dxa"/>
            <w:vAlign w:val="bottom"/>
            <w:tcBorders>
              <w:bottom w:val="single" w:sz="8" w:color="0090DA"/>
            </w:tcBorders>
          </w:tcPr>
          <w:p>
            <w:pPr>
              <w:spacing w:after="0"/>
              <w:rPr>
                <w:sz w:val="2"/>
                <w:szCs w:val="2"/>
                <w:color w:val="auto"/>
              </w:rPr>
            </w:pPr>
          </w:p>
        </w:tc>
        <w:tc>
          <w:tcPr>
            <w:tcW w:w="160" w:type="dxa"/>
            <w:vAlign w:val="bottom"/>
            <w:tcBorders>
              <w:bottom w:val="single" w:sz="8" w:color="0090DA"/>
            </w:tcBorders>
          </w:tcPr>
          <w:p>
            <w:pPr>
              <w:spacing w:after="0"/>
              <w:rPr>
                <w:sz w:val="2"/>
                <w:szCs w:val="2"/>
                <w:color w:val="auto"/>
              </w:rPr>
            </w:pPr>
          </w:p>
        </w:tc>
        <w:tc>
          <w:tcPr>
            <w:tcW w:w="1220" w:type="dxa"/>
            <w:vAlign w:val="bottom"/>
            <w:tcBorders>
              <w:bottom w:val="single" w:sz="8" w:color="0090DA"/>
            </w:tcBorders>
          </w:tcPr>
          <w:p>
            <w:pPr>
              <w:spacing w:after="0"/>
              <w:rPr>
                <w:sz w:val="2"/>
                <w:szCs w:val="2"/>
                <w:color w:val="auto"/>
              </w:rPr>
            </w:pPr>
          </w:p>
        </w:tc>
      </w:tr>
      <w:tr>
        <w:trPr>
          <w:trHeight w:val="34"/>
        </w:trPr>
        <w:tc>
          <w:tcPr>
            <w:tcW w:w="8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76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spacing w:after="0"/>
              <w:rPr>
                <w:sz w:val="21"/>
                <w:szCs w:val="21"/>
                <w:color w:val="auto"/>
              </w:rPr>
            </w:pPr>
          </w:p>
        </w:tc>
        <w:tc>
          <w:tcPr>
            <w:tcW w:w="160" w:type="dxa"/>
            <w:vAlign w:val="bottom"/>
            <w:tcBorders>
              <w:bottom w:val="single" w:sz="8" w:color="D1D2D4"/>
            </w:tcBorders>
            <w:shd w:val="clear" w:color="auto" w:fill="D1D2D4"/>
          </w:tcPr>
          <w:p>
            <w:pPr>
              <w:spacing w:after="0"/>
              <w:rPr>
                <w:sz w:val="21"/>
                <w:szCs w:val="21"/>
                <w:color w:val="auto"/>
              </w:rPr>
            </w:pPr>
          </w:p>
        </w:tc>
        <w:tc>
          <w:tcPr>
            <w:tcW w:w="1220" w:type="dxa"/>
            <w:vAlign w:val="bottom"/>
            <w:tcBorders>
              <w:bottom w:val="single" w:sz="8" w:color="D1D2D4"/>
            </w:tcBorders>
            <w:shd w:val="clear" w:color="auto" w:fill="D1D2D4"/>
          </w:tcPr>
          <w:p>
            <w:pPr>
              <w:spacing w:after="0"/>
              <w:rPr>
                <w:sz w:val="21"/>
                <w:szCs w:val="21"/>
                <w:color w:val="auto"/>
              </w:rPr>
            </w:pPr>
          </w:p>
        </w:tc>
      </w:tr>
      <w:tr>
        <w:trPr>
          <w:trHeight w:val="243"/>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3,296</w:t>
            </w:r>
          </w:p>
        </w:tc>
      </w:tr>
      <w:tr>
        <w:trPr>
          <w:trHeight w:val="27"/>
        </w:trPr>
        <w:tc>
          <w:tcPr>
            <w:tcW w:w="8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760" w:type="dxa"/>
            <w:vAlign w:val="bottom"/>
            <w:shd w:val="clear" w:color="auto" w:fill="D1D2D4"/>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shd w:val="clear" w:color="auto" w:fill="D1D2D4"/>
          </w:tcPr>
          <w:p>
            <w:pPr>
              <w:spacing w:after="0"/>
              <w:rPr>
                <w:sz w:val="23"/>
                <w:szCs w:val="23"/>
                <w:color w:val="auto"/>
              </w:rPr>
            </w:pPr>
          </w:p>
        </w:tc>
        <w:tc>
          <w:tcPr>
            <w:tcW w:w="1160" w:type="dxa"/>
            <w:vAlign w:val="bottom"/>
            <w:shd w:val="clear" w:color="auto" w:fill="D1D2D4"/>
          </w:tcPr>
          <w:p>
            <w:pPr>
              <w:spacing w:after="0"/>
              <w:rPr>
                <w:sz w:val="23"/>
                <w:szCs w:val="23"/>
                <w:color w:val="auto"/>
              </w:rPr>
            </w:pPr>
          </w:p>
        </w:tc>
        <w:tc>
          <w:tcPr>
            <w:tcW w:w="160" w:type="dxa"/>
            <w:vAlign w:val="bottom"/>
            <w:shd w:val="clear" w:color="auto" w:fill="D1D2D4"/>
          </w:tcPr>
          <w:p>
            <w:pPr>
              <w:spacing w:after="0"/>
              <w:rPr>
                <w:sz w:val="23"/>
                <w:szCs w:val="23"/>
                <w:color w:val="auto"/>
              </w:rPr>
            </w:pPr>
          </w:p>
        </w:tc>
        <w:tc>
          <w:tcPr>
            <w:tcW w:w="1220" w:type="dxa"/>
            <w:vAlign w:val="bottom"/>
            <w:shd w:val="clear" w:color="auto" w:fill="D1D2D4"/>
          </w:tcPr>
          <w:p>
            <w:pPr>
              <w:spacing w:after="0"/>
              <w:rPr>
                <w:sz w:val="23"/>
                <w:szCs w:val="23"/>
                <w:color w:val="auto"/>
              </w:rPr>
            </w:pPr>
          </w:p>
        </w:tc>
      </w:tr>
      <w:tr>
        <w:trPr>
          <w:trHeight w:val="243"/>
        </w:trPr>
        <w:tc>
          <w:tcPr>
            <w:tcW w:w="8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expense and amortization of intangible assets</w:t>
            </w:r>
          </w:p>
        </w:tc>
        <w:tc>
          <w:tcPr>
            <w:tcW w:w="1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1,296</w:t>
            </w:r>
          </w:p>
        </w:tc>
        <w:tc>
          <w:tcPr>
            <w:tcW w:w="1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1,335</w:t>
            </w:r>
          </w:p>
        </w:tc>
      </w:tr>
      <w:tr>
        <w:trPr>
          <w:trHeight w:val="27"/>
        </w:trPr>
        <w:tc>
          <w:tcPr>
            <w:tcW w:w="8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760" w:type="dxa"/>
            <w:vAlign w:val="bottom"/>
            <w:tcBorders>
              <w:bottom w:val="single" w:sz="8" w:color="D1D2D4"/>
            </w:tcBorders>
            <w:shd w:val="clear" w:color="auto" w:fill="D1D2D4"/>
          </w:tcPr>
          <w:p>
            <w:pPr>
              <w:ind w:left="200"/>
              <w:spacing w:after="0"/>
              <w:rPr>
                <w:sz w:val="20"/>
                <w:szCs w:val="20"/>
                <w:color w:val="auto"/>
              </w:rPr>
            </w:pPr>
            <w:r>
              <w:rPr>
                <w:rFonts w:ascii="Times New Roman" w:cs="Times New Roman" w:eastAsia="Times New Roman" w:hAnsi="Times New Roman"/>
                <w:sz w:val="18"/>
                <w:szCs w:val="18"/>
                <w:color w:val="auto"/>
              </w:rPr>
              <w:t>Amortization of debt discount and other costs</w:t>
            </w:r>
          </w:p>
        </w:tc>
        <w:tc>
          <w:tcPr>
            <w:tcW w:w="10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D1D2D4"/>
            </w:tcBorders>
            <w:shd w:val="clear" w:color="auto" w:fill="D1D2D4"/>
          </w:tcPr>
          <w:p>
            <w:pPr>
              <w:spacing w:after="0"/>
              <w:rPr>
                <w:sz w:val="21"/>
                <w:szCs w:val="21"/>
                <w:color w:val="auto"/>
              </w:rPr>
            </w:pPr>
          </w:p>
        </w:tc>
        <w:tc>
          <w:tcPr>
            <w:tcW w:w="1220" w:type="dxa"/>
            <w:vAlign w:val="bottom"/>
            <w:tcBorders>
              <w:bottom w:val="single" w:sz="8" w:color="D1D2D4"/>
            </w:tcBorders>
            <w:shd w:val="clear" w:color="auto" w:fill="D1D2D4"/>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8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8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760" w:type="dxa"/>
            <w:vAlign w:val="bottom"/>
            <w:tcBorders>
              <w:bottom w:val="single" w:sz="8" w:color="D1D2D4"/>
            </w:tcBorders>
            <w:shd w:val="clear" w:color="auto" w:fill="D1D2D4"/>
          </w:tcPr>
          <w:p>
            <w:pPr>
              <w:ind w:left="200"/>
              <w:spacing w:after="0"/>
              <w:rPr>
                <w:sz w:val="20"/>
                <w:szCs w:val="20"/>
                <w:color w:val="auto"/>
              </w:rPr>
            </w:pPr>
            <w:r>
              <w:rPr>
                <w:rFonts w:ascii="Times New Roman" w:cs="Times New Roman" w:eastAsia="Times New Roman" w:hAnsi="Times New Roman"/>
                <w:sz w:val="18"/>
                <w:szCs w:val="18"/>
                <w:color w:val="auto"/>
              </w:rPr>
              <w:t>Gain on debt prepayments, repurchases, and conversions</w:t>
            </w:r>
          </w:p>
        </w:tc>
        <w:tc>
          <w:tcPr>
            <w:tcW w:w="10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bottom w:val="single" w:sz="8" w:color="D1D2D4"/>
            </w:tcBorders>
            <w:shd w:val="clear" w:color="auto" w:fill="D1D2D4"/>
          </w:tcPr>
          <w:p>
            <w:pPr>
              <w:spacing w:after="0"/>
              <w:rPr>
                <w:sz w:val="21"/>
                <w:szCs w:val="21"/>
                <w:color w:val="auto"/>
              </w:rPr>
            </w:pPr>
          </w:p>
        </w:tc>
        <w:tc>
          <w:tcPr>
            <w:tcW w:w="1220" w:type="dxa"/>
            <w:vAlign w:val="bottom"/>
            <w:tcBorders>
              <w:bottom w:val="single" w:sz="8" w:color="D1D2D4"/>
            </w:tcBorders>
            <w:shd w:val="clear" w:color="auto" w:fill="D1D2D4"/>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8760" w:type="dxa"/>
            <w:vAlign w:val="bottom"/>
            <w:tcBorders>
              <w:bottom w:val="single" w:sz="8" w:color="D1D2D4"/>
            </w:tcBorders>
            <w:shd w:val="clear" w:color="auto" w:fill="D1D2D4"/>
          </w:tcPr>
          <w:p>
            <w:pPr>
              <w:ind w:left="440"/>
              <w:spacing w:after="0"/>
              <w:rPr>
                <w:sz w:val="20"/>
                <w:szCs w:val="20"/>
                <w:color w:val="auto"/>
              </w:rPr>
            </w:pPr>
            <w:r>
              <w:rPr>
                <w:rFonts w:ascii="Times New Roman" w:cs="Times New Roman" w:eastAsia="Times New Roman" w:hAnsi="Times New Roman"/>
                <w:sz w:val="18"/>
                <w:szCs w:val="18"/>
                <w:color w:val="auto"/>
              </w:rPr>
              <w:t>Receivables</w:t>
            </w:r>
          </w:p>
        </w:tc>
        <w:tc>
          <w:tcPr>
            <w:tcW w:w="10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tcBorders>
              <w:bottom w:val="single" w:sz="8" w:color="D1D2D4"/>
            </w:tcBorders>
            <w:shd w:val="clear" w:color="auto" w:fill="D1D2D4"/>
          </w:tcPr>
          <w:p>
            <w:pPr>
              <w:spacing w:after="0"/>
              <w:rPr>
                <w:sz w:val="21"/>
                <w:szCs w:val="21"/>
                <w:color w:val="auto"/>
              </w:rPr>
            </w:pPr>
          </w:p>
        </w:tc>
        <w:tc>
          <w:tcPr>
            <w:tcW w:w="1220" w:type="dxa"/>
            <w:vAlign w:val="bottom"/>
            <w:tcBorders>
              <w:bottom w:val="single" w:sz="8" w:color="D1D2D4"/>
            </w:tcBorders>
            <w:shd w:val="clear" w:color="auto" w:fill="D1D2D4"/>
          </w:tcPr>
          <w:p>
            <w:pPr>
              <w:jc w:val="right"/>
              <w:ind w:right="70"/>
              <w:spacing w:after="0"/>
              <w:rPr>
                <w:sz w:val="20"/>
                <w:szCs w:val="20"/>
                <w:color w:val="auto"/>
              </w:rPr>
            </w:pPr>
            <w:r>
              <w:rPr>
                <w:rFonts w:ascii="Times New Roman" w:cs="Times New Roman" w:eastAsia="Times New Roman" w:hAnsi="Times New Roman"/>
                <w:sz w:val="18"/>
                <w:szCs w:val="18"/>
                <w:color w:val="auto"/>
              </w:rPr>
              <w:t>189</w:t>
            </w:r>
          </w:p>
        </w:tc>
      </w:tr>
      <w:tr>
        <w:trPr>
          <w:trHeight w:val="243"/>
        </w:trPr>
        <w:tc>
          <w:tcPr>
            <w:tcW w:w="8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w:t>
            </w:r>
          </w:p>
        </w:tc>
      </w:tr>
      <w:tr>
        <w:trPr>
          <w:trHeight w:val="27"/>
        </w:trPr>
        <w:tc>
          <w:tcPr>
            <w:tcW w:w="8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760" w:type="dxa"/>
            <w:vAlign w:val="bottom"/>
            <w:tcBorders>
              <w:bottom w:val="single" w:sz="8" w:color="D1D2D4"/>
            </w:tcBorders>
            <w:shd w:val="clear" w:color="auto" w:fill="D1D2D4"/>
          </w:tcPr>
          <w:p>
            <w:pPr>
              <w:ind w:left="4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Borders>
              <w:bottom w:val="single" w:sz="8" w:color="D1D2D4"/>
            </w:tcBorders>
            <w:shd w:val="clear" w:color="auto" w:fill="D1D2D4"/>
          </w:tcPr>
          <w:p>
            <w:pPr>
              <w:spacing w:after="0"/>
              <w:rPr>
                <w:sz w:val="21"/>
                <w:szCs w:val="21"/>
                <w:color w:val="auto"/>
              </w:rPr>
            </w:pPr>
          </w:p>
        </w:tc>
        <w:tc>
          <w:tcPr>
            <w:tcW w:w="1220" w:type="dxa"/>
            <w:vAlign w:val="bottom"/>
            <w:tcBorders>
              <w:bottom w:val="single" w:sz="8" w:color="D1D2D4"/>
            </w:tcBorders>
            <w:shd w:val="clear" w:color="auto" w:fill="D1D2D4"/>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8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192</w:t>
            </w:r>
          </w:p>
        </w:tc>
      </w:tr>
      <w:tr>
        <w:trPr>
          <w:trHeight w:val="27"/>
        </w:trPr>
        <w:tc>
          <w:tcPr>
            <w:tcW w:w="8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760" w:type="dxa"/>
            <w:vAlign w:val="bottom"/>
            <w:tcBorders>
              <w:bottom w:val="single" w:sz="8" w:color="D1D2D4"/>
            </w:tcBorders>
            <w:shd w:val="clear" w:color="auto" w:fill="D1D2D4"/>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D1D2D4"/>
            </w:tcBorders>
            <w:shd w:val="clear" w:color="auto" w:fill="D1D2D4"/>
          </w:tcPr>
          <w:p>
            <w:pPr>
              <w:spacing w:after="0"/>
              <w:rPr>
                <w:sz w:val="23"/>
                <w:szCs w:val="23"/>
                <w:color w:val="auto"/>
              </w:rPr>
            </w:pPr>
          </w:p>
        </w:tc>
        <w:tc>
          <w:tcPr>
            <w:tcW w:w="116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D1D2D4"/>
            </w:tcBorders>
            <w:shd w:val="clear" w:color="auto" w:fill="D1D2D4"/>
          </w:tcPr>
          <w:p>
            <w:pPr>
              <w:spacing w:after="0"/>
              <w:rPr>
                <w:sz w:val="23"/>
                <w:szCs w:val="23"/>
                <w:color w:val="auto"/>
              </w:rPr>
            </w:pPr>
          </w:p>
        </w:tc>
        <w:tc>
          <w:tcPr>
            <w:tcW w:w="1220" w:type="dxa"/>
            <w:vAlign w:val="bottom"/>
            <w:tcBorders>
              <w:bottom w:val="single" w:sz="8" w:color="D1D2D4"/>
            </w:tcBorders>
            <w:shd w:val="clear" w:color="auto" w:fill="D1D2D4"/>
          </w:tcPr>
          <w:p>
            <w:pPr>
              <w:jc w:val="right"/>
              <w:ind w:right="70"/>
              <w:spacing w:after="0"/>
              <w:rPr>
                <w:sz w:val="20"/>
                <w:szCs w:val="20"/>
                <w:color w:val="auto"/>
              </w:rPr>
            </w:pPr>
            <w:r>
              <w:rPr>
                <w:rFonts w:ascii="Times New Roman" w:cs="Times New Roman" w:eastAsia="Times New Roman" w:hAnsi="Times New Roman"/>
                <w:sz w:val="18"/>
                <w:szCs w:val="18"/>
                <w:color w:val="auto"/>
              </w:rPr>
              <w:t>65</w:t>
            </w:r>
          </w:p>
        </w:tc>
      </w:tr>
      <w:tr>
        <w:trPr>
          <w:trHeight w:val="237"/>
        </w:trPr>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2,011</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4,810</w:t>
            </w:r>
          </w:p>
        </w:tc>
      </w:tr>
      <w:tr>
        <w:trPr>
          <w:trHeight w:val="27"/>
        </w:trPr>
        <w:tc>
          <w:tcPr>
            <w:tcW w:w="8760" w:type="dxa"/>
            <w:vAlign w:val="bottom"/>
            <w:tcBorders>
              <w:bottom w:val="single" w:sz="8" w:color="D1D2D4"/>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760" w:type="dxa"/>
            <w:vAlign w:val="bottom"/>
            <w:shd w:val="clear" w:color="auto" w:fill="D1D2D4"/>
          </w:tcPr>
          <w:p>
            <w:pPr>
              <w:spacing w:after="0"/>
              <w:rPr>
                <w:sz w:val="20"/>
                <w:szCs w:val="20"/>
                <w:color w:val="auto"/>
              </w:rPr>
            </w:pPr>
          </w:p>
        </w:tc>
        <w:tc>
          <w:tcPr>
            <w:tcW w:w="100" w:type="dxa"/>
            <w:vAlign w:val="bottom"/>
            <w:shd w:val="clear" w:color="auto" w:fill="D1D2D4"/>
          </w:tcPr>
          <w:p>
            <w:pPr>
              <w:spacing w:after="0"/>
              <w:rPr>
                <w:sz w:val="20"/>
                <w:szCs w:val="20"/>
                <w:color w:val="auto"/>
              </w:rPr>
            </w:pPr>
          </w:p>
        </w:tc>
        <w:tc>
          <w:tcPr>
            <w:tcW w:w="1160" w:type="dxa"/>
            <w:vAlign w:val="bottom"/>
            <w:shd w:val="clear" w:color="auto" w:fill="D1D2D4"/>
          </w:tcPr>
          <w:p>
            <w:pPr>
              <w:spacing w:after="0"/>
              <w:rPr>
                <w:sz w:val="20"/>
                <w:szCs w:val="20"/>
                <w:color w:val="auto"/>
              </w:rPr>
            </w:pPr>
          </w:p>
        </w:tc>
        <w:tc>
          <w:tcPr>
            <w:tcW w:w="160" w:type="dxa"/>
            <w:vAlign w:val="bottom"/>
            <w:shd w:val="clear" w:color="auto" w:fill="D1D2D4"/>
          </w:tcPr>
          <w:p>
            <w:pPr>
              <w:spacing w:after="0"/>
              <w:rPr>
                <w:sz w:val="20"/>
                <w:szCs w:val="20"/>
                <w:color w:val="auto"/>
              </w:rPr>
            </w:pPr>
          </w:p>
        </w:tc>
        <w:tc>
          <w:tcPr>
            <w:tcW w:w="1220" w:type="dxa"/>
            <w:vAlign w:val="bottom"/>
            <w:shd w:val="clear" w:color="auto" w:fill="D1D2D4"/>
          </w:tcPr>
          <w:p>
            <w:pPr>
              <w:spacing w:after="0"/>
              <w:rPr>
                <w:sz w:val="20"/>
                <w:szCs w:val="20"/>
                <w:color w:val="auto"/>
              </w:rPr>
            </w:pPr>
          </w:p>
        </w:tc>
      </w:tr>
      <w:tr>
        <w:trPr>
          <w:trHeight w:val="243"/>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76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color w:val="auto"/>
              </w:rPr>
              <w:t>Expenditures for property, plant, and equipment</w:t>
            </w:r>
          </w:p>
        </w:tc>
        <w:tc>
          <w:tcPr>
            <w:tcW w:w="10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60" w:type="dxa"/>
            <w:vAlign w:val="bottom"/>
            <w:tcBorders>
              <w:bottom w:val="single" w:sz="8" w:color="D1D2D4"/>
            </w:tcBorders>
            <w:shd w:val="clear" w:color="auto" w:fill="D1D2D4"/>
          </w:tcPr>
          <w:p>
            <w:pPr>
              <w:spacing w:after="0"/>
              <w:rPr>
                <w:sz w:val="21"/>
                <w:szCs w:val="21"/>
                <w:color w:val="auto"/>
              </w:rPr>
            </w:pPr>
          </w:p>
        </w:tc>
        <w:tc>
          <w:tcPr>
            <w:tcW w:w="1220" w:type="dxa"/>
            <w:vAlign w:val="bottom"/>
            <w:tcBorders>
              <w:bottom w:val="single" w:sz="8" w:color="D1D2D4"/>
            </w:tcBorders>
            <w:shd w:val="clear" w:color="auto" w:fill="D1D2D4"/>
          </w:tcPr>
          <w:p>
            <w:pPr>
              <w:jc w:val="right"/>
              <w:ind w:right="30"/>
              <w:spacing w:after="0"/>
              <w:rPr>
                <w:sz w:val="20"/>
                <w:szCs w:val="20"/>
                <w:color w:val="auto"/>
              </w:rPr>
            </w:pPr>
            <w:r>
              <w:rPr>
                <w:rFonts w:ascii="Times New Roman" w:cs="Times New Roman" w:eastAsia="Times New Roman" w:hAnsi="Times New Roman"/>
                <w:sz w:val="18"/>
                <w:szCs w:val="18"/>
                <w:color w:val="auto"/>
              </w:rPr>
              <w:t>(2,700)</w:t>
            </w:r>
          </w:p>
        </w:tc>
      </w:tr>
      <w:tr>
        <w:trPr>
          <w:trHeight w:val="243"/>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(2,047)</w:t>
            </w:r>
          </w:p>
        </w:tc>
      </w:tr>
      <w:tr>
        <w:trPr>
          <w:trHeight w:val="27"/>
        </w:trPr>
        <w:tc>
          <w:tcPr>
            <w:tcW w:w="8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76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color w:val="auto"/>
              </w:rPr>
              <w:t>Proceeds from sales of available-for-sale securities</w:t>
            </w:r>
          </w:p>
        </w:tc>
        <w:tc>
          <w:tcPr>
            <w:tcW w:w="10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988</w:t>
            </w:r>
          </w:p>
        </w:tc>
        <w:tc>
          <w:tcPr>
            <w:tcW w:w="160" w:type="dxa"/>
            <w:vAlign w:val="bottom"/>
            <w:tcBorders>
              <w:bottom w:val="single" w:sz="8" w:color="D1D2D4"/>
            </w:tcBorders>
            <w:shd w:val="clear" w:color="auto" w:fill="D1D2D4"/>
          </w:tcPr>
          <w:p>
            <w:pPr>
              <w:spacing w:after="0"/>
              <w:rPr>
                <w:sz w:val="21"/>
                <w:szCs w:val="21"/>
                <w:color w:val="auto"/>
              </w:rPr>
            </w:pPr>
          </w:p>
        </w:tc>
        <w:tc>
          <w:tcPr>
            <w:tcW w:w="1220" w:type="dxa"/>
            <w:vAlign w:val="bottom"/>
            <w:tcBorders>
              <w:bottom w:val="single" w:sz="8" w:color="D1D2D4"/>
            </w:tcBorders>
            <w:shd w:val="clear" w:color="auto" w:fill="D1D2D4"/>
          </w:tcPr>
          <w:p>
            <w:pPr>
              <w:jc w:val="right"/>
              <w:ind w:right="70"/>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maturities of available-for-sale securities</w:t>
            </w:r>
          </w:p>
        </w:tc>
        <w:tc>
          <w:tcPr>
            <w:tcW w:w="1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8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76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color w:val="auto"/>
              </w:rPr>
              <w:t>Proceeds from government incentives</w:t>
            </w:r>
          </w:p>
        </w:tc>
        <w:tc>
          <w:tcPr>
            <w:tcW w:w="10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D1D2D4"/>
            </w:tcBorders>
            <w:shd w:val="clear" w:color="auto" w:fill="D1D2D4"/>
          </w:tcPr>
          <w:p>
            <w:pPr>
              <w:spacing w:after="0"/>
              <w:rPr>
                <w:sz w:val="21"/>
                <w:szCs w:val="21"/>
                <w:color w:val="auto"/>
              </w:rPr>
            </w:pPr>
          </w:p>
        </w:tc>
        <w:tc>
          <w:tcPr>
            <w:tcW w:w="1220" w:type="dxa"/>
            <w:vAlign w:val="bottom"/>
            <w:tcBorders>
              <w:bottom w:val="single" w:sz="8" w:color="D1D2D4"/>
            </w:tcBorders>
            <w:shd w:val="clear" w:color="auto" w:fill="D1D2D4"/>
          </w:tcPr>
          <w:p>
            <w:pPr>
              <w:jc w:val="right"/>
              <w:ind w:right="70"/>
              <w:spacing w:after="0"/>
              <w:rPr>
                <w:sz w:val="20"/>
                <w:szCs w:val="20"/>
                <w:color w:val="auto"/>
              </w:rPr>
            </w:pPr>
            <w:r>
              <w:rPr>
                <w:rFonts w:ascii="Times New Roman" w:cs="Times New Roman" w:eastAsia="Times New Roman" w:hAnsi="Times New Roman"/>
                <w:sz w:val="18"/>
                <w:szCs w:val="18"/>
                <w:color w:val="auto"/>
              </w:rPr>
              <w:t>236</w:t>
            </w:r>
          </w:p>
        </w:tc>
      </w:tr>
      <w:tr>
        <w:trPr>
          <w:trHeight w:val="243"/>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8760" w:type="dxa"/>
            <w:vAlign w:val="bottom"/>
            <w:tcBorders>
              <w:bottom w:val="single" w:sz="8" w:color="D1D2D4"/>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760" w:type="dxa"/>
            <w:vAlign w:val="bottom"/>
            <w:tcBorders>
              <w:bottom w:val="single" w:sz="8" w:color="D1D2D4"/>
            </w:tcBorders>
            <w:shd w:val="clear" w:color="auto" w:fill="D1D2D4"/>
          </w:tcPr>
          <w:p>
            <w:pPr>
              <w:ind w:left="120"/>
              <w:spacing w:after="0"/>
              <w:rPr>
                <w:sz w:val="20"/>
                <w:szCs w:val="20"/>
                <w:color w:val="auto"/>
              </w:rPr>
            </w:pPr>
            <w:r>
              <w:rPr>
                <w:rFonts w:ascii="Times New Roman" w:cs="Times New Roman" w:eastAsia="Times New Roman" w:hAnsi="Times New Roman"/>
                <w:sz w:val="18"/>
                <w:szCs w:val="18"/>
                <w:color w:val="auto"/>
              </w:rPr>
              <w:t>Net cash provided by (used for) investing activities</w:t>
            </w:r>
          </w:p>
        </w:tc>
        <w:tc>
          <w:tcPr>
            <w:tcW w:w="100" w:type="dxa"/>
            <w:vAlign w:val="bottom"/>
            <w:tcBorders>
              <w:bottom w:val="single" w:sz="8" w:color="D1D2D4"/>
            </w:tcBorders>
            <w:shd w:val="clear" w:color="auto" w:fill="D1D2D4"/>
          </w:tcPr>
          <w:p>
            <w:pPr>
              <w:spacing w:after="0"/>
              <w:rPr>
                <w:sz w:val="22"/>
                <w:szCs w:val="22"/>
                <w:color w:val="auto"/>
              </w:rPr>
            </w:pPr>
          </w:p>
        </w:tc>
        <w:tc>
          <w:tcPr>
            <w:tcW w:w="116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60" w:type="dxa"/>
            <w:vAlign w:val="bottom"/>
            <w:tcBorders>
              <w:bottom w:val="single" w:sz="8" w:color="D1D2D4"/>
            </w:tcBorders>
            <w:shd w:val="clear" w:color="auto" w:fill="D1D2D4"/>
          </w:tcPr>
          <w:p>
            <w:pPr>
              <w:spacing w:after="0"/>
              <w:rPr>
                <w:sz w:val="22"/>
                <w:szCs w:val="22"/>
                <w:color w:val="auto"/>
              </w:rPr>
            </w:pPr>
          </w:p>
        </w:tc>
        <w:tc>
          <w:tcPr>
            <w:tcW w:w="1220" w:type="dxa"/>
            <w:vAlign w:val="bottom"/>
            <w:tcBorders>
              <w:bottom w:val="single" w:sz="8" w:color="D1D2D4"/>
            </w:tcBorders>
            <w:shd w:val="clear" w:color="auto" w:fill="D1D2D4"/>
          </w:tcPr>
          <w:p>
            <w:pPr>
              <w:jc w:val="right"/>
              <w:ind w:right="30"/>
              <w:spacing w:after="0"/>
              <w:rPr>
                <w:sz w:val="20"/>
                <w:szCs w:val="20"/>
                <w:color w:val="auto"/>
              </w:rPr>
            </w:pPr>
            <w:r>
              <w:rPr>
                <w:rFonts w:ascii="Times New Roman" w:cs="Times New Roman" w:eastAsia="Times New Roman" w:hAnsi="Times New Roman"/>
                <w:sz w:val="18"/>
                <w:szCs w:val="18"/>
                <w:color w:val="auto"/>
              </w:rPr>
              <w:t>(4,427)</w:t>
            </w:r>
          </w:p>
        </w:tc>
      </w:tr>
      <w:tr>
        <w:trPr>
          <w:trHeight w:val="237"/>
        </w:trPr>
        <w:tc>
          <w:tcPr>
            <w:tcW w:w="87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50"/>
        </w:trPr>
        <w:tc>
          <w:tcPr>
            <w:tcW w:w="876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spacing w:after="0"/>
              <w:rPr>
                <w:sz w:val="21"/>
                <w:szCs w:val="21"/>
                <w:color w:val="auto"/>
              </w:rPr>
            </w:pPr>
          </w:p>
        </w:tc>
        <w:tc>
          <w:tcPr>
            <w:tcW w:w="160" w:type="dxa"/>
            <w:vAlign w:val="bottom"/>
            <w:tcBorders>
              <w:bottom w:val="single" w:sz="8" w:color="D1D2D4"/>
            </w:tcBorders>
            <w:shd w:val="clear" w:color="auto" w:fill="D1D2D4"/>
          </w:tcPr>
          <w:p>
            <w:pPr>
              <w:spacing w:after="0"/>
              <w:rPr>
                <w:sz w:val="21"/>
                <w:szCs w:val="21"/>
                <w:color w:val="auto"/>
              </w:rPr>
            </w:pPr>
          </w:p>
        </w:tc>
        <w:tc>
          <w:tcPr>
            <w:tcW w:w="1220" w:type="dxa"/>
            <w:vAlign w:val="bottom"/>
            <w:tcBorders>
              <w:bottom w:val="single" w:sz="8" w:color="D1D2D4"/>
            </w:tcBorders>
            <w:shd w:val="clear" w:color="auto" w:fill="D1D2D4"/>
          </w:tcPr>
          <w:p>
            <w:pPr>
              <w:spacing w:after="0"/>
              <w:rPr>
                <w:sz w:val="21"/>
                <w:szCs w:val="21"/>
                <w:color w:val="auto"/>
              </w:rPr>
            </w:pPr>
          </w:p>
        </w:tc>
      </w:tr>
      <w:tr>
        <w:trPr>
          <w:trHeight w:val="243"/>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debt</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(577)</w:t>
            </w:r>
          </w:p>
        </w:tc>
      </w:tr>
      <w:tr>
        <w:trPr>
          <w:trHeight w:val="27"/>
        </w:trPr>
        <w:tc>
          <w:tcPr>
            <w:tcW w:w="8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76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color w:val="auto"/>
              </w:rPr>
              <w:t>Acquisition of noncontrolling interest in IMFT</w:t>
            </w:r>
          </w:p>
        </w:tc>
        <w:tc>
          <w:tcPr>
            <w:tcW w:w="10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60" w:type="dxa"/>
            <w:vAlign w:val="bottom"/>
            <w:tcBorders>
              <w:bottom w:val="single" w:sz="8" w:color="D1D2D4"/>
            </w:tcBorders>
            <w:shd w:val="clear" w:color="auto" w:fill="D1D2D4"/>
          </w:tcPr>
          <w:p>
            <w:pPr>
              <w:spacing w:after="0"/>
              <w:rPr>
                <w:sz w:val="21"/>
                <w:szCs w:val="21"/>
                <w:color w:val="auto"/>
              </w:rPr>
            </w:pPr>
          </w:p>
        </w:tc>
        <w:tc>
          <w:tcPr>
            <w:tcW w:w="1220" w:type="dxa"/>
            <w:vAlign w:val="bottom"/>
            <w:tcBorders>
              <w:bottom w:val="single" w:sz="8" w:color="D1D2D4"/>
            </w:tcBorders>
            <w:shd w:val="clear" w:color="auto" w:fill="D1D2D4"/>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to acquire treasury stock</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(1,836)</w:t>
            </w:r>
          </w:p>
        </w:tc>
      </w:tr>
      <w:tr>
        <w:trPr>
          <w:trHeight w:val="27"/>
        </w:trPr>
        <w:tc>
          <w:tcPr>
            <w:tcW w:w="8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76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color w:val="auto"/>
              </w:rPr>
              <w:t>Payments on equipment purchase contracts</w:t>
            </w:r>
          </w:p>
        </w:tc>
        <w:tc>
          <w:tcPr>
            <w:tcW w:w="10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D1D2D4"/>
            </w:tcBorders>
            <w:shd w:val="clear" w:color="auto" w:fill="D1D2D4"/>
          </w:tcPr>
          <w:p>
            <w:pPr>
              <w:spacing w:after="0"/>
              <w:rPr>
                <w:sz w:val="21"/>
                <w:szCs w:val="21"/>
                <w:color w:val="auto"/>
              </w:rPr>
            </w:pPr>
          </w:p>
        </w:tc>
        <w:tc>
          <w:tcPr>
            <w:tcW w:w="1220" w:type="dxa"/>
            <w:vAlign w:val="bottom"/>
            <w:tcBorders>
              <w:bottom w:val="single" w:sz="8" w:color="D1D2D4"/>
            </w:tcBorders>
            <w:shd w:val="clear" w:color="auto" w:fill="D1D2D4"/>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debt</w:t>
            </w:r>
          </w:p>
        </w:tc>
        <w:tc>
          <w:tcPr>
            <w:tcW w:w="1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1,250</w:t>
            </w:r>
          </w:p>
        </w:tc>
        <w:tc>
          <w:tcPr>
            <w:tcW w:w="1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76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D1D2D4"/>
            </w:tcBorders>
            <w:shd w:val="clear" w:color="auto" w:fill="D1D2D4"/>
          </w:tcPr>
          <w:p>
            <w:pPr>
              <w:spacing w:after="0"/>
              <w:rPr>
                <w:sz w:val="23"/>
                <w:szCs w:val="23"/>
                <w:color w:val="auto"/>
              </w:rPr>
            </w:pPr>
          </w:p>
        </w:tc>
        <w:tc>
          <w:tcPr>
            <w:tcW w:w="116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D1D2D4"/>
            </w:tcBorders>
            <w:shd w:val="clear" w:color="auto" w:fill="D1D2D4"/>
          </w:tcPr>
          <w:p>
            <w:pPr>
              <w:spacing w:after="0"/>
              <w:rPr>
                <w:sz w:val="23"/>
                <w:szCs w:val="23"/>
                <w:color w:val="auto"/>
              </w:rPr>
            </w:pPr>
          </w:p>
        </w:tc>
        <w:tc>
          <w:tcPr>
            <w:tcW w:w="1220" w:type="dxa"/>
            <w:vAlign w:val="bottom"/>
            <w:tcBorders>
              <w:bottom w:val="single" w:sz="8" w:color="D1D2D4"/>
            </w:tcBorders>
            <w:shd w:val="clear" w:color="auto" w:fill="D1D2D4"/>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(2,435)</w:t>
            </w:r>
          </w:p>
        </w:tc>
      </w:tr>
      <w:tr>
        <w:trPr>
          <w:trHeight w:val="27"/>
        </w:trPr>
        <w:tc>
          <w:tcPr>
            <w:tcW w:w="8760" w:type="dxa"/>
            <w:vAlign w:val="bottom"/>
            <w:tcBorders>
              <w:bottom w:val="single" w:sz="8" w:color="D1D2D4"/>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760" w:type="dxa"/>
            <w:vAlign w:val="bottom"/>
            <w:shd w:val="clear" w:color="auto" w:fill="D1D2D4"/>
          </w:tcPr>
          <w:p>
            <w:pPr>
              <w:spacing w:after="0"/>
              <w:rPr>
                <w:sz w:val="20"/>
                <w:szCs w:val="20"/>
                <w:color w:val="auto"/>
              </w:rPr>
            </w:pPr>
          </w:p>
        </w:tc>
        <w:tc>
          <w:tcPr>
            <w:tcW w:w="100" w:type="dxa"/>
            <w:vAlign w:val="bottom"/>
            <w:shd w:val="clear" w:color="auto" w:fill="D1D2D4"/>
          </w:tcPr>
          <w:p>
            <w:pPr>
              <w:spacing w:after="0"/>
              <w:rPr>
                <w:sz w:val="20"/>
                <w:szCs w:val="20"/>
                <w:color w:val="auto"/>
              </w:rPr>
            </w:pPr>
          </w:p>
        </w:tc>
        <w:tc>
          <w:tcPr>
            <w:tcW w:w="1160" w:type="dxa"/>
            <w:vAlign w:val="bottom"/>
            <w:shd w:val="clear" w:color="auto" w:fill="D1D2D4"/>
          </w:tcPr>
          <w:p>
            <w:pPr>
              <w:spacing w:after="0"/>
              <w:rPr>
                <w:sz w:val="20"/>
                <w:szCs w:val="20"/>
                <w:color w:val="auto"/>
              </w:rPr>
            </w:pPr>
          </w:p>
        </w:tc>
        <w:tc>
          <w:tcPr>
            <w:tcW w:w="160" w:type="dxa"/>
            <w:vAlign w:val="bottom"/>
            <w:shd w:val="clear" w:color="auto" w:fill="D1D2D4"/>
          </w:tcPr>
          <w:p>
            <w:pPr>
              <w:spacing w:after="0"/>
              <w:rPr>
                <w:sz w:val="20"/>
                <w:szCs w:val="20"/>
                <w:color w:val="auto"/>
              </w:rPr>
            </w:pPr>
          </w:p>
        </w:tc>
        <w:tc>
          <w:tcPr>
            <w:tcW w:w="1220" w:type="dxa"/>
            <w:vAlign w:val="bottom"/>
            <w:shd w:val="clear" w:color="auto" w:fill="D1D2D4"/>
          </w:tcPr>
          <w:p>
            <w:pPr>
              <w:spacing w:after="0"/>
              <w:rPr>
                <w:sz w:val="20"/>
                <w:szCs w:val="20"/>
                <w:color w:val="auto"/>
              </w:rPr>
            </w:pPr>
          </w:p>
        </w:tc>
      </w:tr>
      <w:tr>
        <w:trPr>
          <w:trHeight w:val="270"/>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changes in currency exchange rates on cash, cash equivalents, and restricted cash</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57"/>
        </w:trPr>
        <w:tc>
          <w:tcPr>
            <w:tcW w:w="876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r>
    </w:tbl>
    <w:p>
      <w:pPr>
        <w:spacing w:after="0" w:line="9" w:lineRule="exact"/>
        <w:rPr>
          <w:sz w:val="20"/>
          <w:szCs w:val="20"/>
          <w:color w:val="auto"/>
        </w:rPr>
      </w:pPr>
    </w:p>
    <w:p>
      <w:pPr>
        <w:sectPr>
          <w:pgSz w:w="11900" w:h="16838" w:orient="portrait"/>
          <w:cols w:equalWidth="0" w:num="1">
            <w:col w:w="11400"/>
          </w:cols>
          <w:pgMar w:left="260" w:top="884" w:right="2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72377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20" w:right="3320"/>
        <w:spacing w:after="0" w:line="429" w:lineRule="auto"/>
        <w:rPr>
          <w:sz w:val="20"/>
          <w:szCs w:val="20"/>
          <w:color w:val="auto"/>
        </w:rPr>
      </w:pPr>
      <w:r>
        <w:rPr>
          <w:rFonts w:ascii="Times New Roman" w:cs="Times New Roman" w:eastAsia="Times New Roman" w:hAnsi="Times New Roman"/>
          <w:sz w:val="17"/>
          <w:szCs w:val="17"/>
          <w:color w:val="auto"/>
        </w:rPr>
        <w:t>Cash, cash equivalents, and restricted cash at beginning of period Cash, cash equivalents, and restricted cash at end of period</w:t>
      </w:r>
    </w:p>
    <w:p>
      <w:pPr>
        <w:spacing w:after="0" w:line="20" w:lineRule="exact"/>
        <w:rPr>
          <w:sz w:val="20"/>
          <w:szCs w:val="20"/>
          <w:color w:val="auto"/>
        </w:rPr>
      </w:pPr>
      <w:r>
        <w:rPr>
          <w:sz w:val="20"/>
          <w:szCs w:val="20"/>
          <w:color w:val="auto"/>
        </w:rPr>
        <w:br w:type="column"/>
      </w:r>
    </w:p>
    <w:p>
      <w:pPr>
        <w:ind w:left="2000" w:hanging="1188"/>
        <w:spacing w:after="0"/>
        <w:tabs>
          <w:tab w:leader="none" w:pos="20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(2,062)</w:t>
      </w:r>
    </w:p>
    <w:p>
      <w:pPr>
        <w:spacing w:after="0" w:line="74" w:lineRule="exact"/>
        <w:rPr>
          <w:rFonts w:ascii="Times New Roman" w:cs="Times New Roman" w:eastAsia="Times New Roman" w:hAnsi="Times New Roman"/>
          <w:sz w:val="17"/>
          <w:szCs w:val="17"/>
          <w:color w:val="auto"/>
        </w:rPr>
      </w:pPr>
    </w:p>
    <w:p>
      <w:pPr>
        <w:ind w:left="7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7,279</w:t>
      </w:r>
      <w:r>
        <w:rPr>
          <w:rFonts w:ascii="Times New Roman" w:cs="Times New Roman" w:eastAsia="Times New Roman" w:hAnsi="Times New Roman"/>
          <w:sz w:val="17"/>
          <w:szCs w:val="17"/>
          <w:color w:val="auto"/>
        </w:rPr>
        <w:t>6,587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16808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57" w:lineRule="exact"/>
        <w:rPr>
          <w:sz w:val="20"/>
          <w:szCs w:val="20"/>
          <w:color w:val="auto"/>
        </w:rPr>
      </w:pPr>
    </w:p>
    <w:p>
      <w:pPr>
        <w:spacing w:after="0"/>
        <w:tabs>
          <w:tab w:leader="none" w:pos="740" w:val="left"/>
          <w:tab w:leader="none" w:pos="1300" w:val="left"/>
          <w:tab w:leader="none" w:pos="2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7,095</w:t>
        <w:tab/>
        <w:t>$</w:t>
      </w:r>
      <w:r>
        <w:rPr>
          <w:sz w:val="20"/>
          <w:szCs w:val="20"/>
          <w:color w:val="auto"/>
        </w:rPr>
        <w:tab/>
      </w:r>
      <w:r>
        <w:rPr>
          <w:rFonts w:ascii="Times New Roman" w:cs="Times New Roman" w:eastAsia="Times New Roman" w:hAnsi="Times New Roman"/>
          <w:sz w:val="17"/>
          <w:szCs w:val="17"/>
          <w:color w:val="auto"/>
        </w:rPr>
        <w:t>4,525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16808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084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60325</wp:posOffset>
            </wp:positionV>
            <wp:extent cx="16808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408" w:lineRule="exact"/>
        <w:rPr>
          <w:sz w:val="20"/>
          <w:szCs w:val="20"/>
          <w:color w:val="auto"/>
        </w:rPr>
      </w:pPr>
    </w:p>
    <w:p>
      <w:pPr>
        <w:sectPr>
          <w:pgSz w:w="11900" w:h="16838" w:orient="portrait"/>
          <w:cols w:equalWidth="0" w:num="2">
            <w:col w:w="8040" w:space="720"/>
            <w:col w:w="2640"/>
          </w:cols>
          <w:pgMar w:left="260" w:top="88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130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60" w:top="884"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Property, Plant, and Equipment</w:t>
      </w:r>
    </w:p>
    <w:p>
      <w:pPr>
        <w:spacing w:after="0" w:line="254"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We periodically assess the estimated useful lives of our property, plant, and equipment. Based on our assessment of planned technology node transitions, capital spending, and re-use rates, we revised the estimated useful lives of equipment in our NAND wafer fabrication facilities and our research and development facilities from five years to seven years as of the beginning in the first quarter of fiscal 2020. As a result, we estimate the reduction in non-cash depreciation expense benefited operating income and net income by approximately $74 million and diluted earnings per share by approximately $0.07 for the first quarter of fiscal 2020.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Acquisition of Intel's Interests in IMFT</w:t>
      </w:r>
    </w:p>
    <w:p>
      <w:pPr>
        <w:spacing w:after="0" w:line="2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October 31, 2019, we purchased Intel’s noncontrolling interests in IMFT and IMFT member debt for $1.25 billion. We recognized a non-operating gain of $72 million for the difference between the $505 million of cash consideration allocated to the extinguishment of IMFT member debt and its $ 577 million carrying value, and a $160 million adjustment to equity for the difference between the $744 million of cash consideration allocated to the purchase of Intel’s noncontrolling interest and its $904 million carrying value.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Adoption of Lease Accounting Standard</w:t>
      </w:r>
    </w:p>
    <w:p>
      <w:pPr>
        <w:spacing w:after="0" w:line="3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first quarter of fiscal 2020, we adopted ASU 2016-02 – Leases (as amended, “ASC 842”), which amends a number of aspects of lease accounting, including requiring lessees to recognize operating leases with a term greater than one year on their balance sheet as a right-of-use asset and corresponding lease liability, measured at the present value of lease payments. In adoption, we applied the modified retrospective method and elected to not recast prior periods. As a result, we recognized $567 million for operating lease liabilities and right-of-use assets and reclassified an additional $66 million of other balances to right-of-use assets to conform to the new presentation requirements of ASC 842.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Debt Activity</w:t>
      </w:r>
    </w:p>
    <w:p>
      <w:pPr>
        <w:spacing w:after="0" w:line="254"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On November 18, 2019, we prepaid $ 519 million of our 2025 Notes and recognized a loss of $18 million in other non-operating income (expense), net. On October 30, 2019, we drew all of the $1.25 billion available under our term loan credit facility. Prior to our acquisition of Intel's interests in IMFT, IMFT repaid Intel $116 million of IMFT member debt in the first quarter of fiscal 2020.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84" w:right="239" w:bottom="1440" w:gutter="0" w:footer="0" w:header="0"/>
        </w:sectPr>
      </w:pPr>
    </w:p>
    <w:bookmarkStart w:id="9" w:name="page10"/>
    <w:bookmarkEnd w:id="9"/>
    <w:p>
      <w:pPr>
        <w:ind w:left="4440"/>
        <w:spacing w:after="0"/>
        <w:rPr>
          <w:sz w:val="20"/>
          <w:szCs w:val="20"/>
          <w:color w:val="auto"/>
        </w:rPr>
      </w:pPr>
      <w:r>
        <w:rPr>
          <w:rFonts w:ascii="Arial" w:cs="Arial" w:eastAsia="Arial" w:hAnsi="Arial"/>
          <w:sz w:val="18"/>
          <w:szCs w:val="18"/>
          <w:b w:val="1"/>
          <w:bCs w:val="1"/>
          <w:color w:val="auto"/>
        </w:rPr>
        <w:t>MICRON TECHNOLOGY, INC.</w:t>
      </w:r>
    </w:p>
    <w:p>
      <w:pPr>
        <w:spacing w:after="0" w:line="3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(In millions, except per share amounts)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1st Qtr.</w:t>
            </w:r>
          </w:p>
        </w:tc>
        <w:tc>
          <w:tcPr>
            <w:tcW w:w="22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4th Qtr.</w:t>
            </w:r>
          </w:p>
        </w:tc>
        <w:tc>
          <w:tcPr>
            <w:tcW w:w="160" w:type="dxa"/>
            <w:vAlign w:val="bottom"/>
          </w:tcPr>
          <w:p>
            <w:pPr>
              <w:spacing w:after="0"/>
              <w:rPr>
                <w:sz w:val="20"/>
                <w:szCs w:val="20"/>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1st Qtr.</w:t>
            </w:r>
          </w:p>
        </w:tc>
        <w:tc>
          <w:tcPr>
            <w:tcW w:w="0" w:type="dxa"/>
            <w:vAlign w:val="bottom"/>
          </w:tcPr>
          <w:p>
            <w:pPr>
              <w:spacing w:after="0"/>
              <w:rPr>
                <w:sz w:val="1"/>
                <w:szCs w:val="1"/>
                <w:color w:val="auto"/>
              </w:rPr>
            </w:pPr>
          </w:p>
        </w:tc>
      </w:tr>
      <w:tr>
        <w:trPr>
          <w:trHeight w:val="248"/>
        </w:trPr>
        <w:tc>
          <w:tcPr>
            <w:tcW w:w="7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November 28,</w:t>
            </w:r>
          </w:p>
        </w:tc>
        <w:tc>
          <w:tcPr>
            <w:tcW w:w="220" w:type="dxa"/>
            <w:vAlign w:val="bottom"/>
          </w:tcPr>
          <w:p>
            <w:pPr>
              <w:spacing w:after="0"/>
              <w:rPr>
                <w:sz w:val="21"/>
                <w:szCs w:val="21"/>
                <w:color w:val="auto"/>
              </w:rPr>
            </w:pP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August 29,</w:t>
            </w:r>
          </w:p>
        </w:tc>
        <w:tc>
          <w:tcPr>
            <w:tcW w:w="160" w:type="dxa"/>
            <w:vAlign w:val="bottom"/>
          </w:tcPr>
          <w:p>
            <w:pPr>
              <w:spacing w:after="0"/>
              <w:rPr>
                <w:sz w:val="21"/>
                <w:szCs w:val="21"/>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November 29,</w:t>
            </w:r>
          </w:p>
        </w:tc>
        <w:tc>
          <w:tcPr>
            <w:tcW w:w="0" w:type="dxa"/>
            <w:vAlign w:val="bottom"/>
          </w:tcPr>
          <w:p>
            <w:pPr>
              <w:spacing w:after="0"/>
              <w:rPr>
                <w:sz w:val="1"/>
                <w:szCs w:val="1"/>
                <w:color w:val="auto"/>
              </w:rPr>
            </w:pPr>
          </w:p>
        </w:tc>
      </w:tr>
      <w:tr>
        <w:trPr>
          <w:trHeight w:val="238"/>
        </w:trPr>
        <w:tc>
          <w:tcPr>
            <w:tcW w:w="7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2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6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0" w:type="dxa"/>
            <w:vAlign w:val="bottom"/>
          </w:tcPr>
          <w:p>
            <w:pPr>
              <w:spacing w:after="0"/>
              <w:rPr>
                <w:sz w:val="1"/>
                <w:szCs w:val="1"/>
                <w:color w:val="auto"/>
              </w:rPr>
            </w:pPr>
          </w:p>
        </w:tc>
      </w:tr>
      <w:tr>
        <w:trPr>
          <w:trHeight w:val="27"/>
        </w:trPr>
        <w:tc>
          <w:tcPr>
            <w:tcW w:w="7420" w:type="dxa"/>
            <w:vAlign w:val="bottom"/>
            <w:tcBorders>
              <w:bottom w:val="single" w:sz="8" w:color="0090DA"/>
            </w:tcBorders>
          </w:tcPr>
          <w:p>
            <w:pPr>
              <w:spacing w:after="0"/>
              <w:rPr>
                <w:sz w:val="2"/>
                <w:szCs w:val="2"/>
                <w:color w:val="auto"/>
              </w:rPr>
            </w:pPr>
          </w:p>
        </w:tc>
        <w:tc>
          <w:tcPr>
            <w:tcW w:w="120" w:type="dxa"/>
            <w:vAlign w:val="bottom"/>
            <w:tcBorders>
              <w:bottom w:val="single" w:sz="8" w:color="0090DA"/>
            </w:tcBorders>
          </w:tcPr>
          <w:p>
            <w:pPr>
              <w:spacing w:after="0"/>
              <w:rPr>
                <w:sz w:val="2"/>
                <w:szCs w:val="2"/>
                <w:color w:val="auto"/>
              </w:rPr>
            </w:pPr>
          </w:p>
        </w:tc>
        <w:tc>
          <w:tcPr>
            <w:tcW w:w="1160" w:type="dxa"/>
            <w:vAlign w:val="bottom"/>
            <w:tcBorders>
              <w:bottom w:val="single" w:sz="8" w:color="0090DA"/>
            </w:tcBorders>
          </w:tcPr>
          <w:p>
            <w:pPr>
              <w:spacing w:after="0"/>
              <w:rPr>
                <w:sz w:val="2"/>
                <w:szCs w:val="2"/>
                <w:color w:val="auto"/>
              </w:rPr>
            </w:pPr>
          </w:p>
        </w:tc>
        <w:tc>
          <w:tcPr>
            <w:tcW w:w="220" w:type="dxa"/>
            <w:vAlign w:val="bottom"/>
            <w:tcBorders>
              <w:bottom w:val="single" w:sz="8" w:color="0090DA"/>
            </w:tcBorders>
          </w:tcPr>
          <w:p>
            <w:pPr>
              <w:spacing w:after="0"/>
              <w:rPr>
                <w:sz w:val="2"/>
                <w:szCs w:val="2"/>
                <w:color w:val="auto"/>
              </w:rPr>
            </w:pPr>
          </w:p>
        </w:tc>
        <w:tc>
          <w:tcPr>
            <w:tcW w:w="1100" w:type="dxa"/>
            <w:vAlign w:val="bottom"/>
            <w:tcBorders>
              <w:bottom w:val="single" w:sz="8" w:color="0090DA"/>
            </w:tcBorders>
          </w:tcPr>
          <w:p>
            <w:pPr>
              <w:spacing w:after="0"/>
              <w:rPr>
                <w:sz w:val="2"/>
                <w:szCs w:val="2"/>
                <w:color w:val="auto"/>
              </w:rPr>
            </w:pPr>
          </w:p>
        </w:tc>
        <w:tc>
          <w:tcPr>
            <w:tcW w:w="160" w:type="dxa"/>
            <w:vAlign w:val="bottom"/>
            <w:tcBorders>
              <w:bottom w:val="single" w:sz="8" w:color="0090DA"/>
            </w:tcBorders>
          </w:tcPr>
          <w:p>
            <w:pPr>
              <w:spacing w:after="0"/>
              <w:rPr>
                <w:sz w:val="2"/>
                <w:szCs w:val="2"/>
                <w:color w:val="auto"/>
              </w:rPr>
            </w:pPr>
          </w:p>
        </w:tc>
        <w:tc>
          <w:tcPr>
            <w:tcW w:w="1220" w:type="dxa"/>
            <w:vAlign w:val="bottom"/>
            <w:tcBorders>
              <w:bottom w:val="single" w:sz="8" w:color="0090DA"/>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b w:val="1"/>
                <w:bCs w:val="1"/>
                <w:color w:val="auto"/>
              </w:rPr>
              <w:t>GAAP gross margin</w:t>
            </w:r>
          </w:p>
        </w:tc>
        <w:tc>
          <w:tcPr>
            <w:tcW w:w="12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1,366</w:t>
            </w:r>
          </w:p>
        </w:tc>
        <w:tc>
          <w:tcPr>
            <w:tcW w:w="22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1,395</w:t>
            </w:r>
          </w:p>
        </w:tc>
        <w:tc>
          <w:tcPr>
            <w:tcW w:w="16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D1D2D4"/>
            </w:tcBorders>
            <w:shd w:val="clear" w:color="auto" w:fill="D1D2D4"/>
          </w:tcPr>
          <w:p>
            <w:pPr>
              <w:jc w:val="right"/>
              <w:ind w:right="70"/>
              <w:spacing w:after="0"/>
              <w:rPr>
                <w:sz w:val="20"/>
                <w:szCs w:val="20"/>
                <w:color w:val="auto"/>
              </w:rPr>
            </w:pPr>
            <w:r>
              <w:rPr>
                <w:rFonts w:ascii="Times New Roman" w:cs="Times New Roman" w:eastAsia="Times New Roman" w:hAnsi="Times New Roman"/>
                <w:sz w:val="18"/>
                <w:szCs w:val="18"/>
                <w:color w:val="auto"/>
              </w:rPr>
              <w:t>4,615</w:t>
            </w:r>
          </w:p>
        </w:tc>
        <w:tc>
          <w:tcPr>
            <w:tcW w:w="0" w:type="dxa"/>
            <w:vAlign w:val="bottom"/>
          </w:tcPr>
          <w:p>
            <w:pPr>
              <w:spacing w:after="0"/>
              <w:rPr>
                <w:sz w:val="1"/>
                <w:szCs w:val="1"/>
                <w:color w:val="auto"/>
              </w:rPr>
            </w:pPr>
          </w:p>
        </w:tc>
      </w:tr>
      <w:tr>
        <w:trPr>
          <w:trHeight w:val="243"/>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D1D2D4"/>
            </w:tcBorders>
            <w:shd w:val="clear" w:color="auto" w:fill="D1D2D4"/>
          </w:tcPr>
          <w:p>
            <w:pPr>
              <w:ind w:left="120"/>
              <w:spacing w:after="0"/>
              <w:rPr>
                <w:sz w:val="20"/>
                <w:szCs w:val="20"/>
                <w:color w:val="auto"/>
              </w:rPr>
            </w:pPr>
            <w:r>
              <w:rPr>
                <w:rFonts w:ascii="Times New Roman" w:cs="Times New Roman" w:eastAsia="Times New Roman" w:hAnsi="Times New Roman"/>
                <w:sz w:val="18"/>
                <w:szCs w:val="18"/>
                <w:color w:val="auto"/>
              </w:rPr>
              <w:t>Start-up and preproduction costs</w:t>
            </w:r>
          </w:p>
        </w:tc>
        <w:tc>
          <w:tcPr>
            <w:tcW w:w="12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D1D2D4"/>
            </w:tcBorders>
            <w:shd w:val="clear" w:color="auto" w:fill="D1D2D4"/>
          </w:tcPr>
          <w:p>
            <w:pPr>
              <w:spacing w:after="0"/>
              <w:rPr>
                <w:sz w:val="21"/>
                <w:szCs w:val="21"/>
                <w:color w:val="auto"/>
              </w:rPr>
            </w:pPr>
          </w:p>
        </w:tc>
        <w:tc>
          <w:tcPr>
            <w:tcW w:w="110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D1D2D4"/>
            </w:tcBorders>
            <w:shd w:val="clear" w:color="auto" w:fill="D1D2D4"/>
          </w:tcPr>
          <w:p>
            <w:pPr>
              <w:spacing w:after="0"/>
              <w:rPr>
                <w:sz w:val="21"/>
                <w:szCs w:val="21"/>
                <w:color w:val="auto"/>
              </w:rPr>
            </w:pPr>
          </w:p>
        </w:tc>
        <w:tc>
          <w:tcPr>
            <w:tcW w:w="1220" w:type="dxa"/>
            <w:vAlign w:val="bottom"/>
            <w:tcBorders>
              <w:bottom w:val="single" w:sz="8" w:color="D1D2D4"/>
            </w:tcBorders>
            <w:shd w:val="clear" w:color="auto" w:fill="D1D2D4"/>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severance</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D1D2D4"/>
            </w:tcBorders>
            <w:shd w:val="clear" w:color="auto" w:fill="D1D2D4"/>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D1D2D4"/>
            </w:tcBorders>
            <w:shd w:val="clear" w:color="auto" w:fill="D1D2D4"/>
          </w:tcPr>
          <w:p>
            <w:pPr>
              <w:spacing w:after="0"/>
              <w:rPr>
                <w:sz w:val="23"/>
                <w:szCs w:val="23"/>
                <w:color w:val="auto"/>
              </w:rPr>
            </w:pPr>
          </w:p>
        </w:tc>
        <w:tc>
          <w:tcPr>
            <w:tcW w:w="116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D1D2D4"/>
            </w:tcBorders>
            <w:shd w:val="clear" w:color="auto" w:fill="D1D2D4"/>
          </w:tcPr>
          <w:p>
            <w:pPr>
              <w:spacing w:after="0"/>
              <w:rPr>
                <w:sz w:val="23"/>
                <w:szCs w:val="23"/>
                <w:color w:val="auto"/>
              </w:rPr>
            </w:pPr>
          </w:p>
        </w:tc>
        <w:tc>
          <w:tcPr>
            <w:tcW w:w="110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D1D2D4"/>
            </w:tcBorders>
            <w:shd w:val="clear" w:color="auto" w:fill="D1D2D4"/>
          </w:tcPr>
          <w:p>
            <w:pPr>
              <w:spacing w:after="0"/>
              <w:rPr>
                <w:sz w:val="23"/>
                <w:szCs w:val="23"/>
                <w:color w:val="auto"/>
              </w:rPr>
            </w:pPr>
          </w:p>
        </w:tc>
        <w:tc>
          <w:tcPr>
            <w:tcW w:w="1220" w:type="dxa"/>
            <w:vAlign w:val="bottom"/>
            <w:tcBorders>
              <w:bottom w:val="single" w:sz="8" w:color="D1D2D4"/>
            </w:tcBorders>
            <w:shd w:val="clear" w:color="auto" w:fill="D1D2D4"/>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gross margin</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1,405</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1,491</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4,670</w:t>
            </w:r>
          </w:p>
        </w:tc>
        <w:tc>
          <w:tcPr>
            <w:tcW w:w="0" w:type="dxa"/>
            <w:vAlign w:val="bottom"/>
          </w:tcPr>
          <w:p>
            <w:pPr>
              <w:spacing w:after="0"/>
              <w:rPr>
                <w:sz w:val="1"/>
                <w:szCs w:val="1"/>
                <w:color w:val="auto"/>
              </w:rPr>
            </w:pPr>
          </w:p>
        </w:tc>
      </w:tr>
      <w:tr>
        <w:trPr>
          <w:trHeight w:val="20"/>
        </w:trPr>
        <w:tc>
          <w:tcPr>
            <w:tcW w:w="742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2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GAAP operating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D1D2D4"/>
            </w:tcBorders>
            <w:shd w:val="clear" w:color="auto" w:fill="D1D2D4"/>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bottom w:val="single" w:sz="8" w:color="D1D2D4"/>
            </w:tcBorders>
            <w:shd w:val="clear" w:color="auto" w:fill="D1D2D4"/>
          </w:tcPr>
          <w:p>
            <w:pPr>
              <w:spacing w:after="0"/>
              <w:rPr>
                <w:sz w:val="21"/>
                <w:szCs w:val="21"/>
                <w:color w:val="auto"/>
              </w:rPr>
            </w:pPr>
          </w:p>
        </w:tc>
        <w:tc>
          <w:tcPr>
            <w:tcW w:w="110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Borders>
              <w:bottom w:val="single" w:sz="8" w:color="D1D2D4"/>
            </w:tcBorders>
            <w:shd w:val="clear" w:color="auto" w:fill="D1D2D4"/>
          </w:tcPr>
          <w:p>
            <w:pPr>
              <w:spacing w:after="0"/>
              <w:rPr>
                <w:sz w:val="21"/>
                <w:szCs w:val="21"/>
                <w:color w:val="auto"/>
              </w:rPr>
            </w:pPr>
          </w:p>
        </w:tc>
        <w:tc>
          <w:tcPr>
            <w:tcW w:w="1220" w:type="dxa"/>
            <w:vAlign w:val="bottom"/>
            <w:tcBorders>
              <w:bottom w:val="single" w:sz="8" w:color="D1D2D4"/>
            </w:tcBorders>
            <w:shd w:val="clear" w:color="auto" w:fill="D1D2D4"/>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severance</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D1D2D4"/>
            </w:tcBorders>
            <w:shd w:val="clear" w:color="auto" w:fill="D1D2D4"/>
          </w:tcPr>
          <w:p>
            <w:pPr>
              <w:ind w:left="120"/>
              <w:spacing w:after="0"/>
              <w:rPr>
                <w:sz w:val="20"/>
                <w:szCs w:val="20"/>
                <w:color w:val="auto"/>
              </w:rPr>
            </w:pPr>
            <w:r>
              <w:rPr>
                <w:rFonts w:ascii="Times New Roman" w:cs="Times New Roman" w:eastAsia="Times New Roman" w:hAnsi="Times New Roman"/>
                <w:sz w:val="18"/>
                <w:szCs w:val="18"/>
                <w:color w:val="auto"/>
              </w:rPr>
              <w:t>Restructure and asset impairments</w:t>
            </w:r>
          </w:p>
        </w:tc>
        <w:tc>
          <w:tcPr>
            <w:tcW w:w="12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D1D2D4"/>
            </w:tcBorders>
            <w:shd w:val="clear" w:color="auto" w:fill="D1D2D4"/>
          </w:tcPr>
          <w:p>
            <w:pPr>
              <w:spacing w:after="0"/>
              <w:rPr>
                <w:sz w:val="21"/>
                <w:szCs w:val="21"/>
                <w:color w:val="auto"/>
              </w:rPr>
            </w:pPr>
          </w:p>
        </w:tc>
        <w:tc>
          <w:tcPr>
            <w:tcW w:w="110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Borders>
              <w:bottom w:val="single" w:sz="8" w:color="D1D2D4"/>
            </w:tcBorders>
            <w:shd w:val="clear" w:color="auto" w:fill="D1D2D4"/>
          </w:tcPr>
          <w:p>
            <w:pPr>
              <w:spacing w:after="0"/>
              <w:rPr>
                <w:sz w:val="21"/>
                <w:szCs w:val="21"/>
                <w:color w:val="auto"/>
              </w:rPr>
            </w:pPr>
          </w:p>
        </w:tc>
        <w:tc>
          <w:tcPr>
            <w:tcW w:w="1220" w:type="dxa"/>
            <w:vAlign w:val="bottom"/>
            <w:tcBorders>
              <w:bottom w:val="single" w:sz="8" w:color="D1D2D4"/>
            </w:tcBorders>
            <w:shd w:val="clear" w:color="auto" w:fill="D1D2D4"/>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7420" w:type="dxa"/>
            <w:vAlign w:val="bottom"/>
            <w:tcBorders>
              <w:bottom w:val="single" w:sz="8" w:color="D1D2D4"/>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420" w:type="dxa"/>
            <w:vAlign w:val="bottom"/>
            <w:tcBorders>
              <w:bottom w:val="single" w:sz="8" w:color="D1D2D4"/>
            </w:tcBorders>
            <w:shd w:val="clear" w:color="auto" w:fill="D1D2D4"/>
          </w:tcPr>
          <w:p>
            <w:pPr>
              <w:spacing w:after="0"/>
              <w:rPr>
                <w:sz w:val="20"/>
                <w:szCs w:val="20"/>
                <w:color w:val="auto"/>
              </w:rPr>
            </w:pPr>
            <w:r>
              <w:rPr>
                <w:rFonts w:ascii="Times New Roman" w:cs="Times New Roman" w:eastAsia="Times New Roman" w:hAnsi="Times New Roman"/>
                <w:sz w:val="18"/>
                <w:szCs w:val="18"/>
                <w:b w:val="1"/>
                <w:bCs w:val="1"/>
                <w:color w:val="auto"/>
              </w:rPr>
              <w:t>Non-GAAP operating expenses</w:t>
            </w:r>
          </w:p>
        </w:tc>
        <w:tc>
          <w:tcPr>
            <w:tcW w:w="120" w:type="dxa"/>
            <w:vAlign w:val="bottom"/>
            <w:tcBorders>
              <w:bottom w:val="single" w:sz="8" w:color="auto"/>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811</w:t>
            </w:r>
          </w:p>
        </w:tc>
        <w:tc>
          <w:tcPr>
            <w:tcW w:w="220" w:type="dxa"/>
            <w:vAlign w:val="bottom"/>
            <w:tcBorders>
              <w:bottom w:val="single" w:sz="8" w:color="auto"/>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797</w:t>
            </w:r>
          </w:p>
        </w:tc>
        <w:tc>
          <w:tcPr>
            <w:tcW w:w="160" w:type="dxa"/>
            <w:vAlign w:val="bottom"/>
            <w:tcBorders>
              <w:bottom w:val="single" w:sz="8" w:color="auto"/>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D1D2D4"/>
          </w:tcPr>
          <w:p>
            <w:pPr>
              <w:jc w:val="right"/>
              <w:ind w:right="70"/>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0"/>
        </w:trPr>
        <w:tc>
          <w:tcPr>
            <w:tcW w:w="742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b w:val="1"/>
                <w:bCs w:val="1"/>
                <w:color w:val="auto"/>
              </w:rPr>
              <w:t>GAAP operating income</w:t>
            </w:r>
          </w:p>
        </w:tc>
        <w:tc>
          <w:tcPr>
            <w:tcW w:w="12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D1D2D4"/>
            </w:tcBorders>
            <w:shd w:val="clear" w:color="auto" w:fill="D1D2D4"/>
          </w:tcPr>
          <w:p>
            <w:pPr>
              <w:jc w:val="right"/>
              <w:ind w:right="70"/>
              <w:spacing w:after="0"/>
              <w:rPr>
                <w:sz w:val="20"/>
                <w:szCs w:val="20"/>
                <w:color w:val="auto"/>
              </w:rPr>
            </w:pPr>
            <w:r>
              <w:rPr>
                <w:rFonts w:ascii="Times New Roman" w:cs="Times New Roman" w:eastAsia="Times New Roman" w:hAnsi="Times New Roman"/>
                <w:sz w:val="18"/>
                <w:szCs w:val="18"/>
                <w:color w:val="auto"/>
              </w:rPr>
              <w:t>3,759</w:t>
            </w:r>
          </w:p>
        </w:tc>
        <w:tc>
          <w:tcPr>
            <w:tcW w:w="0" w:type="dxa"/>
            <w:vAlign w:val="bottom"/>
          </w:tcPr>
          <w:p>
            <w:pPr>
              <w:spacing w:after="0"/>
              <w:rPr>
                <w:sz w:val="1"/>
                <w:szCs w:val="1"/>
                <w:color w:val="auto"/>
              </w:rPr>
            </w:pPr>
          </w:p>
        </w:tc>
      </w:tr>
      <w:tr>
        <w:trPr>
          <w:trHeight w:val="243"/>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D1D2D4"/>
            </w:tcBorders>
            <w:shd w:val="clear" w:color="auto" w:fill="D1D2D4"/>
          </w:tcPr>
          <w:p>
            <w:pPr>
              <w:ind w:left="120"/>
              <w:spacing w:after="0"/>
              <w:rPr>
                <w:sz w:val="20"/>
                <w:szCs w:val="20"/>
                <w:color w:val="auto"/>
              </w:rPr>
            </w:pPr>
            <w:r>
              <w:rPr>
                <w:rFonts w:ascii="Times New Roman" w:cs="Times New Roman" w:eastAsia="Times New Roman" w:hAnsi="Times New Roman"/>
                <w:sz w:val="18"/>
                <w:szCs w:val="18"/>
                <w:color w:val="auto"/>
              </w:rPr>
              <w:t>Start-up and preproduction costs</w:t>
            </w:r>
          </w:p>
        </w:tc>
        <w:tc>
          <w:tcPr>
            <w:tcW w:w="12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D1D2D4"/>
            </w:tcBorders>
            <w:shd w:val="clear" w:color="auto" w:fill="D1D2D4"/>
          </w:tcPr>
          <w:p>
            <w:pPr>
              <w:spacing w:after="0"/>
              <w:rPr>
                <w:sz w:val="21"/>
                <w:szCs w:val="21"/>
                <w:color w:val="auto"/>
              </w:rPr>
            </w:pPr>
          </w:p>
        </w:tc>
        <w:tc>
          <w:tcPr>
            <w:tcW w:w="110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D1D2D4"/>
            </w:tcBorders>
            <w:shd w:val="clear" w:color="auto" w:fill="D1D2D4"/>
          </w:tcPr>
          <w:p>
            <w:pPr>
              <w:spacing w:after="0"/>
              <w:rPr>
                <w:sz w:val="21"/>
                <w:szCs w:val="21"/>
                <w:color w:val="auto"/>
              </w:rPr>
            </w:pPr>
          </w:p>
        </w:tc>
        <w:tc>
          <w:tcPr>
            <w:tcW w:w="1220" w:type="dxa"/>
            <w:vAlign w:val="bottom"/>
            <w:tcBorders>
              <w:bottom w:val="single" w:sz="8" w:color="D1D2D4"/>
            </w:tcBorders>
            <w:shd w:val="clear" w:color="auto" w:fill="D1D2D4"/>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severance</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D1D2D4"/>
            </w:tcBorders>
            <w:shd w:val="clear" w:color="auto" w:fill="D1D2D4"/>
          </w:tcPr>
          <w:p>
            <w:pPr>
              <w:ind w:left="120"/>
              <w:spacing w:after="0"/>
              <w:rPr>
                <w:sz w:val="20"/>
                <w:szCs w:val="20"/>
                <w:color w:val="auto"/>
              </w:rPr>
            </w:pPr>
            <w:r>
              <w:rPr>
                <w:rFonts w:ascii="Times New Roman" w:cs="Times New Roman" w:eastAsia="Times New Roman" w:hAnsi="Times New Roman"/>
                <w:sz w:val="18"/>
                <w:szCs w:val="18"/>
                <w:color w:val="auto"/>
              </w:rPr>
              <w:t>Restructure and asset impairments</w:t>
            </w:r>
          </w:p>
        </w:tc>
        <w:tc>
          <w:tcPr>
            <w:tcW w:w="12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D1D2D4"/>
            </w:tcBorders>
            <w:shd w:val="clear" w:color="auto" w:fill="D1D2D4"/>
          </w:tcPr>
          <w:p>
            <w:pPr>
              <w:spacing w:after="0"/>
              <w:rPr>
                <w:sz w:val="21"/>
                <w:szCs w:val="21"/>
                <w:color w:val="auto"/>
              </w:rPr>
            </w:pPr>
          </w:p>
        </w:tc>
        <w:tc>
          <w:tcPr>
            <w:tcW w:w="110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Borders>
              <w:bottom w:val="single" w:sz="8" w:color="D1D2D4"/>
            </w:tcBorders>
            <w:shd w:val="clear" w:color="auto" w:fill="D1D2D4"/>
          </w:tcPr>
          <w:p>
            <w:pPr>
              <w:spacing w:after="0"/>
              <w:rPr>
                <w:sz w:val="21"/>
                <w:szCs w:val="21"/>
                <w:color w:val="auto"/>
              </w:rPr>
            </w:pPr>
          </w:p>
        </w:tc>
        <w:tc>
          <w:tcPr>
            <w:tcW w:w="1220" w:type="dxa"/>
            <w:vAlign w:val="bottom"/>
            <w:tcBorders>
              <w:bottom w:val="single" w:sz="8" w:color="D1D2D4"/>
            </w:tcBorders>
            <w:shd w:val="clear" w:color="auto" w:fill="D1D2D4"/>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7420" w:type="dxa"/>
            <w:vAlign w:val="bottom"/>
            <w:tcBorders>
              <w:bottom w:val="single" w:sz="8" w:color="D1D2D4"/>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42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120" w:type="dxa"/>
            <w:vAlign w:val="bottom"/>
            <w:tcBorders>
              <w:bottom w:val="single" w:sz="8" w:color="auto"/>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594</w:t>
            </w:r>
          </w:p>
        </w:tc>
        <w:tc>
          <w:tcPr>
            <w:tcW w:w="220" w:type="dxa"/>
            <w:vAlign w:val="bottom"/>
            <w:tcBorders>
              <w:bottom w:val="single" w:sz="8" w:color="auto"/>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694</w:t>
            </w:r>
          </w:p>
        </w:tc>
        <w:tc>
          <w:tcPr>
            <w:tcW w:w="160" w:type="dxa"/>
            <w:vAlign w:val="bottom"/>
            <w:tcBorders>
              <w:bottom w:val="single" w:sz="8" w:color="auto"/>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D1D2D4"/>
          </w:tcPr>
          <w:p>
            <w:pPr>
              <w:jc w:val="right"/>
              <w:ind w:right="70"/>
              <w:spacing w:after="0"/>
              <w:rPr>
                <w:sz w:val="20"/>
                <w:szCs w:val="20"/>
                <w:color w:val="auto"/>
              </w:rPr>
            </w:pPr>
            <w:r>
              <w:rPr>
                <w:rFonts w:ascii="Times New Roman" w:cs="Times New Roman" w:eastAsia="Times New Roman" w:hAnsi="Times New Roman"/>
                <w:sz w:val="18"/>
                <w:szCs w:val="18"/>
                <w:color w:val="auto"/>
              </w:rPr>
              <w:t>3,887</w:t>
            </w:r>
          </w:p>
        </w:tc>
        <w:tc>
          <w:tcPr>
            <w:tcW w:w="0" w:type="dxa"/>
            <w:vAlign w:val="bottom"/>
          </w:tcPr>
          <w:p>
            <w:pPr>
              <w:spacing w:after="0"/>
              <w:rPr>
                <w:sz w:val="1"/>
                <w:szCs w:val="1"/>
                <w:color w:val="auto"/>
              </w:rPr>
            </w:pPr>
          </w:p>
        </w:tc>
      </w:tr>
      <w:tr>
        <w:trPr>
          <w:trHeight w:val="20"/>
        </w:trPr>
        <w:tc>
          <w:tcPr>
            <w:tcW w:w="742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420" w:type="dxa"/>
            <w:vAlign w:val="bottom"/>
            <w:shd w:val="clear" w:color="auto" w:fill="D1D2D4"/>
          </w:tcPr>
          <w:p>
            <w:pPr>
              <w:ind w:left="20"/>
              <w:spacing w:after="0"/>
              <w:rPr>
                <w:sz w:val="20"/>
                <w:szCs w:val="20"/>
                <w:color w:val="auto"/>
              </w:rPr>
            </w:pPr>
            <w:r>
              <w:rPr>
                <w:rFonts w:ascii="Times New Roman" w:cs="Times New Roman" w:eastAsia="Times New Roman" w:hAnsi="Times New Roman"/>
                <w:sz w:val="18"/>
                <w:szCs w:val="18"/>
                <w:b w:val="1"/>
                <w:bCs w:val="1"/>
                <w:color w:val="auto"/>
              </w:rPr>
              <w:t>GAAP net income attributable to Micron</w:t>
            </w:r>
          </w:p>
        </w:tc>
        <w:tc>
          <w:tcPr>
            <w:tcW w:w="120" w:type="dxa"/>
            <w:vAlign w:val="bottom"/>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491</w:t>
            </w:r>
          </w:p>
        </w:tc>
        <w:tc>
          <w:tcPr>
            <w:tcW w:w="220" w:type="dxa"/>
            <w:vAlign w:val="bottom"/>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561</w:t>
            </w:r>
          </w:p>
        </w:tc>
        <w:tc>
          <w:tcPr>
            <w:tcW w:w="160" w:type="dxa"/>
            <w:vAlign w:val="bottom"/>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D1D2D4"/>
          </w:tcPr>
          <w:p>
            <w:pPr>
              <w:jc w:val="right"/>
              <w:ind w:right="70"/>
              <w:spacing w:after="0"/>
              <w:rPr>
                <w:sz w:val="20"/>
                <w:szCs w:val="20"/>
                <w:color w:val="auto"/>
              </w:rPr>
            </w:pPr>
            <w:r>
              <w:rPr>
                <w:rFonts w:ascii="Times New Roman" w:cs="Times New Roman" w:eastAsia="Times New Roman" w:hAnsi="Times New Roman"/>
                <w:sz w:val="18"/>
                <w:szCs w:val="18"/>
                <w:color w:val="auto"/>
              </w:rPr>
              <w:t>3,293</w:t>
            </w:r>
          </w:p>
        </w:tc>
        <w:tc>
          <w:tcPr>
            <w:tcW w:w="0" w:type="dxa"/>
            <w:vAlign w:val="bottom"/>
          </w:tcPr>
          <w:p>
            <w:pPr>
              <w:spacing w:after="0"/>
              <w:rPr>
                <w:sz w:val="1"/>
                <w:szCs w:val="1"/>
                <w:color w:val="auto"/>
              </w:rPr>
            </w:pPr>
          </w:p>
        </w:tc>
      </w:tr>
      <w:tr>
        <w:trPr>
          <w:trHeight w:val="243"/>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D1D2D4"/>
            </w:tcBorders>
            <w:shd w:val="clear" w:color="auto" w:fill="D1D2D4"/>
          </w:tcPr>
          <w:p>
            <w:pPr>
              <w:ind w:left="120"/>
              <w:spacing w:after="0"/>
              <w:rPr>
                <w:sz w:val="20"/>
                <w:szCs w:val="20"/>
                <w:color w:val="auto"/>
              </w:rPr>
            </w:pPr>
            <w:r>
              <w:rPr>
                <w:rFonts w:ascii="Times New Roman" w:cs="Times New Roman" w:eastAsia="Times New Roman" w:hAnsi="Times New Roman"/>
                <w:sz w:val="18"/>
                <w:szCs w:val="18"/>
                <w:color w:val="auto"/>
              </w:rPr>
              <w:t>Start-up and preproduction costs</w:t>
            </w:r>
          </w:p>
        </w:tc>
        <w:tc>
          <w:tcPr>
            <w:tcW w:w="12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D1D2D4"/>
            </w:tcBorders>
            <w:shd w:val="clear" w:color="auto" w:fill="D1D2D4"/>
          </w:tcPr>
          <w:p>
            <w:pPr>
              <w:spacing w:after="0"/>
              <w:rPr>
                <w:sz w:val="21"/>
                <w:szCs w:val="21"/>
                <w:color w:val="auto"/>
              </w:rPr>
            </w:pPr>
          </w:p>
        </w:tc>
        <w:tc>
          <w:tcPr>
            <w:tcW w:w="110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D1D2D4"/>
            </w:tcBorders>
            <w:shd w:val="clear" w:color="auto" w:fill="D1D2D4"/>
          </w:tcPr>
          <w:p>
            <w:pPr>
              <w:spacing w:after="0"/>
              <w:rPr>
                <w:sz w:val="21"/>
                <w:szCs w:val="21"/>
                <w:color w:val="auto"/>
              </w:rPr>
            </w:pPr>
          </w:p>
        </w:tc>
        <w:tc>
          <w:tcPr>
            <w:tcW w:w="1220" w:type="dxa"/>
            <w:vAlign w:val="bottom"/>
            <w:tcBorders>
              <w:bottom w:val="single" w:sz="8" w:color="D1D2D4"/>
            </w:tcBorders>
            <w:shd w:val="clear" w:color="auto" w:fill="D1D2D4"/>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severance</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D1D2D4"/>
            </w:tcBorders>
            <w:shd w:val="clear" w:color="auto" w:fill="D1D2D4"/>
          </w:tcPr>
          <w:p>
            <w:pPr>
              <w:ind w:left="120"/>
              <w:spacing w:after="0"/>
              <w:rPr>
                <w:sz w:val="20"/>
                <w:szCs w:val="20"/>
                <w:color w:val="auto"/>
              </w:rPr>
            </w:pPr>
            <w:r>
              <w:rPr>
                <w:rFonts w:ascii="Times New Roman" w:cs="Times New Roman" w:eastAsia="Times New Roman" w:hAnsi="Times New Roman"/>
                <w:sz w:val="18"/>
                <w:szCs w:val="18"/>
                <w:color w:val="auto"/>
              </w:rPr>
              <w:t>Restructure and asset impairments</w:t>
            </w:r>
          </w:p>
        </w:tc>
        <w:tc>
          <w:tcPr>
            <w:tcW w:w="12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D1D2D4"/>
            </w:tcBorders>
            <w:shd w:val="clear" w:color="auto" w:fill="D1D2D4"/>
          </w:tcPr>
          <w:p>
            <w:pPr>
              <w:spacing w:after="0"/>
              <w:rPr>
                <w:sz w:val="21"/>
                <w:szCs w:val="21"/>
                <w:color w:val="auto"/>
              </w:rPr>
            </w:pPr>
          </w:p>
        </w:tc>
        <w:tc>
          <w:tcPr>
            <w:tcW w:w="110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Borders>
              <w:bottom w:val="single" w:sz="8" w:color="D1D2D4"/>
            </w:tcBorders>
            <w:shd w:val="clear" w:color="auto" w:fill="D1D2D4"/>
          </w:tcPr>
          <w:p>
            <w:pPr>
              <w:spacing w:after="0"/>
              <w:rPr>
                <w:sz w:val="21"/>
                <w:szCs w:val="21"/>
                <w:color w:val="auto"/>
              </w:rPr>
            </w:pPr>
          </w:p>
        </w:tc>
        <w:tc>
          <w:tcPr>
            <w:tcW w:w="1220" w:type="dxa"/>
            <w:vAlign w:val="bottom"/>
            <w:tcBorders>
              <w:bottom w:val="single" w:sz="8" w:color="D1D2D4"/>
            </w:tcBorders>
            <w:shd w:val="clear" w:color="auto" w:fill="D1D2D4"/>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debt discount and other costs</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D1D2D4"/>
            </w:tcBorders>
            <w:shd w:val="clear" w:color="auto" w:fill="D1D2D4"/>
          </w:tcPr>
          <w:p>
            <w:pPr>
              <w:ind w:left="120"/>
              <w:spacing w:after="0"/>
              <w:rPr>
                <w:sz w:val="20"/>
                <w:szCs w:val="20"/>
                <w:color w:val="auto"/>
              </w:rPr>
            </w:pPr>
            <w:r>
              <w:rPr>
                <w:rFonts w:ascii="Times New Roman" w:cs="Times New Roman" w:eastAsia="Times New Roman" w:hAnsi="Times New Roman"/>
                <w:sz w:val="18"/>
                <w:szCs w:val="18"/>
                <w:color w:val="auto"/>
              </w:rPr>
              <w:t>(Gain) loss on debt repurchases and conversions</w:t>
            </w:r>
          </w:p>
        </w:tc>
        <w:tc>
          <w:tcPr>
            <w:tcW w:w="12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bottom w:val="single" w:sz="8" w:color="D1D2D4"/>
            </w:tcBorders>
            <w:shd w:val="clear" w:color="auto" w:fill="D1D2D4"/>
          </w:tcPr>
          <w:p>
            <w:pPr>
              <w:spacing w:after="0"/>
              <w:rPr>
                <w:sz w:val="21"/>
                <w:szCs w:val="21"/>
                <w:color w:val="auto"/>
              </w:rPr>
            </w:pPr>
          </w:p>
        </w:tc>
        <w:tc>
          <w:tcPr>
            <w:tcW w:w="110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D1D2D4"/>
            </w:tcBorders>
            <w:shd w:val="clear" w:color="auto" w:fill="D1D2D4"/>
          </w:tcPr>
          <w:p>
            <w:pPr>
              <w:spacing w:after="0"/>
              <w:rPr>
                <w:sz w:val="21"/>
                <w:szCs w:val="21"/>
                <w:color w:val="auto"/>
              </w:rPr>
            </w:pPr>
          </w:p>
        </w:tc>
        <w:tc>
          <w:tcPr>
            <w:tcW w:w="1220" w:type="dxa"/>
            <w:vAlign w:val="bottom"/>
            <w:tcBorders>
              <w:bottom w:val="single" w:sz="8" w:color="D1D2D4"/>
            </w:tcBorders>
            <w:shd w:val="clear" w:color="auto" w:fill="D1D2D4"/>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D1D2D4"/>
            </w:tcBorders>
            <w:shd w:val="clear" w:color="auto" w:fill="D1D2D4"/>
          </w:tcPr>
          <w:p>
            <w:pPr>
              <w:ind w:left="120"/>
              <w:spacing w:after="0"/>
              <w:rPr>
                <w:sz w:val="20"/>
                <w:szCs w:val="20"/>
                <w:color w:val="auto"/>
              </w:rPr>
            </w:pPr>
            <w:r>
              <w:rPr>
                <w:rFonts w:ascii="Times New Roman" w:cs="Times New Roman" w:eastAsia="Times New Roman" w:hAnsi="Times New Roman"/>
                <w:sz w:val="18"/>
                <w:szCs w:val="18"/>
                <w:color w:val="auto"/>
              </w:rPr>
              <w:t>Impact of U.S. income tax reform</w:t>
            </w:r>
          </w:p>
        </w:tc>
        <w:tc>
          <w:tcPr>
            <w:tcW w:w="120" w:type="dxa"/>
            <w:vAlign w:val="bottom"/>
            <w:tcBorders>
              <w:bottom w:val="single" w:sz="8" w:color="D1D2D4"/>
            </w:tcBorders>
            <w:shd w:val="clear" w:color="auto" w:fill="D1D2D4"/>
          </w:tcPr>
          <w:p>
            <w:pPr>
              <w:spacing w:after="0"/>
              <w:rPr>
                <w:sz w:val="21"/>
                <w:szCs w:val="21"/>
                <w:color w:val="auto"/>
              </w:rPr>
            </w:pPr>
          </w:p>
        </w:tc>
        <w:tc>
          <w:tcPr>
            <w:tcW w:w="116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D1D2D4"/>
            </w:tcBorders>
            <w:shd w:val="clear" w:color="auto" w:fill="D1D2D4"/>
          </w:tcPr>
          <w:p>
            <w:pPr>
              <w:spacing w:after="0"/>
              <w:rPr>
                <w:sz w:val="21"/>
                <w:szCs w:val="21"/>
                <w:color w:val="auto"/>
              </w:rPr>
            </w:pPr>
          </w:p>
        </w:tc>
        <w:tc>
          <w:tcPr>
            <w:tcW w:w="1100" w:type="dxa"/>
            <w:vAlign w:val="bottom"/>
            <w:tcBorders>
              <w:bottom w:val="single" w:sz="8" w:color="D1D2D4"/>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D1D2D4"/>
            </w:tcBorders>
            <w:shd w:val="clear" w:color="auto" w:fill="D1D2D4"/>
          </w:tcPr>
          <w:p>
            <w:pPr>
              <w:spacing w:after="0"/>
              <w:rPr>
                <w:sz w:val="21"/>
                <w:szCs w:val="21"/>
                <w:color w:val="auto"/>
              </w:rPr>
            </w:pPr>
          </w:p>
        </w:tc>
        <w:tc>
          <w:tcPr>
            <w:tcW w:w="1220" w:type="dxa"/>
            <w:vAlign w:val="bottom"/>
            <w:tcBorders>
              <w:bottom w:val="single" w:sz="8" w:color="D1D2D4"/>
            </w:tcBorders>
            <w:shd w:val="clear" w:color="auto" w:fill="D1D2D4"/>
          </w:tcPr>
          <w:p>
            <w:pPr>
              <w:jc w:val="right"/>
              <w:ind w:right="7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76"/>
        </w:trPr>
        <w:tc>
          <w:tcPr>
            <w:tcW w:w="74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Estimated tax effects of above, non-cash changes in net deferred income taxes, and assessments of</w:t>
            </w:r>
          </w:p>
        </w:tc>
        <w:tc>
          <w:tcPr>
            <w:tcW w:w="120" w:type="dxa"/>
            <w:vAlign w:val="bottom"/>
          </w:tcPr>
          <w:p>
            <w:pPr>
              <w:spacing w:after="0"/>
              <w:rPr>
                <w:sz w:val="15"/>
                <w:szCs w:val="15"/>
                <w:color w:val="auto"/>
              </w:rPr>
            </w:pPr>
          </w:p>
        </w:tc>
        <w:tc>
          <w:tcPr>
            <w:tcW w:w="11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5"/>
                <w:szCs w:val="15"/>
                <w:color w:val="auto"/>
              </w:rPr>
            </w:pP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5"/>
                <w:szCs w:val="15"/>
                <w:color w:val="auto"/>
              </w:rPr>
            </w:pPr>
          </w:p>
        </w:tc>
        <w:tc>
          <w:tcPr>
            <w:tcW w:w="12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D1D2D4"/>
            </w:tcBorders>
          </w:tcPr>
          <w:p>
            <w:pPr>
              <w:ind w:left="300"/>
              <w:spacing w:after="0"/>
              <w:rPr>
                <w:sz w:val="20"/>
                <w:szCs w:val="20"/>
                <w:color w:val="auto"/>
              </w:rPr>
            </w:pPr>
            <w:r>
              <w:rPr>
                <w:rFonts w:ascii="Times New Roman" w:cs="Times New Roman" w:eastAsia="Times New Roman" w:hAnsi="Times New Roman"/>
                <w:sz w:val="18"/>
                <w:szCs w:val="18"/>
                <w:color w:val="auto"/>
              </w:rPr>
              <w:t>tax exposures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742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b w:val="1"/>
                <w:bCs w:val="1"/>
                <w:color w:val="auto"/>
              </w:rPr>
              <w:t>Non-GAAP net income attributable to Micron</w:t>
            </w:r>
          </w:p>
        </w:tc>
        <w:tc>
          <w:tcPr>
            <w:tcW w:w="120" w:type="dxa"/>
            <w:vAlign w:val="bottom"/>
            <w:tcBorders>
              <w:bottom w:val="single" w:sz="8" w:color="auto"/>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548</w:t>
            </w:r>
          </w:p>
        </w:tc>
        <w:tc>
          <w:tcPr>
            <w:tcW w:w="220" w:type="dxa"/>
            <w:vAlign w:val="bottom"/>
            <w:tcBorders>
              <w:bottom w:val="single" w:sz="8" w:color="auto"/>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637</w:t>
            </w:r>
          </w:p>
        </w:tc>
        <w:tc>
          <w:tcPr>
            <w:tcW w:w="160" w:type="dxa"/>
            <w:vAlign w:val="bottom"/>
            <w:tcBorders>
              <w:bottom w:val="single" w:sz="8" w:color="auto"/>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D1D2D4"/>
          </w:tcPr>
          <w:p>
            <w:pPr>
              <w:jc w:val="right"/>
              <w:ind w:right="70"/>
              <w:spacing w:after="0"/>
              <w:rPr>
                <w:sz w:val="20"/>
                <w:szCs w:val="20"/>
                <w:color w:val="auto"/>
              </w:rPr>
            </w:pPr>
            <w:r>
              <w:rPr>
                <w:rFonts w:ascii="Times New Roman" w:cs="Times New Roman" w:eastAsia="Times New Roman" w:hAnsi="Times New Roman"/>
                <w:sz w:val="18"/>
                <w:szCs w:val="18"/>
                <w:color w:val="auto"/>
              </w:rPr>
              <w:t>3,508</w:t>
            </w:r>
          </w:p>
        </w:tc>
        <w:tc>
          <w:tcPr>
            <w:tcW w:w="0" w:type="dxa"/>
            <w:vAlign w:val="bottom"/>
          </w:tcPr>
          <w:p>
            <w:pPr>
              <w:spacing w:after="0"/>
              <w:rPr>
                <w:sz w:val="1"/>
                <w:szCs w:val="1"/>
                <w:color w:val="auto"/>
              </w:rPr>
            </w:pPr>
          </w:p>
        </w:tc>
      </w:tr>
      <w:tr>
        <w:trPr>
          <w:trHeight w:val="20"/>
        </w:trPr>
        <w:tc>
          <w:tcPr>
            <w:tcW w:w="742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420" w:type="dxa"/>
            <w:vAlign w:val="bottom"/>
            <w:shd w:val="clear" w:color="auto" w:fill="D1D2D4"/>
          </w:tcPr>
          <w:p>
            <w:pPr>
              <w:ind w:left="20"/>
              <w:spacing w:after="0"/>
              <w:rPr>
                <w:sz w:val="20"/>
                <w:szCs w:val="20"/>
                <w:color w:val="auto"/>
              </w:rPr>
            </w:pPr>
            <w:r>
              <w:rPr>
                <w:rFonts w:ascii="Times New Roman" w:cs="Times New Roman" w:eastAsia="Times New Roman" w:hAnsi="Times New Roman"/>
                <w:sz w:val="18"/>
                <w:szCs w:val="18"/>
                <w:b w:val="1"/>
                <w:bCs w:val="1"/>
                <w:color w:val="auto"/>
              </w:rPr>
              <w:t>GAAP weighted-average common shares outstanding - Diluted</w:t>
            </w:r>
          </w:p>
        </w:tc>
        <w:tc>
          <w:tcPr>
            <w:tcW w:w="120" w:type="dxa"/>
            <w:vAlign w:val="bottom"/>
            <w:shd w:val="clear" w:color="auto" w:fill="D1D2D4"/>
          </w:tcPr>
          <w:p>
            <w:pPr>
              <w:spacing w:after="0"/>
              <w:rPr>
                <w:sz w:val="23"/>
                <w:szCs w:val="23"/>
                <w:color w:val="auto"/>
              </w:rPr>
            </w:pPr>
          </w:p>
        </w:tc>
        <w:tc>
          <w:tcPr>
            <w:tcW w:w="1160" w:type="dxa"/>
            <w:vAlign w:val="bottom"/>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1,129</w:t>
            </w:r>
          </w:p>
        </w:tc>
        <w:tc>
          <w:tcPr>
            <w:tcW w:w="220" w:type="dxa"/>
            <w:vAlign w:val="bottom"/>
            <w:shd w:val="clear" w:color="auto" w:fill="D1D2D4"/>
          </w:tcPr>
          <w:p>
            <w:pPr>
              <w:spacing w:after="0"/>
              <w:rPr>
                <w:sz w:val="23"/>
                <w:szCs w:val="23"/>
                <w:color w:val="auto"/>
              </w:rPr>
            </w:pPr>
          </w:p>
        </w:tc>
        <w:tc>
          <w:tcPr>
            <w:tcW w:w="1100" w:type="dxa"/>
            <w:vAlign w:val="bottom"/>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1,128</w:t>
            </w:r>
          </w:p>
        </w:tc>
        <w:tc>
          <w:tcPr>
            <w:tcW w:w="160" w:type="dxa"/>
            <w:vAlign w:val="bottom"/>
            <w:shd w:val="clear" w:color="auto" w:fill="D1D2D4"/>
          </w:tcPr>
          <w:p>
            <w:pPr>
              <w:spacing w:after="0"/>
              <w:rPr>
                <w:sz w:val="23"/>
                <w:szCs w:val="23"/>
                <w:color w:val="auto"/>
              </w:rPr>
            </w:pPr>
          </w:p>
        </w:tc>
        <w:tc>
          <w:tcPr>
            <w:tcW w:w="1220" w:type="dxa"/>
            <w:vAlign w:val="bottom"/>
            <w:shd w:val="clear" w:color="auto" w:fill="D1D2D4"/>
          </w:tcPr>
          <w:p>
            <w:pPr>
              <w:jc w:val="right"/>
              <w:ind w:right="70"/>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270"/>
        </w:trPr>
        <w:tc>
          <w:tcPr>
            <w:tcW w:w="7420" w:type="dxa"/>
            <w:vAlign w:val="bottom"/>
            <w:tcBorders>
              <w:bottom w:val="single" w:sz="8" w:color="D1D2D4"/>
            </w:tcBorders>
          </w:tcPr>
          <w:p>
            <w:pPr>
              <w:ind w:left="140"/>
              <w:spacing w:after="0"/>
              <w:rPr>
                <w:sz w:val="20"/>
                <w:szCs w:val="20"/>
                <w:color w:val="auto"/>
              </w:rPr>
            </w:pPr>
            <w:r>
              <w:rPr>
                <w:rFonts w:ascii="Times New Roman" w:cs="Times New Roman" w:eastAsia="Times New Roman" w:hAnsi="Times New Roman"/>
                <w:sz w:val="18"/>
                <w:szCs w:val="18"/>
                <w:color w:val="auto"/>
              </w:rPr>
              <w:t>Adjustment for capped calls and stock-based compensation</w:t>
            </w:r>
          </w:p>
        </w:tc>
        <w:tc>
          <w:tcPr>
            <w:tcW w:w="1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89"/>
        </w:trPr>
        <w:tc>
          <w:tcPr>
            <w:tcW w:w="742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b w:val="1"/>
                <w:bCs w:val="1"/>
                <w:color w:val="auto"/>
              </w:rPr>
              <w:t>Non-GAAP weighted-average common shares outstanding - Diluted</w:t>
            </w:r>
          </w:p>
        </w:tc>
        <w:tc>
          <w:tcPr>
            <w:tcW w:w="120" w:type="dxa"/>
            <w:vAlign w:val="bottom"/>
            <w:tcBorders>
              <w:bottom w:val="single" w:sz="8" w:color="auto"/>
            </w:tcBorders>
            <w:shd w:val="clear" w:color="auto" w:fill="D1D2D4"/>
          </w:tcPr>
          <w:p>
            <w:pPr>
              <w:spacing w:after="0"/>
              <w:rPr>
                <w:sz w:val="24"/>
                <w:szCs w:val="24"/>
                <w:color w:val="auto"/>
              </w:rPr>
            </w:pPr>
          </w:p>
        </w:tc>
        <w:tc>
          <w:tcPr>
            <w:tcW w:w="1160" w:type="dxa"/>
            <w:vAlign w:val="bottom"/>
            <w:tcBorders>
              <w:bottom w:val="single" w:sz="8" w:color="auto"/>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1,138</w:t>
            </w:r>
          </w:p>
        </w:tc>
        <w:tc>
          <w:tcPr>
            <w:tcW w:w="220" w:type="dxa"/>
            <w:vAlign w:val="bottom"/>
            <w:tcBorders>
              <w:bottom w:val="single" w:sz="8" w:color="auto"/>
            </w:tcBorders>
            <w:shd w:val="clear" w:color="auto" w:fill="D1D2D4"/>
          </w:tcPr>
          <w:p>
            <w:pPr>
              <w:spacing w:after="0"/>
              <w:rPr>
                <w:sz w:val="24"/>
                <w:szCs w:val="24"/>
                <w:color w:val="auto"/>
              </w:rPr>
            </w:pPr>
          </w:p>
        </w:tc>
        <w:tc>
          <w:tcPr>
            <w:tcW w:w="1100" w:type="dxa"/>
            <w:vAlign w:val="bottom"/>
            <w:tcBorders>
              <w:bottom w:val="single" w:sz="8" w:color="auto"/>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1,134</w:t>
            </w:r>
          </w:p>
        </w:tc>
        <w:tc>
          <w:tcPr>
            <w:tcW w:w="160" w:type="dxa"/>
            <w:vAlign w:val="bottom"/>
            <w:tcBorders>
              <w:bottom w:val="single" w:sz="8" w:color="auto"/>
            </w:tcBorders>
            <w:shd w:val="clear" w:color="auto" w:fill="D1D2D4"/>
          </w:tcPr>
          <w:p>
            <w:pPr>
              <w:spacing w:after="0"/>
              <w:rPr>
                <w:sz w:val="24"/>
                <w:szCs w:val="24"/>
                <w:color w:val="auto"/>
              </w:rPr>
            </w:pPr>
          </w:p>
        </w:tc>
        <w:tc>
          <w:tcPr>
            <w:tcW w:w="1220" w:type="dxa"/>
            <w:vAlign w:val="bottom"/>
            <w:tcBorders>
              <w:bottom w:val="single" w:sz="8" w:color="auto"/>
            </w:tcBorders>
            <w:shd w:val="clear" w:color="auto" w:fill="D1D2D4"/>
          </w:tcPr>
          <w:p>
            <w:pPr>
              <w:jc w:val="right"/>
              <w:ind w:right="70"/>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0"/>
        </w:trPr>
        <w:tc>
          <w:tcPr>
            <w:tcW w:w="742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420" w:type="dxa"/>
            <w:vAlign w:val="bottom"/>
            <w:shd w:val="clear" w:color="auto" w:fill="D1D2D4"/>
          </w:tcPr>
          <w:p>
            <w:pPr>
              <w:ind w:left="20"/>
              <w:spacing w:after="0"/>
              <w:rPr>
                <w:sz w:val="20"/>
                <w:szCs w:val="20"/>
                <w:color w:val="auto"/>
              </w:rPr>
            </w:pPr>
            <w:r>
              <w:rPr>
                <w:rFonts w:ascii="Times New Roman" w:cs="Times New Roman" w:eastAsia="Times New Roman" w:hAnsi="Times New Roman"/>
                <w:sz w:val="18"/>
                <w:szCs w:val="18"/>
                <w:b w:val="1"/>
                <w:bCs w:val="1"/>
                <w:color w:val="auto"/>
              </w:rPr>
              <w:t>GAAP diluted earnings per share</w:t>
            </w:r>
          </w:p>
        </w:tc>
        <w:tc>
          <w:tcPr>
            <w:tcW w:w="120" w:type="dxa"/>
            <w:vAlign w:val="bottom"/>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0.43</w:t>
            </w:r>
          </w:p>
        </w:tc>
        <w:tc>
          <w:tcPr>
            <w:tcW w:w="220" w:type="dxa"/>
            <w:vAlign w:val="bottom"/>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0.49</w:t>
            </w:r>
          </w:p>
        </w:tc>
        <w:tc>
          <w:tcPr>
            <w:tcW w:w="160" w:type="dxa"/>
            <w:vAlign w:val="bottom"/>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D1D2D4"/>
          </w:tcPr>
          <w:p>
            <w:pPr>
              <w:jc w:val="right"/>
              <w:ind w:right="7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70"/>
        </w:trPr>
        <w:tc>
          <w:tcPr>
            <w:tcW w:w="7420" w:type="dxa"/>
            <w:vAlign w:val="bottom"/>
            <w:tcBorders>
              <w:bottom w:val="single" w:sz="8" w:color="D1D2D4"/>
            </w:tcBorders>
          </w:tcPr>
          <w:p>
            <w:pPr>
              <w:ind w:left="140"/>
              <w:spacing w:after="0"/>
              <w:rPr>
                <w:sz w:val="20"/>
                <w:szCs w:val="20"/>
                <w:color w:val="auto"/>
              </w:rPr>
            </w:pPr>
            <w:r>
              <w:rPr>
                <w:rFonts w:ascii="Times New Roman" w:cs="Times New Roman" w:eastAsia="Times New Roman" w:hAnsi="Times New Roman"/>
                <w:sz w:val="18"/>
                <w:szCs w:val="18"/>
                <w:color w:val="auto"/>
              </w:rPr>
              <w:t>Effects of the above adjustments</w:t>
            </w:r>
          </w:p>
        </w:tc>
        <w:tc>
          <w:tcPr>
            <w:tcW w:w="1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89"/>
        </w:trPr>
        <w:tc>
          <w:tcPr>
            <w:tcW w:w="742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b w:val="1"/>
                <w:bCs w:val="1"/>
                <w:color w:val="auto"/>
              </w:rPr>
              <w:t>Non-GAAP diluted earnings per share</w:t>
            </w:r>
          </w:p>
        </w:tc>
        <w:tc>
          <w:tcPr>
            <w:tcW w:w="120" w:type="dxa"/>
            <w:vAlign w:val="bottom"/>
            <w:tcBorders>
              <w:bottom w:val="single" w:sz="8" w:color="auto"/>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0.48</w:t>
            </w:r>
          </w:p>
        </w:tc>
        <w:tc>
          <w:tcPr>
            <w:tcW w:w="220" w:type="dxa"/>
            <w:vAlign w:val="bottom"/>
            <w:tcBorders>
              <w:bottom w:val="single" w:sz="8" w:color="auto"/>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0.56</w:t>
            </w:r>
          </w:p>
        </w:tc>
        <w:tc>
          <w:tcPr>
            <w:tcW w:w="160" w:type="dxa"/>
            <w:vAlign w:val="bottom"/>
            <w:tcBorders>
              <w:bottom w:val="single" w:sz="8" w:color="auto"/>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D1D2D4"/>
          </w:tcPr>
          <w:p>
            <w:pPr>
              <w:jc w:val="right"/>
              <w:ind w:right="7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0"/>
        </w:trPr>
        <w:tc>
          <w:tcPr>
            <w:tcW w:w="742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8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30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60" w:top="884"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53"/>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GAAP TO NON-GAAP MEASURES, Continued</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501"/>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1st Qtr.</w:t>
            </w:r>
          </w:p>
        </w:tc>
        <w:tc>
          <w:tcPr>
            <w:tcW w:w="220" w:type="dxa"/>
            <w:vAlign w:val="bottom"/>
          </w:tcPr>
          <w:p>
            <w:pPr>
              <w:spacing w:after="0"/>
              <w:rPr>
                <w:sz w:val="24"/>
                <w:szCs w:val="24"/>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4th Qtr.</w:t>
            </w:r>
          </w:p>
        </w:tc>
        <w:tc>
          <w:tcPr>
            <w:tcW w:w="160" w:type="dxa"/>
            <w:vAlign w:val="bottom"/>
          </w:tcPr>
          <w:p>
            <w:pPr>
              <w:spacing w:after="0"/>
              <w:rPr>
                <w:sz w:val="24"/>
                <w:szCs w:val="24"/>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1st Qtr.</w:t>
            </w:r>
          </w:p>
        </w:tc>
      </w:tr>
      <w:tr>
        <w:trPr>
          <w:trHeight w:val="248"/>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November 28,</w:t>
            </w:r>
          </w:p>
        </w:tc>
        <w:tc>
          <w:tcPr>
            <w:tcW w:w="220" w:type="dxa"/>
            <w:vAlign w:val="bottom"/>
          </w:tcPr>
          <w:p>
            <w:pPr>
              <w:spacing w:after="0"/>
              <w:rPr>
                <w:sz w:val="21"/>
                <w:szCs w:val="21"/>
                <w:color w:val="auto"/>
              </w:rPr>
            </w:pP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August 29,</w:t>
            </w:r>
          </w:p>
        </w:tc>
        <w:tc>
          <w:tcPr>
            <w:tcW w:w="160" w:type="dxa"/>
            <w:vAlign w:val="bottom"/>
          </w:tcPr>
          <w:p>
            <w:pPr>
              <w:spacing w:after="0"/>
              <w:rPr>
                <w:sz w:val="21"/>
                <w:szCs w:val="21"/>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November 29,</w:t>
            </w:r>
          </w:p>
        </w:tc>
      </w:tr>
      <w:tr>
        <w:trPr>
          <w:trHeight w:val="238"/>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2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6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20" w:type="dxa"/>
            <w:vAlign w:val="bottom"/>
          </w:tcPr>
          <w:p>
            <w:pPr>
              <w:spacing w:after="0"/>
              <w:rPr>
                <w:sz w:val="2"/>
                <w:szCs w:val="2"/>
                <w:color w:val="auto"/>
              </w:rPr>
            </w:pPr>
          </w:p>
        </w:tc>
        <w:tc>
          <w:tcPr>
            <w:tcW w:w="7420" w:type="dxa"/>
            <w:vAlign w:val="bottom"/>
            <w:tcBorders>
              <w:bottom w:val="single" w:sz="8" w:color="0090DA"/>
            </w:tcBorders>
          </w:tcPr>
          <w:p>
            <w:pPr>
              <w:spacing w:after="0"/>
              <w:rPr>
                <w:sz w:val="2"/>
                <w:szCs w:val="2"/>
                <w:color w:val="auto"/>
              </w:rPr>
            </w:pPr>
          </w:p>
        </w:tc>
        <w:tc>
          <w:tcPr>
            <w:tcW w:w="120" w:type="dxa"/>
            <w:vAlign w:val="bottom"/>
            <w:tcBorders>
              <w:bottom w:val="single" w:sz="8" w:color="0090DA"/>
            </w:tcBorders>
          </w:tcPr>
          <w:p>
            <w:pPr>
              <w:spacing w:after="0"/>
              <w:rPr>
                <w:sz w:val="2"/>
                <w:szCs w:val="2"/>
                <w:color w:val="auto"/>
              </w:rPr>
            </w:pPr>
          </w:p>
        </w:tc>
        <w:tc>
          <w:tcPr>
            <w:tcW w:w="1160" w:type="dxa"/>
            <w:vAlign w:val="bottom"/>
            <w:tcBorders>
              <w:bottom w:val="single" w:sz="8" w:color="0090DA"/>
            </w:tcBorders>
          </w:tcPr>
          <w:p>
            <w:pPr>
              <w:spacing w:after="0"/>
              <w:rPr>
                <w:sz w:val="2"/>
                <w:szCs w:val="2"/>
                <w:color w:val="auto"/>
              </w:rPr>
            </w:pPr>
          </w:p>
        </w:tc>
        <w:tc>
          <w:tcPr>
            <w:tcW w:w="220" w:type="dxa"/>
            <w:vAlign w:val="bottom"/>
            <w:tcBorders>
              <w:bottom w:val="single" w:sz="8" w:color="0090DA"/>
            </w:tcBorders>
          </w:tcPr>
          <w:p>
            <w:pPr>
              <w:spacing w:after="0"/>
              <w:rPr>
                <w:sz w:val="2"/>
                <w:szCs w:val="2"/>
                <w:color w:val="auto"/>
              </w:rPr>
            </w:pPr>
          </w:p>
        </w:tc>
        <w:tc>
          <w:tcPr>
            <w:tcW w:w="1100" w:type="dxa"/>
            <w:vAlign w:val="bottom"/>
            <w:tcBorders>
              <w:bottom w:val="single" w:sz="8" w:color="0090DA"/>
            </w:tcBorders>
          </w:tcPr>
          <w:p>
            <w:pPr>
              <w:spacing w:after="0"/>
              <w:rPr>
                <w:sz w:val="2"/>
                <w:szCs w:val="2"/>
                <w:color w:val="auto"/>
              </w:rPr>
            </w:pPr>
          </w:p>
        </w:tc>
        <w:tc>
          <w:tcPr>
            <w:tcW w:w="160" w:type="dxa"/>
            <w:vAlign w:val="bottom"/>
            <w:tcBorders>
              <w:bottom w:val="single" w:sz="8" w:color="0090DA"/>
            </w:tcBorders>
          </w:tcPr>
          <w:p>
            <w:pPr>
              <w:spacing w:after="0"/>
              <w:rPr>
                <w:sz w:val="2"/>
                <w:szCs w:val="2"/>
                <w:color w:val="auto"/>
              </w:rPr>
            </w:pPr>
          </w:p>
        </w:tc>
        <w:tc>
          <w:tcPr>
            <w:tcW w:w="1220" w:type="dxa"/>
            <w:vAlign w:val="bottom"/>
            <w:tcBorders>
              <w:bottom w:val="single" w:sz="8" w:color="0090DA"/>
            </w:tcBorders>
          </w:tcPr>
          <w:p>
            <w:pPr>
              <w:spacing w:after="0"/>
              <w:rPr>
                <w:sz w:val="2"/>
                <w:szCs w:val="2"/>
                <w:color w:val="auto"/>
              </w:rPr>
            </w:pPr>
          </w:p>
        </w:tc>
      </w:tr>
      <w:tr>
        <w:trPr>
          <w:trHeight w:val="34"/>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420" w:type="dxa"/>
            <w:vAlign w:val="bottom"/>
            <w:shd w:val="clear" w:color="auto" w:fill="D1D2D4"/>
          </w:tcPr>
          <w:p>
            <w:pPr>
              <w:ind w:left="20"/>
              <w:spacing w:after="0"/>
              <w:rPr>
                <w:sz w:val="20"/>
                <w:szCs w:val="20"/>
                <w:color w:val="auto"/>
              </w:rPr>
            </w:pPr>
            <w:r>
              <w:rPr>
                <w:rFonts w:ascii="Times New Roman" w:cs="Times New Roman" w:eastAsia="Times New Roman" w:hAnsi="Times New Roman"/>
                <w:sz w:val="18"/>
                <w:szCs w:val="18"/>
                <w:b w:val="1"/>
                <w:bCs w:val="1"/>
                <w:color w:val="auto"/>
              </w:rPr>
              <w:t>GAAP net cash provided by operating activities</w:t>
            </w:r>
          </w:p>
        </w:tc>
        <w:tc>
          <w:tcPr>
            <w:tcW w:w="120" w:type="dxa"/>
            <w:vAlign w:val="bottom"/>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2,011</w:t>
            </w:r>
          </w:p>
        </w:tc>
        <w:tc>
          <w:tcPr>
            <w:tcW w:w="220" w:type="dxa"/>
            <w:vAlign w:val="bottom"/>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2,233</w:t>
            </w:r>
          </w:p>
        </w:tc>
        <w:tc>
          <w:tcPr>
            <w:tcW w:w="160" w:type="dxa"/>
            <w:vAlign w:val="bottom"/>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D1D2D4"/>
          </w:tcPr>
          <w:p>
            <w:pPr>
              <w:jc w:val="right"/>
              <w:ind w:right="70"/>
              <w:spacing w:after="0"/>
              <w:rPr>
                <w:sz w:val="20"/>
                <w:szCs w:val="20"/>
                <w:color w:val="auto"/>
              </w:rPr>
            </w:pPr>
            <w:r>
              <w:rPr>
                <w:rFonts w:ascii="Times New Roman" w:cs="Times New Roman" w:eastAsia="Times New Roman" w:hAnsi="Times New Roman"/>
                <w:sz w:val="18"/>
                <w:szCs w:val="18"/>
                <w:color w:val="auto"/>
              </w:rPr>
              <w:t>4,810</w:t>
            </w:r>
          </w:p>
        </w:tc>
      </w:tr>
      <w:tr>
        <w:trPr>
          <w:trHeight w:val="270"/>
        </w:trPr>
        <w:tc>
          <w:tcPr>
            <w:tcW w:w="20" w:type="dxa"/>
            <w:vAlign w:val="bottom"/>
          </w:tcPr>
          <w:p>
            <w:pPr>
              <w:spacing w:after="0"/>
              <w:rPr>
                <w:sz w:val="23"/>
                <w:szCs w:val="23"/>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Expenditures for property, plant, and equipment</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(2,700)</w:t>
            </w:r>
          </w:p>
        </w:tc>
      </w:tr>
      <w:tr>
        <w:trPr>
          <w:trHeight w:val="270"/>
        </w:trPr>
        <w:tc>
          <w:tcPr>
            <w:tcW w:w="20" w:type="dxa"/>
            <w:vAlign w:val="bottom"/>
          </w:tcPr>
          <w:p>
            <w:pPr>
              <w:spacing w:after="0"/>
              <w:rPr>
                <w:sz w:val="23"/>
                <w:szCs w:val="23"/>
                <w:color w:val="auto"/>
              </w:rPr>
            </w:pPr>
          </w:p>
        </w:tc>
        <w:tc>
          <w:tcPr>
            <w:tcW w:w="7420" w:type="dxa"/>
            <w:vAlign w:val="bottom"/>
            <w:shd w:val="clear" w:color="auto" w:fill="D1D2D4"/>
          </w:tcPr>
          <w:p>
            <w:pPr>
              <w:ind w:left="140"/>
              <w:spacing w:after="0"/>
              <w:rPr>
                <w:sz w:val="20"/>
                <w:szCs w:val="20"/>
                <w:color w:val="auto"/>
              </w:rPr>
            </w:pPr>
            <w:r>
              <w:rPr>
                <w:rFonts w:ascii="Times New Roman" w:cs="Times New Roman" w:eastAsia="Times New Roman" w:hAnsi="Times New Roman"/>
                <w:sz w:val="18"/>
                <w:szCs w:val="18"/>
                <w:color w:val="auto"/>
              </w:rPr>
              <w:t>Payments on equipment purchase contracts</w:t>
            </w:r>
          </w:p>
        </w:tc>
        <w:tc>
          <w:tcPr>
            <w:tcW w:w="120" w:type="dxa"/>
            <w:vAlign w:val="bottom"/>
            <w:shd w:val="clear" w:color="auto" w:fill="D1D2D4"/>
          </w:tcPr>
          <w:p>
            <w:pPr>
              <w:spacing w:after="0"/>
              <w:rPr>
                <w:sz w:val="23"/>
                <w:szCs w:val="23"/>
                <w:color w:val="auto"/>
              </w:rPr>
            </w:pPr>
          </w:p>
        </w:tc>
        <w:tc>
          <w:tcPr>
            <w:tcW w:w="1160" w:type="dxa"/>
            <w:vAlign w:val="bottom"/>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D1D2D4"/>
          </w:tcPr>
          <w:p>
            <w:pPr>
              <w:spacing w:after="0"/>
              <w:rPr>
                <w:sz w:val="23"/>
                <w:szCs w:val="23"/>
                <w:color w:val="auto"/>
              </w:rPr>
            </w:pPr>
          </w:p>
        </w:tc>
        <w:tc>
          <w:tcPr>
            <w:tcW w:w="1100" w:type="dxa"/>
            <w:vAlign w:val="bottom"/>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D1D2D4"/>
          </w:tcPr>
          <w:p>
            <w:pPr>
              <w:spacing w:after="0"/>
              <w:rPr>
                <w:sz w:val="23"/>
                <w:szCs w:val="23"/>
                <w:color w:val="auto"/>
              </w:rPr>
            </w:pPr>
          </w:p>
        </w:tc>
        <w:tc>
          <w:tcPr>
            <w:tcW w:w="1220" w:type="dxa"/>
            <w:vAlign w:val="bottom"/>
            <w:shd w:val="clear" w:color="auto" w:fill="D1D2D4"/>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20" w:type="dxa"/>
            <w:vAlign w:val="bottom"/>
          </w:tcPr>
          <w:p>
            <w:pPr>
              <w:spacing w:after="0"/>
              <w:rPr>
                <w:sz w:val="23"/>
                <w:szCs w:val="23"/>
                <w:color w:val="auto"/>
              </w:rPr>
            </w:pPr>
          </w:p>
        </w:tc>
        <w:tc>
          <w:tcPr>
            <w:tcW w:w="7420" w:type="dxa"/>
            <w:vAlign w:val="bottom"/>
            <w:tcBorders>
              <w:bottom w:val="single" w:sz="8" w:color="D1D2D4"/>
            </w:tcBorders>
          </w:tcPr>
          <w:p>
            <w:pPr>
              <w:ind w:left="140"/>
              <w:spacing w:after="0"/>
              <w:rPr>
                <w:sz w:val="20"/>
                <w:szCs w:val="20"/>
                <w:color w:val="auto"/>
              </w:rPr>
            </w:pPr>
            <w:r>
              <w:rPr>
                <w:rFonts w:ascii="Times New Roman" w:cs="Times New Roman" w:eastAsia="Times New Roman" w:hAnsi="Times New Roman"/>
                <w:sz w:val="18"/>
                <w:szCs w:val="18"/>
                <w:color w:val="auto"/>
              </w:rPr>
              <w:t>Amounts funded by partners</w:t>
            </w:r>
          </w:p>
        </w:tc>
        <w:tc>
          <w:tcPr>
            <w:tcW w:w="1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236</w:t>
            </w:r>
          </w:p>
        </w:tc>
      </w:tr>
      <w:tr>
        <w:trPr>
          <w:trHeight w:val="289"/>
        </w:trPr>
        <w:tc>
          <w:tcPr>
            <w:tcW w:w="20" w:type="dxa"/>
            <w:vAlign w:val="bottom"/>
          </w:tcPr>
          <w:p>
            <w:pPr>
              <w:spacing w:after="0"/>
              <w:rPr>
                <w:sz w:val="24"/>
                <w:szCs w:val="24"/>
                <w:color w:val="auto"/>
              </w:rPr>
            </w:pPr>
          </w:p>
        </w:tc>
        <w:tc>
          <w:tcPr>
            <w:tcW w:w="7420" w:type="dxa"/>
            <w:vAlign w:val="bottom"/>
            <w:tcBorders>
              <w:bottom w:val="single" w:sz="8" w:color="D1D2D4"/>
            </w:tcBorders>
            <w:shd w:val="clear" w:color="auto" w:fill="D1D2D4"/>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120" w:type="dxa"/>
            <w:vAlign w:val="bottom"/>
            <w:tcBorders>
              <w:bottom w:val="single" w:sz="8" w:color="auto"/>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Borders>
              <w:bottom w:val="single" w:sz="8" w:color="auto"/>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D1D2D4"/>
          </w:tcPr>
          <w:p>
            <w:pPr>
              <w:jc w:val="right"/>
              <w:ind w:right="10"/>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tcBorders>
              <w:bottom w:val="single" w:sz="8" w:color="auto"/>
            </w:tcBorders>
            <w:shd w:val="clear" w:color="auto" w:fill="D1D2D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D1D2D4"/>
          </w:tcPr>
          <w:p>
            <w:pPr>
              <w:jc w:val="right"/>
              <w:ind w:right="70"/>
              <w:spacing w:after="0"/>
              <w:rPr>
                <w:sz w:val="20"/>
                <w:szCs w:val="20"/>
                <w:color w:val="auto"/>
              </w:rPr>
            </w:pPr>
            <w:r>
              <w:rPr>
                <w:rFonts w:ascii="Times New Roman" w:cs="Times New Roman" w:eastAsia="Times New Roman" w:hAnsi="Times New Roman"/>
                <w:sz w:val="18"/>
                <w:szCs w:val="18"/>
                <w:color w:val="auto"/>
              </w:rPr>
              <w:t>2,326</w:t>
            </w: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84" w:right="239" w:bottom="1440" w:gutter="0" w:footer="0" w:header="0"/>
        </w:sectPr>
      </w:pP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71120</wp:posOffset>
            </wp:positionV>
            <wp:extent cx="72377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36830</wp:posOffset>
            </wp:positionV>
            <wp:extent cx="72377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1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Cash and short-term investments</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Current and noncurrent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723773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Long-term marketable investments</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Current and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7237730" cy="19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197485"/>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cash</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November 28,</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August 29,</w:t>
            </w:r>
          </w:p>
        </w:tc>
      </w:tr>
      <w:tr>
        <w:trPr>
          <w:trHeight w:val="238"/>
        </w:trPr>
        <w:tc>
          <w:tcPr>
            <w:tcW w:w="1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324"/>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7,588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7,955</w:t>
            </w:r>
          </w:p>
        </w:tc>
      </w:tr>
      <w:tr>
        <w:trPr>
          <w:trHeight w:val="270"/>
        </w:trPr>
        <w:tc>
          <w:tcPr>
            <w:tcW w:w="1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127</w:t>
            </w:r>
          </w:p>
        </w:tc>
      </w:tr>
      <w:tr>
        <w:trPr>
          <w:trHeight w:val="270"/>
        </w:trPr>
        <w:tc>
          <w:tcPr>
            <w:tcW w:w="1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599</w:t>
            </w:r>
          </w:p>
        </w:tc>
        <w:tc>
          <w:tcPr>
            <w:tcW w:w="22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1,164</w:t>
            </w:r>
          </w:p>
        </w:tc>
      </w:tr>
      <w:tr>
        <w:trPr>
          <w:trHeight w:val="270"/>
        </w:trPr>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2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(5,851)</w:t>
            </w:r>
          </w:p>
        </w:tc>
      </w:tr>
      <w:tr>
        <w:trPr>
          <w:trHeight w:val="27"/>
        </w:trPr>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3,395</w:t>
            </w:r>
          </w:p>
        </w:tc>
      </w:tr>
      <w:tr>
        <w:trPr>
          <w:trHeight w:val="27"/>
        </w:trPr>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
        </w:trPr>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60" w:space="720"/>
            <w:col w:w="2640"/>
          </w:cols>
          <w:pgMar w:left="240" w:top="884" w:right="239" w:bottom="1440" w:gutter="0" w:footer="0" w:header="0"/>
          <w:type w:val="continuous"/>
        </w:sectPr>
      </w:pPr>
    </w:p>
    <w:p>
      <w:pPr>
        <w:spacing w:after="0" w:line="12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tables above reconcile GAAP to non-GAAP measures of gross margin, operating income, net income attributable to Micron, diluted shares, diluted earnings per share, adjusted free cash flow, and net cash.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numbers presented in accordance with U.S. GAAP and therefore may not be comparable to amounts reported by other companies. Our management excludes the following items in analyzing our operating results and understanding trends in our earnings:</w:t>
      </w:r>
    </w:p>
    <w:p>
      <w:pPr>
        <w:spacing w:after="0" w:line="21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Flow-through of business acquisition-related inventory adjustments;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Start-up and preproduction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severance;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our convertible debt and MMJ creditor debt;</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debt repurchases and conversions;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business acquisition activities;</w:t>
      </w:r>
    </w:p>
    <w:p>
      <w:pPr>
        <w:spacing w:after="0" w:line="9" w:lineRule="exact"/>
        <w:rPr>
          <w:rFonts w:ascii="Arial" w:cs="Arial" w:eastAsia="Arial" w:hAnsi="Arial"/>
          <w:sz w:val="18"/>
          <w:szCs w:val="18"/>
          <w:color w:val="auto"/>
        </w:rPr>
      </w:pPr>
    </w:p>
    <w:p>
      <w:pPr>
        <w:ind w:left="660" w:right="64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Impact of U.S. income tax reform for the one-time transition tax, release of U.S. valuation allowance, and remeasurement of net deferred taxes reflecting lower U.S. corporate tax rates; and</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and assessments of tax exposures.</w:t>
      </w:r>
    </w:p>
    <w:p>
      <w:pPr>
        <w:spacing w:after="0" w:line="23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outstanding capped call transactions are anti-dilutive in GAAP earnings per share but are expected to mitigate the dilutive effect of our convertible notes. In periods with non-GAAP income attributable to Micron, non-GAAP diluted shares include the impact of capped calls based on the average share price for the period the capped calls are outstanding. Non-GAAP diluted shares are also adjusted for the impact of additional shares resulting from the exclusion of stock-based compensation from non-GAAP income.</w:t>
      </w:r>
    </w:p>
    <w:p>
      <w:pPr>
        <w:sectPr>
          <w:pgSz w:w="11900" w:h="16838" w:orient="portrait"/>
          <w:cols w:equalWidth="0" w:num="1">
            <w:col w:w="11420"/>
          </w:cols>
          <w:pgMar w:left="240" w:top="884" w:right="23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884"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OUTLOOK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2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GAAP Outlook</w:t>
            </w:r>
          </w:p>
        </w:tc>
        <w:tc>
          <w:tcPr>
            <w:tcW w:w="258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Non-GAAP Outlook</w:t>
            </w:r>
          </w:p>
        </w:tc>
      </w:tr>
      <w:tr>
        <w:trPr>
          <w:trHeight w:val="27"/>
        </w:trPr>
        <w:tc>
          <w:tcPr>
            <w:tcW w:w="4380" w:type="dxa"/>
            <w:vAlign w:val="bottom"/>
            <w:tcBorders>
              <w:bottom w:val="single" w:sz="8" w:color="0090DA"/>
            </w:tcBorders>
            <w:gridSpan w:val="2"/>
          </w:tcPr>
          <w:p>
            <w:pPr>
              <w:spacing w:after="0"/>
              <w:rPr>
                <w:sz w:val="2"/>
                <w:szCs w:val="2"/>
                <w:color w:val="auto"/>
              </w:rPr>
            </w:pPr>
          </w:p>
        </w:tc>
        <w:tc>
          <w:tcPr>
            <w:tcW w:w="2160" w:type="dxa"/>
            <w:vAlign w:val="bottom"/>
            <w:tcBorders>
              <w:bottom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Borders>
              <w:bottom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90DA"/>
            </w:tcBorders>
          </w:tcPr>
          <w:p>
            <w:pPr>
              <w:spacing w:after="0"/>
              <w:rPr>
                <w:sz w:val="2"/>
                <w:szCs w:val="2"/>
                <w:color w:val="auto"/>
              </w:rPr>
            </w:pPr>
          </w:p>
        </w:tc>
        <w:tc>
          <w:tcPr>
            <w:tcW w:w="2180" w:type="dxa"/>
            <w:vAlign w:val="bottom"/>
            <w:tcBorders>
              <w:bottom w:val="single" w:sz="8" w:color="0090DA"/>
            </w:tcBorders>
          </w:tcPr>
          <w:p>
            <w:pPr>
              <w:spacing w:after="0"/>
              <w:rPr>
                <w:sz w:val="2"/>
                <w:szCs w:val="2"/>
                <w:color w:val="auto"/>
              </w:rPr>
            </w:pPr>
          </w:p>
        </w:tc>
      </w:tr>
      <w:tr>
        <w:trPr>
          <w:trHeight w:val="34"/>
        </w:trPr>
        <w:tc>
          <w:tcPr>
            <w:tcW w:w="2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70"/>
        </w:trPr>
        <w:tc>
          <w:tcPr>
            <w:tcW w:w="4380" w:type="dxa"/>
            <w:vAlign w:val="bottom"/>
            <w:gridSpan w:val="2"/>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60" w:type="dxa"/>
            <w:vAlign w:val="bottom"/>
            <w:gridSpan w:val="2"/>
            <w:shd w:val="clear" w:color="auto" w:fill="DDDDDD"/>
          </w:tcPr>
          <w:p>
            <w:pPr>
              <w:jc w:val="right"/>
              <w:ind w:right="260"/>
              <w:spacing w:after="0"/>
              <w:rPr>
                <w:sz w:val="20"/>
                <w:szCs w:val="20"/>
                <w:color w:val="auto"/>
              </w:rPr>
            </w:pPr>
            <w:r>
              <w:rPr>
                <w:rFonts w:ascii="Times New Roman" w:cs="Times New Roman" w:eastAsia="Times New Roman" w:hAnsi="Times New Roman"/>
                <w:sz w:val="18"/>
                <w:szCs w:val="18"/>
                <w:color w:val="auto"/>
              </w:rPr>
              <w:t>$4.5 billion - $4.8 billion</w:t>
            </w:r>
          </w:p>
        </w:tc>
        <w:tc>
          <w:tcPr>
            <w:tcW w:w="2580" w:type="dxa"/>
            <w:vAlign w:val="bottom"/>
            <w:gridSpan w:val="3"/>
            <w:shd w:val="clear" w:color="auto" w:fill="DDDDDD"/>
          </w:tcPr>
          <w:p>
            <w:pPr>
              <w:jc w:val="right"/>
              <w:ind w:right="142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DDDDDD"/>
          </w:tcPr>
          <w:p>
            <w:pPr>
              <w:jc w:val="right"/>
              <w:ind w:right="90"/>
              <w:spacing w:after="0"/>
              <w:rPr>
                <w:sz w:val="20"/>
                <w:szCs w:val="20"/>
                <w:color w:val="auto"/>
              </w:rPr>
            </w:pPr>
            <w:r>
              <w:rPr>
                <w:rFonts w:ascii="Times New Roman" w:cs="Times New Roman" w:eastAsia="Times New Roman" w:hAnsi="Times New Roman"/>
                <w:sz w:val="18"/>
                <w:szCs w:val="18"/>
                <w:color w:val="auto"/>
              </w:rPr>
              <w:t>$4.5 billion - $4.8 billion</w:t>
            </w:r>
          </w:p>
        </w:tc>
      </w:tr>
      <w:tr>
        <w:trPr>
          <w:trHeight w:val="27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 ± 1.5%</w:t>
            </w:r>
          </w:p>
        </w:tc>
        <w:tc>
          <w:tcPr>
            <w:tcW w:w="100" w:type="dxa"/>
            <w:vAlign w:val="bottom"/>
          </w:tcPr>
          <w:p>
            <w:pPr>
              <w:spacing w:after="0"/>
              <w:rPr>
                <w:sz w:val="23"/>
                <w:szCs w:val="23"/>
                <w:color w:val="auto"/>
              </w:rPr>
            </w:pPr>
          </w:p>
        </w:tc>
        <w:tc>
          <w:tcPr>
            <w:tcW w:w="258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auto"/>
              </w:rPr>
              <w:t>1% A</w:t>
            </w:r>
          </w:p>
        </w:tc>
        <w:tc>
          <w:tcPr>
            <w:tcW w:w="2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 ± 1.5%</w:t>
            </w:r>
          </w:p>
        </w:tc>
      </w:tr>
      <w:tr>
        <w:trPr>
          <w:trHeight w:val="270"/>
        </w:trPr>
        <w:tc>
          <w:tcPr>
            <w:tcW w:w="4380" w:type="dxa"/>
            <w:vAlign w:val="bottom"/>
            <w:gridSpan w:val="2"/>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60" w:type="dxa"/>
            <w:vAlign w:val="bottom"/>
            <w:gridSpan w:val="2"/>
            <w:shd w:val="clear" w:color="auto" w:fill="DDDDDD"/>
          </w:tcPr>
          <w:p>
            <w:pPr>
              <w:jc w:val="right"/>
              <w:ind w:right="260"/>
              <w:spacing w:after="0"/>
              <w:rPr>
                <w:sz w:val="20"/>
                <w:szCs w:val="20"/>
                <w:color w:val="auto"/>
              </w:rPr>
            </w:pPr>
            <w:r>
              <w:rPr>
                <w:rFonts w:ascii="Times New Roman" w:cs="Times New Roman" w:eastAsia="Times New Roman" w:hAnsi="Times New Roman"/>
                <w:sz w:val="18"/>
                <w:szCs w:val="18"/>
                <w:color w:val="auto"/>
              </w:rPr>
              <w:t>$878 million ± $25 million</w:t>
            </w:r>
          </w:p>
        </w:tc>
        <w:tc>
          <w:tcPr>
            <w:tcW w:w="2580" w:type="dxa"/>
            <w:vAlign w:val="bottom"/>
            <w:gridSpan w:val="3"/>
            <w:shd w:val="clear" w:color="auto" w:fill="DDDDDD"/>
          </w:tcPr>
          <w:p>
            <w:pPr>
              <w:jc w:val="right"/>
              <w:ind w:right="1140"/>
              <w:spacing w:after="0"/>
              <w:rPr>
                <w:sz w:val="20"/>
                <w:szCs w:val="20"/>
                <w:color w:val="auto"/>
              </w:rPr>
            </w:pPr>
            <w:r>
              <w:rPr>
                <w:rFonts w:ascii="Times New Roman" w:cs="Times New Roman" w:eastAsia="Times New Roman" w:hAnsi="Times New Roman"/>
                <w:sz w:val="18"/>
                <w:szCs w:val="18"/>
                <w:color w:val="auto"/>
              </w:rPr>
              <w:t>$53 million  B</w:t>
            </w:r>
          </w:p>
        </w:tc>
        <w:tc>
          <w:tcPr>
            <w:tcW w:w="2180" w:type="dxa"/>
            <w:vAlign w:val="bottom"/>
            <w:shd w:val="clear" w:color="auto" w:fill="DDDDDD"/>
          </w:tcPr>
          <w:p>
            <w:pPr>
              <w:jc w:val="right"/>
              <w:ind w:right="90"/>
              <w:spacing w:after="0"/>
              <w:rPr>
                <w:sz w:val="20"/>
                <w:szCs w:val="20"/>
                <w:color w:val="auto"/>
              </w:rPr>
            </w:pPr>
            <w:r>
              <w:rPr>
                <w:rFonts w:ascii="Times New Roman" w:cs="Times New Roman" w:eastAsia="Times New Roman" w:hAnsi="Times New Roman"/>
                <w:sz w:val="18"/>
                <w:szCs w:val="18"/>
                <w:color w:val="auto"/>
              </w:rPr>
              <w:t>$825 million ± $25 million</w:t>
            </w:r>
          </w:p>
        </w:tc>
      </w:tr>
      <w:tr>
        <w:trPr>
          <w:trHeight w:val="24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 million</w:t>
            </w:r>
          </w:p>
        </w:tc>
        <w:tc>
          <w:tcPr>
            <w:tcW w:w="2580" w:type="dxa"/>
            <w:vAlign w:val="bottom"/>
            <w:gridSpan w:val="3"/>
          </w:tcPr>
          <w:p>
            <w:pPr>
              <w:jc w:val="right"/>
              <w:ind w:right="1140"/>
              <w:spacing w:after="0"/>
              <w:rPr>
                <w:sz w:val="20"/>
                <w:szCs w:val="20"/>
                <w:color w:val="auto"/>
              </w:rPr>
            </w:pPr>
            <w:r>
              <w:rPr>
                <w:rFonts w:ascii="Times New Roman" w:cs="Times New Roman" w:eastAsia="Times New Roman" w:hAnsi="Times New Roman"/>
                <w:sz w:val="18"/>
                <w:szCs w:val="18"/>
                <w:color w:val="auto"/>
              </w:rPr>
              <w:t>$5 million C</w:t>
            </w:r>
          </w:p>
        </w:tc>
        <w:tc>
          <w:tcPr>
            <w:tcW w:w="2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 million</w:t>
            </w:r>
          </w:p>
        </w:tc>
      </w:tr>
      <w:tr>
        <w:trPr>
          <w:trHeight w:val="27"/>
        </w:trPr>
        <w:tc>
          <w:tcPr>
            <w:tcW w:w="4380" w:type="dxa"/>
            <w:vAlign w:val="bottom"/>
            <w:gridSpan w:val="2"/>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70"/>
        </w:trPr>
        <w:tc>
          <w:tcPr>
            <w:tcW w:w="4380" w:type="dxa"/>
            <w:vAlign w:val="bottom"/>
            <w:gridSpan w:val="2"/>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 xml:space="preserve">Diluted earnings per share </w:t>
            </w:r>
            <w:r>
              <w:rPr>
                <w:rFonts w:ascii="Times New Roman" w:cs="Times New Roman" w:eastAsia="Times New Roman" w:hAnsi="Times New Roman"/>
                <w:sz w:val="23"/>
                <w:szCs w:val="23"/>
                <w:color w:val="auto"/>
                <w:vertAlign w:val="superscript"/>
              </w:rPr>
              <w:t>(1)</w:t>
            </w:r>
          </w:p>
        </w:tc>
        <w:tc>
          <w:tcPr>
            <w:tcW w:w="2160" w:type="dxa"/>
            <w:vAlign w:val="bottom"/>
            <w:shd w:val="clear" w:color="auto" w:fill="DDDDDD"/>
          </w:tcPr>
          <w:p>
            <w:pPr>
              <w:jc w:val="right"/>
              <w:ind w:right="70"/>
              <w:spacing w:after="0"/>
              <w:rPr>
                <w:sz w:val="20"/>
                <w:szCs w:val="20"/>
                <w:color w:val="auto"/>
              </w:rPr>
            </w:pPr>
            <w:r>
              <w:rPr>
                <w:rFonts w:ascii="Times New Roman" w:cs="Times New Roman" w:eastAsia="Times New Roman" w:hAnsi="Times New Roman"/>
                <w:sz w:val="18"/>
                <w:szCs w:val="18"/>
                <w:color w:val="auto"/>
              </w:rPr>
              <w:t>$0.25 ± $0.06</w:t>
            </w:r>
          </w:p>
        </w:tc>
        <w:tc>
          <w:tcPr>
            <w:tcW w:w="100" w:type="dxa"/>
            <w:vAlign w:val="bottom"/>
            <w:shd w:val="clear" w:color="auto" w:fill="DDDDDD"/>
          </w:tcPr>
          <w:p>
            <w:pPr>
              <w:spacing w:after="0"/>
              <w:rPr>
                <w:sz w:val="23"/>
                <w:szCs w:val="23"/>
                <w:color w:val="auto"/>
              </w:rPr>
            </w:pPr>
          </w:p>
        </w:tc>
        <w:tc>
          <w:tcPr>
            <w:tcW w:w="2580" w:type="dxa"/>
            <w:vAlign w:val="bottom"/>
            <w:gridSpan w:val="3"/>
            <w:shd w:val="clear" w:color="auto" w:fill="DDDDDD"/>
          </w:tcPr>
          <w:p>
            <w:pPr>
              <w:jc w:val="right"/>
              <w:ind w:right="480"/>
              <w:spacing w:after="0"/>
              <w:rPr>
                <w:sz w:val="20"/>
                <w:szCs w:val="20"/>
                <w:color w:val="auto"/>
              </w:rPr>
            </w:pPr>
            <w:r>
              <w:rPr>
                <w:rFonts w:ascii="Times New Roman" w:cs="Times New Roman" w:eastAsia="Times New Roman" w:hAnsi="Times New Roman"/>
                <w:sz w:val="18"/>
                <w:szCs w:val="18"/>
                <w:color w:val="auto"/>
              </w:rPr>
              <w:t>$0.10 A, B, C, D</w:t>
            </w:r>
          </w:p>
        </w:tc>
        <w:tc>
          <w:tcPr>
            <w:tcW w:w="2180" w:type="dxa"/>
            <w:vAlign w:val="bottom"/>
            <w:shd w:val="clear" w:color="auto" w:fill="DDDDDD"/>
          </w:tcPr>
          <w:p>
            <w:pPr>
              <w:jc w:val="right"/>
              <w:ind w:right="90"/>
              <w:spacing w:after="0"/>
              <w:rPr>
                <w:sz w:val="20"/>
                <w:szCs w:val="20"/>
                <w:color w:val="auto"/>
              </w:rPr>
            </w:pPr>
            <w:r>
              <w:rPr>
                <w:rFonts w:ascii="Times New Roman" w:cs="Times New Roman" w:eastAsia="Times New Roman" w:hAnsi="Times New Roman"/>
                <w:sz w:val="18"/>
                <w:szCs w:val="18"/>
                <w:color w:val="auto"/>
              </w:rPr>
              <w:t>$0.35 ± $0.06</w:t>
            </w:r>
          </w:p>
        </w:tc>
      </w:tr>
      <w:tr>
        <w:trPr>
          <w:trHeight w:val="621"/>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Non-GAAP Adjustments</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
        </w:trPr>
        <w:tc>
          <w:tcPr>
            <w:tcW w:w="240" w:type="dxa"/>
            <w:vAlign w:val="bottom"/>
            <w:tcBorders>
              <w:bottom w:val="single" w:sz="8" w:color="0090DA"/>
            </w:tcBorders>
          </w:tcPr>
          <w:p>
            <w:pPr>
              <w:spacing w:after="0"/>
              <w:rPr>
                <w:sz w:val="2"/>
                <w:szCs w:val="2"/>
                <w:color w:val="auto"/>
              </w:rPr>
            </w:pPr>
          </w:p>
        </w:tc>
        <w:tc>
          <w:tcPr>
            <w:tcW w:w="4140" w:type="dxa"/>
            <w:vAlign w:val="bottom"/>
            <w:tcBorders>
              <w:bottom w:val="single" w:sz="8" w:color="0090DA"/>
            </w:tcBorders>
          </w:tcPr>
          <w:p>
            <w:pPr>
              <w:spacing w:after="0"/>
              <w:rPr>
                <w:sz w:val="2"/>
                <w:szCs w:val="2"/>
                <w:color w:val="auto"/>
              </w:rPr>
            </w:pPr>
          </w:p>
        </w:tc>
        <w:tc>
          <w:tcPr>
            <w:tcW w:w="2160" w:type="dxa"/>
            <w:vAlign w:val="bottom"/>
            <w:tcBorders>
              <w:bottom w:val="single" w:sz="8" w:color="0090DA"/>
            </w:tcBorders>
          </w:tcPr>
          <w:p>
            <w:pPr>
              <w:spacing w:after="0"/>
              <w:rPr>
                <w:sz w:val="2"/>
                <w:szCs w:val="2"/>
                <w:color w:val="auto"/>
              </w:rPr>
            </w:pPr>
          </w:p>
        </w:tc>
        <w:tc>
          <w:tcPr>
            <w:tcW w:w="100" w:type="dxa"/>
            <w:vAlign w:val="bottom"/>
            <w:tcBorders>
              <w:bottom w:val="single" w:sz="8" w:color="0090DA"/>
            </w:tcBorders>
          </w:tcPr>
          <w:p>
            <w:pPr>
              <w:spacing w:after="0"/>
              <w:rPr>
                <w:sz w:val="2"/>
                <w:szCs w:val="2"/>
                <w:color w:val="auto"/>
              </w:rPr>
            </w:pPr>
          </w:p>
        </w:tc>
        <w:tc>
          <w:tcPr>
            <w:tcW w:w="2580" w:type="dxa"/>
            <w:vAlign w:val="bottom"/>
            <w:tcBorders>
              <w:bottom w:val="single" w:sz="8" w:color="0090DA"/>
            </w:tcBorders>
            <w:gridSpan w:val="3"/>
          </w:tcPr>
          <w:p>
            <w:pPr>
              <w:spacing w:after="0"/>
              <w:rPr>
                <w:sz w:val="2"/>
                <w:szCs w:val="2"/>
                <w:color w:val="auto"/>
              </w:rPr>
            </w:pPr>
          </w:p>
        </w:tc>
        <w:tc>
          <w:tcPr>
            <w:tcW w:w="2180" w:type="dxa"/>
            <w:vAlign w:val="bottom"/>
            <w:tcBorders>
              <w:bottom w:val="single" w:sz="8" w:color="0090DA"/>
            </w:tcBorders>
          </w:tcPr>
          <w:p>
            <w:pPr>
              <w:spacing w:after="0"/>
              <w:rPr>
                <w:sz w:val="2"/>
                <w:szCs w:val="2"/>
                <w:color w:val="auto"/>
              </w:rPr>
            </w:pPr>
          </w:p>
        </w:tc>
      </w:tr>
      <w:tr>
        <w:trPr>
          <w:trHeight w:val="34"/>
        </w:trPr>
        <w:tc>
          <w:tcPr>
            <w:tcW w:w="2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70"/>
        </w:trPr>
        <w:tc>
          <w:tcPr>
            <w:tcW w:w="240" w:type="dxa"/>
            <w:vAlign w:val="bottom"/>
            <w:shd w:val="clear" w:color="auto" w:fill="D1D2D4"/>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4140" w:type="dxa"/>
            <w:vAlign w:val="bottom"/>
            <w:shd w:val="clear" w:color="auto" w:fill="D1D2D4"/>
          </w:tcPr>
          <w:p>
            <w:pPr>
              <w:ind w:left="120"/>
              <w:spacing w:after="0"/>
              <w:rPr>
                <w:sz w:val="20"/>
                <w:szCs w:val="20"/>
                <w:color w:val="auto"/>
              </w:rPr>
            </w:pPr>
            <w:r>
              <w:rPr>
                <w:rFonts w:ascii="Times New Roman" w:cs="Times New Roman" w:eastAsia="Times New Roman" w:hAnsi="Times New Roman"/>
                <w:sz w:val="18"/>
                <w:szCs w:val="18"/>
                <w:color w:val="auto"/>
              </w:rPr>
              <w:t>Stock-based compensation – cost of goods sold</w:t>
            </w:r>
          </w:p>
        </w:tc>
        <w:tc>
          <w:tcPr>
            <w:tcW w:w="2160" w:type="dxa"/>
            <w:vAlign w:val="bottom"/>
            <w:shd w:val="clear" w:color="auto" w:fill="D1D2D4"/>
          </w:tcPr>
          <w:p>
            <w:pPr>
              <w:spacing w:after="0"/>
              <w:rPr>
                <w:sz w:val="23"/>
                <w:szCs w:val="23"/>
                <w:color w:val="auto"/>
              </w:rPr>
            </w:pPr>
          </w:p>
        </w:tc>
        <w:tc>
          <w:tcPr>
            <w:tcW w:w="100" w:type="dxa"/>
            <w:vAlign w:val="bottom"/>
            <w:shd w:val="clear" w:color="auto" w:fill="D1D2D4"/>
          </w:tcPr>
          <w:p>
            <w:pPr>
              <w:spacing w:after="0"/>
              <w:rPr>
                <w:sz w:val="23"/>
                <w:szCs w:val="23"/>
                <w:color w:val="auto"/>
              </w:rPr>
            </w:pPr>
          </w:p>
        </w:tc>
        <w:tc>
          <w:tcPr>
            <w:tcW w:w="2580" w:type="dxa"/>
            <w:vAlign w:val="bottom"/>
            <w:gridSpan w:val="3"/>
            <w:shd w:val="clear" w:color="auto" w:fill="D1D2D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D1D2D4"/>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 cost of goods sold</w:t>
            </w:r>
          </w:p>
        </w:tc>
        <w:tc>
          <w:tcPr>
            <w:tcW w:w="2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240" w:type="dxa"/>
            <w:vAlign w:val="bottom"/>
            <w:shd w:val="clear" w:color="auto" w:fill="D1D2D4"/>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6400" w:type="dxa"/>
            <w:vAlign w:val="bottom"/>
            <w:gridSpan w:val="3"/>
            <w:shd w:val="clear" w:color="auto" w:fill="D1D2D4"/>
          </w:tcPr>
          <w:p>
            <w:pPr>
              <w:ind w:left="120"/>
              <w:spacing w:after="0"/>
              <w:rPr>
                <w:sz w:val="20"/>
                <w:szCs w:val="20"/>
                <w:color w:val="auto"/>
              </w:rPr>
            </w:pPr>
            <w:r>
              <w:rPr>
                <w:rFonts w:ascii="Times New Roman" w:cs="Times New Roman" w:eastAsia="Times New Roman" w:hAnsi="Times New Roman"/>
                <w:sz w:val="18"/>
                <w:szCs w:val="18"/>
                <w:color w:val="auto"/>
              </w:rPr>
              <w:t>Stock-based compensation – sales, general, and administrative</w:t>
            </w:r>
          </w:p>
        </w:tc>
        <w:tc>
          <w:tcPr>
            <w:tcW w:w="2300" w:type="dxa"/>
            <w:vAlign w:val="bottom"/>
            <w:shd w:val="clear" w:color="auto" w:fill="D1D2D4"/>
          </w:tcPr>
          <w:p>
            <w:pPr>
              <w:spacing w:after="0"/>
              <w:rPr>
                <w:sz w:val="23"/>
                <w:szCs w:val="23"/>
                <w:color w:val="auto"/>
              </w:rPr>
            </w:pPr>
          </w:p>
        </w:tc>
        <w:tc>
          <w:tcPr>
            <w:tcW w:w="120" w:type="dxa"/>
            <w:vAlign w:val="bottom"/>
            <w:shd w:val="clear" w:color="auto" w:fill="D1D2D4"/>
          </w:tcPr>
          <w:p>
            <w:pPr>
              <w:spacing w:after="0"/>
              <w:rPr>
                <w:sz w:val="23"/>
                <w:szCs w:val="23"/>
                <w:color w:val="auto"/>
              </w:rPr>
            </w:pPr>
          </w:p>
        </w:tc>
        <w:tc>
          <w:tcPr>
            <w:tcW w:w="160" w:type="dxa"/>
            <w:vAlign w:val="bottom"/>
            <w:shd w:val="clear" w:color="auto" w:fill="D1D2D4"/>
          </w:tcPr>
          <w:p>
            <w:pPr>
              <w:spacing w:after="0"/>
              <w:rPr>
                <w:sz w:val="23"/>
                <w:szCs w:val="23"/>
                <w:color w:val="auto"/>
              </w:rPr>
            </w:pPr>
          </w:p>
        </w:tc>
        <w:tc>
          <w:tcPr>
            <w:tcW w:w="2180" w:type="dxa"/>
            <w:vAlign w:val="bottom"/>
            <w:shd w:val="clear" w:color="auto" w:fill="D1D2D4"/>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 research and development</w:t>
            </w:r>
          </w:p>
        </w:tc>
        <w:tc>
          <w:tcPr>
            <w:tcW w:w="2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240" w:type="dxa"/>
            <w:vAlign w:val="bottom"/>
            <w:shd w:val="clear" w:color="auto" w:fill="D1D2D4"/>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4140" w:type="dxa"/>
            <w:vAlign w:val="bottom"/>
            <w:shd w:val="clear" w:color="auto" w:fill="D1D2D4"/>
          </w:tcPr>
          <w:p>
            <w:pPr>
              <w:ind w:left="120"/>
              <w:spacing w:after="0"/>
              <w:rPr>
                <w:sz w:val="20"/>
                <w:szCs w:val="20"/>
                <w:color w:val="auto"/>
              </w:rPr>
            </w:pPr>
            <w:r>
              <w:rPr>
                <w:rFonts w:ascii="Times New Roman" w:cs="Times New Roman" w:eastAsia="Times New Roman" w:hAnsi="Times New Roman"/>
                <w:sz w:val="18"/>
                <w:szCs w:val="18"/>
                <w:color w:val="auto"/>
              </w:rPr>
              <w:t>Other - operating expenses</w:t>
            </w:r>
          </w:p>
        </w:tc>
        <w:tc>
          <w:tcPr>
            <w:tcW w:w="2160" w:type="dxa"/>
            <w:vAlign w:val="bottom"/>
            <w:shd w:val="clear" w:color="auto" w:fill="D1D2D4"/>
          </w:tcPr>
          <w:p>
            <w:pPr>
              <w:spacing w:after="0"/>
              <w:rPr>
                <w:sz w:val="23"/>
                <w:szCs w:val="23"/>
                <w:color w:val="auto"/>
              </w:rPr>
            </w:pPr>
          </w:p>
        </w:tc>
        <w:tc>
          <w:tcPr>
            <w:tcW w:w="100" w:type="dxa"/>
            <w:vAlign w:val="bottom"/>
            <w:shd w:val="clear" w:color="auto" w:fill="D1D2D4"/>
          </w:tcPr>
          <w:p>
            <w:pPr>
              <w:spacing w:after="0"/>
              <w:rPr>
                <w:sz w:val="23"/>
                <w:szCs w:val="23"/>
                <w:color w:val="auto"/>
              </w:rPr>
            </w:pPr>
          </w:p>
        </w:tc>
        <w:tc>
          <w:tcPr>
            <w:tcW w:w="2300" w:type="dxa"/>
            <w:vAlign w:val="bottom"/>
            <w:shd w:val="clear" w:color="auto" w:fill="D1D2D4"/>
          </w:tcPr>
          <w:p>
            <w:pPr>
              <w:spacing w:after="0"/>
              <w:rPr>
                <w:sz w:val="23"/>
                <w:szCs w:val="23"/>
                <w:color w:val="auto"/>
              </w:rPr>
            </w:pPr>
          </w:p>
        </w:tc>
        <w:tc>
          <w:tcPr>
            <w:tcW w:w="120" w:type="dxa"/>
            <w:vAlign w:val="bottom"/>
            <w:shd w:val="clear" w:color="auto" w:fill="D1D2D4"/>
          </w:tcPr>
          <w:p>
            <w:pPr>
              <w:spacing w:after="0"/>
              <w:rPr>
                <w:sz w:val="23"/>
                <w:szCs w:val="23"/>
                <w:color w:val="auto"/>
              </w:rPr>
            </w:pPr>
          </w:p>
        </w:tc>
        <w:tc>
          <w:tcPr>
            <w:tcW w:w="160" w:type="dxa"/>
            <w:vAlign w:val="bottom"/>
            <w:shd w:val="clear" w:color="auto" w:fill="D1D2D4"/>
          </w:tcPr>
          <w:p>
            <w:pPr>
              <w:spacing w:after="0"/>
              <w:rPr>
                <w:sz w:val="23"/>
                <w:szCs w:val="23"/>
                <w:color w:val="auto"/>
              </w:rPr>
            </w:pPr>
          </w:p>
        </w:tc>
        <w:tc>
          <w:tcPr>
            <w:tcW w:w="2180" w:type="dxa"/>
            <w:vAlign w:val="bottom"/>
            <w:shd w:val="clear" w:color="auto" w:fill="D1D2D4"/>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debt discount and other costs</w:t>
            </w:r>
          </w:p>
        </w:tc>
        <w:tc>
          <w:tcPr>
            <w:tcW w:w="2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240" w:type="dxa"/>
            <w:vAlign w:val="bottom"/>
            <w:shd w:val="clear" w:color="auto" w:fill="D1D2D4"/>
          </w:tcPr>
          <w:p>
            <w:pPr>
              <w:ind w:left="20"/>
              <w:spacing w:after="0"/>
              <w:rPr>
                <w:sz w:val="20"/>
                <w:szCs w:val="20"/>
                <w:color w:val="auto"/>
              </w:rPr>
            </w:pPr>
            <w:r>
              <w:rPr>
                <w:rFonts w:ascii="Times New Roman" w:cs="Times New Roman" w:eastAsia="Times New Roman" w:hAnsi="Times New Roman"/>
                <w:sz w:val="18"/>
                <w:szCs w:val="18"/>
                <w:color w:val="auto"/>
              </w:rPr>
              <w:t>D</w:t>
            </w:r>
          </w:p>
        </w:tc>
        <w:tc>
          <w:tcPr>
            <w:tcW w:w="6400" w:type="dxa"/>
            <w:vAlign w:val="bottom"/>
            <w:gridSpan w:val="3"/>
            <w:shd w:val="clear" w:color="auto" w:fill="D1D2D4"/>
          </w:tcPr>
          <w:p>
            <w:pPr>
              <w:ind w:left="120"/>
              <w:spacing w:after="0"/>
              <w:rPr>
                <w:sz w:val="20"/>
                <w:szCs w:val="20"/>
                <w:color w:val="auto"/>
              </w:rPr>
            </w:pPr>
            <w:r>
              <w:rPr>
                <w:rFonts w:ascii="Times New Roman" w:cs="Times New Roman" w:eastAsia="Times New Roman" w:hAnsi="Times New Roman"/>
                <w:sz w:val="18"/>
                <w:szCs w:val="18"/>
                <w:color w:val="auto"/>
              </w:rPr>
              <w:t>Tax effects of the above items and non-cash changes in net deferred income taxes</w:t>
            </w:r>
          </w:p>
        </w:tc>
        <w:tc>
          <w:tcPr>
            <w:tcW w:w="2300" w:type="dxa"/>
            <w:vAlign w:val="bottom"/>
            <w:shd w:val="clear" w:color="auto" w:fill="D1D2D4"/>
          </w:tcPr>
          <w:p>
            <w:pPr>
              <w:spacing w:after="0"/>
              <w:rPr>
                <w:sz w:val="23"/>
                <w:szCs w:val="23"/>
                <w:color w:val="auto"/>
              </w:rPr>
            </w:pPr>
          </w:p>
        </w:tc>
        <w:tc>
          <w:tcPr>
            <w:tcW w:w="120" w:type="dxa"/>
            <w:vAlign w:val="bottom"/>
            <w:shd w:val="clear" w:color="auto" w:fill="D1D2D4"/>
          </w:tcPr>
          <w:p>
            <w:pPr>
              <w:spacing w:after="0"/>
              <w:rPr>
                <w:sz w:val="23"/>
                <w:szCs w:val="23"/>
                <w:color w:val="auto"/>
              </w:rPr>
            </w:pPr>
          </w:p>
        </w:tc>
        <w:tc>
          <w:tcPr>
            <w:tcW w:w="160" w:type="dxa"/>
            <w:vAlign w:val="bottom"/>
            <w:tcBorders>
              <w:bottom w:val="single" w:sz="8" w:color="auto"/>
            </w:tcBorders>
            <w:shd w:val="clear" w:color="auto" w:fill="D1D2D4"/>
          </w:tcPr>
          <w:p>
            <w:pPr>
              <w:spacing w:after="0"/>
              <w:rPr>
                <w:sz w:val="23"/>
                <w:szCs w:val="23"/>
                <w:color w:val="auto"/>
              </w:rPr>
            </w:pPr>
          </w:p>
        </w:tc>
        <w:tc>
          <w:tcPr>
            <w:tcW w:w="2180" w:type="dxa"/>
            <w:vAlign w:val="bottom"/>
            <w:tcBorders>
              <w:bottom w:val="single" w:sz="8" w:color="auto"/>
            </w:tcBorders>
            <w:shd w:val="clear" w:color="auto" w:fill="D1D2D4"/>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r>
      <w:tr>
        <w:trPr>
          <w:trHeight w:val="237"/>
        </w:trPr>
        <w:tc>
          <w:tcPr>
            <w:tcW w:w="2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2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1"/>
        </w:trPr>
        <w:tc>
          <w:tcPr>
            <w:tcW w:w="2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340" w:right="220" w:hanging="332"/>
        <w:spacing w:after="0" w:line="233" w:lineRule="auto"/>
        <w:tabs>
          <w:tab w:leader="none" w:pos="33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GAAP earnings per share based on approximately 1.13 billion diluted shares and non-GAAP earnings per share based on approximately 1.14 billion diluted shares.</w:t>
      </w:r>
    </w:p>
    <w:p>
      <w:pPr>
        <w:spacing w:after="0" w:line="21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420"/>
      </w:cols>
      <w:pgMar w:left="240" w:top="8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84"/>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2019-12-28T00:55:25Z</dcterms:created>
  <dcterms:modified xsi:type="dcterms:W3CDTF">2019-12-28T00:55:25Z</dcterms:modified>
</cp:coreProperties>
</file>