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FORM 10-K</w:t>
      </w:r>
    </w:p>
    <w:p>
      <w:pPr>
        <w:spacing w:after="0" w:line="68" w:lineRule="exact"/>
        <w:rPr>
          <w:sz w:val="24"/>
          <w:szCs w:val="24"/>
          <w:color w:val="auto"/>
        </w:rPr>
      </w:pPr>
    </w:p>
    <w:p>
      <w:pPr>
        <w:ind w:left="400"/>
        <w:spacing w:after="0"/>
        <w:rPr>
          <w:sz w:val="20"/>
          <w:szCs w:val="20"/>
          <w:color w:val="auto"/>
        </w:rPr>
      </w:pPr>
      <w:r>
        <w:rPr>
          <w:rFonts w:ascii="Arial" w:cs="Arial" w:eastAsia="Arial" w:hAnsi="Arial"/>
          <w:sz w:val="16"/>
          <w:szCs w:val="16"/>
          <w:b w:val="1"/>
          <w:bCs w:val="1"/>
          <w:color w:val="auto"/>
        </w:rPr>
        <w:t>(Mark One)</w:t>
      </w:r>
    </w:p>
    <w:p>
      <w:pPr>
        <w:spacing w:after="0" w:line="68" w:lineRule="exact"/>
        <w:rPr>
          <w:sz w:val="24"/>
          <w:szCs w:val="24"/>
          <w:color w:val="auto"/>
        </w:rPr>
      </w:pPr>
    </w:p>
    <w:p>
      <w:pPr>
        <w:ind w:left="1680" w:hanging="930"/>
        <w:spacing w:after="0"/>
        <w:tabs>
          <w:tab w:leader="none" w:pos="16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1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September 3, 2020</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41" w:lineRule="exact"/>
        <w:rPr>
          <w:sz w:val="24"/>
          <w:szCs w:val="24"/>
          <w:color w:val="auto"/>
        </w:rPr>
      </w:pPr>
    </w:p>
    <w:p>
      <w:pPr>
        <w:ind w:left="1680" w:hanging="930"/>
        <w:spacing w:after="0"/>
        <w:tabs>
          <w:tab w:leader="none" w:pos="16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31" w:lineRule="exact"/>
        <w:rPr>
          <w:sz w:val="24"/>
          <w:szCs w:val="24"/>
          <w:color w:val="auto"/>
        </w:rPr>
      </w:pPr>
    </w:p>
    <w:p>
      <w:pPr>
        <w:ind w:left="3980"/>
        <w:spacing w:after="0"/>
        <w:tabs>
          <w:tab w:leader="none" w:pos="70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1-10658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2807970</wp:posOffset>
            </wp:positionH>
            <wp:positionV relativeFrom="paragraph">
              <wp:posOffset>6350</wp:posOffset>
            </wp:positionV>
            <wp:extent cx="1525905" cy="4114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25905" cy="4114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Micron Technology, Inc.</w:t>
      </w:r>
    </w:p>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39" w:lineRule="exact"/>
        <w:rPr>
          <w:sz w:val="24"/>
          <w:szCs w:val="24"/>
          <w:color w:val="auto"/>
        </w:rPr>
      </w:pPr>
    </w:p>
    <w:tbl>
      <w:tblPr>
        <w:tblLayout w:type="fixed"/>
        <w:tblInd w:w="40" w:type="dxa"/>
        <w:tblCellMar>
          <w:top w:w="0" w:type="dxa"/>
          <w:left w:w="0" w:type="dxa"/>
          <w:bottom w:w="0" w:type="dxa"/>
          <w:right w:w="0" w:type="dxa"/>
        </w:tblCellMar>
      </w:tblPr>
      <w:tr>
        <w:trPr>
          <w:trHeight w:val="215"/>
        </w:trPr>
        <w:tc>
          <w:tcPr>
            <w:tcW w:w="49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Delaware</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40" w:type="dxa"/>
            <w:vAlign w:val="bottom"/>
          </w:tcPr>
          <w:p>
            <w:pPr>
              <w:jc w:val="center"/>
              <w:spacing w:after="0"/>
              <w:rPr>
                <w:sz w:val="20"/>
                <w:szCs w:val="20"/>
                <w:color w:val="auto"/>
              </w:rPr>
            </w:pPr>
            <w:r>
              <w:rPr>
                <w:rFonts w:ascii="Arial" w:cs="Arial" w:eastAsia="Arial" w:hAnsi="Arial"/>
                <w:sz w:val="16"/>
                <w:szCs w:val="16"/>
                <w:b w:val="1"/>
                <w:bCs w:val="1"/>
                <w:color w:val="auto"/>
              </w:rPr>
              <w:t>75-1618004</w:t>
            </w:r>
          </w:p>
        </w:tc>
      </w:tr>
      <w:tr>
        <w:trPr>
          <w:trHeight w:val="243"/>
        </w:trPr>
        <w:tc>
          <w:tcPr>
            <w:tcW w:w="4920" w:type="dxa"/>
            <w:vAlign w:val="bottom"/>
            <w:gridSpan w:val="2"/>
          </w:tcPr>
          <w:p>
            <w:pPr>
              <w:jc w:val="center"/>
              <w:ind w:right="140"/>
              <w:spacing w:after="0"/>
              <w:rPr>
                <w:sz w:val="20"/>
                <w:szCs w:val="20"/>
                <w:color w:val="auto"/>
              </w:rPr>
            </w:pPr>
            <w:r>
              <w:rPr>
                <w:rFonts w:ascii="Arial" w:cs="Arial" w:eastAsia="Arial" w:hAnsi="Arial"/>
                <w:sz w:val="16"/>
                <w:szCs w:val="16"/>
                <w:color w:val="auto"/>
              </w:rPr>
              <w:t>(State or other jurisdiction of incorporation or organization)</w:t>
            </w: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40" w:type="dxa"/>
            <w:vAlign w:val="bottom"/>
          </w:tcPr>
          <w:p>
            <w:pPr>
              <w:jc w:val="center"/>
              <w:spacing w:after="0"/>
              <w:rPr>
                <w:sz w:val="20"/>
                <w:szCs w:val="20"/>
                <w:color w:val="auto"/>
              </w:rPr>
            </w:pPr>
            <w:r>
              <w:rPr>
                <w:rFonts w:ascii="Arial" w:cs="Arial" w:eastAsia="Arial" w:hAnsi="Arial"/>
                <w:sz w:val="16"/>
                <w:szCs w:val="16"/>
                <w:color w:val="auto"/>
              </w:rPr>
              <w:t>(IRS Employer Identification No.)</w:t>
            </w:r>
          </w:p>
        </w:tc>
      </w:tr>
      <w:tr>
        <w:trPr>
          <w:trHeight w:val="229"/>
        </w:trPr>
        <w:tc>
          <w:tcPr>
            <w:tcW w:w="49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8000 S. Federal Way, Boise, Idaho</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40" w:type="dxa"/>
            <w:vAlign w:val="bottom"/>
          </w:tcPr>
          <w:p>
            <w:pPr>
              <w:jc w:val="center"/>
              <w:spacing w:after="0"/>
              <w:rPr>
                <w:sz w:val="20"/>
                <w:szCs w:val="20"/>
                <w:color w:val="auto"/>
              </w:rPr>
            </w:pPr>
            <w:r>
              <w:rPr>
                <w:rFonts w:ascii="Arial" w:cs="Arial" w:eastAsia="Arial" w:hAnsi="Arial"/>
                <w:sz w:val="16"/>
                <w:szCs w:val="16"/>
                <w:b w:val="1"/>
                <w:bCs w:val="1"/>
                <w:color w:val="auto"/>
              </w:rPr>
              <w:t>83716-9632</w:t>
            </w:r>
          </w:p>
        </w:tc>
      </w:tr>
      <w:tr>
        <w:trPr>
          <w:trHeight w:val="230"/>
        </w:trPr>
        <w:tc>
          <w:tcPr>
            <w:tcW w:w="4920" w:type="dxa"/>
            <w:vAlign w:val="bottom"/>
            <w:gridSpan w:val="2"/>
          </w:tcPr>
          <w:p>
            <w:pPr>
              <w:jc w:val="center"/>
              <w:ind w:right="120"/>
              <w:spacing w:after="0"/>
              <w:rPr>
                <w:sz w:val="20"/>
                <w:szCs w:val="20"/>
                <w:color w:val="auto"/>
              </w:rPr>
            </w:pPr>
            <w:r>
              <w:rPr>
                <w:rFonts w:ascii="Arial" w:cs="Arial" w:eastAsia="Arial" w:hAnsi="Arial"/>
                <w:sz w:val="16"/>
                <w:szCs w:val="16"/>
                <w:color w:val="auto"/>
              </w:rPr>
              <w:t>(Address of principal executive offices)</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40" w:type="dxa"/>
            <w:vAlign w:val="bottom"/>
          </w:tcPr>
          <w:p>
            <w:pPr>
              <w:jc w:val="center"/>
              <w:spacing w:after="0"/>
              <w:rPr>
                <w:sz w:val="20"/>
                <w:szCs w:val="20"/>
                <w:color w:val="auto"/>
              </w:rPr>
            </w:pPr>
            <w:r>
              <w:rPr>
                <w:rFonts w:ascii="Arial" w:cs="Arial" w:eastAsia="Arial" w:hAnsi="Arial"/>
                <w:sz w:val="16"/>
                <w:szCs w:val="16"/>
                <w:color w:val="auto"/>
              </w:rPr>
              <w:t>(Zip Code)</w:t>
            </w:r>
          </w:p>
        </w:tc>
      </w:tr>
      <w:tr>
        <w:trPr>
          <w:trHeight w:val="243"/>
        </w:trPr>
        <w:tc>
          <w:tcPr>
            <w:tcW w:w="4920" w:type="dxa"/>
            <w:vAlign w:val="bottom"/>
            <w:gridSpan w:val="2"/>
          </w:tcPr>
          <w:p>
            <w:pPr>
              <w:jc w:val="center"/>
              <w:ind w:right="120"/>
              <w:spacing w:after="0"/>
              <w:rPr>
                <w:sz w:val="20"/>
                <w:szCs w:val="20"/>
                <w:color w:val="auto"/>
              </w:rPr>
            </w:pPr>
            <w:r>
              <w:rPr>
                <w:rFonts w:ascii="Arial" w:cs="Arial" w:eastAsia="Arial" w:hAnsi="Arial"/>
                <w:sz w:val="16"/>
                <w:szCs w:val="16"/>
                <w:color w:val="auto"/>
              </w:rPr>
              <w:t>Registrant’s telephone number, including area code</w:t>
            </w: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40" w:type="dxa"/>
            <w:vAlign w:val="bottom"/>
          </w:tcPr>
          <w:p>
            <w:pPr>
              <w:jc w:val="center"/>
              <w:spacing w:after="0"/>
              <w:rPr>
                <w:sz w:val="20"/>
                <w:szCs w:val="20"/>
                <w:color w:val="auto"/>
              </w:rPr>
            </w:pPr>
            <w:r>
              <w:rPr>
                <w:rFonts w:ascii="Arial" w:cs="Arial" w:eastAsia="Arial" w:hAnsi="Arial"/>
                <w:sz w:val="16"/>
                <w:szCs w:val="16"/>
                <w:color w:val="auto"/>
              </w:rPr>
              <w:t>(208) 368-4000</w:t>
            </w:r>
          </w:p>
        </w:tc>
      </w:tr>
      <w:tr>
        <w:trPr>
          <w:trHeight w:val="243"/>
        </w:trPr>
        <w:tc>
          <w:tcPr>
            <w:tcW w:w="4920" w:type="dxa"/>
            <w:vAlign w:val="bottom"/>
            <w:gridSpan w:val="2"/>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40" w:type="dxa"/>
            <w:vAlign w:val="bottom"/>
          </w:tcPr>
          <w:p>
            <w:pPr>
              <w:spacing w:after="0"/>
              <w:rPr>
                <w:sz w:val="21"/>
                <w:szCs w:val="21"/>
                <w:color w:val="auto"/>
              </w:rPr>
            </w:pPr>
          </w:p>
        </w:tc>
      </w:tr>
      <w:tr>
        <w:trPr>
          <w:trHeight w:val="256"/>
        </w:trPr>
        <w:tc>
          <w:tcPr>
            <w:tcW w:w="4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100" w:type="dxa"/>
            <w:vAlign w:val="bottom"/>
          </w:tcPr>
          <w:p>
            <w:pPr>
              <w:spacing w:after="0"/>
              <w:rPr>
                <w:sz w:val="22"/>
                <w:szCs w:val="22"/>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Trading Symbol</w:t>
            </w:r>
          </w:p>
        </w:tc>
        <w:tc>
          <w:tcPr>
            <w:tcW w:w="100" w:type="dxa"/>
            <w:vAlign w:val="bottom"/>
          </w:tcPr>
          <w:p>
            <w:pPr>
              <w:spacing w:after="0"/>
              <w:rPr>
                <w:sz w:val="22"/>
                <w:szCs w:val="22"/>
                <w:color w:val="auto"/>
              </w:rPr>
            </w:pPr>
          </w:p>
        </w:tc>
        <w:tc>
          <w:tcPr>
            <w:tcW w:w="46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23"/>
        </w:trPr>
        <w:tc>
          <w:tcPr>
            <w:tcW w:w="4920" w:type="dxa"/>
            <w:vAlign w:val="bottom"/>
            <w:gridSpan w:val="2"/>
          </w:tcPr>
          <w:p>
            <w:pPr>
              <w:jc w:val="center"/>
              <w:ind w:right="120"/>
              <w:spacing w:after="0"/>
              <w:rPr>
                <w:sz w:val="20"/>
                <w:szCs w:val="20"/>
                <w:color w:val="auto"/>
              </w:rPr>
            </w:pPr>
            <w:r>
              <w:rPr>
                <w:rFonts w:ascii="Arial" w:cs="Arial" w:eastAsia="Arial" w:hAnsi="Arial"/>
                <w:sz w:val="16"/>
                <w:szCs w:val="16"/>
                <w:color w:val="auto"/>
              </w:rPr>
              <w:t>Common Stock, par value $0.10 per share</w:t>
            </w:r>
          </w:p>
        </w:tc>
        <w:tc>
          <w:tcPr>
            <w:tcW w:w="1620" w:type="dxa"/>
            <w:vAlign w:val="bottom"/>
            <w:gridSpan w:val="2"/>
          </w:tcPr>
          <w:p>
            <w:pPr>
              <w:jc w:val="center"/>
              <w:ind w:right="120"/>
              <w:spacing w:after="0"/>
              <w:rPr>
                <w:sz w:val="20"/>
                <w:szCs w:val="20"/>
                <w:color w:val="auto"/>
              </w:rPr>
            </w:pPr>
            <w:r>
              <w:rPr>
                <w:rFonts w:ascii="Arial" w:cs="Arial" w:eastAsia="Arial" w:hAnsi="Arial"/>
                <w:sz w:val="16"/>
                <w:szCs w:val="16"/>
                <w:color w:val="auto"/>
              </w:rPr>
              <w:t>MU</w:t>
            </w:r>
          </w:p>
        </w:tc>
        <w:tc>
          <w:tcPr>
            <w:tcW w:w="4640" w:type="dxa"/>
            <w:vAlign w:val="bottom"/>
          </w:tcPr>
          <w:p>
            <w:pPr>
              <w:jc w:val="center"/>
              <w:spacing w:after="0"/>
              <w:rPr>
                <w:sz w:val="20"/>
                <w:szCs w:val="20"/>
                <w:color w:val="auto"/>
              </w:rPr>
            </w:pPr>
            <w:r>
              <w:rPr>
                <w:rFonts w:ascii="Arial" w:cs="Arial" w:eastAsia="Arial" w:hAnsi="Arial"/>
                <w:sz w:val="16"/>
                <w:szCs w:val="16"/>
                <w:color w:val="auto"/>
              </w:rPr>
              <w:t>Nasdaq Global Select Market</w:t>
            </w:r>
          </w:p>
        </w:tc>
      </w:tr>
    </w:tbl>
    <w:p>
      <w:pPr>
        <w:spacing w:after="0" w:line="106" w:lineRule="exact"/>
        <w:rPr>
          <w:sz w:val="24"/>
          <w:szCs w:val="24"/>
          <w:color w:val="auto"/>
        </w:rPr>
      </w:pPr>
    </w:p>
    <w:p>
      <w:pPr>
        <w:sectPr>
          <w:pgSz w:w="11900" w:h="16838" w:orient="portrait"/>
          <w:cols w:equalWidth="0" w:num="1">
            <w:col w:w="11220"/>
          </w:cols>
          <w:pgMar w:left="320" w:top="1021" w:right="359" w:bottom="1440" w:gutter="0" w:footer="0" w:header="0"/>
        </w:sectPr>
      </w:pPr>
    </w:p>
    <w:p>
      <w:pPr>
        <w:ind w:left="3460"/>
        <w:spacing w:after="0"/>
        <w:rPr>
          <w:sz w:val="20"/>
          <w:szCs w:val="20"/>
          <w:color w:val="auto"/>
        </w:rPr>
      </w:pPr>
      <w:r>
        <w:rPr>
          <w:rFonts w:ascii="Arial" w:cs="Arial" w:eastAsia="Arial" w:hAnsi="Arial"/>
          <w:sz w:val="15"/>
          <w:szCs w:val="15"/>
          <w:color w:val="auto"/>
        </w:rPr>
        <w:t xml:space="preserve">Securities registered pursuant to Section 12(g) of the Act: </w:t>
      </w:r>
      <w:r>
        <w:rPr>
          <w:rFonts w:ascii="Arial" w:cs="Arial" w:eastAsia="Arial" w:hAnsi="Arial"/>
          <w:sz w:val="15"/>
          <w:szCs w:val="15"/>
          <w:b w:val="1"/>
          <w:bCs w:val="1"/>
          <w:color w:val="auto"/>
        </w:rPr>
        <w:t>None</w:t>
      </w:r>
    </w:p>
    <w:p>
      <w:pPr>
        <w:spacing w:after="0" w:line="148" w:lineRule="exact"/>
        <w:rPr>
          <w:sz w:val="24"/>
          <w:szCs w:val="24"/>
          <w:color w:val="auto"/>
        </w:rPr>
      </w:pPr>
    </w:p>
    <w:p>
      <w:pPr>
        <w:ind w:left="20"/>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p>
    <w:p>
      <w:pPr>
        <w:spacing w:after="0" w:line="73" w:lineRule="exact"/>
        <w:rPr>
          <w:sz w:val="24"/>
          <w:szCs w:val="24"/>
          <w:color w:val="auto"/>
        </w:rPr>
      </w:pPr>
    </w:p>
    <w:p>
      <w:pPr>
        <w:ind w:left="20"/>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15(d) of the Act.</w:t>
      </w:r>
    </w:p>
    <w:p>
      <w:pPr>
        <w:spacing w:after="0" w:line="59" w:lineRule="exact"/>
        <w:rPr>
          <w:sz w:val="24"/>
          <w:szCs w:val="24"/>
          <w:color w:val="auto"/>
        </w:rPr>
      </w:pPr>
    </w:p>
    <w:p>
      <w:pPr>
        <w:ind w:left="20"/>
        <w:spacing w:after="0" w:line="253"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39" w:lineRule="exact"/>
        <w:rPr>
          <w:sz w:val="24"/>
          <w:szCs w:val="24"/>
          <w:color w:val="auto"/>
        </w:rPr>
      </w:pPr>
    </w:p>
    <w:p>
      <w:pPr>
        <w:ind w:left="20"/>
        <w:spacing w:after="0" w:line="253"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20" w:lineRule="exact"/>
        <w:rPr>
          <w:sz w:val="24"/>
          <w:szCs w:val="24"/>
          <w:color w:val="auto"/>
        </w:rPr>
      </w:pPr>
      <w:r>
        <w:rPr>
          <w:sz w:val="24"/>
          <w:szCs w:val="24"/>
          <w:color w:val="auto"/>
        </w:rPr>
        <w:br w:type="column"/>
      </w:r>
    </w:p>
    <w:p>
      <w:pPr>
        <w:spacing w:after="0" w:line="238" w:lineRule="exact"/>
        <w:rPr>
          <w:sz w:val="24"/>
          <w:szCs w:val="24"/>
          <w:color w:val="auto"/>
        </w:rPr>
      </w:pPr>
    </w:p>
    <w:p>
      <w:pPr>
        <w:spacing w:after="0" w:line="207" w:lineRule="exact"/>
        <w:tabs>
          <w:tab w:leader="none" w:pos="8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76" w:lineRule="exact"/>
        <w:rPr>
          <w:sz w:val="24"/>
          <w:szCs w:val="24"/>
          <w:color w:val="auto"/>
        </w:rPr>
      </w:pPr>
    </w:p>
    <w:p>
      <w:pPr>
        <w:spacing w:after="0" w:line="207" w:lineRule="exact"/>
        <w:tabs>
          <w:tab w:leader="none" w:pos="8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388" w:lineRule="exact"/>
        <w:rPr>
          <w:sz w:val="24"/>
          <w:szCs w:val="24"/>
          <w:color w:val="auto"/>
        </w:rPr>
      </w:pPr>
    </w:p>
    <w:p>
      <w:pPr>
        <w:spacing w:after="0" w:line="207" w:lineRule="exact"/>
        <w:tabs>
          <w:tab w:leader="none" w:pos="8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0" w:lineRule="exact"/>
        <w:rPr>
          <w:sz w:val="24"/>
          <w:szCs w:val="24"/>
          <w:color w:val="auto"/>
        </w:rPr>
      </w:pPr>
    </w:p>
    <w:p>
      <w:pPr>
        <w:spacing w:after="0" w:line="322" w:lineRule="exact"/>
        <w:rPr>
          <w:sz w:val="24"/>
          <w:szCs w:val="24"/>
          <w:color w:val="auto"/>
        </w:rPr>
      </w:pPr>
    </w:p>
    <w:p>
      <w:pPr>
        <w:spacing w:after="0" w:line="207" w:lineRule="exact"/>
        <w:tabs>
          <w:tab w:leader="none" w:pos="8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98" w:lineRule="exact"/>
        <w:rPr>
          <w:sz w:val="24"/>
          <w:szCs w:val="24"/>
          <w:color w:val="auto"/>
        </w:rPr>
      </w:pPr>
    </w:p>
    <w:p>
      <w:pPr>
        <w:sectPr>
          <w:pgSz w:w="11900" w:h="16838" w:orient="portrait"/>
          <w:cols w:equalWidth="0" w:num="2">
            <w:col w:w="9580" w:space="200"/>
            <w:col w:w="1440"/>
          </w:cols>
          <w:pgMar w:left="320" w:top="1021" w:right="359" w:bottom="1440" w:gutter="0" w:footer="0" w:header="0"/>
          <w:type w:val="continuous"/>
        </w:sectPr>
      </w:pPr>
    </w:p>
    <w:p>
      <w:pPr>
        <w:ind w:left="20" w:right="160"/>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9" w:lineRule="exact"/>
        <w:rPr>
          <w:sz w:val="24"/>
          <w:szCs w:val="24"/>
          <w:color w:val="auto"/>
        </w:rPr>
      </w:pPr>
    </w:p>
    <w:p>
      <w:pPr>
        <w:ind w:left="300"/>
        <w:spacing w:after="0"/>
        <w:tabs>
          <w:tab w:leader="none" w:pos="2760" w:val="left"/>
          <w:tab w:leader="none" w:pos="4860" w:val="left"/>
          <w:tab w:leader="none" w:pos="6900" w:val="left"/>
          <w:tab w:leader="none" w:pos="9140" w:val="left"/>
        </w:tabs>
        <w:rPr>
          <w:sz w:val="20"/>
          <w:szCs w:val="20"/>
          <w:color w:val="auto"/>
        </w:rPr>
      </w:pPr>
      <w:r>
        <w:rPr>
          <w:rFonts w:ascii="Arial" w:cs="Arial" w:eastAsia="Arial" w:hAnsi="Arial"/>
          <w:sz w:val="16"/>
          <w:szCs w:val="16"/>
          <w:color w:val="auto"/>
        </w:rPr>
        <w:t>Large Accelerated Filer</w:t>
      </w:r>
      <w:r>
        <w:rPr>
          <w:sz w:val="20"/>
          <w:szCs w:val="20"/>
          <w:color w:val="auto"/>
        </w:rPr>
        <w:tab/>
      </w:r>
      <w:r>
        <w:rPr>
          <w:rFonts w:ascii="Arial" w:cs="Arial" w:eastAsia="Arial" w:hAnsi="Arial"/>
          <w:sz w:val="16"/>
          <w:szCs w:val="16"/>
          <w:color w:val="auto"/>
        </w:rPr>
        <w:t>Accelerated Filer</w:t>
      </w:r>
      <w:r>
        <w:rPr>
          <w:sz w:val="20"/>
          <w:szCs w:val="20"/>
          <w:color w:val="auto"/>
        </w:rPr>
        <w:tab/>
      </w:r>
      <w:r>
        <w:rPr>
          <w:rFonts w:ascii="Arial" w:cs="Arial" w:eastAsia="Arial" w:hAnsi="Arial"/>
          <w:sz w:val="16"/>
          <w:szCs w:val="16"/>
          <w:color w:val="auto"/>
        </w:rPr>
        <w:t>Non-Accelerated Filer</w:t>
      </w:r>
      <w:r>
        <w:rPr>
          <w:sz w:val="20"/>
          <w:szCs w:val="20"/>
          <w:color w:val="auto"/>
        </w:rPr>
        <w:tab/>
      </w:r>
      <w:r>
        <w:rPr>
          <w:rFonts w:ascii="Arial" w:cs="Arial" w:eastAsia="Arial" w:hAnsi="Arial"/>
          <w:sz w:val="16"/>
          <w:szCs w:val="16"/>
          <w:color w:val="auto"/>
        </w:rPr>
        <w:t>Smaller Reporting Company</w:t>
        <w:tab/>
        <w:t>Emerging Growth Company</w:t>
      </w:r>
    </w:p>
    <w:p>
      <w:pPr>
        <w:spacing w:after="0" w:line="11" w:lineRule="exact"/>
        <w:rPr>
          <w:sz w:val="24"/>
          <w:szCs w:val="24"/>
          <w:color w:val="auto"/>
        </w:rPr>
      </w:pPr>
    </w:p>
    <w:p>
      <w:pPr>
        <w:ind w:left="1060"/>
        <w:spacing w:after="0" w:line="181" w:lineRule="exact"/>
        <w:tabs>
          <w:tab w:leader="none" w:pos="3300" w:val="left"/>
          <w:tab w:leader="none" w:pos="5580" w:val="left"/>
          <w:tab w:leader="none" w:pos="7840" w:val="left"/>
          <w:tab w:leader="none" w:pos="1006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6"/>
          <w:szCs w:val="16"/>
          <w:color w:val="auto"/>
        </w:rPr>
        <w:t>☐</w:t>
      </w:r>
    </w:p>
    <w:p>
      <w:pPr>
        <w:sectPr>
          <w:pgSz w:w="11900" w:h="16838" w:orient="portrait"/>
          <w:cols w:equalWidth="0" w:num="1">
            <w:col w:w="11220"/>
          </w:cols>
          <w:pgMar w:left="320" w:top="1021" w:right="359" w:bottom="1440" w:gutter="0" w:footer="0" w:header="0"/>
          <w:type w:val="continuous"/>
        </w:sectPr>
      </w:pPr>
    </w:p>
    <w:p>
      <w:pPr>
        <w:spacing w:after="0" w:line="179" w:lineRule="exact"/>
        <w:rPr>
          <w:sz w:val="24"/>
          <w:szCs w:val="24"/>
          <w:color w:val="auto"/>
        </w:rPr>
      </w:pPr>
    </w:p>
    <w:p>
      <w:pPr>
        <w:ind w:left="20" w:right="80"/>
        <w:spacing w:after="0" w:line="260"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41" w:lineRule="exact"/>
        <w:rPr>
          <w:sz w:val="24"/>
          <w:szCs w:val="24"/>
          <w:color w:val="auto"/>
        </w:rPr>
      </w:pPr>
    </w:p>
    <w:p>
      <w:pPr>
        <w:ind w:left="20"/>
        <w:spacing w:after="0" w:line="253" w:lineRule="auto"/>
        <w:rPr>
          <w:sz w:val="20"/>
          <w:szCs w:val="20"/>
          <w:color w:val="auto"/>
        </w:rPr>
      </w:pPr>
      <w:r>
        <w:rPr>
          <w:rFonts w:ascii="Arial" w:cs="Arial" w:eastAsia="Arial" w:hAnsi="Arial"/>
          <w:sz w:val="16"/>
          <w:szCs w:val="16"/>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20" w:lineRule="exact"/>
        <w:rPr>
          <w:sz w:val="24"/>
          <w:szCs w:val="24"/>
          <w:color w:val="auto"/>
        </w:rPr>
      </w:pPr>
      <w:r>
        <w:rPr>
          <w:sz w:val="24"/>
          <w:szCs w:val="24"/>
          <w:color w:val="auto"/>
        </w:rPr>
        <w:br w:type="column"/>
      </w:r>
    </w:p>
    <w:p>
      <w:pPr>
        <w:spacing w:after="0" w:line="39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0" w:lineRule="exact"/>
        <w:rPr>
          <w:sz w:val="24"/>
          <w:szCs w:val="24"/>
          <w:color w:val="auto"/>
        </w:rPr>
      </w:pPr>
    </w:p>
    <w:p>
      <w:pPr>
        <w:spacing w:after="0" w:line="26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45" w:lineRule="exact"/>
        <w:rPr>
          <w:sz w:val="24"/>
          <w:szCs w:val="24"/>
          <w:color w:val="auto"/>
        </w:rPr>
      </w:pPr>
    </w:p>
    <w:p>
      <w:pPr>
        <w:sectPr>
          <w:pgSz w:w="11900" w:h="16838" w:orient="portrait"/>
          <w:cols w:equalWidth="0" w:num="2">
            <w:col w:w="10680" w:space="220"/>
            <w:col w:w="320"/>
          </w:cols>
          <w:pgMar w:left="320" w:top="1021" w:right="359" w:bottom="1440" w:gutter="0" w:footer="0" w:header="0"/>
          <w:type w:val="continuous"/>
        </w:sectPr>
      </w:pPr>
    </w:p>
    <w:tbl>
      <w:tblPr>
        <w:tblLayout w:type="fixed"/>
        <w:tblInd w:w="20" w:type="dxa"/>
        <w:tblCellMar>
          <w:top w:w="0" w:type="dxa"/>
          <w:left w:w="0" w:type="dxa"/>
          <w:bottom w:w="0" w:type="dxa"/>
          <w:right w:w="0" w:type="dxa"/>
        </w:tblCellMar>
      </w:tblPr>
      <w:tr>
        <w:trPr>
          <w:trHeight w:val="195"/>
        </w:trPr>
        <w:tc>
          <w:tcPr>
            <w:tcW w:w="8940" w:type="dxa"/>
            <w:vAlign w:val="bottom"/>
          </w:tcPr>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tc>
        <w:tc>
          <w:tcPr>
            <w:tcW w:w="1500" w:type="dxa"/>
            <w:vAlign w:val="bottom"/>
            <w:vMerge w:val="restart"/>
          </w:tcPr>
          <w:p>
            <w:pPr>
              <w:ind w:left="82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600" w:type="dxa"/>
            <w:vAlign w:val="bottom"/>
            <w:vMerge w:val="restart"/>
          </w:tcPr>
          <w:p>
            <w:pPr>
              <w:ind w:left="180"/>
              <w:spacing w:after="0" w:line="207" w:lineRule="exact"/>
              <w:rPr>
                <w:sz w:val="20"/>
                <w:szCs w:val="20"/>
                <w:color w:val="auto"/>
              </w:rPr>
            </w:pPr>
            <w:r>
              <w:rPr>
                <w:rFonts w:ascii="Arial" w:cs="Arial" w:eastAsia="Arial" w:hAnsi="Arial"/>
                <w:sz w:val="18"/>
                <w:szCs w:val="18"/>
                <w:color w:val="auto"/>
                <w:w w:val="86"/>
              </w:rPr>
              <w:t xml:space="preserve">No </w:t>
            </w:r>
            <w:r>
              <w:rPr>
                <w:rFonts w:ascii="MS PGothic" w:cs="MS PGothic" w:eastAsia="MS PGothic" w:hAnsi="MS PGothic"/>
                <w:sz w:val="18"/>
                <w:szCs w:val="18"/>
                <w:color w:val="auto"/>
                <w:w w:val="86"/>
              </w:rPr>
              <w:t>☒</w:t>
            </w:r>
          </w:p>
        </w:tc>
        <w:tc>
          <w:tcPr>
            <w:tcW w:w="0" w:type="dxa"/>
            <w:vAlign w:val="bottom"/>
          </w:tcPr>
          <w:p>
            <w:pPr>
              <w:spacing w:after="0"/>
              <w:rPr>
                <w:sz w:val="1"/>
                <w:szCs w:val="1"/>
                <w:color w:val="auto"/>
              </w:rPr>
            </w:pPr>
          </w:p>
        </w:tc>
      </w:tr>
      <w:tr>
        <w:trPr>
          <w:trHeight w:val="134"/>
        </w:trPr>
        <w:tc>
          <w:tcPr>
            <w:tcW w:w="894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49" w:lineRule="exact"/>
        <w:rPr>
          <w:sz w:val="24"/>
          <w:szCs w:val="24"/>
          <w:color w:val="auto"/>
        </w:rPr>
      </w:pPr>
    </w:p>
    <w:p>
      <w:pPr>
        <w:ind w:right="40"/>
        <w:spacing w:after="0" w:line="251" w:lineRule="auto"/>
        <w:rPr>
          <w:sz w:val="20"/>
          <w:szCs w:val="20"/>
          <w:color w:val="auto"/>
        </w:rPr>
      </w:pPr>
      <w:r>
        <w:rPr>
          <w:rFonts w:ascii="Arial" w:cs="Arial" w:eastAsia="Arial" w:hAnsi="Arial"/>
          <w:sz w:val="16"/>
          <w:szCs w:val="16"/>
          <w:color w:val="auto"/>
        </w:rPr>
        <w:t>The aggregate market value of the voting and non-voting common equity held by non-affiliates was $44.8 billion based on the closing price reported on the Nasdaq Global Select Market on February 27, 2020. Shares of common stock held by each executive officer and director and by each person who owns 5% or more of the outstanding common stock were excluded as they may be deemed to be affiliates. This determination of affiliate status is not necessarily a conclusive determination for other purposes.</w:t>
      </w:r>
    </w:p>
    <w:p>
      <w:pPr>
        <w:spacing w:after="0" w:line="40" w:lineRule="exact"/>
        <w:rPr>
          <w:sz w:val="24"/>
          <w:szCs w:val="24"/>
          <w:color w:val="auto"/>
        </w:rPr>
      </w:pPr>
    </w:p>
    <w:p>
      <w:pPr>
        <w:spacing w:after="0"/>
        <w:rPr>
          <w:sz w:val="20"/>
          <w:szCs w:val="20"/>
          <w:color w:val="auto"/>
        </w:rPr>
      </w:pPr>
      <w:r>
        <w:rPr>
          <w:rFonts w:ascii="Arial" w:cs="Arial" w:eastAsia="Arial" w:hAnsi="Arial"/>
          <w:sz w:val="16"/>
          <w:szCs w:val="16"/>
          <w:color w:val="auto"/>
        </w:rPr>
        <w:t>The number of outstanding shares of the registrant’s common stock as of October 9, 2020 was 1,113,221,799.</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15"/>
          <w:szCs w:val="15"/>
          <w:b w:val="1"/>
          <w:bCs w:val="1"/>
          <w:u w:val="single" w:color="auto"/>
          <w:color w:val="auto"/>
        </w:rPr>
        <w:t>DOCUMENTS INCORPORATED BY REFERENCE</w:t>
      </w:r>
    </w:p>
    <w:p>
      <w:pPr>
        <w:spacing w:after="0" w:line="80" w:lineRule="exact"/>
        <w:rPr>
          <w:sz w:val="24"/>
          <w:szCs w:val="24"/>
          <w:color w:val="auto"/>
        </w:rPr>
      </w:pPr>
    </w:p>
    <w:p>
      <w:pPr>
        <w:ind w:right="640"/>
        <w:spacing w:after="0" w:line="260" w:lineRule="auto"/>
        <w:rPr>
          <w:sz w:val="20"/>
          <w:szCs w:val="20"/>
          <w:color w:val="auto"/>
        </w:rPr>
      </w:pPr>
      <w:r>
        <w:rPr>
          <w:rFonts w:ascii="Arial" w:cs="Arial" w:eastAsia="Arial" w:hAnsi="Arial"/>
          <w:sz w:val="16"/>
          <w:szCs w:val="16"/>
          <w:color w:val="auto"/>
        </w:rPr>
        <w:t>Portions of the Proxy Statement for the registrant’s Fiscal 2020 Annual Meeting of Shareholders to be held on January 14, 2021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568325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21" w:right="359"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620395</wp:posOffset>
            </wp:positionV>
            <wp:extent cx="2486025" cy="22028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86025" cy="220281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12" w:right="560"/>
        <w:spacing w:after="0" w:line="262" w:lineRule="auto"/>
        <w:rPr>
          <w:sz w:val="20"/>
          <w:szCs w:val="20"/>
          <w:color w:val="auto"/>
        </w:rPr>
      </w:pPr>
      <w:r>
        <w:rPr>
          <w:rFonts w:ascii="Arial" w:cs="Arial" w:eastAsia="Arial" w:hAnsi="Arial"/>
          <w:sz w:val="64"/>
          <w:szCs w:val="64"/>
          <w:b w:val="1"/>
          <w:bCs w:val="1"/>
          <w:color w:val="FFFFFF"/>
        </w:rPr>
        <w:t>Micron Company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2486025" cy="58978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86025" cy="5897880"/>
                    </a:xfrm>
                    <a:prstGeom prst="rect">
                      <a:avLst/>
                    </a:prstGeom>
                    <a:noFill/>
                  </pic:spPr>
                </pic:pic>
              </a:graphicData>
            </a:graphic>
          </wp:anchor>
        </w:drawing>
      </w:r>
    </w:p>
    <w:p>
      <w:pPr>
        <w:spacing w:after="0" w:line="249" w:lineRule="exact"/>
        <w:rPr>
          <w:sz w:val="20"/>
          <w:szCs w:val="20"/>
          <w:color w:val="auto"/>
        </w:rPr>
      </w:pPr>
    </w:p>
    <w:p>
      <w:pPr>
        <w:ind w:left="232" w:right="1300"/>
        <w:spacing w:after="0" w:line="227" w:lineRule="auto"/>
        <w:rPr>
          <w:sz w:val="20"/>
          <w:szCs w:val="20"/>
          <w:color w:val="auto"/>
        </w:rPr>
      </w:pPr>
      <w:r>
        <w:rPr>
          <w:rFonts w:ascii="Arial" w:cs="Arial" w:eastAsia="Arial" w:hAnsi="Arial"/>
          <w:sz w:val="18"/>
          <w:szCs w:val="18"/>
          <w:color w:val="FFFFFF"/>
        </w:rPr>
        <w:t>Founded over 40 years ago on October 5, 1978</w:t>
      </w:r>
    </w:p>
    <w:p>
      <w:pPr>
        <w:spacing w:after="0" w:line="171" w:lineRule="exact"/>
        <w:rPr>
          <w:sz w:val="20"/>
          <w:szCs w:val="20"/>
          <w:color w:val="auto"/>
        </w:rPr>
      </w:pPr>
    </w:p>
    <w:p>
      <w:pPr>
        <w:ind w:left="232"/>
        <w:spacing w:after="0"/>
        <w:rPr>
          <w:sz w:val="20"/>
          <w:szCs w:val="20"/>
          <w:color w:val="auto"/>
        </w:rPr>
      </w:pPr>
      <w:r>
        <w:rPr>
          <w:rFonts w:ascii="Arial" w:cs="Arial" w:eastAsia="Arial" w:hAnsi="Arial"/>
          <w:sz w:val="18"/>
          <w:szCs w:val="18"/>
          <w:color w:val="FFFFFF"/>
        </w:rPr>
        <w:t>Headquartered in</w:t>
      </w:r>
    </w:p>
    <w:p>
      <w:pPr>
        <w:ind w:left="232"/>
        <w:spacing w:after="0"/>
        <w:rPr>
          <w:sz w:val="20"/>
          <w:szCs w:val="20"/>
          <w:color w:val="auto"/>
        </w:rPr>
      </w:pPr>
      <w:r>
        <w:rPr>
          <w:rFonts w:ascii="Arial" w:cs="Arial" w:eastAsia="Arial" w:hAnsi="Arial"/>
          <w:sz w:val="18"/>
          <w:szCs w:val="18"/>
          <w:color w:val="FFFFFF"/>
        </w:rPr>
        <w:t>Boise, Idaho, USA</w:t>
      </w:r>
    </w:p>
    <w:p>
      <w:pPr>
        <w:spacing w:after="0" w:line="16" w:lineRule="exact"/>
        <w:rPr>
          <w:sz w:val="20"/>
          <w:szCs w:val="20"/>
          <w:color w:val="auto"/>
        </w:rPr>
      </w:pPr>
    </w:p>
    <w:p>
      <w:pPr>
        <w:ind w:left="232"/>
        <w:spacing w:after="0"/>
        <w:rPr>
          <w:sz w:val="20"/>
          <w:szCs w:val="20"/>
          <w:color w:val="auto"/>
        </w:rPr>
      </w:pPr>
      <w:r>
        <w:rPr>
          <w:rFonts w:ascii="Arial" w:cs="Arial" w:eastAsia="Arial" w:hAnsi="Arial"/>
          <w:sz w:val="50"/>
          <w:szCs w:val="50"/>
          <w:b w:val="1"/>
          <w:bCs w:val="1"/>
          <w:color w:val="FFFFFF"/>
        </w:rPr>
        <w:t>4th</w:t>
      </w:r>
    </w:p>
    <w:p>
      <w:pPr>
        <w:ind w:left="232"/>
        <w:spacing w:after="0" w:line="217" w:lineRule="auto"/>
        <w:rPr>
          <w:sz w:val="20"/>
          <w:szCs w:val="20"/>
          <w:color w:val="auto"/>
        </w:rPr>
      </w:pPr>
      <w:r>
        <w:rPr>
          <w:rFonts w:ascii="Arial" w:cs="Arial" w:eastAsia="Arial" w:hAnsi="Arial"/>
          <w:sz w:val="18"/>
          <w:szCs w:val="18"/>
          <w:color w:val="FFFFFF"/>
        </w:rPr>
        <w:t>Largest semiconductor company</w:t>
      </w:r>
    </w:p>
    <w:p>
      <w:pPr>
        <w:ind w:left="232"/>
        <w:spacing w:after="0"/>
        <w:rPr>
          <w:sz w:val="20"/>
          <w:szCs w:val="20"/>
          <w:color w:val="auto"/>
        </w:rPr>
      </w:pPr>
      <w:r>
        <w:rPr>
          <w:rFonts w:ascii="Arial" w:cs="Arial" w:eastAsia="Arial" w:hAnsi="Arial"/>
          <w:sz w:val="17"/>
          <w:szCs w:val="17"/>
          <w:color w:val="FFFFFF"/>
        </w:rPr>
        <w:t>in the world, excluding IP/software revenue*</w:t>
      </w:r>
    </w:p>
    <w:p>
      <w:pPr>
        <w:spacing w:after="0" w:line="136" w:lineRule="exact"/>
        <w:rPr>
          <w:sz w:val="20"/>
          <w:szCs w:val="20"/>
          <w:color w:val="auto"/>
        </w:rPr>
      </w:pPr>
    </w:p>
    <w:p>
      <w:pPr>
        <w:ind w:left="232"/>
        <w:spacing w:after="0"/>
        <w:rPr>
          <w:sz w:val="20"/>
          <w:szCs w:val="20"/>
          <w:color w:val="auto"/>
        </w:rPr>
      </w:pPr>
      <w:r>
        <w:rPr>
          <w:rFonts w:ascii="Arial" w:cs="Arial" w:eastAsia="Arial" w:hAnsi="Arial"/>
          <w:sz w:val="50"/>
          <w:szCs w:val="50"/>
          <w:b w:val="1"/>
          <w:bCs w:val="1"/>
          <w:color w:val="FFFFFF"/>
        </w:rPr>
        <w:t>134</w:t>
      </w:r>
    </w:p>
    <w:p>
      <w:pPr>
        <w:spacing w:after="0" w:line="12" w:lineRule="exact"/>
        <w:rPr>
          <w:sz w:val="20"/>
          <w:szCs w:val="20"/>
          <w:color w:val="auto"/>
        </w:rPr>
      </w:pPr>
    </w:p>
    <w:p>
      <w:pPr>
        <w:ind w:left="232"/>
        <w:spacing w:after="0"/>
        <w:rPr>
          <w:sz w:val="20"/>
          <w:szCs w:val="20"/>
          <w:color w:val="auto"/>
        </w:rPr>
      </w:pPr>
      <w:r>
        <w:rPr>
          <w:rFonts w:ascii="Arial" w:cs="Arial" w:eastAsia="Arial" w:hAnsi="Arial"/>
          <w:sz w:val="18"/>
          <w:szCs w:val="18"/>
          <w:color w:val="FFFFFF"/>
        </w:rPr>
        <w:t>On the 2020 Fortune 500</w:t>
      </w:r>
    </w:p>
    <w:p>
      <w:pPr>
        <w:spacing w:after="0" w:line="124" w:lineRule="exact"/>
        <w:rPr>
          <w:sz w:val="20"/>
          <w:szCs w:val="20"/>
          <w:color w:val="auto"/>
        </w:rPr>
      </w:pPr>
    </w:p>
    <w:p>
      <w:pPr>
        <w:ind w:left="232"/>
        <w:spacing w:after="0"/>
        <w:rPr>
          <w:sz w:val="20"/>
          <w:szCs w:val="20"/>
          <w:color w:val="auto"/>
        </w:rPr>
      </w:pPr>
      <w:r>
        <w:rPr>
          <w:rFonts w:ascii="Arial" w:cs="Arial" w:eastAsia="Arial" w:hAnsi="Arial"/>
          <w:sz w:val="50"/>
          <w:szCs w:val="50"/>
          <w:b w:val="1"/>
          <w:bCs w:val="1"/>
          <w:color w:val="FFFFFF"/>
        </w:rPr>
        <w:t>44,000</w:t>
      </w:r>
    </w:p>
    <w:p>
      <w:pPr>
        <w:spacing w:after="0" w:line="12" w:lineRule="exact"/>
        <w:rPr>
          <w:sz w:val="20"/>
          <w:szCs w:val="20"/>
          <w:color w:val="auto"/>
        </w:rPr>
      </w:pPr>
    </w:p>
    <w:p>
      <w:pPr>
        <w:ind w:left="232"/>
        <w:spacing w:after="0"/>
        <w:rPr>
          <w:sz w:val="20"/>
          <w:szCs w:val="20"/>
          <w:color w:val="auto"/>
        </w:rPr>
      </w:pPr>
      <w:r>
        <w:rPr>
          <w:rFonts w:ascii="Arial" w:cs="Arial" w:eastAsia="Arial" w:hAnsi="Arial"/>
          <w:sz w:val="18"/>
          <w:szCs w:val="18"/>
          <w:color w:val="FFFFFF"/>
        </w:rPr>
        <w:t>Patents granted and growing**</w:t>
      </w:r>
    </w:p>
    <w:p>
      <w:pPr>
        <w:spacing w:after="0" w:line="124" w:lineRule="exact"/>
        <w:rPr>
          <w:sz w:val="20"/>
          <w:szCs w:val="20"/>
          <w:color w:val="auto"/>
        </w:rPr>
      </w:pPr>
    </w:p>
    <w:p>
      <w:pPr>
        <w:ind w:left="232"/>
        <w:spacing w:after="0"/>
        <w:rPr>
          <w:sz w:val="20"/>
          <w:szCs w:val="20"/>
          <w:color w:val="auto"/>
        </w:rPr>
      </w:pPr>
      <w:r>
        <w:rPr>
          <w:rFonts w:ascii="Arial" w:cs="Arial" w:eastAsia="Arial" w:hAnsi="Arial"/>
          <w:sz w:val="50"/>
          <w:szCs w:val="50"/>
          <w:b w:val="1"/>
          <w:bCs w:val="1"/>
          <w:color w:val="FFFFFF"/>
        </w:rPr>
        <w:t>17</w:t>
      </w:r>
    </w:p>
    <w:p>
      <w:pPr>
        <w:spacing w:after="0" w:line="12" w:lineRule="exact"/>
        <w:rPr>
          <w:sz w:val="20"/>
          <w:szCs w:val="20"/>
          <w:color w:val="auto"/>
        </w:rPr>
      </w:pPr>
    </w:p>
    <w:p>
      <w:pPr>
        <w:ind w:left="232"/>
        <w:spacing w:after="0"/>
        <w:rPr>
          <w:sz w:val="20"/>
          <w:szCs w:val="20"/>
          <w:color w:val="auto"/>
        </w:rPr>
      </w:pPr>
      <w:r>
        <w:rPr>
          <w:rFonts w:ascii="Arial" w:cs="Arial" w:eastAsia="Arial" w:hAnsi="Arial"/>
          <w:sz w:val="18"/>
          <w:szCs w:val="18"/>
          <w:color w:val="FFFFFF"/>
        </w:rPr>
        <w:t>Countries**</w:t>
      </w:r>
    </w:p>
    <w:p>
      <w:pPr>
        <w:spacing w:after="0" w:line="124" w:lineRule="exact"/>
        <w:rPr>
          <w:sz w:val="20"/>
          <w:szCs w:val="20"/>
          <w:color w:val="auto"/>
        </w:rPr>
      </w:pPr>
    </w:p>
    <w:p>
      <w:pPr>
        <w:ind w:left="232"/>
        <w:spacing w:after="0"/>
        <w:rPr>
          <w:sz w:val="20"/>
          <w:szCs w:val="20"/>
          <w:color w:val="auto"/>
        </w:rPr>
      </w:pPr>
      <w:r>
        <w:rPr>
          <w:rFonts w:ascii="Arial" w:cs="Arial" w:eastAsia="Arial" w:hAnsi="Arial"/>
          <w:sz w:val="50"/>
          <w:szCs w:val="50"/>
          <w:b w:val="1"/>
          <w:bCs w:val="1"/>
          <w:color w:val="FFFFFF"/>
        </w:rPr>
        <w:t>13</w:t>
      </w:r>
    </w:p>
    <w:p>
      <w:pPr>
        <w:ind w:left="232"/>
        <w:spacing w:after="0" w:line="217" w:lineRule="auto"/>
        <w:rPr>
          <w:sz w:val="20"/>
          <w:szCs w:val="20"/>
          <w:color w:val="auto"/>
        </w:rPr>
      </w:pPr>
      <w:r>
        <w:rPr>
          <w:rFonts w:ascii="Arial" w:cs="Arial" w:eastAsia="Arial" w:hAnsi="Arial"/>
          <w:sz w:val="18"/>
          <w:szCs w:val="18"/>
          <w:color w:val="FFFFFF"/>
        </w:rPr>
        <w:t>Manufacturing sites and</w:t>
      </w:r>
    </w:p>
    <w:p>
      <w:pPr>
        <w:ind w:left="232"/>
        <w:spacing w:after="0"/>
        <w:rPr>
          <w:sz w:val="20"/>
          <w:szCs w:val="20"/>
          <w:color w:val="auto"/>
        </w:rPr>
      </w:pPr>
      <w:r>
        <w:rPr>
          <w:rFonts w:ascii="Arial" w:cs="Arial" w:eastAsia="Arial" w:hAnsi="Arial"/>
          <w:sz w:val="18"/>
          <w:szCs w:val="18"/>
          <w:color w:val="FFFFFF"/>
        </w:rPr>
        <w:t>14 customer labs**</w:t>
      </w:r>
    </w:p>
    <w:p>
      <w:pPr>
        <w:spacing w:after="0" w:line="124" w:lineRule="exact"/>
        <w:rPr>
          <w:sz w:val="20"/>
          <w:szCs w:val="20"/>
          <w:color w:val="auto"/>
        </w:rPr>
      </w:pPr>
    </w:p>
    <w:p>
      <w:pPr>
        <w:ind w:left="232"/>
        <w:spacing w:after="0"/>
        <w:rPr>
          <w:sz w:val="20"/>
          <w:szCs w:val="20"/>
          <w:color w:val="auto"/>
        </w:rPr>
      </w:pPr>
      <w:r>
        <w:rPr>
          <w:rFonts w:ascii="Arial" w:cs="Arial" w:eastAsia="Arial" w:hAnsi="Arial"/>
          <w:sz w:val="50"/>
          <w:szCs w:val="50"/>
          <w:b w:val="1"/>
          <w:bCs w:val="1"/>
          <w:color w:val="FFFFFF"/>
        </w:rPr>
        <w:t>40,000</w:t>
      </w:r>
    </w:p>
    <w:p>
      <w:pPr>
        <w:spacing w:after="0" w:line="12" w:lineRule="exact"/>
        <w:rPr>
          <w:sz w:val="20"/>
          <w:szCs w:val="20"/>
          <w:color w:val="auto"/>
        </w:rPr>
      </w:pPr>
    </w:p>
    <w:p>
      <w:pPr>
        <w:ind w:left="232"/>
        <w:spacing w:after="0"/>
        <w:rPr>
          <w:sz w:val="20"/>
          <w:szCs w:val="20"/>
          <w:color w:val="auto"/>
        </w:rPr>
      </w:pPr>
      <w:r>
        <w:rPr>
          <w:rFonts w:ascii="Arial" w:cs="Arial" w:eastAsia="Arial" w:hAnsi="Arial"/>
          <w:sz w:val="18"/>
          <w:szCs w:val="18"/>
          <w:color w:val="FFFFFF"/>
        </w:rPr>
        <w:t>Team members**</w:t>
      </w:r>
    </w:p>
    <w:p>
      <w:pPr>
        <w:spacing w:after="0" w:line="268" w:lineRule="exact"/>
        <w:rPr>
          <w:sz w:val="20"/>
          <w:szCs w:val="20"/>
          <w:color w:val="auto"/>
        </w:rPr>
      </w:pPr>
    </w:p>
    <w:p>
      <w:pPr>
        <w:ind w:left="232" w:right="60"/>
        <w:spacing w:after="0" w:line="225" w:lineRule="auto"/>
        <w:rPr>
          <w:sz w:val="20"/>
          <w:szCs w:val="20"/>
          <w:color w:val="auto"/>
        </w:rPr>
      </w:pPr>
      <w:r>
        <w:rPr>
          <w:rFonts w:ascii="Arial" w:cs="Arial" w:eastAsia="Arial" w:hAnsi="Arial"/>
          <w:sz w:val="16"/>
          <w:szCs w:val="16"/>
          <w:color w:val="FFFFFF"/>
        </w:rPr>
        <w:t>*Gartner Market Share: Semiconductors by End Market, Worldwide, 2019 (April 2020) **Micron data as of September 3, 2020.</w:t>
      </w:r>
    </w:p>
    <w:p>
      <w:pPr>
        <w:spacing w:after="0" w:line="1" w:lineRule="exact"/>
        <w:rPr>
          <w:sz w:val="20"/>
          <w:szCs w:val="20"/>
          <w:color w:val="auto"/>
        </w:rPr>
      </w:pPr>
    </w:p>
    <w:p>
      <w:pPr>
        <w:ind w:left="232"/>
        <w:spacing w:after="0"/>
        <w:rPr>
          <w:sz w:val="20"/>
          <w:szCs w:val="20"/>
          <w:color w:val="auto"/>
        </w:rPr>
      </w:pPr>
      <w:r>
        <w:rPr>
          <w:rFonts w:ascii="Arial" w:cs="Arial" w:eastAsia="Arial" w:hAnsi="Arial"/>
          <w:sz w:val="16"/>
          <w:szCs w:val="16"/>
          <w:b w:val="1"/>
          <w:bCs w:val="1"/>
          <w:color w:val="FFFFFF"/>
        </w:rPr>
        <w:t>Media Inquiries</w:t>
      </w:r>
    </w:p>
    <w:p>
      <w:pPr>
        <w:ind w:left="232"/>
        <w:spacing w:after="0"/>
        <w:rPr>
          <w:sz w:val="20"/>
          <w:szCs w:val="20"/>
          <w:color w:val="auto"/>
        </w:rPr>
      </w:pPr>
      <w:r>
        <w:rPr>
          <w:rFonts w:ascii="Arial" w:cs="Arial" w:eastAsia="Arial" w:hAnsi="Arial"/>
          <w:sz w:val="16"/>
          <w:szCs w:val="16"/>
          <w:color w:val="FFFFFF"/>
        </w:rPr>
        <w:t>mediarelations@micron.com</w:t>
      </w:r>
    </w:p>
    <w:p>
      <w:pPr>
        <w:spacing w:after="0" w:line="199" w:lineRule="exact"/>
        <w:rPr>
          <w:sz w:val="20"/>
          <w:szCs w:val="20"/>
          <w:color w:val="auto"/>
        </w:rPr>
      </w:pPr>
    </w:p>
    <w:p>
      <w:pPr>
        <w:ind w:left="232"/>
        <w:spacing w:after="0"/>
        <w:rPr>
          <w:sz w:val="20"/>
          <w:szCs w:val="20"/>
          <w:color w:val="auto"/>
        </w:rPr>
      </w:pPr>
      <w:r>
        <w:rPr>
          <w:rFonts w:ascii="Arial" w:cs="Arial" w:eastAsia="Arial" w:hAnsi="Arial"/>
          <w:sz w:val="16"/>
          <w:szCs w:val="16"/>
          <w:b w:val="1"/>
          <w:bCs w:val="1"/>
          <w:color w:val="FFFFFF"/>
        </w:rPr>
        <w:t>Government Inquiries</w:t>
      </w:r>
    </w:p>
    <w:p>
      <w:pPr>
        <w:ind w:left="232"/>
        <w:spacing w:after="0"/>
        <w:rPr>
          <w:sz w:val="20"/>
          <w:szCs w:val="20"/>
          <w:color w:val="auto"/>
        </w:rPr>
      </w:pPr>
      <w:r>
        <w:rPr>
          <w:rFonts w:ascii="Arial" w:cs="Arial" w:eastAsia="Arial" w:hAnsi="Arial"/>
          <w:sz w:val="16"/>
          <w:szCs w:val="16"/>
          <w:color w:val="FFFFFF"/>
        </w:rPr>
        <w:t>govaffairs@micron.com</w:t>
      </w:r>
    </w:p>
    <w:p>
      <w:pPr>
        <w:spacing w:after="0" w:line="201" w:lineRule="exact"/>
        <w:rPr>
          <w:sz w:val="20"/>
          <w:szCs w:val="20"/>
          <w:color w:val="auto"/>
        </w:rPr>
      </w:pPr>
    </w:p>
    <w:p>
      <w:pPr>
        <w:ind w:left="232" w:right="1320"/>
        <w:spacing w:after="0" w:line="251" w:lineRule="auto"/>
        <w:rPr>
          <w:sz w:val="20"/>
          <w:szCs w:val="20"/>
          <w:color w:val="auto"/>
        </w:rPr>
      </w:pPr>
      <w:r>
        <w:rPr>
          <w:rFonts w:ascii="Arial" w:cs="Arial" w:eastAsia="Arial" w:hAnsi="Arial"/>
          <w:sz w:val="16"/>
          <w:szCs w:val="16"/>
          <w:b w:val="1"/>
          <w:bCs w:val="1"/>
          <w:color w:val="FFFFFF"/>
        </w:rPr>
        <w:t xml:space="preserve">Investor Inquiries </w:t>
      </w:r>
      <w:r>
        <w:rPr>
          <w:rFonts w:ascii="Arial" w:cs="Arial" w:eastAsia="Arial" w:hAnsi="Arial"/>
          <w:sz w:val="16"/>
          <w:szCs w:val="16"/>
          <w:color w:val="FFFFFF"/>
        </w:rPr>
        <w:t>investorrelations@micron.com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63"/>
          <w:szCs w:val="63"/>
          <w:color w:val="auto"/>
        </w:rPr>
        <w:t>It’s All About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-2873375</wp:posOffset>
            </wp:positionV>
            <wp:extent cx="4217670" cy="2186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217670" cy="2186305"/>
                    </a:xfrm>
                    <a:prstGeom prst="rect">
                      <a:avLst/>
                    </a:prstGeom>
                    <a:noFill/>
                  </pic:spPr>
                </pic:pic>
              </a:graphicData>
            </a:graphic>
          </wp:anchor>
        </w:drawing>
      </w:r>
    </w:p>
    <w:p>
      <w:pPr>
        <w:spacing w:after="0" w:line="18" w:lineRule="exact"/>
        <w:rPr>
          <w:sz w:val="20"/>
          <w:szCs w:val="20"/>
          <w:color w:val="auto"/>
        </w:rPr>
      </w:pPr>
    </w:p>
    <w:p>
      <w:pPr>
        <w:jc w:val="both"/>
        <w:ind w:right="340"/>
        <w:spacing w:after="0" w:line="256" w:lineRule="auto"/>
        <w:rPr>
          <w:sz w:val="20"/>
          <w:szCs w:val="20"/>
          <w:color w:val="auto"/>
        </w:rPr>
      </w:pPr>
      <w:r>
        <w:rPr>
          <w:rFonts w:ascii="Arial" w:cs="Arial" w:eastAsia="Arial" w:hAnsi="Arial"/>
          <w:sz w:val="25"/>
          <w:szCs w:val="25"/>
          <w:b w:val="1"/>
          <w:bCs w:val="1"/>
          <w:color w:val="0090DA"/>
        </w:rPr>
        <w:t>Data is today’s new business currency, and memory and storage are emerging as strategic differentiators that will redefine how we extract value from data to learn, explore, communicate, and experience.</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Who We Are</w:t>
      </w:r>
    </w:p>
    <w:p>
      <w:pPr>
        <w:spacing w:after="0" w:line="394" w:lineRule="exact"/>
        <w:rPr>
          <w:sz w:val="20"/>
          <w:szCs w:val="20"/>
          <w:color w:val="auto"/>
        </w:rPr>
      </w:pPr>
    </w:p>
    <w:p>
      <w:pPr>
        <w:ind w:right="60"/>
        <w:spacing w:after="0" w:line="211" w:lineRule="auto"/>
        <w:rPr>
          <w:sz w:val="20"/>
          <w:szCs w:val="20"/>
          <w:color w:val="auto"/>
        </w:rPr>
      </w:pPr>
      <w:r>
        <w:rPr>
          <w:rFonts w:ascii="Arial" w:cs="Arial" w:eastAsia="Arial" w:hAnsi="Arial"/>
          <w:sz w:val="18"/>
          <w:szCs w:val="18"/>
          <w:color w:val="auto"/>
        </w:rPr>
        <w:t>Micron designs and manufactures the industry’s broadest portfolio of memory and storage products for the latest applications, including artificial intelligence, 5G, machine learning and autonomous vehicles, in key market segments like mobile, data center, client, consumer, industrial, graphics, automotive, and networking. Our technology and expertise are central to breakthrough computing applications and new business models that are disrupting entire industries.</w:t>
      </w:r>
    </w:p>
    <w:p>
      <w:pPr>
        <w:spacing w:after="0" w:line="97"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Our Vision</w:t>
      </w:r>
    </w:p>
    <w:p>
      <w:pPr>
        <w:spacing w:after="0" w:line="354" w:lineRule="exact"/>
        <w:rPr>
          <w:sz w:val="20"/>
          <w:szCs w:val="20"/>
          <w:color w:val="auto"/>
        </w:rPr>
      </w:pPr>
    </w:p>
    <w:p>
      <w:pPr>
        <w:ind w:right="100"/>
        <w:spacing w:after="0" w:line="213" w:lineRule="auto"/>
        <w:rPr>
          <w:sz w:val="20"/>
          <w:szCs w:val="20"/>
          <w:color w:val="auto"/>
        </w:rPr>
      </w:pPr>
      <w:r>
        <w:rPr>
          <w:rFonts w:ascii="Arial" w:cs="Arial" w:eastAsia="Arial" w:hAnsi="Arial"/>
          <w:sz w:val="18"/>
          <w:szCs w:val="18"/>
          <w:color w:val="auto"/>
        </w:rPr>
        <w:t xml:space="preserve">As a global leader in memory and storage solutions, we are transforming how the world uses information to enrich life </w:t>
      </w:r>
      <w:r>
        <w:rPr>
          <w:rFonts w:ascii="Arial" w:cs="Arial" w:eastAsia="Arial" w:hAnsi="Arial"/>
          <w:sz w:val="18"/>
          <w:szCs w:val="18"/>
          <w:i w:val="1"/>
          <w:iCs w:val="1"/>
          <w:color w:val="auto"/>
        </w:rPr>
        <w:t>for all</w:t>
      </w:r>
      <w:r>
        <w:rPr>
          <w:rFonts w:ascii="Arial" w:cs="Arial" w:eastAsia="Arial" w:hAnsi="Arial"/>
          <w:sz w:val="18"/>
          <w:szCs w:val="18"/>
          <w:color w:val="auto"/>
        </w:rPr>
        <w:t xml:space="preserve"> by enabling technologies to collect, store, and manage data with unprecedented speed and efficiency. We are accelerating the transformation of information into intelligence – inspiring the world to learn, communicate, and advance faster than ever.</w:t>
      </w:r>
    </w:p>
    <w:p>
      <w:pPr>
        <w:spacing w:after="0" w:line="109"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Our Commitment</w:t>
      </w:r>
    </w:p>
    <w:p>
      <w:pPr>
        <w:spacing w:after="0" w:line="273"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Our day-to-day operations wouldn’t be possible without our team members’ commitment to business integrity and environmental sustainability. Whether it’s adhering to our professional values or valuing the communities we work in, for us, doing business better means doing business right.</w:t>
      </w:r>
    </w:p>
    <w:p>
      <w:pPr>
        <w:spacing w:after="0" w:line="125" w:lineRule="exact"/>
        <w:rPr>
          <w:sz w:val="20"/>
          <w:szCs w:val="20"/>
          <w:color w:val="auto"/>
        </w:rPr>
      </w:pPr>
    </w:p>
    <w:p>
      <w:pPr>
        <w:spacing w:after="0"/>
        <w:rPr>
          <w:sz w:val="20"/>
          <w:szCs w:val="20"/>
          <w:color w:val="auto"/>
        </w:rPr>
      </w:pPr>
      <w:r>
        <w:rPr>
          <w:rFonts w:ascii="Arial" w:cs="Arial" w:eastAsia="Arial" w:hAnsi="Arial"/>
          <w:sz w:val="29"/>
          <w:szCs w:val="29"/>
          <w:b w:val="1"/>
          <w:bCs w:val="1"/>
          <w:color w:val="0090DA"/>
        </w:rPr>
        <w:t>Global Product Portfolio</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0090DA"/>
        </w:rPr>
        <w:t xml:space="preserve">DRAM | </w:t>
      </w:r>
      <w:r>
        <w:rPr>
          <w:rFonts w:ascii="Arial" w:cs="Arial" w:eastAsia="Arial" w:hAnsi="Arial"/>
          <w:sz w:val="17"/>
          <w:szCs w:val="17"/>
          <w:color w:val="0090DA"/>
        </w:rPr>
        <w:t>NAND |</w:t>
      </w:r>
      <w:r>
        <w:rPr>
          <w:rFonts w:ascii="Arial" w:cs="Arial" w:eastAsia="Arial" w:hAnsi="Arial"/>
          <w:sz w:val="16"/>
          <w:szCs w:val="16"/>
          <w:color w:val="0090DA"/>
        </w:rPr>
        <w:t xml:space="preserve"> 3D XPoint</w:t>
      </w:r>
      <w:r>
        <w:rPr>
          <w:rFonts w:ascii="Arial" w:cs="Arial" w:eastAsia="Arial" w:hAnsi="Arial"/>
          <w:sz w:val="21"/>
          <w:szCs w:val="21"/>
          <w:color w:val="0090DA"/>
          <w:vertAlign w:val="superscript"/>
        </w:rPr>
        <w:t>TM</w:t>
      </w:r>
      <w:r>
        <w:rPr>
          <w:rFonts w:ascii="Arial" w:cs="Arial" w:eastAsia="Arial" w:hAnsi="Arial"/>
          <w:sz w:val="16"/>
          <w:szCs w:val="16"/>
          <w:color w:val="0090DA"/>
        </w:rPr>
        <w:t xml:space="preserve"> Memory | NOR | Solid-State Drives</w:t>
      </w:r>
    </w:p>
    <w:p>
      <w:pPr>
        <w:spacing w:after="0"/>
        <w:rPr>
          <w:sz w:val="20"/>
          <w:szCs w:val="20"/>
          <w:color w:val="auto"/>
        </w:rPr>
      </w:pPr>
      <w:r>
        <w:rPr>
          <w:rFonts w:ascii="Arial" w:cs="Arial" w:eastAsia="Arial" w:hAnsi="Arial"/>
          <w:sz w:val="16"/>
          <w:szCs w:val="16"/>
          <w:color w:val="0090DA"/>
        </w:rPr>
        <w:t>High Bandwidth Memory (HBM) | Multichip Packages | Advanced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10795</wp:posOffset>
            </wp:positionV>
            <wp:extent cx="4585970" cy="3003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585970" cy="300355"/>
                    </a:xfrm>
                    <a:prstGeom prst="rect">
                      <a:avLst/>
                    </a:prstGeom>
                    <a:noFill/>
                  </pic:spPr>
                </pic:pic>
              </a:graphicData>
            </a:graphic>
          </wp:anchor>
        </w:drawing>
      </w:r>
    </w:p>
    <w:p>
      <w:pPr>
        <w:spacing w:after="0" w:line="47" w:lineRule="exact"/>
        <w:rPr>
          <w:sz w:val="20"/>
          <w:szCs w:val="20"/>
          <w:color w:val="auto"/>
        </w:rPr>
      </w:pPr>
    </w:p>
    <w:p>
      <w:pPr>
        <w:jc w:val="right"/>
        <w:ind w:right="20"/>
        <w:spacing w:after="0"/>
        <w:rPr>
          <w:sz w:val="20"/>
          <w:szCs w:val="20"/>
          <w:color w:val="auto"/>
        </w:rPr>
      </w:pPr>
      <w:r>
        <w:rPr>
          <w:rFonts w:ascii="Arial" w:cs="Arial" w:eastAsia="Arial" w:hAnsi="Arial"/>
          <w:sz w:val="25"/>
          <w:szCs w:val="25"/>
          <w:b w:val="1"/>
          <w:bCs w:val="1"/>
          <w:color w:val="FFFFFF"/>
        </w:rPr>
        <w:t>Connect with us on micron.com</w:t>
      </w:r>
    </w:p>
    <w:p>
      <w:pPr>
        <w:spacing w:after="0" w:line="238" w:lineRule="exact"/>
        <w:rPr>
          <w:sz w:val="20"/>
          <w:szCs w:val="20"/>
          <w:color w:val="auto"/>
        </w:rPr>
      </w:pPr>
    </w:p>
    <w:p>
      <w:pPr>
        <w:sectPr>
          <w:pgSz w:w="11900" w:h="16838" w:orient="portrait"/>
          <w:cols w:equalWidth="0" w:num="2">
            <w:col w:w="3732" w:space="300"/>
            <w:col w:w="7200"/>
          </w:cols>
          <w:pgMar w:left="328" w:top="1440" w:right="339" w:bottom="1440" w:gutter="0" w:footer="0" w:header="0"/>
        </w:sectPr>
      </w:pPr>
    </w:p>
    <w:p>
      <w:pPr>
        <w:ind w:left="-8" w:firstLine="8"/>
        <w:spacing w:after="0" w:line="223" w:lineRule="auto"/>
        <w:tabs>
          <w:tab w:leader="none" w:pos="138" w:val="left"/>
        </w:tabs>
        <w:numPr>
          <w:ilvl w:val="0"/>
          <w:numId w:val="3"/>
        </w:numPr>
        <w:rPr>
          <w:rFonts w:ascii="Arial" w:cs="Arial" w:eastAsia="Arial" w:hAnsi="Arial"/>
          <w:sz w:val="14"/>
          <w:szCs w:val="14"/>
          <w:color w:val="auto"/>
        </w:rPr>
      </w:pPr>
      <w:r>
        <w:rPr>
          <w:rFonts w:ascii="Arial" w:cs="Arial" w:eastAsia="Arial" w:hAnsi="Arial"/>
          <w:sz w:val="14"/>
          <w:szCs w:val="14"/>
          <w:color w:val="auto"/>
        </w:rPr>
        <w:t>2020 Micron Technology, Inc. Micron, the Micron logo, the M orbit logo, Intelligence Accelerated</w:t>
      </w:r>
      <w:r>
        <w:rPr>
          <w:rFonts w:ascii="Arial" w:cs="Arial" w:eastAsia="Arial" w:hAnsi="Arial"/>
          <w:sz w:val="18"/>
          <w:szCs w:val="18"/>
          <w:color w:val="auto"/>
          <w:vertAlign w:val="superscript"/>
        </w:rPr>
        <w:t>TM</w:t>
      </w:r>
      <w:r>
        <w:rPr>
          <w:rFonts w:ascii="Arial" w:cs="Arial" w:eastAsia="Arial" w:hAnsi="Arial"/>
          <w:sz w:val="14"/>
          <w:szCs w:val="14"/>
          <w:color w:val="auto"/>
        </w:rPr>
        <w:t>, and other Micron trademarks are the property of Micron Technology, Inc. All other trademarks are the property of their respective owners. Products and specifications are subject to change without notice. Rev 09/20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574040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440" w:right="339" w:bottom="1440" w:gutter="0" w:footer="0" w:header="0"/>
          <w:type w:val="continuous"/>
        </w:sectPr>
      </w:pPr>
    </w:p>
    <w:bookmarkStart w:id="2" w:name="page3"/>
    <w:bookmarkEnd w:id="2"/>
    <w:p>
      <w:pPr>
        <w:spacing w:after="0"/>
        <w:rPr>
          <w:sz w:val="20"/>
          <w:szCs w:val="20"/>
          <w:color w:val="auto"/>
        </w:rPr>
      </w:pPr>
      <w:r>
        <w:rPr>
          <w:rFonts w:ascii="Arial" w:cs="Arial" w:eastAsia="Arial" w:hAnsi="Arial"/>
          <w:sz w:val="39"/>
          <w:szCs w:val="39"/>
          <w:b w:val="1"/>
          <w:bCs w:val="1"/>
          <w:color w:val="auto"/>
        </w:rPr>
        <w:t>Micron’s Global Footprint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7621270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5863590" cy="68491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63590" cy="6849110"/>
                    </a:xfrm>
                    <a:prstGeom prst="rect">
                      <a:avLst/>
                    </a:prstGeom>
                    <a:noFill/>
                  </pic:spPr>
                </pic:pic>
              </a:graphicData>
            </a:graphic>
          </wp:anchor>
        </w:drawing>
      </w:r>
    </w:p>
    <w:p>
      <w:pPr>
        <w:sectPr>
          <w:pgSz w:w="11900" w:h="16838" w:orient="portrait"/>
          <w:cols w:equalWidth="0" w:num="1">
            <w:col w:w="10139"/>
          </w:cols>
          <w:pgMar w:left="320" w:top="1162" w:right="1440" w:bottom="1440" w:gutter="0" w:footer="0" w:header="0"/>
        </w:sectPr>
      </w:pPr>
    </w:p>
    <w:bookmarkStart w:id="3" w:name="page4"/>
    <w:bookmarkEnd w:id="3"/>
    <w:p>
      <w:pPr>
        <w:spacing w:after="0"/>
        <w:rPr>
          <w:sz w:val="20"/>
          <w:szCs w:val="20"/>
          <w:color w:val="auto"/>
        </w:rPr>
      </w:pPr>
      <w:r>
        <w:rPr>
          <w:rFonts w:ascii="Arial" w:cs="Arial" w:eastAsia="Arial" w:hAnsi="Arial"/>
          <w:sz w:val="40"/>
          <w:szCs w:val="40"/>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63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198755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Introduction</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625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52" w:lineRule="exact"/>
        <w:rPr>
          <w:sz w:val="20"/>
          <w:szCs w:val="20"/>
          <w:color w:val="auto"/>
        </w:rPr>
      </w:pPr>
    </w:p>
    <w:p>
      <w:pPr>
        <w:ind w:left="120"/>
        <w:spacing w:after="0"/>
        <w:tabs>
          <w:tab w:leader="none" w:pos="15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Business</w:t>
      </w:r>
    </w:p>
    <w:p>
      <w:pPr>
        <w:spacing w:after="0" w:line="50" w:lineRule="exact"/>
        <w:rPr>
          <w:sz w:val="20"/>
          <w:szCs w:val="20"/>
          <w:color w:val="auto"/>
        </w:rPr>
      </w:pPr>
    </w:p>
    <w:p>
      <w:pPr>
        <w:ind w:left="120"/>
        <w:spacing w:after="0"/>
        <w:tabs>
          <w:tab w:leader="none" w:pos="150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7"/>
          <w:szCs w:val="17"/>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120"/>
        <w:spacing w:after="0"/>
        <w:tabs>
          <w:tab w:leader="none" w:pos="1500" w:val="left"/>
        </w:tabs>
        <w:rPr>
          <w:sz w:val="20"/>
          <w:szCs w:val="20"/>
          <w:color w:val="auto"/>
        </w:rPr>
      </w:pPr>
      <w:r>
        <w:rPr>
          <w:rFonts w:ascii="Arial" w:cs="Arial" w:eastAsia="Arial" w:hAnsi="Arial"/>
          <w:sz w:val="18"/>
          <w:szCs w:val="18"/>
          <w:color w:val="auto"/>
        </w:rPr>
        <w:t>Item 1B.</w:t>
      </w:r>
      <w:r>
        <w:rPr>
          <w:sz w:val="20"/>
          <w:szCs w:val="20"/>
          <w:color w:val="auto"/>
        </w:rPr>
        <w:tab/>
      </w:r>
      <w:r>
        <w:rPr>
          <w:rFonts w:ascii="Arial" w:cs="Arial" w:eastAsia="Arial" w:hAnsi="Arial"/>
          <w:sz w:val="17"/>
          <w:szCs w:val="17"/>
          <w:color w:val="auto"/>
        </w:rPr>
        <w:t>Unresolved Staff Comments</w:t>
      </w:r>
    </w:p>
    <w:p>
      <w:pPr>
        <w:spacing w:after="0" w:line="50" w:lineRule="exact"/>
        <w:rPr>
          <w:sz w:val="20"/>
          <w:szCs w:val="20"/>
          <w:color w:val="auto"/>
        </w:rPr>
      </w:pPr>
    </w:p>
    <w:p>
      <w:pPr>
        <w:ind w:left="120"/>
        <w:spacing w:after="0"/>
        <w:tabs>
          <w:tab w:leader="none" w:pos="150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25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0" w:lineRule="exact"/>
        <w:rPr>
          <w:sz w:val="20"/>
          <w:szCs w:val="20"/>
          <w:color w:val="auto"/>
        </w:rPr>
      </w:pPr>
    </w:p>
    <w:p>
      <w:pPr>
        <w:ind w:left="120"/>
        <w:spacing w:after="0"/>
        <w:tabs>
          <w:tab w:leader="none" w:pos="150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7"/>
          <w:szCs w:val="17"/>
          <w:color w:val="auto"/>
        </w:rPr>
        <w:t>Legal Proceedings</w:t>
      </w:r>
    </w:p>
    <w:p>
      <w:pPr>
        <w:spacing w:after="0" w:line="50" w:lineRule="exact"/>
        <w:rPr>
          <w:sz w:val="20"/>
          <w:szCs w:val="20"/>
          <w:color w:val="auto"/>
        </w:rPr>
      </w:pPr>
    </w:p>
    <w:p>
      <w:pPr>
        <w:ind w:left="120"/>
        <w:spacing w:after="0"/>
        <w:tabs>
          <w:tab w:leader="none" w:pos="150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7"/>
          <w:szCs w:val="17"/>
          <w:color w:val="auto"/>
        </w:rPr>
        <w:t>Mine Safety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PART II</w:t>
      </w:r>
    </w:p>
    <w:p>
      <w:pPr>
        <w:spacing w:after="0" w:line="72" w:lineRule="exact"/>
        <w:rPr>
          <w:sz w:val="20"/>
          <w:szCs w:val="20"/>
          <w:color w:val="auto"/>
        </w:rPr>
      </w:pPr>
    </w:p>
    <w:p>
      <w:pPr>
        <w:ind w:left="120"/>
        <w:spacing w:after="0"/>
        <w:tabs>
          <w:tab w:leader="none" w:pos="15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7"/>
          <w:szCs w:val="17"/>
          <w:color w:val="auto"/>
        </w:rPr>
        <w:t>Market for Registrant’s Common Equity, Related Stockholder Matters, and Issuer Purchases of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120"/>
        <w:spacing w:after="0"/>
        <w:tabs>
          <w:tab w:leader="none" w:pos="15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7"/>
          <w:szCs w:val="17"/>
          <w:color w:val="auto"/>
        </w:rPr>
        <w:t>Selected Financial Data</w:t>
      </w:r>
    </w:p>
    <w:p>
      <w:pPr>
        <w:spacing w:after="0" w:line="50" w:lineRule="exact"/>
        <w:rPr>
          <w:sz w:val="20"/>
          <w:szCs w:val="20"/>
          <w:color w:val="auto"/>
        </w:rPr>
      </w:pPr>
    </w:p>
    <w:p>
      <w:pPr>
        <w:ind w:left="120"/>
        <w:spacing w:after="0"/>
        <w:tabs>
          <w:tab w:leader="none" w:pos="15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7"/>
          <w:szCs w:val="17"/>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120"/>
        <w:spacing w:after="0"/>
        <w:tabs>
          <w:tab w:leader="none" w:pos="1500" w:val="left"/>
        </w:tabs>
        <w:rPr>
          <w:sz w:val="20"/>
          <w:szCs w:val="20"/>
          <w:color w:val="auto"/>
        </w:rPr>
      </w:pPr>
      <w:r>
        <w:rPr>
          <w:rFonts w:ascii="Arial" w:cs="Arial" w:eastAsia="Arial" w:hAnsi="Arial"/>
          <w:sz w:val="18"/>
          <w:szCs w:val="18"/>
          <w:color w:val="auto"/>
        </w:rPr>
        <w:t>Item 7A.</w:t>
      </w:r>
      <w:r>
        <w:rPr>
          <w:sz w:val="20"/>
          <w:szCs w:val="20"/>
          <w:color w:val="auto"/>
        </w:rPr>
        <w:tab/>
      </w:r>
      <w:r>
        <w:rPr>
          <w:rFonts w:ascii="Arial" w:cs="Arial" w:eastAsia="Arial" w:hAnsi="Arial"/>
          <w:sz w:val="17"/>
          <w:szCs w:val="17"/>
          <w:color w:val="auto"/>
        </w:rPr>
        <w:t>Quantitative and Qualitative Disclosures About Market Risk</w:t>
      </w:r>
    </w:p>
    <w:p>
      <w:pPr>
        <w:spacing w:after="0" w:line="50" w:lineRule="exact"/>
        <w:rPr>
          <w:sz w:val="20"/>
          <w:szCs w:val="20"/>
          <w:color w:val="auto"/>
        </w:rPr>
      </w:pPr>
    </w:p>
    <w:p>
      <w:pPr>
        <w:ind w:left="120"/>
        <w:spacing w:after="0"/>
        <w:tabs>
          <w:tab w:leader="none" w:pos="15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7"/>
          <w:szCs w:val="17"/>
          <w:color w:val="auto"/>
        </w:rPr>
        <w:t>Financial Statements and Supplementary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120"/>
        <w:spacing w:after="0"/>
        <w:tabs>
          <w:tab w:leader="none" w:pos="15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7"/>
          <w:szCs w:val="17"/>
          <w:color w:val="auto"/>
        </w:rPr>
        <w:t>Changes in and Disagreements With Accountants on Accounting and Financial Disclosure</w:t>
      </w:r>
    </w:p>
    <w:p>
      <w:pPr>
        <w:spacing w:after="0" w:line="50" w:lineRule="exact"/>
        <w:rPr>
          <w:sz w:val="20"/>
          <w:szCs w:val="20"/>
          <w:color w:val="auto"/>
        </w:rPr>
      </w:pPr>
    </w:p>
    <w:p>
      <w:pPr>
        <w:ind w:left="120"/>
        <w:spacing w:after="0"/>
        <w:tabs>
          <w:tab w:leader="none" w:pos="1500" w:val="left"/>
        </w:tabs>
        <w:rPr>
          <w:sz w:val="20"/>
          <w:szCs w:val="20"/>
          <w:color w:val="auto"/>
        </w:rPr>
      </w:pPr>
      <w:r>
        <w:rPr>
          <w:rFonts w:ascii="Arial" w:cs="Arial" w:eastAsia="Arial" w:hAnsi="Arial"/>
          <w:sz w:val="18"/>
          <w:szCs w:val="18"/>
          <w:color w:val="auto"/>
        </w:rPr>
        <w:t>Item 9A.</w:t>
      </w:r>
      <w:r>
        <w:rPr>
          <w:sz w:val="20"/>
          <w:szCs w:val="20"/>
          <w:color w:val="auto"/>
        </w:rPr>
        <w:tab/>
      </w:r>
      <w:r>
        <w:rPr>
          <w:rFonts w:ascii="Arial" w:cs="Arial" w:eastAsia="Arial" w:hAnsi="Arial"/>
          <w:sz w:val="17"/>
          <w:szCs w:val="17"/>
          <w:color w:val="auto"/>
        </w:rPr>
        <w:t>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120"/>
        <w:spacing w:after="0"/>
        <w:tabs>
          <w:tab w:leader="none" w:pos="1500" w:val="left"/>
        </w:tabs>
        <w:rPr>
          <w:sz w:val="20"/>
          <w:szCs w:val="20"/>
          <w:color w:val="auto"/>
        </w:rPr>
      </w:pPr>
      <w:r>
        <w:rPr>
          <w:rFonts w:ascii="Arial" w:cs="Arial" w:eastAsia="Arial" w:hAnsi="Arial"/>
          <w:sz w:val="18"/>
          <w:szCs w:val="18"/>
          <w:color w:val="auto"/>
        </w:rPr>
        <w:t>Item 9B.</w:t>
      </w:r>
      <w:r>
        <w:rPr>
          <w:sz w:val="20"/>
          <w:szCs w:val="20"/>
          <w:color w:val="auto"/>
        </w:rPr>
        <w:tab/>
      </w:r>
      <w:r>
        <w:rPr>
          <w:rFonts w:ascii="Arial" w:cs="Arial" w:eastAsia="Arial" w:hAnsi="Arial"/>
          <w:sz w:val="17"/>
          <w:szCs w:val="17"/>
          <w:color w:val="auto"/>
        </w:rPr>
        <w:t>Other Information</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2" w:lineRule="exact"/>
        <w:rPr>
          <w:sz w:val="20"/>
          <w:szCs w:val="20"/>
          <w:color w:val="auto"/>
        </w:rPr>
      </w:pPr>
    </w:p>
    <w:p>
      <w:pPr>
        <w:ind w:left="120"/>
        <w:spacing w:after="0"/>
        <w:tabs>
          <w:tab w:leader="none" w:pos="150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7"/>
          <w:szCs w:val="17"/>
          <w:color w:val="auto"/>
        </w:rPr>
        <w:t>Directors, Executive Officers, and Corporate Governance</w:t>
      </w:r>
    </w:p>
    <w:p>
      <w:pPr>
        <w:spacing w:after="0" w:line="50" w:lineRule="exact"/>
        <w:rPr>
          <w:sz w:val="20"/>
          <w:szCs w:val="20"/>
          <w:color w:val="auto"/>
        </w:rPr>
      </w:pPr>
    </w:p>
    <w:p>
      <w:pPr>
        <w:ind w:left="120"/>
        <w:spacing w:after="0"/>
        <w:tabs>
          <w:tab w:leader="none" w:pos="1500" w:val="left"/>
        </w:tabs>
        <w:rPr>
          <w:sz w:val="20"/>
          <w:szCs w:val="20"/>
          <w:color w:val="auto"/>
        </w:rPr>
      </w:pPr>
      <w:r>
        <w:rPr>
          <w:rFonts w:ascii="Arial" w:cs="Arial" w:eastAsia="Arial" w:hAnsi="Arial"/>
          <w:sz w:val="18"/>
          <w:szCs w:val="18"/>
          <w:color w:val="auto"/>
        </w:rPr>
        <w:t>Item 11.</w:t>
      </w:r>
      <w:r>
        <w:rPr>
          <w:sz w:val="20"/>
          <w:szCs w:val="20"/>
          <w:color w:val="auto"/>
        </w:rPr>
        <w:tab/>
      </w:r>
      <w:r>
        <w:rPr>
          <w:rFonts w:ascii="Arial" w:cs="Arial" w:eastAsia="Arial" w:hAnsi="Arial"/>
          <w:sz w:val="17"/>
          <w:szCs w:val="17"/>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120"/>
        <w:spacing w:after="0"/>
        <w:tabs>
          <w:tab w:leader="none" w:pos="1500" w:val="left"/>
        </w:tabs>
        <w:rPr>
          <w:sz w:val="20"/>
          <w:szCs w:val="20"/>
          <w:color w:val="auto"/>
        </w:rPr>
      </w:pPr>
      <w:r>
        <w:rPr>
          <w:rFonts w:ascii="Arial" w:cs="Arial" w:eastAsia="Arial" w:hAnsi="Arial"/>
          <w:sz w:val="18"/>
          <w:szCs w:val="18"/>
          <w:color w:val="auto"/>
        </w:rPr>
        <w:t>Item 12.</w:t>
      </w:r>
      <w:r>
        <w:rPr>
          <w:sz w:val="20"/>
          <w:szCs w:val="20"/>
          <w:color w:val="auto"/>
        </w:rPr>
        <w:tab/>
      </w:r>
      <w:r>
        <w:rPr>
          <w:rFonts w:ascii="Arial" w:cs="Arial" w:eastAsia="Arial" w:hAnsi="Arial"/>
          <w:sz w:val="17"/>
          <w:szCs w:val="17"/>
          <w:color w:val="auto"/>
        </w:rPr>
        <w:t>Security Ownership of Certain Beneficial Owners and Management and Related Stockholder Matters</w:t>
      </w:r>
    </w:p>
    <w:p>
      <w:pPr>
        <w:spacing w:after="0" w:line="50" w:lineRule="exact"/>
        <w:rPr>
          <w:sz w:val="20"/>
          <w:szCs w:val="20"/>
          <w:color w:val="auto"/>
        </w:rPr>
      </w:pPr>
    </w:p>
    <w:p>
      <w:pPr>
        <w:ind w:left="120"/>
        <w:spacing w:after="0"/>
        <w:tabs>
          <w:tab w:leader="none" w:pos="1500" w:val="left"/>
        </w:tabs>
        <w:rPr>
          <w:sz w:val="20"/>
          <w:szCs w:val="20"/>
          <w:color w:val="auto"/>
        </w:rPr>
      </w:pPr>
      <w:r>
        <w:rPr>
          <w:rFonts w:ascii="Arial" w:cs="Arial" w:eastAsia="Arial" w:hAnsi="Arial"/>
          <w:sz w:val="18"/>
          <w:szCs w:val="18"/>
          <w:color w:val="auto"/>
        </w:rPr>
        <w:t>Item 13.</w:t>
      </w:r>
      <w:r>
        <w:rPr>
          <w:sz w:val="20"/>
          <w:szCs w:val="20"/>
          <w:color w:val="auto"/>
        </w:rPr>
        <w:tab/>
      </w:r>
      <w:r>
        <w:rPr>
          <w:rFonts w:ascii="Arial" w:cs="Arial" w:eastAsia="Arial" w:hAnsi="Arial"/>
          <w:sz w:val="17"/>
          <w:szCs w:val="17"/>
          <w:color w:val="auto"/>
        </w:rPr>
        <w:t>Certain Relationships and Related Transactions, and 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120"/>
        <w:spacing w:after="0"/>
        <w:tabs>
          <w:tab w:leader="none" w:pos="1500" w:val="left"/>
        </w:tabs>
        <w:rPr>
          <w:sz w:val="20"/>
          <w:szCs w:val="20"/>
          <w:color w:val="auto"/>
        </w:rPr>
      </w:pPr>
      <w:r>
        <w:rPr>
          <w:rFonts w:ascii="Arial" w:cs="Arial" w:eastAsia="Arial" w:hAnsi="Arial"/>
          <w:sz w:val="18"/>
          <w:szCs w:val="18"/>
          <w:color w:val="auto"/>
        </w:rPr>
        <w:t>Item 14.</w:t>
      </w:r>
      <w:r>
        <w:rPr>
          <w:sz w:val="20"/>
          <w:szCs w:val="20"/>
          <w:color w:val="auto"/>
        </w:rPr>
        <w:tab/>
      </w:r>
      <w:r>
        <w:rPr>
          <w:rFonts w:ascii="Arial" w:cs="Arial" w:eastAsia="Arial" w:hAnsi="Arial"/>
          <w:sz w:val="17"/>
          <w:szCs w:val="17"/>
          <w:color w:val="auto"/>
        </w:rPr>
        <w:t>Principal Accountant Fees and Services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PART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2" w:lineRule="exact"/>
        <w:rPr>
          <w:sz w:val="20"/>
          <w:szCs w:val="20"/>
          <w:color w:val="auto"/>
        </w:rPr>
      </w:pPr>
    </w:p>
    <w:p>
      <w:pPr>
        <w:ind w:left="120"/>
        <w:spacing w:after="0"/>
        <w:tabs>
          <w:tab w:leader="none" w:pos="1500" w:val="left"/>
        </w:tabs>
        <w:rPr>
          <w:sz w:val="20"/>
          <w:szCs w:val="20"/>
          <w:color w:val="auto"/>
        </w:rPr>
      </w:pPr>
      <w:r>
        <w:rPr>
          <w:rFonts w:ascii="Arial" w:cs="Arial" w:eastAsia="Arial" w:hAnsi="Arial"/>
          <w:sz w:val="18"/>
          <w:szCs w:val="18"/>
          <w:color w:val="auto"/>
        </w:rPr>
        <w:t>Item 15.</w:t>
      </w:r>
      <w:r>
        <w:rPr>
          <w:sz w:val="20"/>
          <w:szCs w:val="20"/>
          <w:color w:val="auto"/>
        </w:rPr>
        <w:tab/>
      </w:r>
      <w:r>
        <w:rPr>
          <w:rFonts w:ascii="Arial" w:cs="Arial" w:eastAsia="Arial" w:hAnsi="Arial"/>
          <w:sz w:val="17"/>
          <w:szCs w:val="17"/>
          <w:color w:val="auto"/>
        </w:rPr>
        <w:t>Exhibits and Financial Statement Schedule</w:t>
      </w:r>
    </w:p>
    <w:p>
      <w:pPr>
        <w:spacing w:after="0" w:line="50" w:lineRule="exact"/>
        <w:rPr>
          <w:sz w:val="20"/>
          <w:szCs w:val="20"/>
          <w:color w:val="auto"/>
        </w:rPr>
      </w:pPr>
    </w:p>
    <w:p>
      <w:pPr>
        <w:ind w:left="120"/>
        <w:spacing w:after="0"/>
        <w:tabs>
          <w:tab w:leader="none" w:pos="1500" w:val="left"/>
        </w:tabs>
        <w:rPr>
          <w:sz w:val="20"/>
          <w:szCs w:val="20"/>
          <w:color w:val="auto"/>
        </w:rPr>
      </w:pPr>
      <w:r>
        <w:rPr>
          <w:rFonts w:ascii="Arial" w:cs="Arial" w:eastAsia="Arial" w:hAnsi="Arial"/>
          <w:sz w:val="18"/>
          <w:szCs w:val="18"/>
          <w:color w:val="auto"/>
        </w:rPr>
        <w:t>Item 16.</w:t>
      </w:r>
      <w:r>
        <w:rPr>
          <w:sz w:val="20"/>
          <w:szCs w:val="20"/>
          <w:color w:val="auto"/>
        </w:rPr>
        <w:tab/>
      </w:r>
      <w:r>
        <w:rPr>
          <w:rFonts w:ascii="Arial" w:cs="Arial" w:eastAsia="Arial" w:hAnsi="Arial"/>
          <w:sz w:val="17"/>
          <w:szCs w:val="17"/>
          <w:color w:val="auto"/>
        </w:rPr>
        <w:t>Form 10-K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21"/>
          <w:szCs w:val="21"/>
          <w:b w:val="1"/>
          <w:bCs w:val="1"/>
          <w:color w:val="0090DA"/>
        </w:rPr>
        <w:t>|</w:t>
      </w:r>
      <w:r>
        <w:rPr>
          <w:rFonts w:ascii="Arial" w:cs="Arial" w:eastAsia="Arial" w:hAnsi="Arial"/>
          <w:sz w:val="18"/>
          <w:szCs w:val="18"/>
          <w:color w:val="auto"/>
        </w:rPr>
        <w:t xml:space="preserve"> 2020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3</w:t>
        </w:r>
      </w:hyperlink>
    </w:p>
    <w:p>
      <w:pPr>
        <w:spacing w:after="0" w:line="50" w:lineRule="exact"/>
        <w:rPr>
          <w:sz w:val="20"/>
          <w:szCs w:val="20"/>
          <w:color w:val="auto"/>
        </w:rPr>
      </w:pPr>
    </w:p>
    <w:p>
      <w:pPr>
        <w:spacing w:after="0"/>
        <w:rPr>
          <w:rFonts w:ascii="Arial" w:cs="Arial" w:eastAsia="Arial" w:hAnsi="Arial"/>
          <w:sz w:val="17"/>
          <w:szCs w:val="17"/>
          <w:u w:val="single" w:color="auto"/>
          <w:color w:val="0000FF"/>
        </w:rPr>
      </w:pPr>
      <w:hyperlink w:anchor="page17">
        <w:r>
          <w:rPr>
            <w:rFonts w:ascii="Arial" w:cs="Arial" w:eastAsia="Arial" w:hAnsi="Arial"/>
            <w:sz w:val="17"/>
            <w:szCs w:val="17"/>
            <w:u w:val="single" w:color="auto"/>
            <w:color w:val="0000FF"/>
          </w:rPr>
          <w:t>14</w:t>
        </w:r>
      </w:hyperlink>
    </w:p>
    <w:p>
      <w:pPr>
        <w:spacing w:after="0" w:line="61" w:lineRule="exact"/>
        <w:rPr>
          <w:sz w:val="20"/>
          <w:szCs w:val="20"/>
          <w:color w:val="auto"/>
        </w:rPr>
      </w:pPr>
    </w:p>
    <w:p>
      <w:pPr>
        <w:spacing w:after="0"/>
        <w:rPr>
          <w:rFonts w:ascii="Arial" w:cs="Arial" w:eastAsia="Arial" w:hAnsi="Arial"/>
          <w:sz w:val="17"/>
          <w:szCs w:val="17"/>
          <w:u w:val="single" w:color="auto"/>
          <w:color w:val="0000FF"/>
        </w:rPr>
      </w:pPr>
      <w:hyperlink w:anchor="page33">
        <w:r>
          <w:rPr>
            <w:rFonts w:ascii="Arial" w:cs="Arial" w:eastAsia="Arial" w:hAnsi="Arial"/>
            <w:sz w:val="17"/>
            <w:szCs w:val="17"/>
            <w:u w:val="single" w:color="auto"/>
            <w:color w:val="0000FF"/>
          </w:rPr>
          <w:t>30</w:t>
        </w:r>
      </w:hyperlink>
    </w:p>
    <w:p>
      <w:pPr>
        <w:spacing w:after="0" w:line="61" w:lineRule="exact"/>
        <w:rPr>
          <w:sz w:val="20"/>
          <w:szCs w:val="20"/>
          <w:color w:val="auto"/>
        </w:rPr>
      </w:pPr>
    </w:p>
    <w:p>
      <w:pPr>
        <w:spacing w:after="0"/>
        <w:rPr>
          <w:rFonts w:ascii="Arial" w:cs="Arial" w:eastAsia="Arial" w:hAnsi="Arial"/>
          <w:sz w:val="17"/>
          <w:szCs w:val="17"/>
          <w:u w:val="single" w:color="auto"/>
          <w:color w:val="0000FF"/>
        </w:rPr>
      </w:pPr>
      <w:hyperlink w:anchor="page33">
        <w:r>
          <w:rPr>
            <w:rFonts w:ascii="Arial" w:cs="Arial" w:eastAsia="Arial" w:hAnsi="Arial"/>
            <w:sz w:val="17"/>
            <w:szCs w:val="17"/>
            <w:u w:val="single" w:color="auto"/>
            <w:color w:val="0000FF"/>
          </w:rPr>
          <w:t>31</w:t>
        </w:r>
      </w:hyperlink>
    </w:p>
    <w:p>
      <w:pPr>
        <w:spacing w:after="0" w:line="61" w:lineRule="exact"/>
        <w:rPr>
          <w:sz w:val="20"/>
          <w:szCs w:val="20"/>
          <w:color w:val="auto"/>
        </w:rPr>
      </w:pPr>
    </w:p>
    <w:p>
      <w:pPr>
        <w:spacing w:after="0"/>
        <w:rPr>
          <w:rFonts w:ascii="Arial" w:cs="Arial" w:eastAsia="Arial" w:hAnsi="Arial"/>
          <w:sz w:val="17"/>
          <w:szCs w:val="17"/>
          <w:u w:val="single" w:color="auto"/>
          <w:color w:val="0000FF"/>
        </w:rPr>
      </w:pPr>
      <w:hyperlink w:anchor="page34">
        <w:r>
          <w:rPr>
            <w:rFonts w:ascii="Arial" w:cs="Arial" w:eastAsia="Arial" w:hAnsi="Arial"/>
            <w:sz w:val="17"/>
            <w:szCs w:val="17"/>
            <w:u w:val="single" w:color="auto"/>
            <w:color w:val="0000FF"/>
          </w:rPr>
          <w:t>31</w:t>
        </w:r>
      </w:hyperlink>
    </w:p>
    <w:p>
      <w:pPr>
        <w:spacing w:after="0" w:line="61" w:lineRule="exact"/>
        <w:rPr>
          <w:sz w:val="20"/>
          <w:szCs w:val="20"/>
          <w:color w:val="auto"/>
        </w:rPr>
      </w:pPr>
    </w:p>
    <w:p>
      <w:pPr>
        <w:spacing w:after="0"/>
        <w:rPr>
          <w:rFonts w:ascii="Arial" w:cs="Arial" w:eastAsia="Arial" w:hAnsi="Arial"/>
          <w:sz w:val="17"/>
          <w:szCs w:val="17"/>
          <w:u w:val="single" w:color="auto"/>
          <w:color w:val="0000FF"/>
        </w:rPr>
      </w:pPr>
      <w:hyperlink w:anchor="page35">
        <w:r>
          <w:rPr>
            <w:rFonts w:ascii="Arial" w:cs="Arial" w:eastAsia="Arial" w:hAnsi="Arial"/>
            <w:sz w:val="17"/>
            <w:szCs w:val="17"/>
            <w:u w:val="single" w:color="auto"/>
            <w:color w:val="0000FF"/>
          </w:rPr>
          <w:t>32</w:t>
        </w:r>
      </w:hyperlink>
    </w:p>
    <w:p>
      <w:pPr>
        <w:spacing w:after="0" w:line="318" w:lineRule="exact"/>
        <w:rPr>
          <w:sz w:val="20"/>
          <w:szCs w:val="20"/>
          <w:color w:val="auto"/>
        </w:rPr>
      </w:pPr>
    </w:p>
    <w:p>
      <w:pPr>
        <w:spacing w:after="0"/>
        <w:rPr>
          <w:rFonts w:ascii="Arial" w:cs="Arial" w:eastAsia="Arial" w:hAnsi="Arial"/>
          <w:sz w:val="17"/>
          <w:szCs w:val="17"/>
          <w:u w:val="single" w:color="auto"/>
          <w:color w:val="0000FF"/>
        </w:rPr>
      </w:pPr>
      <w:hyperlink w:anchor="page35">
        <w:r>
          <w:rPr>
            <w:rFonts w:ascii="Arial" w:cs="Arial" w:eastAsia="Arial" w:hAnsi="Arial"/>
            <w:sz w:val="17"/>
            <w:szCs w:val="17"/>
            <w:u w:val="single" w:color="auto"/>
            <w:color w:val="0000FF"/>
          </w:rPr>
          <w:t>32</w:t>
        </w:r>
      </w:hyperlink>
    </w:p>
    <w:p>
      <w:pPr>
        <w:spacing w:after="0" w:line="61" w:lineRule="exact"/>
        <w:rPr>
          <w:sz w:val="20"/>
          <w:szCs w:val="20"/>
          <w:color w:val="auto"/>
        </w:rPr>
      </w:pPr>
    </w:p>
    <w:p>
      <w:pPr>
        <w:spacing w:after="0"/>
        <w:rPr>
          <w:rFonts w:ascii="Arial" w:cs="Arial" w:eastAsia="Arial" w:hAnsi="Arial"/>
          <w:sz w:val="17"/>
          <w:szCs w:val="17"/>
          <w:u w:val="single" w:color="auto"/>
          <w:color w:val="0000FF"/>
        </w:rPr>
      </w:pPr>
      <w:hyperlink w:anchor="page36">
        <w:r>
          <w:rPr>
            <w:rFonts w:ascii="Arial" w:cs="Arial" w:eastAsia="Arial" w:hAnsi="Arial"/>
            <w:sz w:val="17"/>
            <w:szCs w:val="17"/>
            <w:u w:val="single" w:color="auto"/>
            <w:color w:val="0000FF"/>
          </w:rPr>
          <w:t>34</w:t>
        </w:r>
      </w:hyperlink>
    </w:p>
    <w:p>
      <w:pPr>
        <w:spacing w:after="0" w:line="61" w:lineRule="exact"/>
        <w:rPr>
          <w:sz w:val="20"/>
          <w:szCs w:val="20"/>
          <w:color w:val="auto"/>
        </w:rPr>
      </w:pPr>
    </w:p>
    <w:p>
      <w:pPr>
        <w:spacing w:after="0"/>
        <w:rPr>
          <w:rFonts w:ascii="Arial" w:cs="Arial" w:eastAsia="Arial" w:hAnsi="Arial"/>
          <w:sz w:val="17"/>
          <w:szCs w:val="17"/>
          <w:u w:val="single" w:color="auto"/>
          <w:color w:val="0000FF"/>
        </w:rPr>
      </w:pPr>
      <w:hyperlink w:anchor="page37">
        <w:r>
          <w:rPr>
            <w:rFonts w:ascii="Arial" w:cs="Arial" w:eastAsia="Arial" w:hAnsi="Arial"/>
            <w:sz w:val="17"/>
            <w:szCs w:val="17"/>
            <w:u w:val="single" w:color="auto"/>
            <w:color w:val="0000FF"/>
          </w:rPr>
          <w:t>34</w:t>
        </w:r>
      </w:hyperlink>
    </w:p>
    <w:p>
      <w:pPr>
        <w:spacing w:after="0" w:line="61" w:lineRule="exact"/>
        <w:rPr>
          <w:sz w:val="20"/>
          <w:szCs w:val="20"/>
          <w:color w:val="auto"/>
        </w:rPr>
      </w:pPr>
    </w:p>
    <w:p>
      <w:pPr>
        <w:spacing w:after="0"/>
        <w:rPr>
          <w:rFonts w:ascii="Arial" w:cs="Arial" w:eastAsia="Arial" w:hAnsi="Arial"/>
          <w:sz w:val="17"/>
          <w:szCs w:val="17"/>
          <w:u w:val="single" w:color="auto"/>
          <w:color w:val="0000FF"/>
        </w:rPr>
      </w:pPr>
      <w:hyperlink w:anchor="page48">
        <w:r>
          <w:rPr>
            <w:rFonts w:ascii="Arial" w:cs="Arial" w:eastAsia="Arial" w:hAnsi="Arial"/>
            <w:sz w:val="17"/>
            <w:szCs w:val="17"/>
            <w:u w:val="single" w:color="auto"/>
            <w:color w:val="0000FF"/>
          </w:rPr>
          <w:t>45</w:t>
        </w:r>
      </w:hyperlink>
    </w:p>
    <w:p>
      <w:pPr>
        <w:spacing w:after="0" w:line="61" w:lineRule="exact"/>
        <w:rPr>
          <w:sz w:val="20"/>
          <w:szCs w:val="20"/>
          <w:color w:val="auto"/>
        </w:rPr>
      </w:pPr>
    </w:p>
    <w:p>
      <w:pPr>
        <w:spacing w:after="0"/>
        <w:rPr>
          <w:rFonts w:ascii="Arial" w:cs="Arial" w:eastAsia="Arial" w:hAnsi="Arial"/>
          <w:sz w:val="17"/>
          <w:szCs w:val="17"/>
          <w:u w:val="single" w:color="auto"/>
          <w:color w:val="0000FF"/>
        </w:rPr>
      </w:pPr>
      <w:hyperlink w:anchor="page49">
        <w:r>
          <w:rPr>
            <w:rFonts w:ascii="Arial" w:cs="Arial" w:eastAsia="Arial" w:hAnsi="Arial"/>
            <w:sz w:val="17"/>
            <w:szCs w:val="17"/>
            <w:u w:val="single" w:color="auto"/>
            <w:color w:val="0000FF"/>
          </w:rPr>
          <w:t>47</w:t>
        </w:r>
      </w:hyperlink>
    </w:p>
    <w:p>
      <w:pPr>
        <w:spacing w:after="0" w:line="61" w:lineRule="exact"/>
        <w:rPr>
          <w:sz w:val="20"/>
          <w:szCs w:val="20"/>
          <w:color w:val="auto"/>
        </w:rPr>
      </w:pPr>
    </w:p>
    <w:p>
      <w:pPr>
        <w:spacing w:after="0"/>
        <w:rPr>
          <w:rFonts w:ascii="Arial" w:cs="Arial" w:eastAsia="Arial" w:hAnsi="Arial"/>
          <w:sz w:val="17"/>
          <w:szCs w:val="17"/>
          <w:u w:val="single" w:color="auto"/>
          <w:color w:val="0000FF"/>
        </w:rPr>
      </w:pPr>
      <w:hyperlink w:anchor="page88">
        <w:r>
          <w:rPr>
            <w:rFonts w:ascii="Arial" w:cs="Arial" w:eastAsia="Arial" w:hAnsi="Arial"/>
            <w:sz w:val="17"/>
            <w:szCs w:val="17"/>
            <w:u w:val="single" w:color="auto"/>
            <w:color w:val="0000FF"/>
          </w:rPr>
          <w:t>86</w:t>
        </w:r>
      </w:hyperlink>
    </w:p>
    <w:p>
      <w:pPr>
        <w:spacing w:after="0" w:line="61" w:lineRule="exact"/>
        <w:rPr>
          <w:sz w:val="20"/>
          <w:szCs w:val="20"/>
          <w:color w:val="auto"/>
        </w:rPr>
      </w:pPr>
    </w:p>
    <w:p>
      <w:pPr>
        <w:spacing w:after="0"/>
        <w:rPr>
          <w:rFonts w:ascii="Arial" w:cs="Arial" w:eastAsia="Arial" w:hAnsi="Arial"/>
          <w:sz w:val="17"/>
          <w:szCs w:val="17"/>
          <w:u w:val="single" w:color="auto"/>
          <w:color w:val="0000FF"/>
        </w:rPr>
      </w:pPr>
      <w:hyperlink w:anchor="page89">
        <w:r>
          <w:rPr>
            <w:rFonts w:ascii="Arial" w:cs="Arial" w:eastAsia="Arial" w:hAnsi="Arial"/>
            <w:sz w:val="17"/>
            <w:szCs w:val="17"/>
            <w:u w:val="single" w:color="auto"/>
            <w:color w:val="0000FF"/>
          </w:rPr>
          <w:t>86</w:t>
        </w:r>
      </w:hyperlink>
    </w:p>
    <w:p>
      <w:pPr>
        <w:spacing w:after="0" w:line="61" w:lineRule="exact"/>
        <w:rPr>
          <w:sz w:val="20"/>
          <w:szCs w:val="20"/>
          <w:color w:val="auto"/>
        </w:rPr>
      </w:pPr>
    </w:p>
    <w:p>
      <w:pPr>
        <w:spacing w:after="0"/>
        <w:rPr>
          <w:rFonts w:ascii="Arial" w:cs="Arial" w:eastAsia="Arial" w:hAnsi="Arial"/>
          <w:sz w:val="17"/>
          <w:szCs w:val="17"/>
          <w:u w:val="single" w:color="auto"/>
          <w:color w:val="0000FF"/>
        </w:rPr>
      </w:pPr>
      <w:hyperlink w:anchor="page89">
        <w:r>
          <w:rPr>
            <w:rFonts w:ascii="Arial" w:cs="Arial" w:eastAsia="Arial" w:hAnsi="Arial"/>
            <w:sz w:val="17"/>
            <w:szCs w:val="17"/>
            <w:u w:val="single" w:color="auto"/>
            <w:color w:val="0000FF"/>
          </w:rPr>
          <w:t>86</w:t>
        </w:r>
      </w:hyperlink>
    </w:p>
    <w:p>
      <w:pPr>
        <w:spacing w:after="0" w:line="318" w:lineRule="exact"/>
        <w:rPr>
          <w:sz w:val="20"/>
          <w:szCs w:val="20"/>
          <w:color w:val="auto"/>
        </w:rPr>
      </w:pPr>
    </w:p>
    <w:p>
      <w:pPr>
        <w:spacing w:after="0"/>
        <w:rPr>
          <w:rFonts w:ascii="Arial" w:cs="Arial" w:eastAsia="Arial" w:hAnsi="Arial"/>
          <w:sz w:val="17"/>
          <w:szCs w:val="17"/>
          <w:u w:val="single" w:color="auto"/>
          <w:color w:val="0000FF"/>
        </w:rPr>
      </w:pPr>
      <w:hyperlink w:anchor="page90">
        <w:r>
          <w:rPr>
            <w:rFonts w:ascii="Arial" w:cs="Arial" w:eastAsia="Arial" w:hAnsi="Arial"/>
            <w:sz w:val="17"/>
            <w:szCs w:val="17"/>
            <w:u w:val="single" w:color="auto"/>
            <w:color w:val="0000FF"/>
          </w:rPr>
          <w:t>87</w:t>
        </w:r>
      </w:hyperlink>
    </w:p>
    <w:p>
      <w:pPr>
        <w:spacing w:after="0" w:line="61" w:lineRule="exact"/>
        <w:rPr>
          <w:sz w:val="20"/>
          <w:szCs w:val="20"/>
          <w:color w:val="auto"/>
        </w:rPr>
      </w:pPr>
    </w:p>
    <w:p>
      <w:pPr>
        <w:spacing w:after="0"/>
        <w:rPr>
          <w:rFonts w:ascii="Arial" w:cs="Arial" w:eastAsia="Arial" w:hAnsi="Arial"/>
          <w:sz w:val="17"/>
          <w:szCs w:val="17"/>
          <w:u w:val="single" w:color="auto"/>
          <w:color w:val="0000FF"/>
        </w:rPr>
      </w:pPr>
      <w:hyperlink w:anchor="page90">
        <w:r>
          <w:rPr>
            <w:rFonts w:ascii="Arial" w:cs="Arial" w:eastAsia="Arial" w:hAnsi="Arial"/>
            <w:sz w:val="17"/>
            <w:szCs w:val="17"/>
            <w:u w:val="single" w:color="auto"/>
            <w:color w:val="0000FF"/>
          </w:rPr>
          <w:t>87</w:t>
        </w:r>
      </w:hyperlink>
    </w:p>
    <w:p>
      <w:pPr>
        <w:spacing w:after="0" w:line="61" w:lineRule="exact"/>
        <w:rPr>
          <w:sz w:val="20"/>
          <w:szCs w:val="20"/>
          <w:color w:val="auto"/>
        </w:rPr>
      </w:pPr>
    </w:p>
    <w:p>
      <w:pPr>
        <w:spacing w:after="0"/>
        <w:rPr>
          <w:rFonts w:ascii="Arial" w:cs="Arial" w:eastAsia="Arial" w:hAnsi="Arial"/>
          <w:sz w:val="17"/>
          <w:szCs w:val="17"/>
          <w:u w:val="single" w:color="auto"/>
          <w:color w:val="0000FF"/>
        </w:rPr>
      </w:pPr>
      <w:hyperlink w:anchor="page90">
        <w:r>
          <w:rPr>
            <w:rFonts w:ascii="Arial" w:cs="Arial" w:eastAsia="Arial" w:hAnsi="Arial"/>
            <w:sz w:val="17"/>
            <w:szCs w:val="17"/>
            <w:u w:val="single" w:color="auto"/>
            <w:color w:val="0000FF"/>
          </w:rPr>
          <w:t>87</w:t>
        </w:r>
      </w:hyperlink>
    </w:p>
    <w:p>
      <w:pPr>
        <w:spacing w:after="0" w:line="61" w:lineRule="exact"/>
        <w:rPr>
          <w:sz w:val="20"/>
          <w:szCs w:val="20"/>
          <w:color w:val="auto"/>
        </w:rPr>
      </w:pPr>
    </w:p>
    <w:p>
      <w:pPr>
        <w:spacing w:after="0"/>
        <w:rPr>
          <w:rFonts w:ascii="Arial" w:cs="Arial" w:eastAsia="Arial" w:hAnsi="Arial"/>
          <w:sz w:val="17"/>
          <w:szCs w:val="17"/>
          <w:u w:val="single" w:color="auto"/>
          <w:color w:val="0000FF"/>
        </w:rPr>
      </w:pPr>
      <w:hyperlink w:anchor="page90">
        <w:r>
          <w:rPr>
            <w:rFonts w:ascii="Arial" w:cs="Arial" w:eastAsia="Arial" w:hAnsi="Arial"/>
            <w:sz w:val="17"/>
            <w:szCs w:val="17"/>
            <w:u w:val="single" w:color="auto"/>
            <w:color w:val="0000FF"/>
          </w:rPr>
          <w:t>87</w:t>
        </w:r>
      </w:hyperlink>
    </w:p>
    <w:p>
      <w:pPr>
        <w:spacing w:after="0" w:line="61" w:lineRule="exact"/>
        <w:rPr>
          <w:sz w:val="20"/>
          <w:szCs w:val="20"/>
          <w:color w:val="auto"/>
        </w:rPr>
      </w:pPr>
    </w:p>
    <w:p>
      <w:pPr>
        <w:spacing w:after="0"/>
        <w:rPr>
          <w:rFonts w:ascii="Arial" w:cs="Arial" w:eastAsia="Arial" w:hAnsi="Arial"/>
          <w:sz w:val="17"/>
          <w:szCs w:val="17"/>
          <w:u w:val="single" w:color="auto"/>
          <w:color w:val="0000FF"/>
        </w:rPr>
      </w:pPr>
      <w:hyperlink w:anchor="page90">
        <w:r>
          <w:rPr>
            <w:rFonts w:ascii="Arial" w:cs="Arial" w:eastAsia="Arial" w:hAnsi="Arial"/>
            <w:sz w:val="17"/>
            <w:szCs w:val="17"/>
            <w:u w:val="single" w:color="auto"/>
            <w:color w:val="0000FF"/>
          </w:rPr>
          <w:t>87</w:t>
        </w:r>
      </w:hyperlink>
    </w:p>
    <w:p>
      <w:pPr>
        <w:spacing w:after="0" w:line="318" w:lineRule="exact"/>
        <w:rPr>
          <w:sz w:val="20"/>
          <w:szCs w:val="20"/>
          <w:color w:val="auto"/>
        </w:rPr>
      </w:pPr>
    </w:p>
    <w:p>
      <w:pPr>
        <w:spacing w:after="0"/>
        <w:rPr>
          <w:rFonts w:ascii="Arial" w:cs="Arial" w:eastAsia="Arial" w:hAnsi="Arial"/>
          <w:sz w:val="17"/>
          <w:szCs w:val="17"/>
          <w:u w:val="single" w:color="auto"/>
          <w:color w:val="0000FF"/>
        </w:rPr>
      </w:pPr>
      <w:hyperlink w:anchor="page91">
        <w:r>
          <w:rPr>
            <w:rFonts w:ascii="Arial" w:cs="Arial" w:eastAsia="Arial" w:hAnsi="Arial"/>
            <w:sz w:val="17"/>
            <w:szCs w:val="17"/>
            <w:u w:val="single" w:color="auto"/>
            <w:color w:val="0000FF"/>
          </w:rPr>
          <w:t>88</w:t>
        </w:r>
      </w:hyperlink>
    </w:p>
    <w:p>
      <w:pPr>
        <w:spacing w:after="0" w:line="61" w:lineRule="exact"/>
        <w:rPr>
          <w:sz w:val="20"/>
          <w:szCs w:val="20"/>
          <w:color w:val="auto"/>
        </w:rPr>
      </w:pPr>
    </w:p>
    <w:p>
      <w:pPr>
        <w:spacing w:after="0"/>
        <w:rPr>
          <w:rFonts w:ascii="Arial" w:cs="Arial" w:eastAsia="Arial" w:hAnsi="Arial"/>
          <w:sz w:val="17"/>
          <w:szCs w:val="17"/>
          <w:u w:val="single" w:color="auto"/>
          <w:color w:val="0000FF"/>
        </w:rPr>
      </w:pPr>
      <w:hyperlink w:anchor="page95">
        <w:r>
          <w:rPr>
            <w:rFonts w:ascii="Arial" w:cs="Arial" w:eastAsia="Arial" w:hAnsi="Arial"/>
            <w:sz w:val="17"/>
            <w:szCs w:val="17"/>
            <w:u w:val="single" w:color="auto"/>
            <w:color w:val="0000FF"/>
          </w:rPr>
          <w:t>92</w:t>
        </w:r>
      </w:hyperlink>
    </w:p>
    <w:p>
      <w:pPr>
        <w:spacing w:after="0" w:line="61" w:lineRule="exact"/>
        <w:rPr>
          <w:sz w:val="20"/>
          <w:szCs w:val="20"/>
          <w:color w:val="auto"/>
        </w:rPr>
      </w:pPr>
    </w:p>
    <w:p>
      <w:pPr>
        <w:spacing w:after="0"/>
        <w:rPr>
          <w:rFonts w:ascii="Arial" w:cs="Arial" w:eastAsia="Arial" w:hAnsi="Arial"/>
          <w:sz w:val="17"/>
          <w:szCs w:val="17"/>
          <w:u w:val="single" w:color="auto"/>
          <w:color w:val="0000FF"/>
        </w:rPr>
      </w:pPr>
      <w:hyperlink w:anchor="page95">
        <w:r>
          <w:rPr>
            <w:rFonts w:ascii="Arial" w:cs="Arial" w:eastAsia="Arial" w:hAnsi="Arial"/>
            <w:sz w:val="17"/>
            <w:szCs w:val="17"/>
            <w:u w:val="single" w:color="auto"/>
            <w:color w:val="0000FF"/>
          </w:rPr>
          <w:t>93</w:t>
        </w:r>
      </w:hyperlink>
    </w:p>
    <w:p>
      <w:pPr>
        <w:sectPr>
          <w:pgSz w:w="11900" w:h="16838" w:orient="portrait"/>
          <w:cols w:equalWidth="0" w:num="2">
            <w:col w:w="10440" w:space="580"/>
            <w:col w:w="200"/>
          </w:cols>
          <w:pgMar w:left="320" w:top="919" w:right="359" w:bottom="1440" w:gutter="0" w:footer="0" w:header="0"/>
        </w:sectPr>
      </w:pPr>
    </w:p>
    <w:bookmarkStart w:id="4" w:name="page5"/>
    <w:bookmarkEnd w:id="4"/>
    <w:p>
      <w:pPr>
        <w:spacing w:after="0"/>
        <w:rPr>
          <w:sz w:val="20"/>
          <w:szCs w:val="20"/>
          <w:color w:val="auto"/>
        </w:rPr>
      </w:pPr>
      <w:r>
        <w:rPr>
          <w:rFonts w:ascii="Arial" w:cs="Arial" w:eastAsia="Arial" w:hAnsi="Arial"/>
          <w:sz w:val="40"/>
          <w:szCs w:val="40"/>
          <w:b w:val="1"/>
          <w:bCs w:val="1"/>
          <w:color w:val="auto"/>
        </w:rPr>
        <w:t>Forward-Looking Statements</w:t>
      </w:r>
    </w:p>
    <w:p>
      <w:pPr>
        <w:spacing w:after="0" w:line="28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This Form 10-K contains trend information and other forward-looking statements that involve a number of risks and uncertainties. Such forward-looking statements may be identified by words such as "anticipate," "expect," "intend," "pledge," "committed," "plans," "opportunities," "future," "believe," "target," "on track," "estimate," "continue," "likely," "may," "will," "would," "should," "could," and variations of such words and similar expressions. Specific forward-looking statements include, but are not limited to, statements such as those made regarding the impact of coronavirus disease 2019 (“COVID-19”) to our business; the timing of introduction of new technology nodes; underutilization of MTU manufacturing capacity; the sufficiency of our cash and investments; and capital spending in 2021. Our actual results could differ materially from our historical results and those discussed in the forward-looking statements. Factors that could cause actual results to differ materially include, but are not limited to, those identified in “Part I – Item 1A. Risk Factors.”</w:t>
      </w:r>
    </w:p>
    <w:p>
      <w:pPr>
        <w:spacing w:after="0" w:line="20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Definitions of Commonly Used Terms</w:t>
      </w:r>
    </w:p>
    <w:p>
      <w:pPr>
        <w:spacing w:after="0" w:line="285"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As used herein, “we,” “our,” “us,” and similar terms include Micron Technology, Inc. and our consolidated subsidiaries, unless the context indicates otherwise. Abbreviations, terms, or acronyms are commonly used or found in multiple locations throughout this report and include the following:</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0" w:type="dxa"/>
            <w:vAlign w:val="bottom"/>
          </w:tcPr>
          <w:p>
            <w:pPr>
              <w:spacing w:after="0"/>
              <w:rPr>
                <w:sz w:val="19"/>
                <w:szCs w:val="19"/>
                <w:color w:val="auto"/>
              </w:rPr>
            </w:pPr>
          </w:p>
        </w:tc>
        <w:tc>
          <w:tcPr>
            <w:tcW w:w="980" w:type="dxa"/>
            <w:vAlign w:val="bottom"/>
          </w:tcPr>
          <w:p>
            <w:pPr>
              <w:ind w:left="240"/>
              <w:spacing w:after="0"/>
              <w:rPr>
                <w:sz w:val="20"/>
                <w:szCs w:val="20"/>
                <w:color w:val="auto"/>
              </w:rPr>
            </w:pPr>
            <w:r>
              <w:rPr>
                <w:rFonts w:ascii="Arial" w:cs="Arial" w:eastAsia="Arial" w:hAnsi="Arial"/>
                <w:sz w:val="16"/>
                <w:szCs w:val="16"/>
                <w:b w:val="1"/>
                <w:bCs w:val="1"/>
                <w:color w:val="auto"/>
              </w:rPr>
              <w:t>Term</w:t>
            </w:r>
          </w:p>
        </w:tc>
        <w:tc>
          <w:tcPr>
            <w:tcW w:w="980" w:type="dxa"/>
            <w:vAlign w:val="bottom"/>
          </w:tcPr>
          <w:p>
            <w:pPr>
              <w:spacing w:after="0"/>
              <w:rPr>
                <w:sz w:val="19"/>
                <w:szCs w:val="19"/>
                <w:color w:val="auto"/>
              </w:rPr>
            </w:pPr>
          </w:p>
        </w:tc>
        <w:tc>
          <w:tcPr>
            <w:tcW w:w="3200" w:type="dxa"/>
            <w:vAlign w:val="bottom"/>
            <w:gridSpan w:val="2"/>
          </w:tcPr>
          <w:p>
            <w:pPr>
              <w:ind w:left="840"/>
              <w:spacing w:after="0"/>
              <w:rPr>
                <w:sz w:val="20"/>
                <w:szCs w:val="20"/>
                <w:color w:val="auto"/>
              </w:rPr>
            </w:pPr>
            <w:r>
              <w:rPr>
                <w:rFonts w:ascii="Arial" w:cs="Arial" w:eastAsia="Arial" w:hAnsi="Arial"/>
                <w:sz w:val="16"/>
                <w:szCs w:val="16"/>
                <w:b w:val="1"/>
                <w:bCs w:val="1"/>
                <w:color w:val="auto"/>
              </w:rPr>
              <w:t>Definition</w:t>
            </w:r>
          </w:p>
        </w:tc>
        <w:tc>
          <w:tcPr>
            <w:tcW w:w="1580" w:type="dxa"/>
            <w:vAlign w:val="bottom"/>
          </w:tcPr>
          <w:p>
            <w:pPr>
              <w:ind w:left="700"/>
              <w:spacing w:after="0"/>
              <w:rPr>
                <w:sz w:val="20"/>
                <w:szCs w:val="20"/>
                <w:color w:val="auto"/>
              </w:rPr>
            </w:pPr>
            <w:r>
              <w:rPr>
                <w:rFonts w:ascii="Arial" w:cs="Arial" w:eastAsia="Arial" w:hAnsi="Arial"/>
                <w:sz w:val="16"/>
                <w:szCs w:val="16"/>
                <w:b w:val="1"/>
                <w:bCs w:val="1"/>
                <w:color w:val="auto"/>
              </w:rPr>
              <w:t>Term</w:t>
            </w:r>
          </w:p>
        </w:tc>
        <w:tc>
          <w:tcPr>
            <w:tcW w:w="4040" w:type="dxa"/>
            <w:vAlign w:val="bottom"/>
          </w:tcPr>
          <w:p>
            <w:pPr>
              <w:ind w:left="1740"/>
              <w:spacing w:after="0"/>
              <w:rPr>
                <w:sz w:val="20"/>
                <w:szCs w:val="20"/>
                <w:color w:val="auto"/>
              </w:rPr>
            </w:pPr>
            <w:r>
              <w:rPr>
                <w:rFonts w:ascii="Arial" w:cs="Arial" w:eastAsia="Arial" w:hAnsi="Arial"/>
                <w:sz w:val="16"/>
                <w:szCs w:val="16"/>
                <w:b w:val="1"/>
                <w:bCs w:val="1"/>
                <w:color w:val="auto"/>
              </w:rPr>
              <w:t>Definition</w:t>
            </w:r>
          </w:p>
        </w:tc>
      </w:tr>
      <w:tr>
        <w:trPr>
          <w:trHeight w:val="40"/>
        </w:trPr>
        <w:tc>
          <w:tcPr>
            <w:tcW w:w="460" w:type="dxa"/>
            <w:vAlign w:val="bottom"/>
            <w:tcBorders>
              <w:top w:val="single" w:sz="8" w:color="0090DA"/>
            </w:tcBorders>
          </w:tcPr>
          <w:p>
            <w:pPr>
              <w:spacing w:after="0"/>
              <w:rPr>
                <w:sz w:val="3"/>
                <w:szCs w:val="3"/>
                <w:color w:val="auto"/>
              </w:rPr>
            </w:pPr>
          </w:p>
        </w:tc>
        <w:tc>
          <w:tcPr>
            <w:tcW w:w="980" w:type="dxa"/>
            <w:vAlign w:val="bottom"/>
            <w:tcBorders>
              <w:top w:val="single" w:sz="8" w:color="0090DA"/>
            </w:tcBorders>
          </w:tcPr>
          <w:p>
            <w:pPr>
              <w:spacing w:after="0"/>
              <w:rPr>
                <w:sz w:val="3"/>
                <w:szCs w:val="3"/>
                <w:color w:val="auto"/>
              </w:rPr>
            </w:pPr>
          </w:p>
        </w:tc>
        <w:tc>
          <w:tcPr>
            <w:tcW w:w="980" w:type="dxa"/>
            <w:vAlign w:val="bottom"/>
            <w:tcBorders>
              <w:top w:val="single" w:sz="8" w:color="0090DA"/>
            </w:tcBorders>
          </w:tcPr>
          <w:p>
            <w:pPr>
              <w:spacing w:after="0"/>
              <w:rPr>
                <w:sz w:val="3"/>
                <w:szCs w:val="3"/>
                <w:color w:val="auto"/>
              </w:rPr>
            </w:pPr>
          </w:p>
        </w:tc>
        <w:tc>
          <w:tcPr>
            <w:tcW w:w="3080" w:type="dxa"/>
            <w:vAlign w:val="bottom"/>
            <w:tcBorders>
              <w:top w:val="single" w:sz="8" w:color="0090DA"/>
            </w:tcBorders>
          </w:tcPr>
          <w:p>
            <w:pPr>
              <w:spacing w:after="0"/>
              <w:rPr>
                <w:sz w:val="3"/>
                <w:szCs w:val="3"/>
                <w:color w:val="auto"/>
              </w:rPr>
            </w:pPr>
          </w:p>
        </w:tc>
        <w:tc>
          <w:tcPr>
            <w:tcW w:w="120" w:type="dxa"/>
            <w:vAlign w:val="bottom"/>
          </w:tcPr>
          <w:p>
            <w:pPr>
              <w:spacing w:after="0"/>
              <w:rPr>
                <w:sz w:val="3"/>
                <w:szCs w:val="3"/>
                <w:color w:val="auto"/>
              </w:rPr>
            </w:pPr>
          </w:p>
        </w:tc>
        <w:tc>
          <w:tcPr>
            <w:tcW w:w="1580" w:type="dxa"/>
            <w:vAlign w:val="bottom"/>
            <w:tcBorders>
              <w:top w:val="single" w:sz="8" w:color="0090DA"/>
            </w:tcBorders>
          </w:tcPr>
          <w:p>
            <w:pPr>
              <w:spacing w:after="0"/>
              <w:rPr>
                <w:sz w:val="3"/>
                <w:szCs w:val="3"/>
                <w:color w:val="auto"/>
              </w:rPr>
            </w:pPr>
          </w:p>
        </w:tc>
        <w:tc>
          <w:tcPr>
            <w:tcW w:w="4040" w:type="dxa"/>
            <w:vAlign w:val="bottom"/>
            <w:tcBorders>
              <w:top w:val="single" w:sz="8" w:color="0090DA"/>
            </w:tcBorders>
          </w:tcPr>
          <w:p>
            <w:pPr>
              <w:spacing w:after="0"/>
              <w:rPr>
                <w:sz w:val="3"/>
                <w:szCs w:val="3"/>
                <w:color w:val="auto"/>
              </w:rPr>
            </w:pPr>
          </w:p>
        </w:tc>
      </w:tr>
      <w:tr>
        <w:trPr>
          <w:trHeight w:val="257"/>
        </w:trPr>
        <w:tc>
          <w:tcPr>
            <w:tcW w:w="46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2023</w:t>
            </w:r>
          </w:p>
        </w:tc>
        <w:tc>
          <w:tcPr>
            <w:tcW w:w="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Notes</w:t>
            </w:r>
          </w:p>
        </w:tc>
        <w:tc>
          <w:tcPr>
            <w:tcW w:w="980" w:type="dxa"/>
            <w:vAlign w:val="bottom"/>
            <w:shd w:val="clear" w:color="auto" w:fill="D1D2D4"/>
          </w:tcPr>
          <w:p>
            <w:pPr>
              <w:ind w:left="360"/>
              <w:spacing w:after="0"/>
              <w:rPr>
                <w:sz w:val="20"/>
                <w:szCs w:val="20"/>
                <w:color w:val="auto"/>
              </w:rPr>
            </w:pPr>
            <w:r>
              <w:rPr>
                <w:rFonts w:ascii="Arial" w:cs="Arial" w:eastAsia="Arial" w:hAnsi="Arial"/>
                <w:sz w:val="18"/>
                <w:szCs w:val="18"/>
                <w:color w:val="auto"/>
                <w:w w:val="98"/>
              </w:rPr>
              <w:t>2.497%</w:t>
            </w:r>
          </w:p>
        </w:tc>
        <w:tc>
          <w:tcPr>
            <w:tcW w:w="3200" w:type="dxa"/>
            <w:vAlign w:val="bottom"/>
            <w:gridSpan w:val="2"/>
            <w:shd w:val="clear" w:color="auto" w:fill="D1D2D4"/>
          </w:tcPr>
          <w:p>
            <w:pPr>
              <w:ind w:left="40"/>
              <w:spacing w:after="0"/>
              <w:rPr>
                <w:sz w:val="20"/>
                <w:szCs w:val="20"/>
                <w:color w:val="auto"/>
              </w:rPr>
            </w:pPr>
            <w:r>
              <w:rPr>
                <w:rFonts w:ascii="Arial" w:cs="Arial" w:eastAsia="Arial" w:hAnsi="Arial"/>
                <w:sz w:val="18"/>
                <w:szCs w:val="18"/>
                <w:color w:val="auto"/>
              </w:rPr>
              <w:t>Senior Notes due 2023</w:t>
            </w:r>
          </w:p>
        </w:tc>
        <w:tc>
          <w:tcPr>
            <w:tcW w:w="1580" w:type="dxa"/>
            <w:vAlign w:val="bottom"/>
            <w:shd w:val="clear" w:color="auto" w:fill="D1D2D4"/>
          </w:tcPr>
          <w:p>
            <w:pPr>
              <w:spacing w:after="0"/>
              <w:rPr>
                <w:sz w:val="20"/>
                <w:szCs w:val="20"/>
                <w:color w:val="auto"/>
              </w:rPr>
            </w:pPr>
            <w:r>
              <w:rPr>
                <w:rFonts w:ascii="Arial" w:cs="Arial" w:eastAsia="Arial" w:hAnsi="Arial"/>
                <w:sz w:val="18"/>
                <w:szCs w:val="18"/>
                <w:color w:val="auto"/>
              </w:rPr>
              <w:t>MMJ</w:t>
            </w:r>
          </w:p>
        </w:tc>
        <w:tc>
          <w:tcPr>
            <w:tcW w:w="4040" w:type="dxa"/>
            <w:vAlign w:val="bottom"/>
            <w:shd w:val="clear" w:color="auto" w:fill="D1D2D4"/>
          </w:tcPr>
          <w:p>
            <w:pPr>
              <w:ind w:left="220"/>
              <w:spacing w:after="0"/>
              <w:rPr>
                <w:sz w:val="20"/>
                <w:szCs w:val="20"/>
                <w:color w:val="auto"/>
              </w:rPr>
            </w:pPr>
            <w:r>
              <w:rPr>
                <w:rFonts w:ascii="Arial" w:cs="Arial" w:eastAsia="Arial" w:hAnsi="Arial"/>
                <w:sz w:val="18"/>
                <w:szCs w:val="18"/>
                <w:color w:val="auto"/>
              </w:rPr>
              <w:t>Micron Memory Japan, G.K.</w:t>
            </w:r>
          </w:p>
        </w:tc>
      </w:tr>
      <w:tr>
        <w:trPr>
          <w:trHeight w:val="229"/>
        </w:trPr>
        <w:tc>
          <w:tcPr>
            <w:tcW w:w="1440" w:type="dxa"/>
            <w:vAlign w:val="bottom"/>
            <w:gridSpan w:val="2"/>
          </w:tcPr>
          <w:p>
            <w:pPr>
              <w:ind w:left="20"/>
              <w:spacing w:after="0"/>
              <w:rPr>
                <w:sz w:val="20"/>
                <w:szCs w:val="20"/>
                <w:color w:val="auto"/>
              </w:rPr>
            </w:pPr>
            <w:r>
              <w:rPr>
                <w:rFonts w:ascii="Arial" w:cs="Arial" w:eastAsia="Arial" w:hAnsi="Arial"/>
                <w:sz w:val="18"/>
                <w:szCs w:val="18"/>
                <w:color w:val="auto"/>
              </w:rPr>
              <w:t>2024 Notes</w:t>
            </w:r>
          </w:p>
        </w:tc>
        <w:tc>
          <w:tcPr>
            <w:tcW w:w="4180" w:type="dxa"/>
            <w:vAlign w:val="bottom"/>
            <w:gridSpan w:val="3"/>
          </w:tcPr>
          <w:p>
            <w:pPr>
              <w:ind w:left="360"/>
              <w:spacing w:after="0"/>
              <w:rPr>
                <w:sz w:val="20"/>
                <w:szCs w:val="20"/>
                <w:color w:val="auto"/>
              </w:rPr>
            </w:pPr>
            <w:r>
              <w:rPr>
                <w:rFonts w:ascii="Arial" w:cs="Arial" w:eastAsia="Arial" w:hAnsi="Arial"/>
                <w:sz w:val="18"/>
                <w:szCs w:val="18"/>
                <w:color w:val="auto"/>
              </w:rPr>
              <w:t>4.640% Senior Notes due 2024</w:t>
            </w:r>
          </w:p>
        </w:tc>
        <w:tc>
          <w:tcPr>
            <w:tcW w:w="1580" w:type="dxa"/>
            <w:vAlign w:val="bottom"/>
          </w:tcPr>
          <w:p>
            <w:pPr>
              <w:spacing w:after="0"/>
              <w:rPr>
                <w:sz w:val="20"/>
                <w:szCs w:val="20"/>
                <w:color w:val="auto"/>
              </w:rPr>
            </w:pPr>
            <w:r>
              <w:rPr>
                <w:rFonts w:ascii="Arial" w:cs="Arial" w:eastAsia="Arial" w:hAnsi="Arial"/>
                <w:sz w:val="18"/>
                <w:szCs w:val="18"/>
                <w:color w:val="auto"/>
              </w:rPr>
              <w:t>MMJ Companies</w:t>
            </w:r>
          </w:p>
        </w:tc>
        <w:tc>
          <w:tcPr>
            <w:tcW w:w="4040" w:type="dxa"/>
            <w:vAlign w:val="bottom"/>
          </w:tcPr>
          <w:p>
            <w:pPr>
              <w:ind w:left="220"/>
              <w:spacing w:after="0"/>
              <w:rPr>
                <w:sz w:val="20"/>
                <w:szCs w:val="20"/>
                <w:color w:val="auto"/>
              </w:rPr>
            </w:pPr>
            <w:r>
              <w:rPr>
                <w:rFonts w:ascii="Arial" w:cs="Arial" w:eastAsia="Arial" w:hAnsi="Arial"/>
                <w:sz w:val="18"/>
                <w:szCs w:val="18"/>
                <w:color w:val="auto"/>
              </w:rPr>
              <w:t>MAI and MMJ</w:t>
            </w:r>
          </w:p>
        </w:tc>
      </w:tr>
      <w:tr>
        <w:trPr>
          <w:trHeight w:val="257"/>
        </w:trPr>
        <w:tc>
          <w:tcPr>
            <w:tcW w:w="46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2024</w:t>
            </w:r>
          </w:p>
        </w:tc>
        <w:tc>
          <w:tcPr>
            <w:tcW w:w="5160" w:type="dxa"/>
            <w:vAlign w:val="bottom"/>
            <w:gridSpan w:val="4"/>
            <w:shd w:val="clear" w:color="auto" w:fill="D1D2D4"/>
          </w:tcPr>
          <w:p>
            <w:pPr>
              <w:ind w:left="20"/>
              <w:spacing w:after="0"/>
              <w:rPr>
                <w:sz w:val="20"/>
                <w:szCs w:val="20"/>
                <w:color w:val="auto"/>
              </w:rPr>
            </w:pPr>
            <w:r>
              <w:rPr>
                <w:rFonts w:ascii="Arial" w:cs="Arial" w:eastAsia="Arial" w:hAnsi="Arial"/>
                <w:sz w:val="18"/>
                <w:szCs w:val="18"/>
                <w:color w:val="auto"/>
              </w:rPr>
              <w:t>Term Loan A   Senior Term Loan A due 2024</w:t>
            </w:r>
          </w:p>
        </w:tc>
        <w:tc>
          <w:tcPr>
            <w:tcW w:w="1580" w:type="dxa"/>
            <w:vAlign w:val="bottom"/>
            <w:shd w:val="clear" w:color="auto" w:fill="D1D2D4"/>
          </w:tcPr>
          <w:p>
            <w:pPr>
              <w:spacing w:after="0"/>
              <w:rPr>
                <w:sz w:val="20"/>
                <w:szCs w:val="20"/>
                <w:color w:val="auto"/>
              </w:rPr>
            </w:pPr>
            <w:r>
              <w:rPr>
                <w:rFonts w:ascii="Arial" w:cs="Arial" w:eastAsia="Arial" w:hAnsi="Arial"/>
                <w:sz w:val="18"/>
                <w:szCs w:val="18"/>
                <w:color w:val="auto"/>
              </w:rPr>
              <w:t>MMJ Group</w:t>
            </w:r>
          </w:p>
        </w:tc>
        <w:tc>
          <w:tcPr>
            <w:tcW w:w="4040" w:type="dxa"/>
            <w:vAlign w:val="bottom"/>
            <w:shd w:val="clear" w:color="auto" w:fill="D1D2D4"/>
          </w:tcPr>
          <w:p>
            <w:pPr>
              <w:ind w:left="220"/>
              <w:spacing w:after="0"/>
              <w:rPr>
                <w:sz w:val="20"/>
                <w:szCs w:val="20"/>
                <w:color w:val="auto"/>
              </w:rPr>
            </w:pPr>
            <w:r>
              <w:rPr>
                <w:rFonts w:ascii="Arial" w:cs="Arial" w:eastAsia="Arial" w:hAnsi="Arial"/>
                <w:sz w:val="18"/>
                <w:szCs w:val="18"/>
                <w:color w:val="auto"/>
              </w:rPr>
              <w:t>MMJ and its subsidiaries</w:t>
            </w:r>
          </w:p>
        </w:tc>
      </w:tr>
      <w:tr>
        <w:trPr>
          <w:trHeight w:val="229"/>
        </w:trPr>
        <w:tc>
          <w:tcPr>
            <w:tcW w:w="460" w:type="dxa"/>
            <w:vAlign w:val="bottom"/>
          </w:tcPr>
          <w:p>
            <w:pPr>
              <w:ind w:left="20"/>
              <w:spacing w:after="0"/>
              <w:rPr>
                <w:sz w:val="20"/>
                <w:szCs w:val="20"/>
                <w:color w:val="auto"/>
              </w:rPr>
            </w:pPr>
            <w:r>
              <w:rPr>
                <w:rFonts w:ascii="Arial" w:cs="Arial" w:eastAsia="Arial" w:hAnsi="Arial"/>
                <w:sz w:val="18"/>
                <w:szCs w:val="18"/>
                <w:color w:val="auto"/>
              </w:rPr>
              <w:t>2025</w:t>
            </w:r>
          </w:p>
        </w:tc>
        <w:tc>
          <w:tcPr>
            <w:tcW w:w="980" w:type="dxa"/>
            <w:vAlign w:val="bottom"/>
          </w:tcPr>
          <w:p>
            <w:pPr>
              <w:ind w:left="20"/>
              <w:spacing w:after="0"/>
              <w:rPr>
                <w:sz w:val="20"/>
                <w:szCs w:val="20"/>
                <w:color w:val="auto"/>
              </w:rPr>
            </w:pPr>
            <w:r>
              <w:rPr>
                <w:rFonts w:ascii="Arial" w:cs="Arial" w:eastAsia="Arial" w:hAnsi="Arial"/>
                <w:sz w:val="18"/>
                <w:szCs w:val="18"/>
                <w:color w:val="auto"/>
              </w:rPr>
              <w:t>Notes</w:t>
            </w:r>
          </w:p>
        </w:tc>
        <w:tc>
          <w:tcPr>
            <w:tcW w:w="980" w:type="dxa"/>
            <w:vAlign w:val="bottom"/>
          </w:tcPr>
          <w:p>
            <w:pPr>
              <w:ind w:left="360"/>
              <w:spacing w:after="0"/>
              <w:rPr>
                <w:sz w:val="20"/>
                <w:szCs w:val="20"/>
                <w:color w:val="auto"/>
              </w:rPr>
            </w:pPr>
            <w:r>
              <w:rPr>
                <w:rFonts w:ascii="Arial" w:cs="Arial" w:eastAsia="Arial" w:hAnsi="Arial"/>
                <w:sz w:val="18"/>
                <w:szCs w:val="18"/>
                <w:color w:val="auto"/>
                <w:w w:val="98"/>
              </w:rPr>
              <w:t>5.500%</w:t>
            </w:r>
          </w:p>
        </w:tc>
        <w:tc>
          <w:tcPr>
            <w:tcW w:w="3200" w:type="dxa"/>
            <w:vAlign w:val="bottom"/>
            <w:gridSpan w:val="2"/>
          </w:tcPr>
          <w:p>
            <w:pPr>
              <w:ind w:left="40"/>
              <w:spacing w:after="0"/>
              <w:rPr>
                <w:sz w:val="20"/>
                <w:szCs w:val="20"/>
                <w:color w:val="auto"/>
              </w:rPr>
            </w:pPr>
            <w:r>
              <w:rPr>
                <w:rFonts w:ascii="Arial" w:cs="Arial" w:eastAsia="Arial" w:hAnsi="Arial"/>
                <w:sz w:val="18"/>
                <w:szCs w:val="18"/>
                <w:color w:val="auto"/>
              </w:rPr>
              <w:t>Senior Notes due 2025</w:t>
            </w:r>
          </w:p>
        </w:tc>
        <w:tc>
          <w:tcPr>
            <w:tcW w:w="1580" w:type="dxa"/>
            <w:vAlign w:val="bottom"/>
          </w:tcPr>
          <w:p>
            <w:pPr>
              <w:spacing w:after="0"/>
              <w:rPr>
                <w:sz w:val="20"/>
                <w:szCs w:val="20"/>
                <w:color w:val="auto"/>
              </w:rPr>
            </w:pPr>
            <w:r>
              <w:rPr>
                <w:rFonts w:ascii="Arial" w:cs="Arial" w:eastAsia="Arial" w:hAnsi="Arial"/>
                <w:sz w:val="18"/>
                <w:szCs w:val="18"/>
                <w:color w:val="auto"/>
              </w:rPr>
              <w:t>MMT</w:t>
            </w:r>
          </w:p>
        </w:tc>
        <w:tc>
          <w:tcPr>
            <w:tcW w:w="4040" w:type="dxa"/>
            <w:vAlign w:val="bottom"/>
          </w:tcPr>
          <w:p>
            <w:pPr>
              <w:ind w:left="220"/>
              <w:spacing w:after="0"/>
              <w:rPr>
                <w:sz w:val="20"/>
                <w:szCs w:val="20"/>
                <w:color w:val="auto"/>
              </w:rPr>
            </w:pPr>
            <w:r>
              <w:rPr>
                <w:rFonts w:ascii="Arial" w:cs="Arial" w:eastAsia="Arial" w:hAnsi="Arial"/>
                <w:sz w:val="18"/>
                <w:szCs w:val="18"/>
                <w:color w:val="auto"/>
              </w:rPr>
              <w:t>Micron Memory Taiwan Co., Ltd.</w:t>
            </w:r>
          </w:p>
        </w:tc>
      </w:tr>
      <w:tr>
        <w:trPr>
          <w:trHeight w:val="230"/>
        </w:trPr>
        <w:tc>
          <w:tcPr>
            <w:tcW w:w="46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2026</w:t>
            </w:r>
          </w:p>
        </w:tc>
        <w:tc>
          <w:tcPr>
            <w:tcW w:w="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Notes</w:t>
            </w:r>
          </w:p>
        </w:tc>
        <w:tc>
          <w:tcPr>
            <w:tcW w:w="980" w:type="dxa"/>
            <w:vAlign w:val="bottom"/>
            <w:shd w:val="clear" w:color="auto" w:fill="D1D2D4"/>
          </w:tcPr>
          <w:p>
            <w:pPr>
              <w:ind w:left="360"/>
              <w:spacing w:after="0"/>
              <w:rPr>
                <w:sz w:val="20"/>
                <w:szCs w:val="20"/>
                <w:color w:val="auto"/>
              </w:rPr>
            </w:pPr>
            <w:r>
              <w:rPr>
                <w:rFonts w:ascii="Arial" w:cs="Arial" w:eastAsia="Arial" w:hAnsi="Arial"/>
                <w:sz w:val="18"/>
                <w:szCs w:val="18"/>
                <w:color w:val="auto"/>
                <w:w w:val="98"/>
              </w:rPr>
              <w:t>4.975%</w:t>
            </w:r>
          </w:p>
        </w:tc>
        <w:tc>
          <w:tcPr>
            <w:tcW w:w="3200" w:type="dxa"/>
            <w:vAlign w:val="bottom"/>
            <w:gridSpan w:val="2"/>
            <w:shd w:val="clear" w:color="auto" w:fill="D1D2D4"/>
          </w:tcPr>
          <w:p>
            <w:pPr>
              <w:ind w:left="40"/>
              <w:spacing w:after="0"/>
              <w:rPr>
                <w:sz w:val="20"/>
                <w:szCs w:val="20"/>
                <w:color w:val="auto"/>
              </w:rPr>
            </w:pPr>
            <w:r>
              <w:rPr>
                <w:rFonts w:ascii="Arial" w:cs="Arial" w:eastAsia="Arial" w:hAnsi="Arial"/>
                <w:sz w:val="18"/>
                <w:szCs w:val="18"/>
                <w:color w:val="auto"/>
              </w:rPr>
              <w:t>Senior Notes due 2026</w:t>
            </w:r>
          </w:p>
        </w:tc>
        <w:tc>
          <w:tcPr>
            <w:tcW w:w="1580" w:type="dxa"/>
            <w:vAlign w:val="bottom"/>
            <w:shd w:val="clear" w:color="auto" w:fill="D1D2D4"/>
          </w:tcPr>
          <w:p>
            <w:pPr>
              <w:spacing w:after="0"/>
              <w:rPr>
                <w:sz w:val="20"/>
                <w:szCs w:val="20"/>
                <w:color w:val="auto"/>
              </w:rPr>
            </w:pPr>
            <w:r>
              <w:rPr>
                <w:rFonts w:ascii="Arial" w:cs="Arial" w:eastAsia="Arial" w:hAnsi="Arial"/>
                <w:sz w:val="18"/>
                <w:szCs w:val="18"/>
                <w:color w:val="auto"/>
              </w:rPr>
              <w:t>MSP</w:t>
            </w:r>
          </w:p>
        </w:tc>
        <w:tc>
          <w:tcPr>
            <w:tcW w:w="4040" w:type="dxa"/>
            <w:vAlign w:val="bottom"/>
            <w:shd w:val="clear" w:color="auto" w:fill="D1D2D4"/>
          </w:tcPr>
          <w:p>
            <w:pPr>
              <w:ind w:left="220"/>
              <w:spacing w:after="0"/>
              <w:rPr>
                <w:sz w:val="20"/>
                <w:szCs w:val="20"/>
                <w:color w:val="auto"/>
              </w:rPr>
            </w:pPr>
            <w:r>
              <w:rPr>
                <w:rFonts w:ascii="Arial" w:cs="Arial" w:eastAsia="Arial" w:hAnsi="Arial"/>
                <w:sz w:val="18"/>
                <w:szCs w:val="18"/>
                <w:color w:val="auto"/>
              </w:rPr>
              <w:t>Micron Semiconductor Products, Inc.</w:t>
            </w:r>
          </w:p>
        </w:tc>
      </w:tr>
      <w:tr>
        <w:trPr>
          <w:trHeight w:val="229"/>
        </w:trPr>
        <w:tc>
          <w:tcPr>
            <w:tcW w:w="460" w:type="dxa"/>
            <w:vAlign w:val="bottom"/>
          </w:tcPr>
          <w:p>
            <w:pPr>
              <w:ind w:left="20"/>
              <w:spacing w:after="0"/>
              <w:rPr>
                <w:sz w:val="20"/>
                <w:szCs w:val="20"/>
                <w:color w:val="auto"/>
              </w:rPr>
            </w:pPr>
            <w:r>
              <w:rPr>
                <w:rFonts w:ascii="Arial" w:cs="Arial" w:eastAsia="Arial" w:hAnsi="Arial"/>
                <w:sz w:val="18"/>
                <w:szCs w:val="18"/>
                <w:color w:val="auto"/>
              </w:rPr>
              <w:t>2027</w:t>
            </w:r>
          </w:p>
        </w:tc>
        <w:tc>
          <w:tcPr>
            <w:tcW w:w="980" w:type="dxa"/>
            <w:vAlign w:val="bottom"/>
          </w:tcPr>
          <w:p>
            <w:pPr>
              <w:ind w:left="20"/>
              <w:spacing w:after="0"/>
              <w:rPr>
                <w:sz w:val="20"/>
                <w:szCs w:val="20"/>
                <w:color w:val="auto"/>
              </w:rPr>
            </w:pPr>
            <w:r>
              <w:rPr>
                <w:rFonts w:ascii="Arial" w:cs="Arial" w:eastAsia="Arial" w:hAnsi="Arial"/>
                <w:sz w:val="18"/>
                <w:szCs w:val="18"/>
                <w:color w:val="auto"/>
              </w:rPr>
              <w:t>Notes</w:t>
            </w:r>
          </w:p>
        </w:tc>
        <w:tc>
          <w:tcPr>
            <w:tcW w:w="980" w:type="dxa"/>
            <w:vAlign w:val="bottom"/>
          </w:tcPr>
          <w:p>
            <w:pPr>
              <w:ind w:left="360"/>
              <w:spacing w:after="0"/>
              <w:rPr>
                <w:sz w:val="20"/>
                <w:szCs w:val="20"/>
                <w:color w:val="auto"/>
              </w:rPr>
            </w:pPr>
            <w:r>
              <w:rPr>
                <w:rFonts w:ascii="Arial" w:cs="Arial" w:eastAsia="Arial" w:hAnsi="Arial"/>
                <w:sz w:val="18"/>
                <w:szCs w:val="18"/>
                <w:color w:val="auto"/>
                <w:w w:val="98"/>
              </w:rPr>
              <w:t>4.185%</w:t>
            </w:r>
          </w:p>
        </w:tc>
        <w:tc>
          <w:tcPr>
            <w:tcW w:w="3200" w:type="dxa"/>
            <w:vAlign w:val="bottom"/>
            <w:gridSpan w:val="2"/>
          </w:tcPr>
          <w:p>
            <w:pPr>
              <w:ind w:left="40"/>
              <w:spacing w:after="0"/>
              <w:rPr>
                <w:sz w:val="20"/>
                <w:szCs w:val="20"/>
                <w:color w:val="auto"/>
              </w:rPr>
            </w:pPr>
            <w:r>
              <w:rPr>
                <w:rFonts w:ascii="Arial" w:cs="Arial" w:eastAsia="Arial" w:hAnsi="Arial"/>
                <w:sz w:val="18"/>
                <w:szCs w:val="18"/>
                <w:color w:val="auto"/>
              </w:rPr>
              <w:t>Senior Notes due 2027</w:t>
            </w:r>
          </w:p>
        </w:tc>
        <w:tc>
          <w:tcPr>
            <w:tcW w:w="1580" w:type="dxa"/>
            <w:vAlign w:val="bottom"/>
          </w:tcPr>
          <w:p>
            <w:pPr>
              <w:spacing w:after="0"/>
              <w:rPr>
                <w:sz w:val="20"/>
                <w:szCs w:val="20"/>
                <w:color w:val="auto"/>
              </w:rPr>
            </w:pPr>
            <w:r>
              <w:rPr>
                <w:rFonts w:ascii="Arial" w:cs="Arial" w:eastAsia="Arial" w:hAnsi="Arial"/>
                <w:sz w:val="18"/>
                <w:szCs w:val="18"/>
                <w:color w:val="auto"/>
              </w:rPr>
              <w:t>MTTW</w:t>
            </w:r>
          </w:p>
        </w:tc>
        <w:tc>
          <w:tcPr>
            <w:tcW w:w="4040" w:type="dxa"/>
            <w:vAlign w:val="bottom"/>
          </w:tcPr>
          <w:p>
            <w:pPr>
              <w:ind w:left="220"/>
              <w:spacing w:after="0"/>
              <w:rPr>
                <w:sz w:val="20"/>
                <w:szCs w:val="20"/>
                <w:color w:val="auto"/>
              </w:rPr>
            </w:pPr>
            <w:r>
              <w:rPr>
                <w:rFonts w:ascii="Arial" w:cs="Arial" w:eastAsia="Arial" w:hAnsi="Arial"/>
                <w:sz w:val="18"/>
                <w:szCs w:val="18"/>
                <w:color w:val="auto"/>
              </w:rPr>
              <w:t>Micron Technology Taiwan, Inc.</w:t>
            </w:r>
          </w:p>
        </w:tc>
      </w:tr>
      <w:tr>
        <w:trPr>
          <w:trHeight w:val="257"/>
        </w:trPr>
        <w:tc>
          <w:tcPr>
            <w:tcW w:w="46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2029</w:t>
            </w:r>
          </w:p>
        </w:tc>
        <w:tc>
          <w:tcPr>
            <w:tcW w:w="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Notes</w:t>
            </w:r>
          </w:p>
        </w:tc>
        <w:tc>
          <w:tcPr>
            <w:tcW w:w="980" w:type="dxa"/>
            <w:vAlign w:val="bottom"/>
            <w:shd w:val="clear" w:color="auto" w:fill="D1D2D4"/>
          </w:tcPr>
          <w:p>
            <w:pPr>
              <w:ind w:left="360"/>
              <w:spacing w:after="0"/>
              <w:rPr>
                <w:sz w:val="20"/>
                <w:szCs w:val="20"/>
                <w:color w:val="auto"/>
              </w:rPr>
            </w:pPr>
            <w:r>
              <w:rPr>
                <w:rFonts w:ascii="Arial" w:cs="Arial" w:eastAsia="Arial" w:hAnsi="Arial"/>
                <w:sz w:val="18"/>
                <w:szCs w:val="18"/>
                <w:color w:val="auto"/>
                <w:w w:val="98"/>
              </w:rPr>
              <w:t>5.327%</w:t>
            </w:r>
          </w:p>
        </w:tc>
        <w:tc>
          <w:tcPr>
            <w:tcW w:w="3200" w:type="dxa"/>
            <w:vAlign w:val="bottom"/>
            <w:gridSpan w:val="2"/>
            <w:shd w:val="clear" w:color="auto" w:fill="D1D2D4"/>
          </w:tcPr>
          <w:p>
            <w:pPr>
              <w:ind w:left="40"/>
              <w:spacing w:after="0"/>
              <w:rPr>
                <w:sz w:val="20"/>
                <w:szCs w:val="20"/>
                <w:color w:val="auto"/>
              </w:rPr>
            </w:pPr>
            <w:r>
              <w:rPr>
                <w:rFonts w:ascii="Arial" w:cs="Arial" w:eastAsia="Arial" w:hAnsi="Arial"/>
                <w:sz w:val="18"/>
                <w:szCs w:val="18"/>
                <w:color w:val="auto"/>
              </w:rPr>
              <w:t>Senior Notes due 2029</w:t>
            </w:r>
          </w:p>
        </w:tc>
        <w:tc>
          <w:tcPr>
            <w:tcW w:w="1580" w:type="dxa"/>
            <w:vAlign w:val="bottom"/>
            <w:shd w:val="clear" w:color="auto" w:fill="D1D2D4"/>
          </w:tcPr>
          <w:p>
            <w:pPr>
              <w:spacing w:after="0"/>
              <w:rPr>
                <w:sz w:val="20"/>
                <w:szCs w:val="20"/>
                <w:color w:val="auto"/>
              </w:rPr>
            </w:pPr>
            <w:r>
              <w:rPr>
                <w:rFonts w:ascii="Arial" w:cs="Arial" w:eastAsia="Arial" w:hAnsi="Arial"/>
                <w:sz w:val="18"/>
                <w:szCs w:val="18"/>
                <w:color w:val="auto"/>
              </w:rPr>
              <w:t>MTU</w:t>
            </w:r>
          </w:p>
        </w:tc>
        <w:tc>
          <w:tcPr>
            <w:tcW w:w="4040" w:type="dxa"/>
            <w:vAlign w:val="bottom"/>
            <w:shd w:val="clear" w:color="auto" w:fill="D1D2D4"/>
          </w:tcPr>
          <w:p>
            <w:pPr>
              <w:ind w:left="220"/>
              <w:spacing w:after="0"/>
              <w:rPr>
                <w:sz w:val="20"/>
                <w:szCs w:val="20"/>
                <w:color w:val="auto"/>
              </w:rPr>
            </w:pPr>
            <w:r>
              <w:rPr>
                <w:rFonts w:ascii="Arial" w:cs="Arial" w:eastAsia="Arial" w:hAnsi="Arial"/>
                <w:sz w:val="18"/>
                <w:szCs w:val="18"/>
                <w:color w:val="auto"/>
              </w:rPr>
              <w:t>Micron Technology Utah, LLC</w:t>
            </w:r>
          </w:p>
        </w:tc>
      </w:tr>
      <w:tr>
        <w:trPr>
          <w:trHeight w:val="229"/>
        </w:trPr>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4040" w:type="dxa"/>
            <w:vAlign w:val="bottom"/>
          </w:tcPr>
          <w:p>
            <w:pPr>
              <w:ind w:left="220"/>
              <w:spacing w:after="0"/>
              <w:rPr>
                <w:sz w:val="20"/>
                <w:szCs w:val="20"/>
                <w:color w:val="auto"/>
              </w:rPr>
            </w:pPr>
            <w:r>
              <w:rPr>
                <w:rFonts w:ascii="Arial" w:cs="Arial" w:eastAsia="Arial" w:hAnsi="Arial"/>
                <w:sz w:val="18"/>
                <w:szCs w:val="18"/>
                <w:color w:val="auto"/>
              </w:rPr>
              <w:t>Hardware interface for SSDs that connect via a</w:t>
            </w:r>
          </w:p>
        </w:tc>
      </w:tr>
      <w:tr>
        <w:trPr>
          <w:trHeight w:val="230"/>
        </w:trPr>
        <w:tc>
          <w:tcPr>
            <w:tcW w:w="460" w:type="dxa"/>
            <w:vAlign w:val="bottom"/>
          </w:tcPr>
          <w:p>
            <w:pPr>
              <w:ind w:left="20"/>
              <w:spacing w:after="0"/>
              <w:rPr>
                <w:sz w:val="20"/>
                <w:szCs w:val="20"/>
                <w:color w:val="auto"/>
              </w:rPr>
            </w:pPr>
            <w:r>
              <w:rPr>
                <w:rFonts w:ascii="Arial" w:cs="Arial" w:eastAsia="Arial" w:hAnsi="Arial"/>
                <w:sz w:val="18"/>
                <w:szCs w:val="18"/>
                <w:color w:val="auto"/>
              </w:rPr>
              <w:t>2030</w:t>
            </w:r>
          </w:p>
        </w:tc>
        <w:tc>
          <w:tcPr>
            <w:tcW w:w="980" w:type="dxa"/>
            <w:vAlign w:val="bottom"/>
          </w:tcPr>
          <w:p>
            <w:pPr>
              <w:ind w:left="20"/>
              <w:spacing w:after="0"/>
              <w:rPr>
                <w:sz w:val="20"/>
                <w:szCs w:val="20"/>
                <w:color w:val="auto"/>
              </w:rPr>
            </w:pPr>
            <w:r>
              <w:rPr>
                <w:rFonts w:ascii="Arial" w:cs="Arial" w:eastAsia="Arial" w:hAnsi="Arial"/>
                <w:sz w:val="18"/>
                <w:szCs w:val="18"/>
                <w:color w:val="auto"/>
              </w:rPr>
              <w:t>Notes</w:t>
            </w:r>
          </w:p>
        </w:tc>
        <w:tc>
          <w:tcPr>
            <w:tcW w:w="980" w:type="dxa"/>
            <w:vAlign w:val="bottom"/>
          </w:tcPr>
          <w:p>
            <w:pPr>
              <w:ind w:left="360"/>
              <w:spacing w:after="0"/>
              <w:rPr>
                <w:sz w:val="20"/>
                <w:szCs w:val="20"/>
                <w:color w:val="auto"/>
              </w:rPr>
            </w:pPr>
            <w:r>
              <w:rPr>
                <w:rFonts w:ascii="Arial" w:cs="Arial" w:eastAsia="Arial" w:hAnsi="Arial"/>
                <w:sz w:val="18"/>
                <w:szCs w:val="18"/>
                <w:color w:val="auto"/>
                <w:w w:val="98"/>
              </w:rPr>
              <w:t>4.663%</w:t>
            </w:r>
          </w:p>
        </w:tc>
        <w:tc>
          <w:tcPr>
            <w:tcW w:w="3200" w:type="dxa"/>
            <w:vAlign w:val="bottom"/>
            <w:gridSpan w:val="2"/>
          </w:tcPr>
          <w:p>
            <w:pPr>
              <w:ind w:left="40"/>
              <w:spacing w:after="0"/>
              <w:rPr>
                <w:sz w:val="20"/>
                <w:szCs w:val="20"/>
                <w:color w:val="auto"/>
              </w:rPr>
            </w:pPr>
            <w:r>
              <w:rPr>
                <w:rFonts w:ascii="Arial" w:cs="Arial" w:eastAsia="Arial" w:hAnsi="Arial"/>
                <w:sz w:val="18"/>
                <w:szCs w:val="18"/>
                <w:color w:val="auto"/>
              </w:rPr>
              <w:t>Senior Notes due 2030</w:t>
            </w:r>
          </w:p>
        </w:tc>
        <w:tc>
          <w:tcPr>
            <w:tcW w:w="1580" w:type="dxa"/>
            <w:vAlign w:val="bottom"/>
          </w:tcPr>
          <w:p>
            <w:pPr>
              <w:spacing w:after="0"/>
              <w:rPr>
                <w:sz w:val="20"/>
                <w:szCs w:val="20"/>
                <w:color w:val="auto"/>
              </w:rPr>
            </w:pPr>
            <w:r>
              <w:rPr>
                <w:rFonts w:ascii="Arial" w:cs="Arial" w:eastAsia="Arial" w:hAnsi="Arial"/>
                <w:sz w:val="18"/>
                <w:szCs w:val="18"/>
                <w:color w:val="auto"/>
              </w:rPr>
              <w:t>NVMe</w:t>
            </w:r>
          </w:p>
        </w:tc>
        <w:tc>
          <w:tcPr>
            <w:tcW w:w="4040" w:type="dxa"/>
            <w:vAlign w:val="bottom"/>
          </w:tcPr>
          <w:p>
            <w:pPr>
              <w:ind w:left="220"/>
              <w:spacing w:after="0"/>
              <w:rPr>
                <w:sz w:val="20"/>
                <w:szCs w:val="20"/>
                <w:color w:val="auto"/>
              </w:rPr>
            </w:pPr>
            <w:r>
              <w:rPr>
                <w:rFonts w:ascii="Arial" w:cs="Arial" w:eastAsia="Arial" w:hAnsi="Arial"/>
                <w:sz w:val="18"/>
                <w:szCs w:val="18"/>
                <w:color w:val="auto"/>
              </w:rPr>
              <w:t>PCIe bus.</w:t>
            </w:r>
          </w:p>
        </w:tc>
      </w:tr>
      <w:tr>
        <w:trPr>
          <w:trHeight w:val="229"/>
        </w:trPr>
        <w:tc>
          <w:tcPr>
            <w:tcW w:w="1440" w:type="dxa"/>
            <w:vAlign w:val="bottom"/>
            <w:gridSpan w:val="2"/>
            <w:shd w:val="clear" w:color="auto" w:fill="D1D2D4"/>
          </w:tcPr>
          <w:p>
            <w:pPr>
              <w:ind w:left="20"/>
              <w:spacing w:after="0"/>
              <w:rPr>
                <w:sz w:val="20"/>
                <w:szCs w:val="20"/>
                <w:color w:val="auto"/>
              </w:rPr>
            </w:pPr>
            <w:r>
              <w:rPr>
                <w:rFonts w:ascii="Arial" w:cs="Arial" w:eastAsia="Arial" w:hAnsi="Arial"/>
                <w:sz w:val="18"/>
                <w:szCs w:val="18"/>
                <w:color w:val="auto"/>
              </w:rPr>
              <w:t>2032D Notes</w:t>
            </w:r>
          </w:p>
        </w:tc>
        <w:tc>
          <w:tcPr>
            <w:tcW w:w="980" w:type="dxa"/>
            <w:vAlign w:val="bottom"/>
            <w:shd w:val="clear" w:color="auto" w:fill="D1D2D4"/>
          </w:tcPr>
          <w:p>
            <w:pPr>
              <w:ind w:left="360"/>
              <w:spacing w:after="0"/>
              <w:rPr>
                <w:sz w:val="20"/>
                <w:szCs w:val="20"/>
                <w:color w:val="auto"/>
              </w:rPr>
            </w:pPr>
            <w:r>
              <w:rPr>
                <w:rFonts w:ascii="Arial" w:cs="Arial" w:eastAsia="Arial" w:hAnsi="Arial"/>
                <w:sz w:val="18"/>
                <w:szCs w:val="18"/>
                <w:color w:val="auto"/>
                <w:w w:val="98"/>
              </w:rPr>
              <w:t>3.125%</w:t>
            </w:r>
          </w:p>
        </w:tc>
        <w:tc>
          <w:tcPr>
            <w:tcW w:w="3200" w:type="dxa"/>
            <w:vAlign w:val="bottom"/>
            <w:gridSpan w:val="2"/>
            <w:shd w:val="clear" w:color="auto" w:fill="D1D2D4"/>
          </w:tcPr>
          <w:p>
            <w:pPr>
              <w:ind w:left="40"/>
              <w:spacing w:after="0"/>
              <w:rPr>
                <w:sz w:val="20"/>
                <w:szCs w:val="20"/>
                <w:color w:val="auto"/>
              </w:rPr>
            </w:pPr>
            <w:r>
              <w:rPr>
                <w:rFonts w:ascii="Arial" w:cs="Arial" w:eastAsia="Arial" w:hAnsi="Arial"/>
                <w:sz w:val="18"/>
                <w:szCs w:val="18"/>
                <w:color w:val="auto"/>
              </w:rPr>
              <w:t>Convertible Senior Notes due 2032</w:t>
            </w:r>
          </w:p>
        </w:tc>
        <w:tc>
          <w:tcPr>
            <w:tcW w:w="1580" w:type="dxa"/>
            <w:vAlign w:val="bottom"/>
            <w:shd w:val="clear" w:color="auto" w:fill="D1D2D4"/>
          </w:tcPr>
          <w:p>
            <w:pPr>
              <w:spacing w:after="0"/>
              <w:rPr>
                <w:sz w:val="20"/>
                <w:szCs w:val="20"/>
                <w:color w:val="auto"/>
              </w:rPr>
            </w:pPr>
            <w:r>
              <w:rPr>
                <w:rFonts w:ascii="Arial" w:cs="Arial" w:eastAsia="Arial" w:hAnsi="Arial"/>
                <w:sz w:val="18"/>
                <w:szCs w:val="18"/>
                <w:color w:val="auto"/>
              </w:rPr>
              <w:t>OEM</w:t>
            </w:r>
          </w:p>
        </w:tc>
        <w:tc>
          <w:tcPr>
            <w:tcW w:w="4040" w:type="dxa"/>
            <w:vAlign w:val="bottom"/>
            <w:shd w:val="clear" w:color="auto" w:fill="D1D2D4"/>
          </w:tcPr>
          <w:p>
            <w:pPr>
              <w:ind w:left="220"/>
              <w:spacing w:after="0"/>
              <w:rPr>
                <w:sz w:val="20"/>
                <w:szCs w:val="20"/>
                <w:color w:val="auto"/>
              </w:rPr>
            </w:pPr>
            <w:r>
              <w:rPr>
                <w:rFonts w:ascii="Arial" w:cs="Arial" w:eastAsia="Arial" w:hAnsi="Arial"/>
                <w:sz w:val="18"/>
                <w:szCs w:val="18"/>
                <w:color w:val="auto"/>
              </w:rPr>
              <w:t>Original Equipment Manufacturer</w:t>
            </w:r>
          </w:p>
        </w:tc>
      </w:tr>
      <w:tr>
        <w:trPr>
          <w:trHeight w:val="229"/>
        </w:trPr>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4040" w:type="dxa"/>
            <w:vAlign w:val="bottom"/>
          </w:tcPr>
          <w:p>
            <w:pPr>
              <w:ind w:left="220"/>
              <w:spacing w:after="0"/>
              <w:rPr>
                <w:sz w:val="20"/>
                <w:szCs w:val="20"/>
                <w:color w:val="auto"/>
              </w:rPr>
            </w:pPr>
            <w:r>
              <w:rPr>
                <w:rFonts w:ascii="Arial" w:cs="Arial" w:eastAsia="Arial" w:hAnsi="Arial"/>
                <w:sz w:val="18"/>
                <w:szCs w:val="18"/>
                <w:color w:val="auto"/>
              </w:rPr>
              <w:t>High-speed motherboard connection for</w:t>
            </w:r>
          </w:p>
        </w:tc>
      </w:tr>
      <w:tr>
        <w:trPr>
          <w:trHeight w:val="230"/>
        </w:trPr>
        <w:tc>
          <w:tcPr>
            <w:tcW w:w="1440" w:type="dxa"/>
            <w:vAlign w:val="bottom"/>
            <w:gridSpan w:val="2"/>
          </w:tcPr>
          <w:p>
            <w:pPr>
              <w:ind w:left="20"/>
              <w:spacing w:after="0"/>
              <w:rPr>
                <w:sz w:val="20"/>
                <w:szCs w:val="20"/>
                <w:color w:val="auto"/>
              </w:rPr>
            </w:pPr>
            <w:r>
              <w:rPr>
                <w:rFonts w:ascii="Arial" w:cs="Arial" w:eastAsia="Arial" w:hAnsi="Arial"/>
                <w:sz w:val="18"/>
                <w:szCs w:val="18"/>
                <w:color w:val="auto"/>
              </w:rPr>
              <w:t>2033F Notes</w:t>
            </w:r>
          </w:p>
        </w:tc>
        <w:tc>
          <w:tcPr>
            <w:tcW w:w="980" w:type="dxa"/>
            <w:vAlign w:val="bottom"/>
          </w:tcPr>
          <w:p>
            <w:pPr>
              <w:ind w:left="360"/>
              <w:spacing w:after="0"/>
              <w:rPr>
                <w:sz w:val="20"/>
                <w:szCs w:val="20"/>
                <w:color w:val="auto"/>
              </w:rPr>
            </w:pPr>
            <w:r>
              <w:rPr>
                <w:rFonts w:ascii="Arial" w:cs="Arial" w:eastAsia="Arial" w:hAnsi="Arial"/>
                <w:sz w:val="18"/>
                <w:szCs w:val="18"/>
                <w:color w:val="auto"/>
                <w:w w:val="98"/>
              </w:rPr>
              <w:t>2.125%</w:t>
            </w:r>
          </w:p>
        </w:tc>
        <w:tc>
          <w:tcPr>
            <w:tcW w:w="3200" w:type="dxa"/>
            <w:vAlign w:val="bottom"/>
            <w:gridSpan w:val="2"/>
          </w:tcPr>
          <w:p>
            <w:pPr>
              <w:ind w:left="40"/>
              <w:spacing w:after="0"/>
              <w:rPr>
                <w:sz w:val="20"/>
                <w:szCs w:val="20"/>
                <w:color w:val="auto"/>
              </w:rPr>
            </w:pPr>
            <w:r>
              <w:rPr>
                <w:rFonts w:ascii="Arial" w:cs="Arial" w:eastAsia="Arial" w:hAnsi="Arial"/>
                <w:sz w:val="18"/>
                <w:szCs w:val="18"/>
                <w:color w:val="auto"/>
              </w:rPr>
              <w:t>Convertible Senior Notes due 2033</w:t>
            </w:r>
          </w:p>
        </w:tc>
        <w:tc>
          <w:tcPr>
            <w:tcW w:w="1580" w:type="dxa"/>
            <w:vAlign w:val="bottom"/>
          </w:tcPr>
          <w:p>
            <w:pPr>
              <w:spacing w:after="0"/>
              <w:rPr>
                <w:sz w:val="20"/>
                <w:szCs w:val="20"/>
                <w:color w:val="auto"/>
              </w:rPr>
            </w:pPr>
            <w:r>
              <w:rPr>
                <w:rFonts w:ascii="Arial" w:cs="Arial" w:eastAsia="Arial" w:hAnsi="Arial"/>
                <w:sz w:val="18"/>
                <w:szCs w:val="18"/>
                <w:color w:val="auto"/>
              </w:rPr>
              <w:t>PCIe</w:t>
            </w:r>
          </w:p>
        </w:tc>
        <w:tc>
          <w:tcPr>
            <w:tcW w:w="4040" w:type="dxa"/>
            <w:vAlign w:val="bottom"/>
          </w:tcPr>
          <w:p>
            <w:pPr>
              <w:ind w:left="220"/>
              <w:spacing w:after="0"/>
              <w:rPr>
                <w:sz w:val="20"/>
                <w:szCs w:val="20"/>
                <w:color w:val="auto"/>
              </w:rPr>
            </w:pPr>
            <w:r>
              <w:rPr>
                <w:rFonts w:ascii="Arial" w:cs="Arial" w:eastAsia="Arial" w:hAnsi="Arial"/>
                <w:sz w:val="18"/>
                <w:szCs w:val="18"/>
                <w:color w:val="auto"/>
              </w:rPr>
              <w:t>peripheral devices such as storage drives.</w:t>
            </w:r>
          </w:p>
        </w:tc>
      </w:tr>
      <w:tr>
        <w:trPr>
          <w:trHeight w:val="256"/>
        </w:trPr>
        <w:tc>
          <w:tcPr>
            <w:tcW w:w="460" w:type="dxa"/>
            <w:vAlign w:val="bottom"/>
            <w:shd w:val="clear" w:color="auto" w:fill="D1D2D4"/>
          </w:tcPr>
          <w:p>
            <w:pPr>
              <w:ind w:left="20"/>
              <w:spacing w:after="0"/>
              <w:rPr>
                <w:sz w:val="20"/>
                <w:szCs w:val="20"/>
                <w:color w:val="auto"/>
              </w:rPr>
            </w:pPr>
            <w:r>
              <w:rPr>
                <w:rFonts w:ascii="Arial" w:cs="Arial" w:eastAsia="Arial" w:hAnsi="Arial"/>
                <w:sz w:val="18"/>
                <w:szCs w:val="18"/>
                <w:color w:val="auto"/>
              </w:rPr>
              <w:t>DDR</w:t>
            </w:r>
          </w:p>
        </w:tc>
        <w:tc>
          <w:tcPr>
            <w:tcW w:w="980" w:type="dxa"/>
            <w:vAlign w:val="bottom"/>
            <w:shd w:val="clear" w:color="auto" w:fill="D1D2D4"/>
          </w:tcPr>
          <w:p>
            <w:pPr>
              <w:spacing w:after="0"/>
              <w:rPr>
                <w:sz w:val="22"/>
                <w:szCs w:val="22"/>
                <w:color w:val="auto"/>
              </w:rPr>
            </w:pPr>
          </w:p>
        </w:tc>
        <w:tc>
          <w:tcPr>
            <w:tcW w:w="4180" w:type="dxa"/>
            <w:vAlign w:val="bottom"/>
            <w:gridSpan w:val="3"/>
            <w:shd w:val="clear" w:color="auto" w:fill="D1D2D4"/>
          </w:tcPr>
          <w:p>
            <w:pPr>
              <w:ind w:left="360"/>
              <w:spacing w:after="0"/>
              <w:rPr>
                <w:sz w:val="20"/>
                <w:szCs w:val="20"/>
                <w:color w:val="auto"/>
              </w:rPr>
            </w:pPr>
            <w:r>
              <w:rPr>
                <w:rFonts w:ascii="Arial" w:cs="Arial" w:eastAsia="Arial" w:hAnsi="Arial"/>
                <w:sz w:val="18"/>
                <w:szCs w:val="18"/>
                <w:color w:val="auto"/>
              </w:rPr>
              <w:t>Double Data Rate</w:t>
            </w:r>
          </w:p>
        </w:tc>
        <w:tc>
          <w:tcPr>
            <w:tcW w:w="1580" w:type="dxa"/>
            <w:vAlign w:val="bottom"/>
            <w:shd w:val="clear" w:color="auto" w:fill="D1D2D4"/>
          </w:tcPr>
          <w:p>
            <w:pPr>
              <w:spacing w:after="0"/>
              <w:rPr>
                <w:sz w:val="20"/>
                <w:szCs w:val="20"/>
                <w:color w:val="auto"/>
              </w:rPr>
            </w:pPr>
            <w:r>
              <w:rPr>
                <w:rFonts w:ascii="Arial" w:cs="Arial" w:eastAsia="Arial" w:hAnsi="Arial"/>
                <w:sz w:val="18"/>
                <w:szCs w:val="18"/>
                <w:color w:val="auto"/>
              </w:rPr>
              <w:t>Qimonda</w:t>
            </w:r>
          </w:p>
        </w:tc>
        <w:tc>
          <w:tcPr>
            <w:tcW w:w="4040" w:type="dxa"/>
            <w:vAlign w:val="bottom"/>
            <w:shd w:val="clear" w:color="auto" w:fill="D1D2D4"/>
          </w:tcPr>
          <w:p>
            <w:pPr>
              <w:ind w:left="220"/>
              <w:spacing w:after="0"/>
              <w:rPr>
                <w:sz w:val="20"/>
                <w:szCs w:val="20"/>
                <w:color w:val="auto"/>
              </w:rPr>
            </w:pPr>
            <w:r>
              <w:rPr>
                <w:rFonts w:ascii="Arial" w:cs="Arial" w:eastAsia="Arial" w:hAnsi="Arial"/>
                <w:sz w:val="18"/>
                <w:szCs w:val="18"/>
                <w:color w:val="auto"/>
              </w:rPr>
              <w:t>Qimonda AG</w:t>
            </w:r>
          </w:p>
        </w:tc>
      </w:tr>
      <w:tr>
        <w:trPr>
          <w:trHeight w:val="257"/>
        </w:trPr>
        <w:tc>
          <w:tcPr>
            <w:tcW w:w="1440" w:type="dxa"/>
            <w:vAlign w:val="bottom"/>
            <w:gridSpan w:val="2"/>
          </w:tcPr>
          <w:p>
            <w:pPr>
              <w:ind w:left="20"/>
              <w:spacing w:after="0"/>
              <w:rPr>
                <w:sz w:val="20"/>
                <w:szCs w:val="20"/>
                <w:color w:val="auto"/>
              </w:rPr>
            </w:pPr>
            <w:r>
              <w:rPr>
                <w:rFonts w:ascii="Arial" w:cs="Arial" w:eastAsia="Arial" w:hAnsi="Arial"/>
                <w:sz w:val="18"/>
                <w:szCs w:val="18"/>
                <w:color w:val="auto"/>
              </w:rPr>
              <w:t>GDDR</w:t>
            </w:r>
          </w:p>
        </w:tc>
        <w:tc>
          <w:tcPr>
            <w:tcW w:w="4180" w:type="dxa"/>
            <w:vAlign w:val="bottom"/>
            <w:gridSpan w:val="3"/>
          </w:tcPr>
          <w:p>
            <w:pPr>
              <w:ind w:left="360"/>
              <w:spacing w:after="0"/>
              <w:rPr>
                <w:sz w:val="20"/>
                <w:szCs w:val="20"/>
                <w:color w:val="auto"/>
              </w:rPr>
            </w:pPr>
            <w:r>
              <w:rPr>
                <w:rFonts w:ascii="Arial" w:cs="Arial" w:eastAsia="Arial" w:hAnsi="Arial"/>
                <w:sz w:val="18"/>
                <w:szCs w:val="18"/>
                <w:color w:val="auto"/>
              </w:rPr>
              <w:t>Graphics Double Data Rate</w:t>
            </w:r>
          </w:p>
        </w:tc>
        <w:tc>
          <w:tcPr>
            <w:tcW w:w="1580" w:type="dxa"/>
            <w:vAlign w:val="bottom"/>
          </w:tcPr>
          <w:p>
            <w:pPr>
              <w:spacing w:after="0"/>
              <w:rPr>
                <w:sz w:val="20"/>
                <w:szCs w:val="20"/>
                <w:color w:val="auto"/>
              </w:rPr>
            </w:pPr>
            <w:r>
              <w:rPr>
                <w:rFonts w:ascii="Arial" w:cs="Arial" w:eastAsia="Arial" w:hAnsi="Arial"/>
                <w:sz w:val="18"/>
                <w:szCs w:val="18"/>
                <w:color w:val="auto"/>
              </w:rPr>
              <w:t>QLC</w:t>
            </w:r>
          </w:p>
        </w:tc>
        <w:tc>
          <w:tcPr>
            <w:tcW w:w="4040" w:type="dxa"/>
            <w:vAlign w:val="bottom"/>
          </w:tcPr>
          <w:p>
            <w:pPr>
              <w:ind w:left="220"/>
              <w:spacing w:after="0"/>
              <w:rPr>
                <w:sz w:val="20"/>
                <w:szCs w:val="20"/>
                <w:color w:val="auto"/>
              </w:rPr>
            </w:pPr>
            <w:r>
              <w:rPr>
                <w:rFonts w:ascii="Arial" w:cs="Arial" w:eastAsia="Arial" w:hAnsi="Arial"/>
                <w:sz w:val="18"/>
                <w:szCs w:val="18"/>
                <w:color w:val="auto"/>
              </w:rPr>
              <w:t>Quad-Level Cell (four bits per cell)</w:t>
            </w:r>
          </w:p>
        </w:tc>
      </w:tr>
      <w:tr>
        <w:trPr>
          <w:trHeight w:val="229"/>
        </w:trPr>
        <w:tc>
          <w:tcPr>
            <w:tcW w:w="460" w:type="dxa"/>
            <w:vAlign w:val="bottom"/>
            <w:shd w:val="clear" w:color="auto" w:fill="D1D2D4"/>
          </w:tcPr>
          <w:p>
            <w:pPr>
              <w:spacing w:after="0"/>
              <w:rPr>
                <w:sz w:val="19"/>
                <w:szCs w:val="19"/>
                <w:color w:val="auto"/>
              </w:rPr>
            </w:pPr>
          </w:p>
        </w:tc>
        <w:tc>
          <w:tcPr>
            <w:tcW w:w="980" w:type="dxa"/>
            <w:vAlign w:val="bottom"/>
            <w:shd w:val="clear" w:color="auto" w:fill="D1D2D4"/>
          </w:tcPr>
          <w:p>
            <w:pPr>
              <w:spacing w:after="0"/>
              <w:rPr>
                <w:sz w:val="19"/>
                <w:szCs w:val="19"/>
                <w:color w:val="auto"/>
              </w:rPr>
            </w:pPr>
          </w:p>
        </w:tc>
        <w:tc>
          <w:tcPr>
            <w:tcW w:w="980" w:type="dxa"/>
            <w:vAlign w:val="bottom"/>
            <w:shd w:val="clear" w:color="auto" w:fill="D1D2D4"/>
          </w:tcPr>
          <w:p>
            <w:pPr>
              <w:spacing w:after="0"/>
              <w:rPr>
                <w:sz w:val="19"/>
                <w:szCs w:val="19"/>
                <w:color w:val="auto"/>
              </w:rPr>
            </w:pPr>
          </w:p>
        </w:tc>
        <w:tc>
          <w:tcPr>
            <w:tcW w:w="308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580" w:type="dxa"/>
            <w:vAlign w:val="bottom"/>
            <w:shd w:val="clear" w:color="auto" w:fill="D1D2D4"/>
          </w:tcPr>
          <w:p>
            <w:pPr>
              <w:spacing w:after="0"/>
              <w:rPr>
                <w:sz w:val="20"/>
                <w:szCs w:val="20"/>
                <w:color w:val="auto"/>
              </w:rPr>
            </w:pPr>
            <w:r>
              <w:rPr>
                <w:rFonts w:ascii="Arial" w:cs="Arial" w:eastAsia="Arial" w:hAnsi="Arial"/>
                <w:sz w:val="18"/>
                <w:szCs w:val="18"/>
                <w:color w:val="auto"/>
              </w:rPr>
              <w:t>Revolving Credit</w:t>
            </w:r>
          </w:p>
        </w:tc>
        <w:tc>
          <w:tcPr>
            <w:tcW w:w="4040" w:type="dxa"/>
            <w:vAlign w:val="bottom"/>
            <w:shd w:val="clear" w:color="auto" w:fill="D1D2D4"/>
          </w:tcPr>
          <w:p>
            <w:pPr>
              <w:ind w:left="220"/>
              <w:spacing w:after="0"/>
              <w:rPr>
                <w:sz w:val="20"/>
                <w:szCs w:val="20"/>
                <w:color w:val="auto"/>
              </w:rPr>
            </w:pPr>
            <w:r>
              <w:rPr>
                <w:rFonts w:ascii="Arial" w:cs="Arial" w:eastAsia="Arial" w:hAnsi="Arial"/>
                <w:sz w:val="18"/>
                <w:szCs w:val="18"/>
                <w:color w:val="auto"/>
              </w:rPr>
              <w:t>$2.5 billion Revolving Credit Facility due July</w:t>
            </w:r>
          </w:p>
        </w:tc>
      </w:tr>
      <w:tr>
        <w:trPr>
          <w:trHeight w:val="230"/>
        </w:trPr>
        <w:tc>
          <w:tcPr>
            <w:tcW w:w="460" w:type="dxa"/>
            <w:vAlign w:val="bottom"/>
            <w:shd w:val="clear" w:color="auto" w:fill="D1D2D4"/>
          </w:tcPr>
          <w:p>
            <w:pPr>
              <w:ind w:left="20"/>
              <w:spacing w:after="0"/>
              <w:rPr>
                <w:sz w:val="20"/>
                <w:szCs w:val="20"/>
                <w:color w:val="auto"/>
              </w:rPr>
            </w:pPr>
            <w:r>
              <w:rPr>
                <w:rFonts w:ascii="Arial" w:cs="Arial" w:eastAsia="Arial" w:hAnsi="Arial"/>
                <w:sz w:val="18"/>
                <w:szCs w:val="18"/>
                <w:color w:val="auto"/>
                <w:w w:val="99"/>
              </w:rPr>
              <w:t>IMFT</w:t>
            </w:r>
          </w:p>
        </w:tc>
        <w:tc>
          <w:tcPr>
            <w:tcW w:w="980" w:type="dxa"/>
            <w:vAlign w:val="bottom"/>
            <w:shd w:val="clear" w:color="auto" w:fill="D1D2D4"/>
          </w:tcPr>
          <w:p>
            <w:pPr>
              <w:spacing w:after="0"/>
              <w:rPr>
                <w:sz w:val="20"/>
                <w:szCs w:val="20"/>
                <w:color w:val="auto"/>
              </w:rPr>
            </w:pPr>
          </w:p>
        </w:tc>
        <w:tc>
          <w:tcPr>
            <w:tcW w:w="4180" w:type="dxa"/>
            <w:vAlign w:val="bottom"/>
            <w:gridSpan w:val="3"/>
            <w:shd w:val="clear" w:color="auto" w:fill="D1D2D4"/>
          </w:tcPr>
          <w:p>
            <w:pPr>
              <w:ind w:left="360"/>
              <w:spacing w:after="0"/>
              <w:rPr>
                <w:sz w:val="20"/>
                <w:szCs w:val="20"/>
                <w:color w:val="auto"/>
              </w:rPr>
            </w:pPr>
            <w:r>
              <w:rPr>
                <w:rFonts w:ascii="Arial" w:cs="Arial" w:eastAsia="Arial" w:hAnsi="Arial"/>
                <w:sz w:val="18"/>
                <w:szCs w:val="18"/>
                <w:color w:val="auto"/>
              </w:rPr>
              <w:t>IM Flash Technologies, LLC</w:t>
            </w:r>
          </w:p>
        </w:tc>
        <w:tc>
          <w:tcPr>
            <w:tcW w:w="1580" w:type="dxa"/>
            <w:vAlign w:val="bottom"/>
            <w:shd w:val="clear" w:color="auto" w:fill="D1D2D4"/>
          </w:tcPr>
          <w:p>
            <w:pPr>
              <w:spacing w:after="0"/>
              <w:rPr>
                <w:sz w:val="20"/>
                <w:szCs w:val="20"/>
                <w:color w:val="auto"/>
              </w:rPr>
            </w:pPr>
            <w:r>
              <w:rPr>
                <w:rFonts w:ascii="Arial" w:cs="Arial" w:eastAsia="Arial" w:hAnsi="Arial"/>
                <w:sz w:val="18"/>
                <w:szCs w:val="18"/>
                <w:color w:val="auto"/>
              </w:rPr>
              <w:t>Facility</w:t>
            </w:r>
          </w:p>
        </w:tc>
        <w:tc>
          <w:tcPr>
            <w:tcW w:w="4040" w:type="dxa"/>
            <w:vAlign w:val="bottom"/>
            <w:shd w:val="clear" w:color="auto" w:fill="D1D2D4"/>
          </w:tcPr>
          <w:p>
            <w:pPr>
              <w:ind w:left="220"/>
              <w:spacing w:after="0"/>
              <w:rPr>
                <w:sz w:val="20"/>
                <w:szCs w:val="20"/>
                <w:color w:val="auto"/>
              </w:rPr>
            </w:pPr>
            <w:r>
              <w:rPr>
                <w:rFonts w:ascii="Arial" w:cs="Arial" w:eastAsia="Arial" w:hAnsi="Arial"/>
                <w:sz w:val="18"/>
                <w:szCs w:val="18"/>
                <w:color w:val="auto"/>
              </w:rPr>
              <w:t>2023</w:t>
            </w:r>
          </w:p>
        </w:tc>
      </w:tr>
      <w:tr>
        <w:trPr>
          <w:trHeight w:val="229"/>
        </w:trPr>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4040" w:type="dxa"/>
            <w:vAlign w:val="bottom"/>
          </w:tcPr>
          <w:p>
            <w:pPr>
              <w:ind w:left="220"/>
              <w:spacing w:after="0"/>
              <w:rPr>
                <w:sz w:val="20"/>
                <w:szCs w:val="20"/>
                <w:color w:val="auto"/>
              </w:rPr>
            </w:pPr>
            <w:r>
              <w:rPr>
                <w:rFonts w:ascii="Arial" w:cs="Arial" w:eastAsia="Arial" w:hAnsi="Arial"/>
                <w:sz w:val="18"/>
                <w:szCs w:val="18"/>
                <w:color w:val="auto"/>
              </w:rPr>
              <w:t>Hardware interface for connecting to storage</w:t>
            </w:r>
          </w:p>
        </w:tc>
      </w:tr>
      <w:tr>
        <w:trPr>
          <w:trHeight w:val="224"/>
        </w:trPr>
        <w:tc>
          <w:tcPr>
            <w:tcW w:w="1440" w:type="dxa"/>
            <w:vAlign w:val="bottom"/>
            <w:gridSpan w:val="2"/>
          </w:tcPr>
          <w:p>
            <w:pPr>
              <w:ind w:left="20"/>
              <w:spacing w:after="0"/>
              <w:rPr>
                <w:sz w:val="20"/>
                <w:szCs w:val="20"/>
                <w:color w:val="auto"/>
              </w:rPr>
            </w:pPr>
            <w:r>
              <w:rPr>
                <w:rFonts w:ascii="Arial" w:cs="Arial" w:eastAsia="Arial" w:hAnsi="Arial"/>
                <w:sz w:val="18"/>
                <w:szCs w:val="18"/>
                <w:color w:val="auto"/>
              </w:rPr>
              <w:t>Inotera</w:t>
            </w:r>
          </w:p>
        </w:tc>
        <w:tc>
          <w:tcPr>
            <w:tcW w:w="4180" w:type="dxa"/>
            <w:vAlign w:val="bottom"/>
            <w:gridSpan w:val="3"/>
          </w:tcPr>
          <w:p>
            <w:pPr>
              <w:ind w:left="360"/>
              <w:spacing w:after="0"/>
              <w:rPr>
                <w:sz w:val="20"/>
                <w:szCs w:val="20"/>
                <w:color w:val="auto"/>
              </w:rPr>
            </w:pPr>
            <w:r>
              <w:rPr>
                <w:rFonts w:ascii="Arial" w:cs="Arial" w:eastAsia="Arial" w:hAnsi="Arial"/>
                <w:sz w:val="18"/>
                <w:szCs w:val="18"/>
                <w:color w:val="auto"/>
              </w:rPr>
              <w:t>Inotera Memories, Inc.</w:t>
            </w:r>
          </w:p>
        </w:tc>
        <w:tc>
          <w:tcPr>
            <w:tcW w:w="1580" w:type="dxa"/>
            <w:vAlign w:val="bottom"/>
          </w:tcPr>
          <w:p>
            <w:pPr>
              <w:spacing w:after="0"/>
              <w:rPr>
                <w:sz w:val="20"/>
                <w:szCs w:val="20"/>
                <w:color w:val="auto"/>
              </w:rPr>
            </w:pPr>
            <w:r>
              <w:rPr>
                <w:rFonts w:ascii="Arial" w:cs="Arial" w:eastAsia="Arial" w:hAnsi="Arial"/>
                <w:sz w:val="18"/>
                <w:szCs w:val="18"/>
                <w:color w:val="auto"/>
              </w:rPr>
              <w:t>SATA</w:t>
            </w:r>
          </w:p>
        </w:tc>
        <w:tc>
          <w:tcPr>
            <w:tcW w:w="4040" w:type="dxa"/>
            <w:vAlign w:val="bottom"/>
          </w:tcPr>
          <w:p>
            <w:pPr>
              <w:ind w:left="220"/>
              <w:spacing w:after="0"/>
              <w:rPr>
                <w:sz w:val="20"/>
                <w:szCs w:val="20"/>
                <w:color w:val="auto"/>
              </w:rPr>
            </w:pPr>
            <w:r>
              <w:rPr>
                <w:rFonts w:ascii="Arial" w:cs="Arial" w:eastAsia="Arial" w:hAnsi="Arial"/>
                <w:sz w:val="18"/>
                <w:szCs w:val="18"/>
                <w:color w:val="auto"/>
              </w:rPr>
              <w:t>devices such as hard disk drives and SSDs.</w:t>
            </w:r>
          </w:p>
        </w:tc>
      </w:tr>
      <w:tr>
        <w:trPr>
          <w:trHeight w:val="236"/>
        </w:trPr>
        <w:tc>
          <w:tcPr>
            <w:tcW w:w="46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Intel</w:t>
            </w:r>
          </w:p>
        </w:tc>
        <w:tc>
          <w:tcPr>
            <w:tcW w:w="980" w:type="dxa"/>
            <w:vAlign w:val="bottom"/>
            <w:shd w:val="clear" w:color="auto" w:fill="D1D2D4"/>
          </w:tcPr>
          <w:p>
            <w:pPr>
              <w:spacing w:after="0"/>
              <w:rPr>
                <w:sz w:val="20"/>
                <w:szCs w:val="20"/>
                <w:color w:val="auto"/>
              </w:rPr>
            </w:pPr>
          </w:p>
        </w:tc>
        <w:tc>
          <w:tcPr>
            <w:tcW w:w="4180" w:type="dxa"/>
            <w:vAlign w:val="bottom"/>
            <w:gridSpan w:val="3"/>
            <w:shd w:val="clear" w:color="auto" w:fill="D1D2D4"/>
          </w:tcPr>
          <w:p>
            <w:pPr>
              <w:ind w:left="360"/>
              <w:spacing w:after="0"/>
              <w:rPr>
                <w:sz w:val="20"/>
                <w:szCs w:val="20"/>
                <w:color w:val="auto"/>
              </w:rPr>
            </w:pPr>
            <w:r>
              <w:rPr>
                <w:rFonts w:ascii="Arial" w:cs="Arial" w:eastAsia="Arial" w:hAnsi="Arial"/>
                <w:sz w:val="18"/>
                <w:szCs w:val="18"/>
                <w:color w:val="auto"/>
              </w:rPr>
              <w:t>Intel Corporation</w:t>
            </w:r>
          </w:p>
        </w:tc>
        <w:tc>
          <w:tcPr>
            <w:tcW w:w="1580" w:type="dxa"/>
            <w:vAlign w:val="bottom"/>
            <w:shd w:val="clear" w:color="auto" w:fill="D1D2D4"/>
          </w:tcPr>
          <w:p>
            <w:pPr>
              <w:spacing w:after="0"/>
              <w:rPr>
                <w:sz w:val="20"/>
                <w:szCs w:val="20"/>
                <w:color w:val="auto"/>
              </w:rPr>
            </w:pPr>
            <w:r>
              <w:rPr>
                <w:rFonts w:ascii="Arial" w:cs="Arial" w:eastAsia="Arial" w:hAnsi="Arial"/>
                <w:sz w:val="18"/>
                <w:szCs w:val="18"/>
                <w:color w:val="auto"/>
              </w:rPr>
              <w:t>SLC</w:t>
            </w:r>
          </w:p>
        </w:tc>
        <w:tc>
          <w:tcPr>
            <w:tcW w:w="4040" w:type="dxa"/>
            <w:vAlign w:val="bottom"/>
            <w:shd w:val="clear" w:color="auto" w:fill="D1D2D4"/>
          </w:tcPr>
          <w:p>
            <w:pPr>
              <w:ind w:left="220"/>
              <w:spacing w:after="0"/>
              <w:rPr>
                <w:sz w:val="20"/>
                <w:szCs w:val="20"/>
                <w:color w:val="auto"/>
              </w:rPr>
            </w:pPr>
            <w:r>
              <w:rPr>
                <w:rFonts w:ascii="Arial" w:cs="Arial" w:eastAsia="Arial" w:hAnsi="Arial"/>
                <w:sz w:val="18"/>
                <w:szCs w:val="18"/>
                <w:color w:val="auto"/>
              </w:rPr>
              <w:t>Single-Level Cell (one bit per cell)</w:t>
            </w:r>
          </w:p>
        </w:tc>
      </w:tr>
      <w:tr>
        <w:trPr>
          <w:trHeight w:val="229"/>
        </w:trPr>
        <w:tc>
          <w:tcPr>
            <w:tcW w:w="1440" w:type="dxa"/>
            <w:vAlign w:val="bottom"/>
            <w:gridSpan w:val="2"/>
          </w:tcPr>
          <w:p>
            <w:pPr>
              <w:ind w:left="20"/>
              <w:spacing w:after="0"/>
              <w:rPr>
                <w:sz w:val="20"/>
                <w:szCs w:val="20"/>
                <w:color w:val="auto"/>
              </w:rPr>
            </w:pPr>
            <w:r>
              <w:rPr>
                <w:rFonts w:ascii="Arial" w:cs="Arial" w:eastAsia="Arial" w:hAnsi="Arial"/>
                <w:sz w:val="18"/>
                <w:szCs w:val="18"/>
                <w:color w:val="auto"/>
              </w:rPr>
              <w:t>LPDDR</w:t>
            </w:r>
          </w:p>
        </w:tc>
        <w:tc>
          <w:tcPr>
            <w:tcW w:w="4180" w:type="dxa"/>
            <w:vAlign w:val="bottom"/>
            <w:gridSpan w:val="3"/>
          </w:tcPr>
          <w:p>
            <w:pPr>
              <w:ind w:left="360"/>
              <w:spacing w:after="0"/>
              <w:rPr>
                <w:sz w:val="20"/>
                <w:szCs w:val="20"/>
                <w:color w:val="auto"/>
              </w:rPr>
            </w:pPr>
            <w:r>
              <w:rPr>
                <w:rFonts w:ascii="Arial" w:cs="Arial" w:eastAsia="Arial" w:hAnsi="Arial"/>
                <w:sz w:val="18"/>
                <w:szCs w:val="18"/>
                <w:color w:val="auto"/>
              </w:rPr>
              <w:t>Low Power Double Data Rate</w:t>
            </w:r>
          </w:p>
        </w:tc>
        <w:tc>
          <w:tcPr>
            <w:tcW w:w="1580" w:type="dxa"/>
            <w:vAlign w:val="bottom"/>
          </w:tcPr>
          <w:p>
            <w:pPr>
              <w:spacing w:after="0"/>
              <w:rPr>
                <w:sz w:val="20"/>
                <w:szCs w:val="20"/>
                <w:color w:val="auto"/>
              </w:rPr>
            </w:pPr>
            <w:r>
              <w:rPr>
                <w:rFonts w:ascii="Arial" w:cs="Arial" w:eastAsia="Arial" w:hAnsi="Arial"/>
                <w:sz w:val="18"/>
                <w:szCs w:val="18"/>
                <w:color w:val="auto"/>
              </w:rPr>
              <w:t>SSD</w:t>
            </w:r>
          </w:p>
        </w:tc>
        <w:tc>
          <w:tcPr>
            <w:tcW w:w="4040" w:type="dxa"/>
            <w:vAlign w:val="bottom"/>
          </w:tcPr>
          <w:p>
            <w:pPr>
              <w:ind w:left="220"/>
              <w:spacing w:after="0"/>
              <w:rPr>
                <w:sz w:val="20"/>
                <w:szCs w:val="20"/>
                <w:color w:val="auto"/>
              </w:rPr>
            </w:pPr>
            <w:r>
              <w:rPr>
                <w:rFonts w:ascii="Arial" w:cs="Arial" w:eastAsia="Arial" w:hAnsi="Arial"/>
                <w:sz w:val="18"/>
                <w:szCs w:val="18"/>
                <w:color w:val="auto"/>
              </w:rPr>
              <w:t>Solid State Drive</w:t>
            </w:r>
          </w:p>
        </w:tc>
      </w:tr>
      <w:tr>
        <w:trPr>
          <w:trHeight w:val="257"/>
        </w:trPr>
        <w:tc>
          <w:tcPr>
            <w:tcW w:w="460" w:type="dxa"/>
            <w:vAlign w:val="bottom"/>
            <w:shd w:val="clear" w:color="auto" w:fill="D1D2D4"/>
          </w:tcPr>
          <w:p>
            <w:pPr>
              <w:ind w:left="20"/>
              <w:spacing w:after="0"/>
              <w:rPr>
                <w:sz w:val="20"/>
                <w:szCs w:val="20"/>
                <w:color w:val="auto"/>
              </w:rPr>
            </w:pPr>
            <w:r>
              <w:rPr>
                <w:rFonts w:ascii="Arial" w:cs="Arial" w:eastAsia="Arial" w:hAnsi="Arial"/>
                <w:sz w:val="18"/>
                <w:szCs w:val="18"/>
                <w:color w:val="auto"/>
              </w:rPr>
              <w:t>MAI</w:t>
            </w:r>
          </w:p>
        </w:tc>
        <w:tc>
          <w:tcPr>
            <w:tcW w:w="980" w:type="dxa"/>
            <w:vAlign w:val="bottom"/>
            <w:shd w:val="clear" w:color="auto" w:fill="D1D2D4"/>
          </w:tcPr>
          <w:p>
            <w:pPr>
              <w:spacing w:after="0"/>
              <w:rPr>
                <w:sz w:val="22"/>
                <w:szCs w:val="22"/>
                <w:color w:val="auto"/>
              </w:rPr>
            </w:pPr>
          </w:p>
        </w:tc>
        <w:tc>
          <w:tcPr>
            <w:tcW w:w="4180" w:type="dxa"/>
            <w:vAlign w:val="bottom"/>
            <w:gridSpan w:val="3"/>
            <w:shd w:val="clear" w:color="auto" w:fill="D1D2D4"/>
          </w:tcPr>
          <w:p>
            <w:pPr>
              <w:ind w:left="360"/>
              <w:spacing w:after="0"/>
              <w:rPr>
                <w:sz w:val="20"/>
                <w:szCs w:val="20"/>
                <w:color w:val="auto"/>
              </w:rPr>
            </w:pPr>
            <w:r>
              <w:rPr>
                <w:rFonts w:ascii="Arial" w:cs="Arial" w:eastAsia="Arial" w:hAnsi="Arial"/>
                <w:sz w:val="18"/>
                <w:szCs w:val="18"/>
                <w:color w:val="auto"/>
              </w:rPr>
              <w:t>Micron Akita, Inc.</w:t>
            </w:r>
          </w:p>
        </w:tc>
        <w:tc>
          <w:tcPr>
            <w:tcW w:w="1580" w:type="dxa"/>
            <w:vAlign w:val="bottom"/>
            <w:shd w:val="clear" w:color="auto" w:fill="D1D2D4"/>
          </w:tcPr>
          <w:p>
            <w:pPr>
              <w:spacing w:after="0"/>
              <w:rPr>
                <w:sz w:val="20"/>
                <w:szCs w:val="20"/>
                <w:color w:val="auto"/>
              </w:rPr>
            </w:pPr>
            <w:r>
              <w:rPr>
                <w:rFonts w:ascii="Arial" w:cs="Arial" w:eastAsia="Arial" w:hAnsi="Arial"/>
                <w:sz w:val="18"/>
                <w:szCs w:val="18"/>
                <w:color w:val="auto"/>
              </w:rPr>
              <w:t>TLC</w:t>
            </w:r>
          </w:p>
        </w:tc>
        <w:tc>
          <w:tcPr>
            <w:tcW w:w="4040" w:type="dxa"/>
            <w:vAlign w:val="bottom"/>
            <w:shd w:val="clear" w:color="auto" w:fill="D1D2D4"/>
          </w:tcPr>
          <w:p>
            <w:pPr>
              <w:ind w:left="220"/>
              <w:spacing w:after="0"/>
              <w:rPr>
                <w:sz w:val="20"/>
                <w:szCs w:val="20"/>
                <w:color w:val="auto"/>
              </w:rPr>
            </w:pPr>
            <w:r>
              <w:rPr>
                <w:rFonts w:ascii="Arial" w:cs="Arial" w:eastAsia="Arial" w:hAnsi="Arial"/>
                <w:sz w:val="18"/>
                <w:szCs w:val="18"/>
                <w:color w:val="auto"/>
              </w:rPr>
              <w:t>Triple-Level Cell (three bits per cell)</w:t>
            </w:r>
          </w:p>
        </w:tc>
      </w:tr>
      <w:tr>
        <w:trPr>
          <w:trHeight w:val="230"/>
        </w:trPr>
        <w:tc>
          <w:tcPr>
            <w:tcW w:w="460" w:type="dxa"/>
            <w:vAlign w:val="bottom"/>
          </w:tcPr>
          <w:p>
            <w:pPr>
              <w:ind w:left="20"/>
              <w:spacing w:after="0"/>
              <w:rPr>
                <w:sz w:val="20"/>
                <w:szCs w:val="20"/>
                <w:color w:val="auto"/>
              </w:rPr>
            </w:pPr>
            <w:r>
              <w:rPr>
                <w:rFonts w:ascii="Arial" w:cs="Arial" w:eastAsia="Arial" w:hAnsi="Arial"/>
                <w:sz w:val="18"/>
                <w:szCs w:val="18"/>
                <w:color w:val="auto"/>
              </w:rPr>
              <w:t>MCP</w:t>
            </w:r>
          </w:p>
        </w:tc>
        <w:tc>
          <w:tcPr>
            <w:tcW w:w="980" w:type="dxa"/>
            <w:vAlign w:val="bottom"/>
          </w:tcPr>
          <w:p>
            <w:pPr>
              <w:spacing w:after="0"/>
              <w:rPr>
                <w:sz w:val="19"/>
                <w:szCs w:val="19"/>
                <w:color w:val="auto"/>
              </w:rPr>
            </w:pPr>
          </w:p>
        </w:tc>
        <w:tc>
          <w:tcPr>
            <w:tcW w:w="4180" w:type="dxa"/>
            <w:vAlign w:val="bottom"/>
            <w:gridSpan w:val="3"/>
          </w:tcPr>
          <w:p>
            <w:pPr>
              <w:ind w:left="360"/>
              <w:spacing w:after="0"/>
              <w:rPr>
                <w:sz w:val="20"/>
                <w:szCs w:val="20"/>
                <w:color w:val="auto"/>
              </w:rPr>
            </w:pPr>
            <w:r>
              <w:rPr>
                <w:rFonts w:ascii="Arial" w:cs="Arial" w:eastAsia="Arial" w:hAnsi="Arial"/>
                <w:sz w:val="18"/>
                <w:szCs w:val="18"/>
                <w:color w:val="auto"/>
              </w:rPr>
              <w:t>Multi-Chip Package</w:t>
            </w:r>
          </w:p>
        </w:tc>
        <w:tc>
          <w:tcPr>
            <w:tcW w:w="1580" w:type="dxa"/>
            <w:vAlign w:val="bottom"/>
          </w:tcPr>
          <w:p>
            <w:pPr>
              <w:spacing w:after="0"/>
              <w:rPr>
                <w:sz w:val="20"/>
                <w:szCs w:val="20"/>
                <w:color w:val="auto"/>
              </w:rPr>
            </w:pPr>
            <w:r>
              <w:rPr>
                <w:rFonts w:ascii="Arial" w:cs="Arial" w:eastAsia="Arial" w:hAnsi="Arial"/>
                <w:sz w:val="18"/>
                <w:szCs w:val="18"/>
                <w:color w:val="auto"/>
              </w:rPr>
              <w:t>UFS</w:t>
            </w:r>
          </w:p>
        </w:tc>
        <w:tc>
          <w:tcPr>
            <w:tcW w:w="4040" w:type="dxa"/>
            <w:vAlign w:val="bottom"/>
          </w:tcPr>
          <w:p>
            <w:pPr>
              <w:ind w:left="220"/>
              <w:spacing w:after="0"/>
              <w:rPr>
                <w:sz w:val="20"/>
                <w:szCs w:val="20"/>
                <w:color w:val="auto"/>
              </w:rPr>
            </w:pPr>
            <w:r>
              <w:rPr>
                <w:rFonts w:ascii="Arial" w:cs="Arial" w:eastAsia="Arial" w:hAnsi="Arial"/>
                <w:sz w:val="18"/>
                <w:szCs w:val="18"/>
                <w:color w:val="auto"/>
              </w:rPr>
              <w:t>Universal Flash Storage</w:t>
            </w:r>
          </w:p>
        </w:tc>
      </w:tr>
      <w:tr>
        <w:trPr>
          <w:trHeight w:val="256"/>
        </w:trPr>
        <w:tc>
          <w:tcPr>
            <w:tcW w:w="1440" w:type="dxa"/>
            <w:vAlign w:val="bottom"/>
            <w:gridSpan w:val="2"/>
            <w:shd w:val="clear" w:color="auto" w:fill="D1D2D4"/>
          </w:tcPr>
          <w:p>
            <w:pPr>
              <w:ind w:left="20"/>
              <w:spacing w:after="0"/>
              <w:rPr>
                <w:sz w:val="20"/>
                <w:szCs w:val="20"/>
                <w:color w:val="auto"/>
              </w:rPr>
            </w:pPr>
            <w:r>
              <w:rPr>
                <w:rFonts w:ascii="Arial" w:cs="Arial" w:eastAsia="Arial" w:hAnsi="Arial"/>
                <w:sz w:val="18"/>
                <w:szCs w:val="18"/>
                <w:color w:val="auto"/>
              </w:rPr>
              <w:t>Micron</w:t>
            </w:r>
          </w:p>
        </w:tc>
        <w:tc>
          <w:tcPr>
            <w:tcW w:w="4180" w:type="dxa"/>
            <w:vAlign w:val="bottom"/>
            <w:gridSpan w:val="3"/>
            <w:shd w:val="clear" w:color="auto" w:fill="D1D2D4"/>
          </w:tcPr>
          <w:p>
            <w:pPr>
              <w:ind w:left="360"/>
              <w:spacing w:after="0"/>
              <w:rPr>
                <w:sz w:val="20"/>
                <w:szCs w:val="20"/>
                <w:color w:val="auto"/>
              </w:rPr>
            </w:pPr>
            <w:r>
              <w:rPr>
                <w:rFonts w:ascii="Arial" w:cs="Arial" w:eastAsia="Arial" w:hAnsi="Arial"/>
                <w:sz w:val="18"/>
                <w:szCs w:val="18"/>
                <w:color w:val="auto"/>
              </w:rPr>
              <w:t>Micron Technology, Inc. (Parent Company)</w:t>
            </w:r>
          </w:p>
        </w:tc>
        <w:tc>
          <w:tcPr>
            <w:tcW w:w="1580" w:type="dxa"/>
            <w:vAlign w:val="bottom"/>
            <w:shd w:val="clear" w:color="auto" w:fill="D1D2D4"/>
          </w:tcPr>
          <w:p>
            <w:pPr>
              <w:spacing w:after="0"/>
              <w:rPr>
                <w:sz w:val="20"/>
                <w:szCs w:val="20"/>
                <w:color w:val="auto"/>
              </w:rPr>
            </w:pPr>
            <w:r>
              <w:rPr>
                <w:rFonts w:ascii="Arial" w:cs="Arial" w:eastAsia="Arial" w:hAnsi="Arial"/>
                <w:sz w:val="18"/>
                <w:szCs w:val="18"/>
                <w:color w:val="auto"/>
              </w:rPr>
              <w:t>uMCP</w:t>
            </w:r>
          </w:p>
        </w:tc>
        <w:tc>
          <w:tcPr>
            <w:tcW w:w="4040" w:type="dxa"/>
            <w:vAlign w:val="bottom"/>
            <w:shd w:val="clear" w:color="auto" w:fill="D1D2D4"/>
          </w:tcPr>
          <w:p>
            <w:pPr>
              <w:ind w:left="220"/>
              <w:spacing w:after="0"/>
              <w:rPr>
                <w:sz w:val="20"/>
                <w:szCs w:val="20"/>
                <w:color w:val="auto"/>
              </w:rPr>
            </w:pPr>
            <w:r>
              <w:rPr>
                <w:rFonts w:ascii="Arial" w:cs="Arial" w:eastAsia="Arial" w:hAnsi="Arial"/>
                <w:sz w:val="18"/>
                <w:szCs w:val="18"/>
                <w:color w:val="auto"/>
              </w:rPr>
              <w:t>UFS-based MCP</w:t>
            </w:r>
          </w:p>
        </w:tc>
      </w:tr>
    </w:tbl>
    <w:p>
      <w:pPr>
        <w:spacing w:after="0" w:line="24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Micron, Crucial, any associated logos, and all other Micron trademarks are the property of Micron. Intel and 3D XPoint are trademarks of Intel Corporation or its subsidiaries. Other product names or trademarks that are not owned by Micron are for identification purposes only and may be the trademarks of their respective owners.</w:t>
      </w:r>
    </w:p>
    <w:p>
      <w:pPr>
        <w:spacing w:after="0" w:line="229"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All period references are to our fiscal periods unless otherwise indicated. Our fiscal year is the 52 or 53-week period ending on the Thursday closest to August 31. Fiscal 2020 contained 53 weeks and fiscal 2019 and 2018 each contained 52 weeks.</w:t>
      </w:r>
    </w:p>
    <w:p>
      <w:pPr>
        <w:spacing w:after="0" w:line="200" w:lineRule="exact"/>
        <w:rPr>
          <w:sz w:val="20"/>
          <w:szCs w:val="20"/>
          <w:color w:val="auto"/>
        </w:rPr>
      </w:pPr>
    </w:p>
    <w:p>
      <w:pPr>
        <w:spacing w:after="0" w:line="269" w:lineRule="exact"/>
        <w:rPr>
          <w:sz w:val="20"/>
          <w:szCs w:val="20"/>
          <w:color w:val="auto"/>
        </w:rPr>
      </w:pPr>
    </w:p>
    <w:p>
      <w:pPr>
        <w:jc w:val="right"/>
        <w:spacing w:after="0"/>
        <w:rPr>
          <w:sz w:val="20"/>
          <w:szCs w:val="20"/>
          <w:color w:val="auto"/>
        </w:rPr>
      </w:pPr>
      <w:r>
        <w:rPr>
          <w:sz w:val="1"/>
          <w:szCs w:val="1"/>
          <w:color w:val="auto"/>
        </w:rPr>
        <w:drawing>
          <wp:inline distT="0" distB="0" distL="0" distR="0">
            <wp:extent cx="608330" cy="17145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8330" cy="171450"/>
                    </a:xfrm>
                    <a:prstGeom prst="rect">
                      <a:avLst/>
                    </a:prstGeom>
                    <a:noFill/>
                    <a:ln>
                      <a:noFill/>
                    </a:ln>
                  </pic:spPr>
                </pic:pic>
              </a:graphicData>
            </a:graphic>
          </wp:inline>
        </w:drawing>
      </w:r>
      <w:r>
        <w:rPr>
          <w:rFonts w:ascii="Arial" w:cs="Arial" w:eastAsia="Arial" w:hAnsi="Arial"/>
          <w:sz w:val="18"/>
          <w:szCs w:val="18"/>
          <w:color w:val="auto"/>
        </w:rPr>
        <w:t xml:space="preserv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bookmarkStart w:id="5" w:name="page6"/>
    <w:bookmarkEnd w:id="5"/>
    <w:p>
      <w:pPr>
        <w:spacing w:after="0"/>
        <w:rPr>
          <w:sz w:val="20"/>
          <w:szCs w:val="20"/>
          <w:color w:val="auto"/>
        </w:rPr>
      </w:pPr>
      <w:r>
        <w:rPr>
          <w:rFonts w:ascii="Arial" w:cs="Arial" w:eastAsia="Arial" w:hAnsi="Arial"/>
          <w:sz w:val="29"/>
          <w:szCs w:val="29"/>
          <w:b w:val="1"/>
          <w:bCs w:val="1"/>
          <w:color w:val="auto"/>
        </w:rPr>
        <w:t>PART I</w:t>
      </w:r>
    </w:p>
    <w:p>
      <w:pPr>
        <w:spacing w:after="0" w:line="4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 BUSINESS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Overview</w:t>
      </w:r>
    </w:p>
    <w:p>
      <w:pPr>
        <w:spacing w:after="0" w:line="285"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Micron Technology, Inc., including its consolidated subsidiaries, is an industry leader in innovative memory and storage solutions. Through our global brands — Micron</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Crucial</w:t>
      </w:r>
      <w:r>
        <w:rPr>
          <w:rFonts w:ascii="Arial" w:cs="Arial" w:eastAsia="Arial" w:hAnsi="Arial"/>
          <w:sz w:val="22"/>
          <w:szCs w:val="22"/>
          <w:color w:val="auto"/>
          <w:vertAlign w:val="superscript"/>
        </w:rPr>
        <w:t>®</w:t>
      </w:r>
      <w:r>
        <w:rPr>
          <w:rFonts w:ascii="Arial" w:cs="Arial" w:eastAsia="Arial" w:hAnsi="Arial"/>
          <w:sz w:val="17"/>
          <w:szCs w:val="17"/>
          <w:color w:val="auto"/>
        </w:rPr>
        <w:t xml:space="preserve"> — our broad portfolio of high-performance memory and storage technologies, including DRAM, NAND, 3D XPoint</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memory, and NOR, is transforming how the world uses information to enrich life </w:t>
      </w:r>
      <w:r>
        <w:rPr>
          <w:rFonts w:ascii="Arial" w:cs="Arial" w:eastAsia="Arial" w:hAnsi="Arial"/>
          <w:sz w:val="17"/>
          <w:szCs w:val="17"/>
          <w:i w:val="1"/>
          <w:iCs w:val="1"/>
          <w:color w:val="auto"/>
        </w:rPr>
        <w:t>for all</w:t>
      </w:r>
      <w:r>
        <w:rPr>
          <w:rFonts w:ascii="Arial" w:cs="Arial" w:eastAsia="Arial" w:hAnsi="Arial"/>
          <w:sz w:val="17"/>
          <w:szCs w:val="17"/>
          <w:color w:val="auto"/>
        </w:rPr>
        <w:t>. Backed by more than 40 years of technology leadership, our memory and storage solutions enable disruptive trends, including artificial intelligence, 5G, machine learning, and autonomous vehicles, in key market segments like mobile, data center, client, consumer, industrial, graphics, automotive, and networking.</w:t>
      </w:r>
    </w:p>
    <w:p>
      <w:pPr>
        <w:spacing w:after="0" w:line="24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manufacture our products at wholly-owned facilities and also utilize subcontractors to perform certain manufacturing processes. In recent years, we have increased our manufacturing scale and product diversity through strategic acquisitions, expansion, and various partnering arrangements.</w:t>
      </w:r>
    </w:p>
    <w:p>
      <w:pPr>
        <w:spacing w:after="0" w:line="22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make significant investments to develop proprietary product and process technology, which are implemented in our manufacturing facilities, and generally increase the density per wafer and reduce manufacturing costs of each generation of product through advancements in product and process technology, such as our leading-edge line-width process technology and 3D NAND architecture. We continue to introduce new generations of products that offer improved performance characteristics, including higher data transfer rates, advanced packaging solutions to meet industry standards, lower power consumption, improved read/write reliability, and increased memory density. A significant portion of our revenues are from sales of managed NAND and SSD products, which incorporate NAND, a controller, and firmware. An increasing portion of our SSDs incorporate proprietary controllers and firmware that we have developed. Development of advanced technologies enables us to diversify our product portfolio toward a richer mix of differentiated, high-value solutions and to target high-growth markets.</w:t>
      </w:r>
    </w:p>
    <w:p>
      <w:pPr>
        <w:spacing w:after="0" w:line="23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face intense competition in the semiconductor memory and storage markets and, to remain competitive, we must continuously develop and implement new products and technologies and decrease manufacturing costs. Our success is largely dependent on obtaining returns on our R&amp;D investments, efficient utilization of our manufacturing infrastructure, development and integration of advanced product and process technologies, market acceptance of our diversified portfolio of semiconductor-based memory and storage solutions, and return-driven capital spending.</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Impact of COVID-19 on Our Business</w:t>
      </w:r>
    </w:p>
    <w:p>
      <w:pPr>
        <w:spacing w:after="0" w:line="26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Events surrounding the ongoing COVID-19 outbreak have resulted in a reduction in economic activity across the globe. The ultimate severity and duration of these economic repercussions, including any resulting impact on our business, remain largely unknown and will depend on many factors, including the speed and effectiveness of the containment efforts and economic intervention throughout the world.</w:t>
      </w:r>
    </w:p>
    <w:p>
      <w:pPr>
        <w:spacing w:after="0" w:line="229"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From the start of the COVID-19 outbreak, we proactively implemented preventative protocols intended to safeguard our team members, contractors, suppliers, customers, distributors, and communities, and to ensure business continuity in the event government restrictions or severe outbreaks impact our operations at certain sites. While all our global sites are currently operational, our facilities could be required to temporarily curtail production levels or temporarily cease operations based on actions we deem to be prudent or as a result of government mandates. We remain committed to providing a healthy and safe environment and continue to actively monitor the situation. We may take further actions to alter our business operations to ensure the health and safety of all our stakeholders, or as required by government authorities.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 </w:t>
      </w:r>
      <w:r>
        <w:rPr>
          <w:rFonts w:ascii="Arial" w:cs="Arial" w:eastAsia="Arial" w:hAnsi="Arial"/>
          <w:sz w:val="21"/>
          <w:szCs w:val="21"/>
          <w:b w:val="1"/>
          <w:bCs w:val="1"/>
          <w:color w:val="0090DA"/>
        </w:rPr>
        <w:t>|</w:t>
      </w:r>
      <w:r>
        <w:rPr>
          <w:rFonts w:ascii="Arial" w:cs="Arial" w:eastAsia="Arial" w:hAnsi="Arial"/>
          <w:sz w:val="18"/>
          <w:szCs w:val="18"/>
          <w:color w:val="auto"/>
        </w:rPr>
        <w:t xml:space="preserve"> 2020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9" w:right="379" w:bottom="1440" w:gutter="0" w:footer="0" w:header="0"/>
        </w:sectPr>
      </w:pPr>
    </w:p>
    <w:bookmarkStart w:id="6" w:name="page7"/>
    <w:bookmarkEnd w:id="6"/>
    <w:p>
      <w:pPr>
        <w:spacing w:after="0"/>
        <w:rPr>
          <w:sz w:val="20"/>
          <w:szCs w:val="20"/>
          <w:color w:val="auto"/>
        </w:rPr>
      </w:pPr>
      <w:r>
        <w:rPr>
          <w:rFonts w:ascii="Arial" w:cs="Arial" w:eastAsia="Arial" w:hAnsi="Arial"/>
          <w:sz w:val="40"/>
          <w:szCs w:val="40"/>
          <w:b w:val="1"/>
          <w:bCs w:val="1"/>
          <w:color w:val="auto"/>
        </w:rPr>
        <w:t>Products</w:t>
      </w:r>
    </w:p>
    <w:p>
      <w:pPr>
        <w:spacing w:after="0" w:line="285"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We are relentlessly focused on evolving our product portfolio to a richer mix of high-value solutions and cultivating deeper relationships with customers. Our position as a developer and manufacturer of DRAM, NAND, 3D XPoint memory, NOR, and other emerging memory technologies uniquely enables us to collaborate with our customers to ensure our technology and engineering roadmaps deliver critical features. We continuously introduce new products on our advanced technologies, delivering performance, quality, and cost advantages to our customers. Across our entire portfolio of products, we continue to focus on product differentiation and portfolio expansion to grow our share of industry profits while maintaining stable bit share.</w:t>
      </w:r>
    </w:p>
    <w:p>
      <w:pPr>
        <w:spacing w:after="0" w:line="235"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Our product portfolio of memory and storage solutions, advanced solutions, and storage platforms is based on our high-performance semiconductor memory and storage technologies, including DRAM, NAND, 3D XPoint memory, NOR, and other technologies. We sell our products into various markets through our business units in numerous forms, including wafers, components, modules, SSDs, managed NAND, and MCP products. Our system-level solutions, including SSDs, managed NAND, and MCPs, typically include a controller and firmware and in some cases combine DRAM, NAND, and/or NOR.</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Product Technologies</w:t>
      </w:r>
    </w:p>
    <w:p>
      <w:pPr>
        <w:spacing w:after="0" w:line="24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DRAM</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DRAM products are dynamic random access memory semiconductor devices with low latency that provide high-speed data retrieval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a variety of performance characteristics. DRAM products lose content when power is turned off (“volatile”) and are most commonly used in client, cloud server, enterprise, networking, graphics, industrial, and automotive markets. Low-power DRAM (“LPDRAM”) products, which are engineered to meet standards for performance and power consumption, are sold into smartphone and other mobile-device markets, as well as into the automotive, industrial, and consumer markets.</w:t>
      </w:r>
    </w:p>
    <w:p>
      <w:pPr>
        <w:spacing w:after="0" w:line="206" w:lineRule="exact"/>
        <w:rPr>
          <w:sz w:val="20"/>
          <w:szCs w:val="20"/>
          <w:color w:val="auto"/>
        </w:rPr>
      </w:pPr>
    </w:p>
    <w:p>
      <w:pPr>
        <w:ind w:right="140"/>
        <w:spacing w:after="0" w:line="282" w:lineRule="auto"/>
        <w:rPr>
          <w:sz w:val="20"/>
          <w:szCs w:val="20"/>
          <w:color w:val="auto"/>
        </w:rPr>
      </w:pPr>
      <w:r>
        <w:rPr>
          <w:rFonts w:ascii="Arial" w:cs="Arial" w:eastAsia="Arial" w:hAnsi="Arial"/>
          <w:sz w:val="17"/>
          <w:szCs w:val="17"/>
          <w:b w:val="1"/>
          <w:bCs w:val="1"/>
          <w:i w:val="1"/>
          <w:iCs w:val="1"/>
          <w:color w:val="auto"/>
        </w:rPr>
        <w:t>NAND</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NAND products are non-volatile, re-writeable semiconductor storage devices that provide high-capacity, low-cost storage with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variety of performance characteristics. NAND is used in SSDs for the enterprise and cloud, client, and consumer markets and in removable storage markets. Managed NAND is used in smartphones and other mobile devices, and in consumer, automotive, and embedded markets. Low-density NAND is ideal for applications like automotive, surveillance, machine-to-machine, automation, printer, and home networking.</w:t>
      </w:r>
    </w:p>
    <w:p>
      <w:pPr>
        <w:spacing w:after="0" w:line="18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3D XPoint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3D XPoint is a new class of non-volatile technology between DRAM and NAND in the memory and storage hierarchy, offering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higher capacity and non-volatility over DRAM along with lower latency and higher endurance as compared to NAND. 3D XPoint technology is ideal for data center and other markets requiring high-bandwidth storage and low-latency performance.</w:t>
      </w:r>
    </w:p>
    <w:p>
      <w:pPr>
        <w:spacing w:after="0" w:line="19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NOR</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NOR products are non-volatile re-writable semiconductor memory devices that provide fast read speeds. NOR is most commonly used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reliable code storage (e.g., boot, application, operating system, and execute-in-place code in an embedded system) and for frequently changing small data storage and is ideal for automotive, industrial, and consumer applications.</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Products by Business Unit and Market</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Compute and Networking Business Unit (“CNBU”)</w:t>
      </w:r>
    </w:p>
    <w:p>
      <w:pPr>
        <w:spacing w:after="0" w:line="27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CNBU includes memory products and solutions sold into client, cloud server, enterprise, graphics, and networking markets. CNBU reported revenue of $9.18 billion in 2020, $ 9.97 billion in 2019, and $15.25 billion in 2018. In late 2019, we were the first to introduce volume production of 1Znm DRAM which, at the time, was the industry's most advanced node. In 2020, we began ramping our 1Znm technology and achieved bit production crossover in the second half of 2020 with the aggregate of our 1Ynm and 1Znm nodes comprising more than 50% of our DRAM bit production. We began sampling 1Znm DDR5 modules and are on track to introduce high bandwidth memory in calendar 2020. We continue to make meaningful progress on our 1-alpha nm node, which we expect to introduce in 2021. During 2020, we began sampling our first high-bandwidth DRAM memory product, which is competitive with the industry's most advanced products, to enable expansion of our AI data center opportunities.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spacing w:after="0"/>
        <w:rPr>
          <w:sz w:val="20"/>
          <w:szCs w:val="20"/>
          <w:color w:val="auto"/>
        </w:rPr>
      </w:pPr>
      <w:r>
        <w:rPr>
          <w:sz w:val="1"/>
          <w:szCs w:val="1"/>
          <w:color w:val="auto"/>
        </w:rPr>
        <w:drawing>
          <wp:inline distT="0" distB="0" distL="0" distR="0">
            <wp:extent cx="608330" cy="17145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8330" cy="171450"/>
                    </a:xfrm>
                    <a:prstGeom prst="rect">
                      <a:avLst/>
                    </a:prstGeom>
                    <a:noFill/>
                    <a:ln>
                      <a:noFill/>
                    </a:ln>
                  </pic:spPr>
                </pic:pic>
              </a:graphicData>
            </a:graphic>
          </wp:inline>
        </w:drawing>
      </w:r>
      <w:r>
        <w:rPr>
          <w:rFonts w:ascii="Arial" w:cs="Arial" w:eastAsia="Arial" w:hAnsi="Arial"/>
          <w:sz w:val="18"/>
          <w:szCs w:val="18"/>
          <w:color w:val="auto"/>
        </w:rPr>
        <w:t xml:space="preserv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bookmarkStart w:id="7" w:name="page8"/>
    <w:bookmarkEnd w:id="7"/>
    <w:p>
      <w:pPr>
        <w:ind w:right="160"/>
        <w:spacing w:after="0" w:line="261" w:lineRule="auto"/>
        <w:rPr>
          <w:sz w:val="20"/>
          <w:szCs w:val="20"/>
          <w:color w:val="auto"/>
        </w:rPr>
      </w:pPr>
      <w:r>
        <w:rPr>
          <w:rFonts w:ascii="Arial" w:cs="Arial" w:eastAsia="Arial" w:hAnsi="Arial"/>
          <w:sz w:val="18"/>
          <w:szCs w:val="18"/>
          <w:i w:val="1"/>
          <w:iCs w:val="1"/>
          <w:u w:val="single" w:color="auto"/>
          <w:color w:val="auto"/>
        </w:rPr>
        <w:t>Client</w:t>
      </w:r>
      <w:r>
        <w:rPr>
          <w:rFonts w:ascii="Arial" w:cs="Arial" w:eastAsia="Arial" w:hAnsi="Arial"/>
          <w:sz w:val="18"/>
          <w:szCs w:val="18"/>
          <w:color w:val="auto"/>
        </w:rPr>
        <w:t>: CNBU sales to the client market in 2020 consisted primarily of 1Xnm and 1Ynm DDR4 DRAM products. In 2020, we also achieved</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production and sales to the client market of our DDR4 DRAM products from our 1Znm technology. Our products sold to the client market support both commercial and consumer PC growth, with growth driven by the rapid deployment of PCs to support the work-from-home and e-learning environments as the world responded to the COVID-19 pandemic.</w:t>
      </w:r>
    </w:p>
    <w:p>
      <w:pPr>
        <w:spacing w:after="0" w:line="20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u w:val="single" w:color="auto"/>
          <w:color w:val="auto"/>
        </w:rPr>
        <w:t>Cloud Server</w:t>
      </w:r>
      <w:r>
        <w:rPr>
          <w:rFonts w:ascii="Arial" w:cs="Arial" w:eastAsia="Arial" w:hAnsi="Arial"/>
          <w:sz w:val="18"/>
          <w:szCs w:val="18"/>
          <w:color w:val="auto"/>
        </w:rPr>
        <w:t>: CNBU sales to the cloud market in 2020 consisted primarily of our 1Xnm, 1Ynm, and 1Znm DDR4 DRAM products. The cloud</w:t>
      </w:r>
      <w:r>
        <w:rPr>
          <w:rFonts w:ascii="Arial" w:cs="Arial" w:eastAsia="Arial" w:hAnsi="Arial"/>
          <w:sz w:val="18"/>
          <w:szCs w:val="18"/>
          <w:i w:val="1"/>
          <w:iCs w:val="1"/>
          <w:color w:val="auto"/>
        </w:rPr>
        <w:t xml:space="preserve"> </w:t>
      </w:r>
      <w:r>
        <w:rPr>
          <w:rFonts w:ascii="Arial" w:cs="Arial" w:eastAsia="Arial" w:hAnsi="Arial"/>
          <w:sz w:val="18"/>
          <w:szCs w:val="18"/>
          <w:color w:val="auto"/>
        </w:rPr>
        <w:t>server market continued to experience significant growth in 2020 due to strong demand from the work-from-home and e-learning environments, video streaming, and significant increases in e-commerce activity around the world. The cloud server market has also been driven, in part, by intelligent edge devices capable of artificial intelligence and augmented reality that store and access data in the cloud. Cloud servers supporting artificial intelligence workloads require significantly increasing quantities of DRAM and, as the number and capabilities of these intelligent edge devices increase, more data is stored, processed, and accessed in the cloud, creating a virtuous cycle between the cloud and edge devices.</w:t>
      </w:r>
    </w:p>
    <w:p>
      <w:pPr>
        <w:spacing w:after="0" w:line="216" w:lineRule="exact"/>
        <w:rPr>
          <w:sz w:val="20"/>
          <w:szCs w:val="20"/>
          <w:color w:val="auto"/>
        </w:rPr>
      </w:pPr>
    </w:p>
    <w:p>
      <w:pPr>
        <w:ind w:right="420"/>
        <w:spacing w:after="0" w:line="289" w:lineRule="auto"/>
        <w:rPr>
          <w:sz w:val="20"/>
          <w:szCs w:val="20"/>
          <w:color w:val="auto"/>
        </w:rPr>
      </w:pPr>
      <w:r>
        <w:rPr>
          <w:rFonts w:ascii="Arial" w:cs="Arial" w:eastAsia="Arial" w:hAnsi="Arial"/>
          <w:sz w:val="17"/>
          <w:szCs w:val="17"/>
          <w:i w:val="1"/>
          <w:iCs w:val="1"/>
          <w:u w:val="single" w:color="auto"/>
          <w:color w:val="auto"/>
        </w:rPr>
        <w:t>Enterprise</w:t>
      </w:r>
      <w:r>
        <w:rPr>
          <w:rFonts w:ascii="Arial" w:cs="Arial" w:eastAsia="Arial" w:hAnsi="Arial"/>
          <w:sz w:val="17"/>
          <w:szCs w:val="17"/>
          <w:color w:val="auto"/>
        </w:rPr>
        <w:t>: CNBU sales to the enterprise market in 2020 consisted primarily of our 1Xnm and 1Ynm DDR4 DRAM products. In 2020, we</w:t>
      </w:r>
      <w:r>
        <w:rPr>
          <w:rFonts w:ascii="Arial" w:cs="Arial" w:eastAsia="Arial" w:hAnsi="Arial"/>
          <w:sz w:val="17"/>
          <w:szCs w:val="17"/>
          <w:i w:val="1"/>
          <w:iCs w:val="1"/>
          <w:color w:val="auto"/>
        </w:rPr>
        <w:t xml:space="preserve"> </w:t>
      </w:r>
      <w:r>
        <w:rPr>
          <w:rFonts w:ascii="Arial" w:cs="Arial" w:eastAsia="Arial" w:hAnsi="Arial"/>
          <w:sz w:val="17"/>
          <w:szCs w:val="17"/>
          <w:color w:val="auto"/>
        </w:rPr>
        <w:t>started providing early engineering samples of 1Znm DDR5 products for enterprise applications. The enterprise market is experiencing demand from intelligent edge devices requiring rapid data analysis and storage to enable machine learning, training, and inference.</w:t>
      </w:r>
    </w:p>
    <w:p>
      <w:pPr>
        <w:spacing w:after="0" w:line="185" w:lineRule="exact"/>
        <w:rPr>
          <w:sz w:val="20"/>
          <w:szCs w:val="20"/>
          <w:color w:val="auto"/>
        </w:rPr>
      </w:pPr>
    </w:p>
    <w:p>
      <w:pPr>
        <w:spacing w:after="0" w:line="239" w:lineRule="auto"/>
        <w:rPr>
          <w:sz w:val="20"/>
          <w:szCs w:val="20"/>
          <w:color w:val="auto"/>
        </w:rPr>
      </w:pPr>
      <w:r>
        <w:rPr>
          <w:rFonts w:ascii="Arial" w:cs="Arial" w:eastAsia="Arial" w:hAnsi="Arial"/>
          <w:sz w:val="18"/>
          <w:szCs w:val="18"/>
          <w:i w:val="1"/>
          <w:iCs w:val="1"/>
          <w:u w:val="single" w:color="auto"/>
          <w:color w:val="auto"/>
        </w:rPr>
        <w:t>Graphics</w:t>
      </w:r>
      <w:r>
        <w:rPr>
          <w:rFonts w:ascii="Arial" w:cs="Arial" w:eastAsia="Arial" w:hAnsi="Arial"/>
          <w:sz w:val="18"/>
          <w:szCs w:val="18"/>
          <w:color w:val="auto"/>
        </w:rPr>
        <w:t>: CNBU sales to the graphics market in 2020 consisted primarily of GDDR6 and GDDR5 graphics products. In addition, in 2020, we</w:t>
      </w:r>
      <w:r>
        <w:rPr>
          <w:rFonts w:ascii="Arial" w:cs="Arial" w:eastAsia="Arial" w:hAnsi="Arial"/>
          <w:sz w:val="18"/>
          <w:szCs w:val="18"/>
          <w:i w:val="1"/>
          <w:iCs w:val="1"/>
          <w:color w:val="auto"/>
        </w:rPr>
        <w:t xml:space="preserve"> </w:t>
      </w:r>
      <w:r>
        <w:rPr>
          <w:rFonts w:ascii="Arial" w:cs="Arial" w:eastAsia="Arial" w:hAnsi="Arial"/>
          <w:sz w:val="18"/>
          <w:szCs w:val="18"/>
          <w:color w:val="auto"/>
        </w:rPr>
        <w:t>started shipping GDDR6 DRAM products for next-generation gaming consoles and also introduced our leading-edge GDDR6X graphics memory, which delivers unprecedented speed, power, and bandwidth for high-performance graphics and computing. The graphics market is driven by the need for high-performance, high-bandwidth, and cost-effective memory solutions. Our GDDR6 and GDDR5 DRAM graphics products are incorporated into game consoles, PC graphics cards, and graphics processing unit-based data center solutions, which are the driving force behind applications such as artificial intelligence, virtual and augmented reality, 4K and 8K gaming, and professional design. Our GDDR6X products feature innovative signal transmission technology enabling over 1-terabyte of memory bandwidth to deliver an immersive, real-life gaming experience.</w:t>
      </w:r>
    </w:p>
    <w:p>
      <w:pPr>
        <w:spacing w:after="0" w:line="214"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i w:val="1"/>
          <w:iCs w:val="1"/>
          <w:u w:val="single" w:color="auto"/>
          <w:color w:val="auto"/>
        </w:rPr>
        <w:t>Networking</w:t>
      </w:r>
      <w:r>
        <w:rPr>
          <w:rFonts w:ascii="Arial" w:cs="Arial" w:eastAsia="Arial" w:hAnsi="Arial"/>
          <w:sz w:val="18"/>
          <w:szCs w:val="18"/>
          <w:color w:val="auto"/>
        </w:rPr>
        <w:t>: CNBU sales to the networking market in 2020 consisted primarily of DDR4 and DDR3 DRAM products. In 2020, demand was</w:t>
      </w:r>
      <w:r>
        <w:rPr>
          <w:rFonts w:ascii="Arial" w:cs="Arial" w:eastAsia="Arial" w:hAnsi="Arial"/>
          <w:sz w:val="18"/>
          <w:szCs w:val="18"/>
          <w:i w:val="1"/>
          <w:iCs w:val="1"/>
          <w:color w:val="auto"/>
        </w:rPr>
        <w:t xml:space="preserve"> </w:t>
      </w:r>
      <w:r>
        <w:rPr>
          <w:rFonts w:ascii="Arial" w:cs="Arial" w:eastAsia="Arial" w:hAnsi="Arial"/>
          <w:sz w:val="18"/>
          <w:szCs w:val="18"/>
          <w:color w:val="auto"/>
        </w:rPr>
        <w:t>driven, in part, by rapid work-from-home infrastructure deployment, as well as increased 5G build-out in certain geographic locations to further support the growth of the advanced 5G networking infrastructure. The networking memory market has relatively long life-cycle DRAM products and, accordingly, a significant portion of our sales consisted of products manufactured on our legacy DRAM technology.</w:t>
      </w:r>
    </w:p>
    <w:p>
      <w:pPr>
        <w:spacing w:after="0" w:line="20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i w:val="1"/>
          <w:iCs w:val="1"/>
          <w:u w:val="single" w:color="auto"/>
          <w:color w:val="auto"/>
        </w:rPr>
        <w:t>3D XPoint</w:t>
      </w:r>
      <w:r>
        <w:rPr>
          <w:rFonts w:ascii="Arial" w:cs="Arial" w:eastAsia="Arial" w:hAnsi="Arial"/>
          <w:sz w:val="18"/>
          <w:szCs w:val="18"/>
          <w:color w:val="auto"/>
        </w:rPr>
        <w:t>: CNBU sales of 3D XPoint memory consisted primarily of wafers sold to Intel. In 2020, we introduced our X100 NVMe SSD, the</w:t>
      </w:r>
      <w:r>
        <w:rPr>
          <w:rFonts w:ascii="Arial" w:cs="Arial" w:eastAsia="Arial" w:hAnsi="Arial"/>
          <w:sz w:val="18"/>
          <w:szCs w:val="18"/>
          <w:i w:val="1"/>
          <w:iCs w:val="1"/>
          <w:color w:val="auto"/>
        </w:rPr>
        <w:t xml:space="preserve"> </w:t>
      </w:r>
      <w:r>
        <w:rPr>
          <w:rFonts w:ascii="Arial" w:cs="Arial" w:eastAsia="Arial" w:hAnsi="Arial"/>
          <w:sz w:val="18"/>
          <w:szCs w:val="18"/>
          <w:color w:val="auto"/>
        </w:rPr>
        <w:t>fastest storage device in the world. The X100 NVMe SSD is the first product in a new family of high-performance memory solutions based on 3D XPoint technology, which has higher chip density than DRAM, up to 1,000 times lower latency, and exponentially greater endurance than NAND. These specifications create a significant value opportunity for 3D XPoint technology in solutions between DRAM and NAND in the memory and storage hierarchy. Trends in machine learning, big data analytics, and artificial intelligence are driving demand for the features offered by 3D XPoint technology.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Mobile Business Unit (“MBU”)</w:t>
      </w:r>
    </w:p>
    <w:p>
      <w:pPr>
        <w:spacing w:after="0" w:line="27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MBU includes memory products sold into smartphone and other mobile-device markets and includes discrete NAND, DRAM, and managed NAND. MBU managed NAND includes embedded multi-media controller (“e.MMC”) and universal flash storage (“UFS”) solutions, each of which combine high-capacity NAND with a high-speed controller and firmware, and eMCP/uMCP products, which combine an e.MMC/UFS solution with LPDRAM. MBU reported revenue of $5.70 billion in 2020, $6.40 billion in 2019, and $6.58 billion in 2018. In 2020, we were the first company to deliver LPDDR5 mobile DRAM products to customers, including our LPDDR5 products in select 5G-capable smartphones, in capacities up to 12GB. We also began sampling the world's first LPDDR5 DRAM-based UFS MCPs, which enable longer smartphone battery life and high-performance image processing and utilize our advanced 1Ynm DRAM process technology and the world’s smallest 512Gb 96-layer 3D NAND die.</w:t>
      </w:r>
    </w:p>
    <w:p>
      <w:pPr>
        <w:spacing w:after="0" w:line="214"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i w:val="1"/>
          <w:iCs w:val="1"/>
          <w:u w:val="single" w:color="auto"/>
          <w:color w:val="auto"/>
        </w:rPr>
        <w:t>Smartphone</w:t>
      </w:r>
      <w:r>
        <w:rPr>
          <w:rFonts w:ascii="Arial" w:cs="Arial" w:eastAsia="Arial" w:hAnsi="Arial"/>
          <w:sz w:val="18"/>
          <w:szCs w:val="18"/>
          <w:color w:val="auto"/>
        </w:rPr>
        <w:t>: MBU sales to the smartphone market in 2020 consisted primarily of our 1Xnm and 1Ynm LPDDR4, LPDDR5, and managed</w:t>
      </w:r>
      <w:r>
        <w:rPr>
          <w:rFonts w:ascii="Arial" w:cs="Arial" w:eastAsia="Arial" w:hAnsi="Arial"/>
          <w:sz w:val="18"/>
          <w:szCs w:val="18"/>
          <w:i w:val="1"/>
          <w:iCs w:val="1"/>
          <w:color w:val="auto"/>
        </w:rPr>
        <w:t xml:space="preserve"> </w:t>
      </w:r>
      <w:r>
        <w:rPr>
          <w:rFonts w:ascii="Arial" w:cs="Arial" w:eastAsia="Arial" w:hAnsi="Arial"/>
          <w:sz w:val="18"/>
          <w:szCs w:val="18"/>
          <w:color w:val="auto"/>
        </w:rPr>
        <w:t>NAND solutions. In the first quarter of 2020, we ramped our 1Znm LPDDR4 DRAM-based uMCP, which at the time had the fastest revenue ramp of any product in the history of our mobile business. High-</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 </w:t>
      </w:r>
      <w:r>
        <w:rPr>
          <w:rFonts w:ascii="Arial" w:cs="Arial" w:eastAsia="Arial" w:hAnsi="Arial"/>
          <w:sz w:val="21"/>
          <w:szCs w:val="21"/>
          <w:b w:val="1"/>
          <w:bCs w:val="1"/>
          <w:color w:val="0090DA"/>
        </w:rPr>
        <w:t>|</w:t>
      </w:r>
      <w:r>
        <w:rPr>
          <w:rFonts w:ascii="Arial" w:cs="Arial" w:eastAsia="Arial" w:hAnsi="Arial"/>
          <w:sz w:val="18"/>
          <w:szCs w:val="18"/>
          <w:color w:val="auto"/>
        </w:rPr>
        <w:t xml:space="preserve"> 2020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8" w:name="page9"/>
    <w:bookmarkEnd w:id="8"/>
    <w:p>
      <w:pPr>
        <w:ind w:right="180"/>
        <w:spacing w:after="0" w:line="254" w:lineRule="auto"/>
        <w:rPr>
          <w:sz w:val="20"/>
          <w:szCs w:val="20"/>
          <w:color w:val="auto"/>
        </w:rPr>
      </w:pPr>
      <w:r>
        <w:rPr>
          <w:rFonts w:ascii="Arial" w:cs="Arial" w:eastAsia="Arial" w:hAnsi="Arial"/>
          <w:sz w:val="18"/>
          <w:szCs w:val="18"/>
          <w:color w:val="auto"/>
        </w:rPr>
        <w:t>end smartphones incorporate higher levels of NAND and LPDRAM that enable features such as larger 4K displays, multiple high-resolution cameras, and 4K high-dynamic range video recording. Additionally, our smartphone products are utilized by OEMs to enable artificial intelligence, augmented reality, and life-like virtual reality capabilities into high-end phones, including facial and voice recognition, real-time translation, fast image search, and scene detection.</w:t>
      </w:r>
    </w:p>
    <w:p>
      <w:pPr>
        <w:spacing w:after="0" w:line="213"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i w:val="1"/>
          <w:iCs w:val="1"/>
          <w:u w:val="single" w:color="auto"/>
          <w:color w:val="auto"/>
        </w:rPr>
        <w:t>Other</w:t>
      </w:r>
      <w:r>
        <w:rPr>
          <w:rFonts w:ascii="Arial" w:cs="Arial" w:eastAsia="Arial" w:hAnsi="Arial"/>
          <w:sz w:val="18"/>
          <w:szCs w:val="18"/>
          <w:color w:val="auto"/>
        </w:rPr>
        <w:t>: MBU sales in 2020 also included products sold into the feature and disposable phone markets, mobile PC, and tablet markets. Sales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consisted of LPDDR4, LPDDR3, and eMCPs.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Storage Business Unit (“SBU”)</w:t>
      </w:r>
    </w:p>
    <w:p>
      <w:pPr>
        <w:spacing w:after="0" w:line="274"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SBU includes SSDs and component-level solutions sold into enterprise and cloud, client, and consumer storage markets and other discrete storage products sold in component and wafer forms to removable storage markets. SBU reported revenue of $3.77 billion in 2020, $3.83 billion in 2019, and $5.02 billion in 2018. In 2020, we significantly increased the mix of our high-value solutions in NAND.</w:t>
      </w:r>
    </w:p>
    <w:p>
      <w:pPr>
        <w:spacing w:after="0" w:line="229"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In 2020, we continued to transition to our NAND QLC technology, representing nearly 20% of our overall NAND sales in the fourth quarter of 2020. The low cost per bit of our NAND QLC technology enables us to offer SSD products at a price point competitive with hard disk drives in a number of market segments. A meaningful portion of our consumer SSDs shipped in the second half of 2020 included NAND with our QLC technology.</w:t>
      </w:r>
    </w:p>
    <w:p>
      <w:pPr>
        <w:spacing w:after="0" w:line="23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2020, we started volume production of our first-generation 128-layer 3D NAND using replacement gate technology and began shipping products to customers in the fourth quarter of 2020. We continue to make progress on our second-generation replacement gate node, which we expect to broadly deploy across our product portfolio, and remain on track for replacement gate production to comprise a meaningful portion of our NAND output by the end of calendar 2020.</w:t>
      </w:r>
    </w:p>
    <w:p>
      <w:pPr>
        <w:spacing w:after="0" w:line="213"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i w:val="1"/>
          <w:iCs w:val="1"/>
          <w:u w:val="single" w:color="auto"/>
          <w:color w:val="auto"/>
        </w:rPr>
        <w:t>SSDs</w:t>
      </w:r>
      <w:r>
        <w:rPr>
          <w:rFonts w:ascii="Arial" w:cs="Arial" w:eastAsia="Arial" w:hAnsi="Arial"/>
          <w:sz w:val="18"/>
          <w:szCs w:val="18"/>
          <w:color w:val="auto"/>
        </w:rPr>
        <w:t>: SSD storage products incorporate NAND, a controller, and firmware and offer significant performance and features over hard disk</w:t>
      </w:r>
      <w:r>
        <w:rPr>
          <w:rFonts w:ascii="Arial" w:cs="Arial" w:eastAsia="Arial" w:hAnsi="Arial"/>
          <w:sz w:val="18"/>
          <w:szCs w:val="18"/>
          <w:i w:val="1"/>
          <w:iCs w:val="1"/>
          <w:color w:val="auto"/>
        </w:rPr>
        <w:t xml:space="preserve"> </w:t>
      </w:r>
      <w:r>
        <w:rPr>
          <w:rFonts w:ascii="Arial" w:cs="Arial" w:eastAsia="Arial" w:hAnsi="Arial"/>
          <w:sz w:val="18"/>
          <w:szCs w:val="18"/>
          <w:color w:val="auto"/>
        </w:rPr>
        <w:t>drives, including smaller form factors, faster read and write speeds, higher reliability, and lower power consumption. We offer SSD solutions utilizing our NAND technology to the enterprise and cloud, client, and consumer markets.</w:t>
      </w:r>
    </w:p>
    <w:p>
      <w:pPr>
        <w:spacing w:after="0" w:line="203"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i w:val="1"/>
          <w:iCs w:val="1"/>
          <w:color w:val="auto"/>
        </w:rPr>
        <w:t>Enterprise and Cloud SSDs</w:t>
      </w:r>
      <w:r>
        <w:rPr>
          <w:rFonts w:ascii="Arial" w:cs="Arial" w:eastAsia="Arial" w:hAnsi="Arial"/>
          <w:sz w:val="18"/>
          <w:szCs w:val="18"/>
          <w:color w:val="auto"/>
        </w:rPr>
        <w:t>: SBU sales to the enterprise and cloud SSD markets in 2020 consisted primarily of our 5300, 5200, and 5100</w:t>
      </w:r>
      <w:r>
        <w:rPr>
          <w:rFonts w:ascii="Arial" w:cs="Arial" w:eastAsia="Arial" w:hAnsi="Arial"/>
          <w:sz w:val="18"/>
          <w:szCs w:val="18"/>
          <w:i w:val="1"/>
          <w:iCs w:val="1"/>
          <w:color w:val="auto"/>
        </w:rPr>
        <w:t xml:space="preserve"> </w:t>
      </w:r>
      <w:r>
        <w:rPr>
          <w:rFonts w:ascii="Arial" w:cs="Arial" w:eastAsia="Arial" w:hAnsi="Arial"/>
          <w:sz w:val="18"/>
          <w:szCs w:val="18"/>
          <w:color w:val="auto"/>
        </w:rPr>
        <w:t>series SATA SSDs. In 2020, we offered new capacity and features with our 5210 ION SATA SSD, continuing our leadership in QLC NAND-based SSDs and accelerating the transition from hard disk drives to QLC SSDs in data centers. Similar to trends in the memory market, the enterprise and cloud storage markets have been driven by advanced edge devices capable of artificial intelligence, augmented reality, and other features that store, access, and analyze data in the cloud. Artificial intelligence servers require fast access to data with low latency, predictable performance, and high storage capacities. Our technology is providing cost-optimized storage solutions at a significantly lower total cost of ownership for demanding workloads.</w:t>
      </w:r>
    </w:p>
    <w:p>
      <w:pPr>
        <w:spacing w:after="0" w:line="216"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Client SSDs</w:t>
      </w:r>
      <w:r>
        <w:rPr>
          <w:rFonts w:ascii="Arial" w:cs="Arial" w:eastAsia="Arial" w:hAnsi="Arial"/>
          <w:sz w:val="18"/>
          <w:szCs w:val="18"/>
          <w:color w:val="auto"/>
        </w:rPr>
        <w:t>: SBU sales to the client SSD market in 2020 consisted primarily of our 2200 and 1300 series SATA Client SSDs with our 96- and</w:t>
      </w:r>
      <w:r>
        <w:rPr>
          <w:rFonts w:ascii="Arial" w:cs="Arial" w:eastAsia="Arial" w:hAnsi="Arial"/>
          <w:sz w:val="18"/>
          <w:szCs w:val="18"/>
          <w:i w:val="1"/>
          <w:iCs w:val="1"/>
          <w:color w:val="auto"/>
        </w:rPr>
        <w:t xml:space="preserve"> </w:t>
      </w:r>
      <w:r>
        <w:rPr>
          <w:rFonts w:ascii="Arial" w:cs="Arial" w:eastAsia="Arial" w:hAnsi="Arial"/>
          <w:sz w:val="18"/>
          <w:szCs w:val="18"/>
          <w:color w:val="auto"/>
        </w:rPr>
        <w:t>64-layer TLC 3D NAND. Our client SSDs, targeted for leading personal computer OEMs as a replacement to hard disk drives, are used in notebooks, desktops, workstations, and other consumer applications, and deliver high performance, power efficiency, security, and capacity. In 2020, we launched our client 2300 NVMe SSD, which uses our 96-layer 3D NAND technology and a single-sided M.2 form factor to provide flexibility in design with industry-leading capacities of up to 2TB. In early 2020, we launched our client 2210 NVMe SSD, which uses our 96-layer QLC NAND technology for higher storage capacity and SLC NAND technology for write-performance, with M.2 form factor to bridge the gap between the low cost of hard disk drives and the performance, reliability, low power, and security of SSDs.</w:t>
      </w:r>
    </w:p>
    <w:p>
      <w:pPr>
        <w:spacing w:after="0" w:line="216" w:lineRule="exact"/>
        <w:rPr>
          <w:sz w:val="20"/>
          <w:szCs w:val="20"/>
          <w:color w:val="auto"/>
        </w:rPr>
      </w:pPr>
    </w:p>
    <w:p>
      <w:pPr>
        <w:spacing w:after="0" w:line="241" w:lineRule="auto"/>
        <w:rPr>
          <w:sz w:val="20"/>
          <w:szCs w:val="20"/>
          <w:color w:val="auto"/>
        </w:rPr>
      </w:pPr>
      <w:r>
        <w:rPr>
          <w:rFonts w:ascii="Arial" w:cs="Arial" w:eastAsia="Arial" w:hAnsi="Arial"/>
          <w:sz w:val="18"/>
          <w:szCs w:val="18"/>
          <w:i w:val="1"/>
          <w:iCs w:val="1"/>
          <w:color w:val="auto"/>
        </w:rPr>
        <w:t>Consumer SSDs</w:t>
      </w:r>
      <w:r>
        <w:rPr>
          <w:rFonts w:ascii="Arial" w:cs="Arial" w:eastAsia="Arial" w:hAnsi="Arial"/>
          <w:sz w:val="18"/>
          <w:szCs w:val="18"/>
          <w:color w:val="auto"/>
        </w:rPr>
        <w:t>: SBU sales to the consumer SSD market in 2020 consisted primarily of our Crucial-branded MX500/BX500 SATA SSDs and</w:t>
      </w:r>
      <w:r>
        <w:rPr>
          <w:rFonts w:ascii="Arial" w:cs="Arial" w:eastAsia="Arial" w:hAnsi="Arial"/>
          <w:sz w:val="18"/>
          <w:szCs w:val="18"/>
          <w:i w:val="1"/>
          <w:iCs w:val="1"/>
          <w:color w:val="auto"/>
        </w:rPr>
        <w:t xml:space="preserve"> </w:t>
      </w:r>
      <w:r>
        <w:rPr>
          <w:rFonts w:ascii="Arial" w:cs="Arial" w:eastAsia="Arial" w:hAnsi="Arial"/>
          <w:sz w:val="18"/>
          <w:szCs w:val="18"/>
          <w:color w:val="auto"/>
        </w:rPr>
        <w:t>our P1/P2 PCIe SSDs, which utilize our NAND QLC and TLC technologies. We had record consumer SSD revenue in 2020, assisted by the growth of our QLC NVMe SSDs, and we continue transitioning our product line of consumer SSDs from SATA to NVMe. In 2020, we expanded into the consumer portable SSD market by introducing the Crucial X8 and X6 portable SSDs and also began shipments of our BX500 SATA SSD, utilizing our 128-layer TLC 3D NAND with replacement gate technology. Similar to the client SSD market, our consumer SSD solutions are replacing hard disk drives as end users seek the higher performance, power savings, and reliability of SSDs.</w:t>
      </w:r>
    </w:p>
    <w:p>
      <w:pPr>
        <w:spacing w:after="0" w:line="200" w:lineRule="exact"/>
        <w:rPr>
          <w:sz w:val="20"/>
          <w:szCs w:val="20"/>
          <w:color w:val="auto"/>
        </w:rPr>
      </w:pPr>
    </w:p>
    <w:p>
      <w:pPr>
        <w:spacing w:after="0" w:line="273" w:lineRule="exact"/>
        <w:rPr>
          <w:sz w:val="20"/>
          <w:szCs w:val="20"/>
          <w:color w:val="auto"/>
        </w:rPr>
      </w:pPr>
    </w:p>
    <w:p>
      <w:pPr>
        <w:jc w:val="right"/>
        <w:spacing w:after="0"/>
        <w:rPr>
          <w:sz w:val="20"/>
          <w:szCs w:val="20"/>
          <w:color w:val="auto"/>
        </w:rPr>
      </w:pPr>
      <w:r>
        <w:rPr>
          <w:sz w:val="1"/>
          <w:szCs w:val="1"/>
          <w:color w:val="auto"/>
        </w:rPr>
        <w:drawing>
          <wp:inline distT="0" distB="0" distL="0" distR="0">
            <wp:extent cx="608330" cy="17145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8330" cy="171450"/>
                    </a:xfrm>
                    <a:prstGeom prst="rect">
                      <a:avLst/>
                    </a:prstGeom>
                    <a:noFill/>
                    <a:ln>
                      <a:noFill/>
                    </a:ln>
                  </pic:spPr>
                </pic:pic>
              </a:graphicData>
            </a:graphic>
          </wp:inline>
        </w:drawing>
      </w:r>
      <w:r>
        <w:rPr>
          <w:rFonts w:ascii="Arial" w:cs="Arial" w:eastAsia="Arial" w:hAnsi="Arial"/>
          <w:sz w:val="18"/>
          <w:szCs w:val="18"/>
          <w:color w:val="auto"/>
        </w:rPr>
        <w:t xml:space="preserv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9" w:name="page10"/>
    <w:bookmarkEnd w:id="9"/>
    <w:p>
      <w:pPr>
        <w:ind w:right="240"/>
        <w:spacing w:after="0" w:line="250" w:lineRule="auto"/>
        <w:rPr>
          <w:sz w:val="20"/>
          <w:szCs w:val="20"/>
          <w:color w:val="auto"/>
        </w:rPr>
      </w:pPr>
      <w:r>
        <w:rPr>
          <w:rFonts w:ascii="Arial" w:cs="Arial" w:eastAsia="Arial" w:hAnsi="Arial"/>
          <w:sz w:val="18"/>
          <w:szCs w:val="18"/>
          <w:i w:val="1"/>
          <w:iCs w:val="1"/>
          <w:u w:val="single" w:color="auto"/>
          <w:color w:val="auto"/>
        </w:rPr>
        <w:t>Components and Wafers</w:t>
      </w:r>
      <w:r>
        <w:rPr>
          <w:rFonts w:ascii="Arial" w:cs="Arial" w:eastAsia="Arial" w:hAnsi="Arial"/>
          <w:sz w:val="18"/>
          <w:szCs w:val="18"/>
          <w:color w:val="auto"/>
        </w:rPr>
        <w:t>: SBU sales of components in 2020 included NAND products and consisted primarily of our 64-layer and 96-layer</w:t>
      </w:r>
      <w:r>
        <w:rPr>
          <w:rFonts w:ascii="Arial" w:cs="Arial" w:eastAsia="Arial" w:hAnsi="Arial"/>
          <w:sz w:val="18"/>
          <w:szCs w:val="18"/>
          <w:i w:val="1"/>
          <w:iCs w:val="1"/>
          <w:color w:val="auto"/>
        </w:rPr>
        <w:t xml:space="preserve"> </w:t>
      </w:r>
      <w:r>
        <w:rPr>
          <w:rFonts w:ascii="Arial" w:cs="Arial" w:eastAsia="Arial" w:hAnsi="Arial"/>
          <w:sz w:val="18"/>
          <w:szCs w:val="18"/>
          <w:color w:val="auto"/>
        </w:rPr>
        <w:t>TLC and QLC NAND technology sold into storage markets, which include custom and consumer SSDs and all flash arrays by advanced enterprise users, broadening our footprint into diverse market segments and enabling greater output flexibility.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Embedded Business Unit (“EBU”)</w:t>
      </w:r>
    </w:p>
    <w:p>
      <w:pPr>
        <w:spacing w:after="0" w:line="274"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EBU includes memory and storage products sold into industrial, automotive, and consumer markets and includes discrete and module DRAM, discrete NAND, managed NAND, SSDs, and NOR. EBU reported revenue of $2.76 billion in 2020, $3.14 billion in 2019, and $3.48 billion in 2018. The embedded market has traditionally been characterized by long life-cycle DRAM and non-volatile products manufactured on mature process technologies. With strong trends of digitization, connectivity, and intelligence in every device, demand continues to grow for leading-edge products from newer process technologies emerging in the embedded market. Our embedded products enable edge devices to store, connect, and share information in the internet of things (“IoT”) market and are utilized in a diverse set of applications in the automotive, industrial, and consumer markets.</w:t>
      </w:r>
    </w:p>
    <w:p>
      <w:pPr>
        <w:spacing w:after="0" w:line="216"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i w:val="1"/>
          <w:iCs w:val="1"/>
          <w:u w:val="single" w:color="auto"/>
          <w:color w:val="auto"/>
        </w:rPr>
        <w:t>Industrial</w:t>
      </w:r>
      <w:r>
        <w:rPr>
          <w:rFonts w:ascii="Arial" w:cs="Arial" w:eastAsia="Arial" w:hAnsi="Arial"/>
          <w:sz w:val="18"/>
          <w:szCs w:val="18"/>
          <w:color w:val="auto"/>
        </w:rPr>
        <w:t>: EBU sales to the industrial market in 2020 consisted primarily of DDR4 and DDR3 DRAM, LPDDR4 DRAM, SLC NAND, NAND</w:t>
      </w:r>
      <w:r>
        <w:rPr>
          <w:rFonts w:ascii="Arial" w:cs="Arial" w:eastAsia="Arial" w:hAnsi="Arial"/>
          <w:sz w:val="18"/>
          <w:szCs w:val="18"/>
          <w:i w:val="1"/>
          <w:iCs w:val="1"/>
          <w:color w:val="auto"/>
        </w:rPr>
        <w:t xml:space="preserve"> </w:t>
      </w:r>
      <w:r>
        <w:rPr>
          <w:rFonts w:ascii="Arial" w:cs="Arial" w:eastAsia="Arial" w:hAnsi="Arial"/>
          <w:sz w:val="18"/>
          <w:szCs w:val="18"/>
          <w:color w:val="auto"/>
        </w:rPr>
        <w:t>MCPs, and NOR. Our products enable applications in the growing industrial IoT market, including machine-to-machine communication, factory automation, transportation, surveillance, retail, and smart infrastructure.</w:t>
      </w:r>
    </w:p>
    <w:p>
      <w:pPr>
        <w:spacing w:after="0" w:line="203"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u w:val="single" w:color="auto"/>
          <w:color w:val="auto"/>
        </w:rPr>
        <w:t>Automotive</w:t>
      </w:r>
      <w:r>
        <w:rPr>
          <w:rFonts w:ascii="Arial" w:cs="Arial" w:eastAsia="Arial" w:hAnsi="Arial"/>
          <w:sz w:val="17"/>
          <w:szCs w:val="17"/>
          <w:color w:val="auto"/>
        </w:rPr>
        <w:t>: EBU sales to the automotive market in 2020 consisted primarily of DDR3 DRAM, e.MMC managed NAND, and LPDDR4 and</w:t>
      </w:r>
      <w:r>
        <w:rPr>
          <w:rFonts w:ascii="Arial" w:cs="Arial" w:eastAsia="Arial" w:hAnsi="Arial"/>
          <w:sz w:val="17"/>
          <w:szCs w:val="17"/>
          <w:i w:val="1"/>
          <w:iCs w:val="1"/>
          <w:color w:val="auto"/>
        </w:rPr>
        <w:t xml:space="preserve"> </w:t>
      </w:r>
      <w:r>
        <w:rPr>
          <w:rFonts w:ascii="Arial" w:cs="Arial" w:eastAsia="Arial" w:hAnsi="Arial"/>
          <w:sz w:val="17"/>
          <w:szCs w:val="17"/>
          <w:color w:val="auto"/>
        </w:rPr>
        <w:t>LPDDR2 DRAM. Our leading 1TB automotive-grade PCIe NVMe SSD delivers faster, more reliable, and cost-effective storage for next-generation autonomous vehicles. Advancements in autonomous driving and advanced driver-assistance systems continue to increase the requirements for high-performing memory and storage products, with higher reliability requirements for leading-edge products. Automotive memory and storage products enable connected, large display infotainment systems and higher definition 4K displays and support improved voice and gesture control in automotive applications. Our comprehensive and expanding portfolio of DRAM, NAND, and NOR solutions to the automotive market, as well as our extensive customer support network, enable us to maintain our strong leadership position in this market.</w:t>
      </w:r>
    </w:p>
    <w:p>
      <w:pPr>
        <w:spacing w:after="0" w:line="199"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i w:val="1"/>
          <w:iCs w:val="1"/>
          <w:u w:val="single" w:color="auto"/>
          <w:color w:val="auto"/>
        </w:rPr>
        <w:t>Consumer</w:t>
      </w:r>
      <w:r>
        <w:rPr>
          <w:rFonts w:ascii="Arial" w:cs="Arial" w:eastAsia="Arial" w:hAnsi="Arial"/>
          <w:sz w:val="18"/>
          <w:szCs w:val="18"/>
          <w:color w:val="auto"/>
        </w:rPr>
        <w:t>: EBU sales to the consumer market in 2020 consisted primarily of our DDR4 and DDR3 DRAM, LPDDR4 DRAM, managed</w:t>
      </w:r>
      <w:r>
        <w:rPr>
          <w:rFonts w:ascii="Arial" w:cs="Arial" w:eastAsia="Arial" w:hAnsi="Arial"/>
          <w:sz w:val="18"/>
          <w:szCs w:val="18"/>
          <w:i w:val="1"/>
          <w:iCs w:val="1"/>
          <w:color w:val="auto"/>
        </w:rPr>
        <w:t xml:space="preserve"> </w:t>
      </w:r>
      <w:r>
        <w:rPr>
          <w:rFonts w:ascii="Arial" w:cs="Arial" w:eastAsia="Arial" w:hAnsi="Arial"/>
          <w:sz w:val="18"/>
          <w:szCs w:val="18"/>
          <w:color w:val="auto"/>
        </w:rPr>
        <w:t>NAND, SLC NAND, NOR, and secure digital (“SD”) cards. These embedded memory and storage solutions are used in a diverse set of consumer products, including service provider and IP set-top boxes, digital home assistants, digital still and video cameras, home networking, ultra-high definition televisions, and many more applications. Our embedded memory and storage solutions enable edge devices in the consumer products market to store, connect, and share information in the IoT.</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Manufacturing</w:t>
      </w:r>
    </w:p>
    <w:p>
      <w:pPr>
        <w:spacing w:after="0" w:line="28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manufacture our products within our own facilities located in Taiwan, Singapore, Japan, the United States, China, and Malaysia and also utilize subcontractors to perform certain manufacturing processes. Our products are manufactured on 300mm wafers in facilities that generally operate 24 hours per day, seven days per week. Semiconductor manufacturing is extremely capital intensive, requiring large investments in sophisticated facilities and equipment. Our DRAM, NAND, 3D XPoint memory, and NOR products share a number of common manufacturing processes, enabling us to leverage our product and process technology and certain resources and manufacturing infrastructure across these product lines.</w:t>
      </w:r>
    </w:p>
    <w:p>
      <w:pPr>
        <w:spacing w:after="0" w:line="23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Our process for manufacturing semiconductor products is complex and involves numerous precise steps, including wafer fabrication, assembly, and test. Efficient production of semiconductor products requires utilization of advanced semiconductor manufacturing techniques and effectively deploying those techniques across multiple facilities. The primary determinants of manufacturing cost are process line-width, 3D non-volatile layers, NAND cell levels, process complexity (including the number of mask layers and fabrication steps), and manufacturing yield. Other factors include the cost and sophistication of manufacturing equipment, equipment utilization, cost of raw materials, labor productivity, package type, cleanliness of our manufacturing environment, and utilization of subcontractors to</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21"/>
          <w:szCs w:val="21"/>
          <w:b w:val="1"/>
          <w:bCs w:val="1"/>
          <w:color w:val="0090DA"/>
        </w:rPr>
        <w:t>|</w:t>
      </w:r>
      <w:r>
        <w:rPr>
          <w:rFonts w:ascii="Arial" w:cs="Arial" w:eastAsia="Arial" w:hAnsi="Arial"/>
          <w:sz w:val="18"/>
          <w:szCs w:val="18"/>
          <w:color w:val="auto"/>
        </w:rPr>
        <w:t xml:space="preserve"> 2020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sectPr>
      </w:pPr>
    </w:p>
    <w:bookmarkStart w:id="10" w:name="page11"/>
    <w:bookmarkEnd w:id="10"/>
    <w:p>
      <w:pPr>
        <w:ind w:right="320"/>
        <w:spacing w:after="0" w:line="254" w:lineRule="auto"/>
        <w:rPr>
          <w:sz w:val="20"/>
          <w:szCs w:val="20"/>
          <w:color w:val="auto"/>
        </w:rPr>
      </w:pPr>
      <w:r>
        <w:rPr>
          <w:rFonts w:ascii="Arial" w:cs="Arial" w:eastAsia="Arial" w:hAnsi="Arial"/>
          <w:sz w:val="18"/>
          <w:szCs w:val="18"/>
          <w:color w:val="auto"/>
        </w:rPr>
        <w:t>perform certain manufacturing processes. As we continue to increase our production of high value products and solutions, manufacturing costs are increasingly affected by the costs of ASIC controllers, advanced and complex packaging configurations, and testing at progressively higher performance speeds and quality levels. We continuously enhance our production processes, increase bits per wafer, transition to higher density products, and utilize advanced testing and assembly processes.</w:t>
      </w:r>
    </w:p>
    <w:p>
      <w:pPr>
        <w:spacing w:after="0" w:line="231"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Wafer fabrication occurs in a highly-controlled clean environment to minimize yield loss from contaminants. Despite stringent manufacturing controls, individual circuits may be nonfunctional or wafers may be scrapped due to equipment errors, minute impurities in materials, defects in photomasks, circuit design marginalities or defects, and contamination from airborne particles. Success of our manufacturing operations depends largely on minimizing defects and improving process margin to maximize yield of high-quality circuits. In this regard, we employ rigorous quality controls throughout the manufacturing, screening, and testing processes. We continue to heighten quality control as our product offerings expand into higher-end segments that require increasing performance targets.</w:t>
      </w:r>
    </w:p>
    <w:p>
      <w:pPr>
        <w:spacing w:after="0" w:line="232"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Our products are manufactured and sold in both packaged form and as unpackaged bare die. Our packaged products include packaged die, memory modules, and system-level solutions, such as SSDs, managed NAND, and MCPs. We assemble many products in-house and, in some cases, outsource assembly services for certain packaged die, memory modules, SSDs, and MCPs. We test our products at various stages in the manufacturing process, conduct numerous quality control inspections throughout the entire production flow, and perform high temperature burn-in on finished products. In addition, we use our proprietary AMBYX™ line of intelligent test and burn-in systems to perform simultaneous circuit tests of semiconductor die, capturing quality and reliability data and reducing testing time and cost.</w:t>
      </w:r>
    </w:p>
    <w:p>
      <w:pPr>
        <w:spacing w:after="0" w:line="235"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In recent years, we have produced an increasingly broad portfolio of products and system solutions, which enhances our ability to allocate resources to our most profitable products but also increases the complexity of our manufacturing and supply chain operations. Although our product lines generally use similar manufacturing processes, our costs can be affected by frequent conversions to new products, the allocation of manufacturing capacity to more complex, smaller-volume products, and the reallocation of manufacturing capacity across various product lines.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Arrangements with Intel</w:t>
      </w:r>
    </w:p>
    <w:p>
      <w:pPr>
        <w:spacing w:after="0" w:line="28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Since 2006, we and Intel owned and operated IMFT, a joint venture that manufactured semiconductor products exclusively for its members under long-term supply agreements at prices approximating cost. Through 2018, IMFT manufactured NAND memory and, subsequent to that time, manufactured 3D XPoint memory. In the first quarter of 2020, we acquired Intel’s interest in IMFT. (See “Part II – Item 8. Financial Statements and Supplementary Data – Notes to Consolidated Financial Statements – Equity,” “– Debt,” and “– Research and Development.”)</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Supply Chain, Materials, and Third-Party Service Providers</w:t>
      </w:r>
    </w:p>
    <w:p>
      <w:pPr>
        <w:spacing w:after="0" w:line="285"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Our supply chain and operations are dependent on the availability of materials that meet exacting standards and the use of third parties to provide us with components and services. We generally have multiple sources of supply for our materials and services. However, only a limited number of suppliers are capable of delivering certain materials and services that meet our standards and, in some cases, materials, components, or services are provided by a single supplier. Various factors could reduce the availability of materials or components such as chemicals, silicon wafers, gases, photoresist, controllers, substrates, lead frames, printed circuit boards, targets, and reticle glass blanks. Shortages or increases in lead times may occur from time to time in the future. Our manufacturing processes are also dependent on our relationships with third-party manufacturers of controllers used in a number of our products and with outsourced semiconductor assembly and test providers, contract manufacturers, logistic carriers, and other service providers. We monitor and manage supply-chain activities to mitigate risks associated with raw materials and service providers. Certain materials are primarily available in certain countries, including rare earth elements, minerals, and metals available primarily from China. Trade disputes or other political conditions, economic conditions, or public health issues, such as COVID-19, may limit our ability to obtain such materials. Although these rare earth and other materials are generally available from multiple suppliers, China is the</w:t>
      </w:r>
    </w:p>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sz w:val="1"/>
          <w:szCs w:val="1"/>
          <w:color w:val="auto"/>
        </w:rPr>
        <w:drawing>
          <wp:inline distT="0" distB="0" distL="0" distR="0">
            <wp:extent cx="608330" cy="17145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8330" cy="171450"/>
                    </a:xfrm>
                    <a:prstGeom prst="rect">
                      <a:avLst/>
                    </a:prstGeom>
                    <a:noFill/>
                    <a:ln>
                      <a:noFill/>
                    </a:ln>
                  </pic:spPr>
                </pic:pic>
              </a:graphicData>
            </a:graphic>
          </wp:inline>
        </w:drawing>
      </w:r>
      <w:r>
        <w:rPr>
          <w:rFonts w:ascii="Arial" w:cs="Arial" w:eastAsia="Arial" w:hAnsi="Arial"/>
          <w:sz w:val="18"/>
          <w:szCs w:val="18"/>
          <w:color w:val="auto"/>
        </w:rPr>
        <w:t xml:space="preserv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11" w:name="page12"/>
    <w:bookmarkEnd w:id="11"/>
    <w:p>
      <w:pPr>
        <w:jc w:val="both"/>
        <w:ind w:right="280"/>
        <w:spacing w:after="0" w:line="254" w:lineRule="auto"/>
        <w:rPr>
          <w:sz w:val="20"/>
          <w:szCs w:val="20"/>
          <w:color w:val="auto"/>
        </w:rPr>
      </w:pPr>
      <w:r>
        <w:rPr>
          <w:rFonts w:ascii="Arial" w:cs="Arial" w:eastAsia="Arial" w:hAnsi="Arial"/>
          <w:sz w:val="18"/>
          <w:szCs w:val="18"/>
          <w:color w:val="auto"/>
        </w:rPr>
        <w:t>predominant producer of certain of these materials. In addition, we and/or our suppliers and service providers could be affected by tariffs, embargoes, or other trade restrictions, as well as laws and regulations enacted in response to concerns regarding climate change, conflict minerals, responsible sourcing practices, public health crises, or contagious disease outbreaks, which can limit the supply of our materials and/or increase the cost.</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Marketing and Customers</w:t>
      </w:r>
    </w:p>
    <w:p>
      <w:pPr>
        <w:spacing w:after="0" w:line="285"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continue to transform how we interact with our customers from transactional opportunistic sales of standardized memory components to collaborative relationships where we work with our customers to understand their unique opportunities and challenges. Many of our customers require thorough review or qualification of our products. By engaging with our customers early in the product life-cycle to identify and design features and performance characteristics into our products, we are able to manufacture products that anticipate and address our customers’ changing needs. Collaborating with our customers on their design needs in changing end markets allows us to differentiate our memory and storage solutions, which provides greater value to our customers.</w:t>
      </w:r>
    </w:p>
    <w:p>
      <w:pPr>
        <w:spacing w:after="0" w:line="23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semiconductor memory and storage products are offered under our Micron and Crucial brand names and through private labels. We market our semiconductor memory and storage products primarily through our own direct sales force and maintain sales or representative offices in our primary markets around the world. We sell our Crucial-branded products through a web-based customer direct sales channel as well as through channel and distribution partners. Our products are also offered through independent sales representatives, distributors, and retailers. Our independent sales representatives obtain orders, subject to final acceptance by us, and we then make shipments against these orders directly to customers or through our distributors. Our distributors carry our products in inventory and typically sell a variety of other semiconductor products, including competitors’ products. We maintain inventory at locations in close proximity to certain key customers to facilitate rapid delivery of products.</w:t>
      </w:r>
    </w:p>
    <w:p>
      <w:pPr>
        <w:spacing w:after="0" w:line="232"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color w:val="auto"/>
        </w:rPr>
        <w:t>In each of the last three years, approximately one-half of our total net sales were to our top ten customers. For other information regarding our concentrations and customers, see “Part II – Item 8. Financial Statements and Supplementary Data – Notes to Consolidated Financial Statements – Certain Concentrations.”</w:t>
      </w:r>
    </w:p>
    <w:p>
      <w:pPr>
        <w:spacing w:after="0" w:line="22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Sales of our memory and storage products, and the transfer of related technical information and know-how, including support, are subject to laws and regulations governing international trade, including, but not limited to, export control, customs, and sanctions regulations administered by U.S. government agencies such as the Bureau of Industry and Security (“BIS”) of the U.S. Department of Commerce and the Office of Foreign Asset Control of the U.S. Department of the Treasury. Other jurisdictions, such as the European Union or China, also maintain, or may implement, similar laws and regulations with which we must comply. Any such laws or regulations may require that we either obtain licenses or other authorizations to export certain of our products or sell them to certain countries, companies, or individuals, or, in the absence of such licenses or authorizations, not export or sell the applicable products or transfer the related technical information and know-how to the affected countries, companies, or individuals. In addition, increased tariffs imposed by the countries in which our products are sold can increase the cost of our product to our customers. The laws and regulations that govern international trade change frequently, sometimes without advance notice. See “Item 1A. Risk Factors – Trade regulations have restricted our ability to sell our products to several customers, could restrict our ability to sell our products to other customers or in certain markets, or could otherwise restrict our ability to conduct operations” and “ – We face risks associated with our international sales and operations that could materially adversely affect our business, results of operations, or financial condition.”</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Backlog</w:t>
      </w:r>
    </w:p>
    <w:p>
      <w:pPr>
        <w:spacing w:after="0" w:line="28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Because of volatile industry conditions, our customers are generally reluctant to enter into long-term, fixed-price contracts. Accordingly, new order volumes for our memory and storage products may fluctuate significantly. We typically accept orders with acknowledgment that the terms may be adjusted to reflect market conditions at the time of shipment. For these reasons, we do not believe that our order backlog as of any particular date is a reliable indicator of actual sales for any succeeding period.</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9 </w:t>
      </w:r>
      <w:r>
        <w:rPr>
          <w:rFonts w:ascii="Arial" w:cs="Arial" w:eastAsia="Arial" w:hAnsi="Arial"/>
          <w:sz w:val="21"/>
          <w:szCs w:val="21"/>
          <w:b w:val="1"/>
          <w:bCs w:val="1"/>
          <w:color w:val="0090DA"/>
        </w:rPr>
        <w:t>|</w:t>
      </w:r>
      <w:r>
        <w:rPr>
          <w:rFonts w:ascii="Arial" w:cs="Arial" w:eastAsia="Arial" w:hAnsi="Arial"/>
          <w:sz w:val="18"/>
          <w:szCs w:val="18"/>
          <w:color w:val="auto"/>
        </w:rPr>
        <w:t xml:space="preserve"> 2020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12" w:name="page13"/>
    <w:bookmarkEnd w:id="12"/>
    <w:p>
      <w:pPr>
        <w:spacing w:after="0"/>
        <w:rPr>
          <w:sz w:val="20"/>
          <w:szCs w:val="20"/>
          <w:color w:val="auto"/>
        </w:rPr>
      </w:pPr>
      <w:r>
        <w:rPr>
          <w:rFonts w:ascii="Arial" w:cs="Arial" w:eastAsia="Arial" w:hAnsi="Arial"/>
          <w:sz w:val="40"/>
          <w:szCs w:val="40"/>
          <w:b w:val="1"/>
          <w:bCs w:val="1"/>
          <w:color w:val="auto"/>
        </w:rPr>
        <w:t>Product Warranty</w:t>
      </w:r>
    </w:p>
    <w:p>
      <w:pPr>
        <w:spacing w:after="0" w:line="285"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design and manufacturing process for semiconductor products is highly complex and, as a result, it is possible that we may produce products that do not comply with applicable specifications, contain defects, or are otherwise incompatible with end uses. In accordance with industry practice, we generally provide a limited warranty that our products comply with applicable specifications existing at the time of delivery and will operate to those specifications during a stated warranty period. Under our standard terms and conditions of sale, liability for certain failures of product during a stated warranty period is usually limited to repair or replacement of defective items or return of, or a credit with respect to, amounts paid for such items. Under certain circumstances, we provide more extensive limited warranty coverage than that provided under our standard terms and conditions.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Competition</w:t>
      </w:r>
    </w:p>
    <w:p>
      <w:pPr>
        <w:spacing w:after="0" w:line="285"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We face intense competition in the semiconductor memory and storage markets from a number of companies, including Intel; Kioxia Holdings Corporation (formerly Toshiba Memory Corporation); Samsung Electronics Co., Ltd.; SK Hynix Inc.; and Western Digital Corporation. Some of our competitors are large corporations or conglomerates that may have greater resources to invest in technology, capitalize on growth opportunities, and withstand downturns in the semiconductor markets in which we compete. Consolidation of industry competitors could put us at a competitive disadvantage. Our competitors generally seek to increase wafer capacity, improve yields, and reduce die size in their product designs which may result in significant increases in worldwide supply and downward pressure on prices. Increases in worldwide supply of semiconductor memory and storage also result from fabrication capacity expansions, either by way of new facilities, increased capacity utilization, or reallocation of other semiconductor production to semiconductor memory and storage production. Our competitors may increase capital expenditures resulting in future increases in worldwide supply. We, and some of our competitors, have plans to ramp, or are constructing or ramping, production at new fabrication facilities. If competitors are more successful at developing or implementing new product or process technology, their products could have cost or performance advantages. Certain of our memory and storage products are manufactured to industry standard specifications and, as such, have similar performance characteristics to those of our competitors. For these products, the principal competitive factors are generally price and performance characteristics including operating speed, power consumption, reliability, compatibility, size, and form factor. In addition, some of our competitors may benefit from policies and regulations that favor domestic companies or may not be subject to certain regulations or restrictions to which we are subject, which may allow them access to certain sales opportunities from which we may be restricted.</w:t>
      </w:r>
    </w:p>
    <w:p>
      <w:pPr>
        <w:spacing w:after="0" w:line="23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Some governments may provide, or have provided, and may continue to provide, significant assistance, financial or otherwise, to some of our competitors or to new entrants and may intervene in support of national industries and/or competitors. In particular, we face the threat of increasing competition as a result of significant investment in the semiconductor industry by the Chinese government and various state-owned or affiliated entities that is intended to advance China’s stated national policy objectives. In addition, the Chinese government may restrict us from participating in the China market or may prevent us from competing effectively with Chinese companies. Some of our competitors may use aggressive pricing to obtain market share or take business of our key customers. Additionally, our customers may redirect their business to our competitors based on government policy, national preference, or other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886460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2" w:right="339" w:bottom="1440" w:gutter="0" w:footer="0" w:header="0"/>
        </w:sectPr>
      </w:pPr>
    </w:p>
    <w:bookmarkStart w:id="13" w:name="page14"/>
    <w:bookmarkEnd w:id="13"/>
    <w:p>
      <w:pPr>
        <w:spacing w:after="0"/>
        <w:rPr>
          <w:sz w:val="20"/>
          <w:szCs w:val="20"/>
          <w:color w:val="auto"/>
        </w:rPr>
      </w:pPr>
      <w:r>
        <w:rPr>
          <w:rFonts w:ascii="Arial" w:cs="Arial" w:eastAsia="Arial" w:hAnsi="Arial"/>
          <w:sz w:val="40"/>
          <w:szCs w:val="40"/>
          <w:b w:val="1"/>
          <w:bCs w:val="1"/>
          <w:color w:val="auto"/>
        </w:rPr>
        <w:t>Research and Development</w:t>
      </w:r>
    </w:p>
    <w:p>
      <w:pPr>
        <w:spacing w:after="0" w:line="285"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Our R&amp;D efforts are focused primarily on development of industry leading memory and storage solutions that enable continuous improvement in performance and cost structure for our products. We are focused on developing new fundamentally different memory structures, materials, and packages designed to facilitate our transition to next generation products. Additional R&amp;D efforts focus on the enablement of advanced computing, storage, and mobile memory architectures and the investigation of new opportunities that leverage our core semiconductor expertise. Product design and development efforts include high-density DDR4, DDR5, LPDDR4, LPDDR5, high-bandwidth memory, and advanced graphics DRAM; 3D NAND (including TLC and QLC technologies); 3D XPoint technology; mobile and storage solutions (including firmware and controllers); managed NAND; and other memory technologies and systems.</w:t>
      </w:r>
    </w:p>
    <w:p>
      <w:pPr>
        <w:spacing w:after="0" w:line="234"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To compete in the semiconductor memory and storage markets, we must continue to develop technologically advanced products and processes. The continued evolution of our semiconductor product offerings is necessary to meet expected market demand for memory and storage products and solutions. Our process, design, firmware, controller, package, and system development efforts occur at multiple locations across the world. Our primary R&amp;D centers are located in Boise, Idaho, Singapore, Japan, Taiwan, Italy, China, India, Germany, and other sites in the United States.</w:t>
      </w:r>
    </w:p>
    <w:p>
      <w:pPr>
        <w:spacing w:after="0" w:line="23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R&amp;D expenses vary primarily with the number of development and pre-qualification wafers processed and end-product solutions developed, the cost of advanced equipment dedicated to new product and process development, and personnel costs. Because of the lead times necessary to manufacture our products, we typically begin to process wafers before completion of performance and reliability testing. Development of a product is deemed complete when it is qualified through reviews and tests for performance and reliability. R&amp;D expenses can vary significantly depending on the timing of product qualification.</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Patents and Licenses</w:t>
      </w:r>
    </w:p>
    <w:p>
      <w:pPr>
        <w:spacing w:after="0" w:line="285"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As of September 3, 2020, we owned approximately 14,200 active U.S. patents and 6,500 active foreign patents. In addition, we have thousands of U.S. and foreign patent applications pending. Our patents have various terms expiring through 2040.</w:t>
      </w:r>
    </w:p>
    <w:p>
      <w:pPr>
        <w:spacing w:after="0" w:line="22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From time to time, we sell and/or license our technology to other parties and continue to pursue opportunities to monetize our investments in our intellectual property through partnering and other arrangements. We have also jointly developed memory and storage product and process technology with third parties on a limited basis.</w:t>
      </w:r>
    </w:p>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have a number of patent and intellectual property license agreements and have, from time to time, licensed or sold our intellectual property to third parties. Some of these license agreements require us to make one-time or periodic payments while others have resulted in us receiving payments. We may need to obtain additional licenses or renew existing license agreements in the future, and we may enter into additional sales or licenses of intellectual property and partnering arrangements. We are unable to predict whether these license agreements can be obtained or renewed on terms acceptable to us.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Employees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 2020, we had approximately 40,000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21"/>
          <w:szCs w:val="21"/>
          <w:b w:val="1"/>
          <w:bCs w:val="1"/>
          <w:color w:val="0090DA"/>
        </w:rPr>
        <w:t>|</w:t>
      </w:r>
      <w:r>
        <w:rPr>
          <w:rFonts w:ascii="Arial" w:cs="Arial" w:eastAsia="Arial" w:hAnsi="Arial"/>
          <w:sz w:val="18"/>
          <w:szCs w:val="18"/>
          <w:color w:val="auto"/>
        </w:rPr>
        <w:t xml:space="preserve"> 2020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19" w:right="399" w:bottom="1440" w:gutter="0" w:footer="0" w:header="0"/>
        </w:sectPr>
      </w:pPr>
    </w:p>
    <w:bookmarkStart w:id="14" w:name="page15"/>
    <w:bookmarkEnd w:id="14"/>
    <w:p>
      <w:pPr>
        <w:spacing w:after="0"/>
        <w:rPr>
          <w:sz w:val="20"/>
          <w:szCs w:val="20"/>
          <w:color w:val="auto"/>
        </w:rPr>
      </w:pPr>
      <w:r>
        <w:rPr>
          <w:rFonts w:ascii="Arial" w:cs="Arial" w:eastAsia="Arial" w:hAnsi="Arial"/>
          <w:sz w:val="40"/>
          <w:szCs w:val="40"/>
          <w:b w:val="1"/>
          <w:bCs w:val="1"/>
          <w:color w:val="auto"/>
        </w:rPr>
        <w:t>Environmental Compliance</w:t>
      </w:r>
    </w:p>
    <w:p>
      <w:pPr>
        <w:spacing w:after="0" w:line="285"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approach environmental stewardship and sustainability proactively to ensure we meet all government regulations regarding use of raw materials, discharges, climate change and energy use, emissions, and wastes from our manufacturing processes and address the evolving expectations of our investors, customers, team members, and other stakeholders. Compliance with the law and other compliance obligations is considered a minimum environmental expectation at Micron. Our wafer fabrication facilities continued to conform to the requirements of the International Organization for Standardization (“ISO”) 14001 environmental management systems standard to ensure we are continuously improving our performance. As part of the ISO 14001 framework, we have established a global environmental policy and meet requirements in terms of environmental aspects evaluation and control, compliance obligations, commitment, training, communication, control of documented information, operational control, emergency preparedness and response, and management review. While we have not experienced any material adverse effects to our operations from environmental regulations, changes in regulations could necessitate additional capital expenditures, modification of our operations, or other compliance actions.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Information About Our Executive Officers</w:t>
      </w:r>
    </w:p>
    <w:p>
      <w:pPr>
        <w:spacing w:after="0" w:line="285"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Our executive officers are appointed annually by our Board of Directors and our directors are elected annually by our shareholders. All officers serve until their successors are duly chosen or elected and qualified, except in the case of earlier death, resignation, or removal.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presents information, as of September 3, 2020, about our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383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3831590"/>
                    </a:xfrm>
                    <a:prstGeom prst="rect">
                      <a:avLst/>
                    </a:prstGeom>
                    <a:noFill/>
                  </pic:spPr>
                </pic:pic>
              </a:graphicData>
            </a:graphic>
          </wp:anchor>
        </w:drawing>
      </w:r>
    </w:p>
    <w:p>
      <w:pPr>
        <w:spacing w:after="0" w:line="58" w:lineRule="exact"/>
        <w:rPr>
          <w:sz w:val="20"/>
          <w:szCs w:val="20"/>
          <w:color w:val="auto"/>
        </w:rPr>
      </w:pPr>
    </w:p>
    <w:p>
      <w:pPr>
        <w:ind w:left="2060"/>
        <w:spacing w:after="0"/>
        <w:rPr>
          <w:sz w:val="20"/>
          <w:szCs w:val="20"/>
          <w:color w:val="auto"/>
        </w:rPr>
      </w:pPr>
      <w:r>
        <w:rPr>
          <w:rFonts w:ascii="Arial" w:cs="Arial" w:eastAsia="Arial" w:hAnsi="Arial"/>
          <w:sz w:val="29"/>
          <w:szCs w:val="29"/>
          <w:b w:val="1"/>
          <w:bCs w:val="1"/>
          <w:color w:val="FFFFFF"/>
        </w:rPr>
        <w:t>April S. Arnzen</w:t>
      </w:r>
    </w:p>
    <w:p>
      <w:pPr>
        <w:spacing w:after="0" w:line="170" w:lineRule="exact"/>
        <w:rPr>
          <w:sz w:val="20"/>
          <w:szCs w:val="20"/>
          <w:color w:val="auto"/>
        </w:rPr>
      </w:pPr>
    </w:p>
    <w:p>
      <w:pPr>
        <w:ind w:left="2060"/>
        <w:spacing w:after="0"/>
        <w:rPr>
          <w:sz w:val="20"/>
          <w:szCs w:val="20"/>
          <w:color w:val="auto"/>
        </w:rPr>
      </w:pPr>
      <w:r>
        <w:rPr>
          <w:rFonts w:ascii="Arial" w:cs="Arial" w:eastAsia="Arial" w:hAnsi="Arial"/>
          <w:sz w:val="18"/>
          <w:szCs w:val="18"/>
          <w:b w:val="1"/>
          <w:bCs w:val="1"/>
          <w:i w:val="1"/>
          <w:iCs w:val="1"/>
          <w:color w:val="auto"/>
        </w:rPr>
        <w:t>Senior Vice President, Human Resources</w:t>
      </w:r>
    </w:p>
    <w:p>
      <w:pPr>
        <w:spacing w:after="0" w:line="139" w:lineRule="exact"/>
        <w:rPr>
          <w:sz w:val="20"/>
          <w:szCs w:val="20"/>
          <w:color w:val="auto"/>
        </w:rPr>
      </w:pPr>
    </w:p>
    <w:p>
      <w:pPr>
        <w:ind w:left="2060" w:right="280"/>
        <w:spacing w:after="0" w:line="238" w:lineRule="auto"/>
        <w:rPr>
          <w:sz w:val="20"/>
          <w:szCs w:val="20"/>
          <w:color w:val="auto"/>
        </w:rPr>
      </w:pPr>
      <w:r>
        <w:rPr>
          <w:rFonts w:ascii="Arial" w:cs="Arial" w:eastAsia="Arial" w:hAnsi="Arial"/>
          <w:sz w:val="18"/>
          <w:szCs w:val="18"/>
          <w:color w:val="auto"/>
        </w:rPr>
        <w:t>Ms. Arnzen, 49, joined us in December 1996 and has served in various leadership positions since that time. Ms. Arnzen was named Senior Vice President, Human Resources in June 2017. Ms. Arnzen holds a BS in Human Resource Management and Marketing from the University of Idaho and is a graduate of the Stanford Graduate School of Business Executive Program.</w:t>
      </w:r>
    </w:p>
    <w:p>
      <w:pPr>
        <w:spacing w:after="0" w:line="328" w:lineRule="exact"/>
        <w:rPr>
          <w:sz w:val="20"/>
          <w:szCs w:val="20"/>
          <w:color w:val="auto"/>
        </w:rPr>
      </w:pPr>
    </w:p>
    <w:p>
      <w:pPr>
        <w:ind w:left="2060"/>
        <w:spacing w:after="0"/>
        <w:rPr>
          <w:sz w:val="20"/>
          <w:szCs w:val="20"/>
          <w:color w:val="auto"/>
        </w:rPr>
      </w:pPr>
      <w:r>
        <w:rPr>
          <w:rFonts w:ascii="Arial" w:cs="Arial" w:eastAsia="Arial" w:hAnsi="Arial"/>
          <w:sz w:val="29"/>
          <w:szCs w:val="29"/>
          <w:b w:val="1"/>
          <w:bCs w:val="1"/>
          <w:color w:val="FFFFFF"/>
        </w:rPr>
        <w:t>Manish Bhatia</w:t>
      </w:r>
    </w:p>
    <w:p>
      <w:pPr>
        <w:spacing w:after="0" w:line="75" w:lineRule="exact"/>
        <w:rPr>
          <w:sz w:val="20"/>
          <w:szCs w:val="20"/>
          <w:color w:val="auto"/>
        </w:rPr>
      </w:pPr>
    </w:p>
    <w:p>
      <w:pPr>
        <w:ind w:left="2060"/>
        <w:spacing w:after="0"/>
        <w:rPr>
          <w:sz w:val="20"/>
          <w:szCs w:val="20"/>
          <w:color w:val="auto"/>
        </w:rPr>
      </w:pPr>
      <w:r>
        <w:rPr>
          <w:rFonts w:ascii="Arial" w:cs="Arial" w:eastAsia="Arial" w:hAnsi="Arial"/>
          <w:sz w:val="18"/>
          <w:szCs w:val="18"/>
          <w:b w:val="1"/>
          <w:bCs w:val="1"/>
          <w:i w:val="1"/>
          <w:iCs w:val="1"/>
          <w:color w:val="auto"/>
        </w:rPr>
        <w:t>Executive Vice President, Global Operations</w:t>
      </w:r>
    </w:p>
    <w:p>
      <w:pPr>
        <w:spacing w:after="0" w:line="72" w:lineRule="exact"/>
        <w:rPr>
          <w:sz w:val="20"/>
          <w:szCs w:val="20"/>
          <w:color w:val="auto"/>
        </w:rPr>
      </w:pPr>
    </w:p>
    <w:p>
      <w:pPr>
        <w:ind w:left="2060" w:right="60"/>
        <w:spacing w:after="0" w:line="237" w:lineRule="auto"/>
        <w:rPr>
          <w:sz w:val="20"/>
          <w:szCs w:val="20"/>
          <w:color w:val="auto"/>
        </w:rPr>
      </w:pPr>
      <w:r>
        <w:rPr>
          <w:rFonts w:ascii="Arial" w:cs="Arial" w:eastAsia="Arial" w:hAnsi="Arial"/>
          <w:sz w:val="18"/>
          <w:szCs w:val="18"/>
          <w:color w:val="auto"/>
        </w:rPr>
        <w:t>Mr. Bhatia, 48, joined us in October 2017 as our Executive Vice President of Global Operations. From May 2016 to October 2017, Mr. Bhatia served as the Executive Vice President of Silicon Operations at Western Digital Corporation. From March 2010 to May 2016, Mr. Bhatia held several executive roles at SanDisk Corporation including Executive Vice President of Worldwide Operations until it was acquired by Western Digital in May 2016. Mr. Bhatia holds a BS and MS in Mechanical Engineering and an MBA, each from the Massachusetts Institute of Technology.</w:t>
      </w:r>
    </w:p>
    <w:p>
      <w:pPr>
        <w:spacing w:after="0" w:line="111" w:lineRule="exact"/>
        <w:rPr>
          <w:sz w:val="20"/>
          <w:szCs w:val="20"/>
          <w:color w:val="auto"/>
        </w:rPr>
      </w:pPr>
    </w:p>
    <w:p>
      <w:pPr>
        <w:ind w:left="2060"/>
        <w:spacing w:after="0"/>
        <w:rPr>
          <w:sz w:val="20"/>
          <w:szCs w:val="20"/>
          <w:color w:val="auto"/>
        </w:rPr>
      </w:pPr>
      <w:r>
        <w:rPr>
          <w:rFonts w:ascii="Arial" w:cs="Arial" w:eastAsia="Arial" w:hAnsi="Arial"/>
          <w:sz w:val="29"/>
          <w:szCs w:val="29"/>
          <w:b w:val="1"/>
          <w:bCs w:val="1"/>
          <w:color w:val="FFFFFF"/>
        </w:rPr>
        <w:t>Michael W. Bokan</w:t>
      </w:r>
    </w:p>
    <w:p>
      <w:pPr>
        <w:spacing w:after="0" w:line="237" w:lineRule="exact"/>
        <w:rPr>
          <w:sz w:val="20"/>
          <w:szCs w:val="20"/>
          <w:color w:val="auto"/>
        </w:rPr>
      </w:pPr>
    </w:p>
    <w:p>
      <w:pPr>
        <w:ind w:left="2060"/>
        <w:spacing w:after="0"/>
        <w:rPr>
          <w:sz w:val="20"/>
          <w:szCs w:val="20"/>
          <w:color w:val="auto"/>
        </w:rPr>
      </w:pPr>
      <w:r>
        <w:rPr>
          <w:rFonts w:ascii="Arial" w:cs="Arial" w:eastAsia="Arial" w:hAnsi="Arial"/>
          <w:sz w:val="18"/>
          <w:szCs w:val="18"/>
          <w:b w:val="1"/>
          <w:bCs w:val="1"/>
          <w:i w:val="1"/>
          <w:iCs w:val="1"/>
          <w:color w:val="auto"/>
        </w:rPr>
        <w:t>Senior Vice President, Worldwide Sales</w:t>
      </w:r>
    </w:p>
    <w:p>
      <w:pPr>
        <w:spacing w:after="0" w:line="193" w:lineRule="exact"/>
        <w:rPr>
          <w:sz w:val="20"/>
          <w:szCs w:val="20"/>
          <w:color w:val="auto"/>
        </w:rPr>
      </w:pPr>
    </w:p>
    <w:p>
      <w:pPr>
        <w:ind w:left="2060" w:right="100"/>
        <w:spacing w:after="0"/>
        <w:rPr>
          <w:sz w:val="20"/>
          <w:szCs w:val="20"/>
          <w:color w:val="auto"/>
        </w:rPr>
      </w:pPr>
      <w:r>
        <w:rPr>
          <w:rFonts w:ascii="Arial" w:cs="Arial" w:eastAsia="Arial" w:hAnsi="Arial"/>
          <w:sz w:val="18"/>
          <w:szCs w:val="18"/>
          <w:color w:val="auto"/>
        </w:rPr>
        <w:t>Mr. Bokan, 59, joined us in 1996 and has served in various leadership positions since that time. Mr. Bokan was named Senior Vice President, Worldwide Sales in October 2018. Mr. Bokan holds a BS in Business Administration from Colorado State University.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right"/>
        <w:spacing w:after="0"/>
        <w:rPr>
          <w:sz w:val="20"/>
          <w:szCs w:val="20"/>
          <w:color w:val="auto"/>
        </w:rPr>
      </w:pPr>
      <w:r>
        <w:rPr>
          <w:sz w:val="1"/>
          <w:szCs w:val="1"/>
          <w:color w:val="auto"/>
        </w:rPr>
        <w:drawing>
          <wp:inline distT="0" distB="0" distL="0" distR="0">
            <wp:extent cx="608330" cy="17145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8330" cy="171450"/>
                    </a:xfrm>
                    <a:prstGeom prst="rect">
                      <a:avLst/>
                    </a:prstGeom>
                    <a:noFill/>
                    <a:ln>
                      <a:noFill/>
                    </a:ln>
                  </pic:spPr>
                </pic:pic>
              </a:graphicData>
            </a:graphic>
          </wp:inline>
        </w:drawing>
      </w:r>
      <w:r>
        <w:rPr>
          <w:rFonts w:ascii="Arial" w:cs="Arial" w:eastAsia="Arial" w:hAnsi="Arial"/>
          <w:sz w:val="18"/>
          <w:szCs w:val="18"/>
          <w:color w:val="auto"/>
        </w:rPr>
        <w:t xml:space="preserv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bookmarkStart w:id="15" w:name="page16"/>
    <w:bookmarkEnd w:id="15"/>
    <w:p>
      <w:pPr>
        <w:ind w:left="2100"/>
        <w:spacing w:after="0"/>
        <w:rPr>
          <w:sz w:val="20"/>
          <w:szCs w:val="20"/>
          <w:color w:val="auto"/>
        </w:rPr>
      </w:pPr>
      <w:r>
        <w:rPr>
          <w:rFonts w:ascii="Arial" w:cs="Arial" w:eastAsia="Arial" w:hAnsi="Arial"/>
          <w:sz w:val="29"/>
          <w:szCs w:val="29"/>
          <w:b w:val="1"/>
          <w:bCs w:val="1"/>
          <w:color w:val="FFFFFF"/>
        </w:rPr>
        <w:drawing>
          <wp:anchor simplePos="0" relativeHeight="251657728" behindDoc="1" locked="0" layoutInCell="0" allowOverlap="1">
            <wp:simplePos x="0" y="0"/>
            <wp:positionH relativeFrom="page">
              <wp:posOffset>208280</wp:posOffset>
            </wp:positionH>
            <wp:positionV relativeFrom="page">
              <wp:posOffset>654685</wp:posOffset>
            </wp:positionV>
            <wp:extent cx="7132320" cy="7903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7903845"/>
                    </a:xfrm>
                    <a:prstGeom prst="rect">
                      <a:avLst/>
                    </a:prstGeom>
                    <a:noFill/>
                  </pic:spPr>
                </pic:pic>
              </a:graphicData>
            </a:graphic>
          </wp:anchor>
        </w:drawing>
        <w:t>Scott J. DeBoer</w:t>
      </w:r>
    </w:p>
    <w:p>
      <w:pPr>
        <w:spacing w:after="0" w:line="170" w:lineRule="exact"/>
        <w:rPr>
          <w:sz w:val="20"/>
          <w:szCs w:val="20"/>
          <w:color w:val="auto"/>
        </w:rPr>
      </w:pPr>
    </w:p>
    <w:p>
      <w:pPr>
        <w:ind w:left="2100"/>
        <w:spacing w:after="0"/>
        <w:rPr>
          <w:sz w:val="20"/>
          <w:szCs w:val="20"/>
          <w:color w:val="auto"/>
        </w:rPr>
      </w:pPr>
      <w:r>
        <w:rPr>
          <w:rFonts w:ascii="Arial" w:cs="Arial" w:eastAsia="Arial" w:hAnsi="Arial"/>
          <w:sz w:val="18"/>
          <w:szCs w:val="18"/>
          <w:b w:val="1"/>
          <w:bCs w:val="1"/>
          <w:i w:val="1"/>
          <w:iCs w:val="1"/>
          <w:color w:val="auto"/>
        </w:rPr>
        <w:t>Executive Vice President, Technology Development</w:t>
      </w:r>
    </w:p>
    <w:p>
      <w:pPr>
        <w:spacing w:after="0" w:line="139" w:lineRule="exact"/>
        <w:rPr>
          <w:sz w:val="20"/>
          <w:szCs w:val="20"/>
          <w:color w:val="auto"/>
        </w:rPr>
      </w:pPr>
    </w:p>
    <w:p>
      <w:pPr>
        <w:ind w:left="2100" w:right="100"/>
        <w:spacing w:after="0" w:line="238" w:lineRule="auto"/>
        <w:rPr>
          <w:sz w:val="20"/>
          <w:szCs w:val="20"/>
          <w:color w:val="auto"/>
        </w:rPr>
      </w:pPr>
      <w:r>
        <w:rPr>
          <w:rFonts w:ascii="Arial" w:cs="Arial" w:eastAsia="Arial" w:hAnsi="Arial"/>
          <w:sz w:val="18"/>
          <w:szCs w:val="18"/>
          <w:color w:val="auto"/>
        </w:rPr>
        <w:t>Dr. DeBoer, 54, joined us in February 1995 and has served in various leadership positions since that time. Dr. DeBoer was named Executive Vice President, Technology Development in June 2017. Dr. DeBoer holds a PhD in Electrical Engineering and an MS in Physics from Iowa State University. He completed his undergraduate degree at Hastings College.</w:t>
      </w:r>
    </w:p>
    <w:p>
      <w:pPr>
        <w:spacing w:after="0" w:line="296" w:lineRule="exact"/>
        <w:rPr>
          <w:sz w:val="20"/>
          <w:szCs w:val="20"/>
          <w:color w:val="auto"/>
        </w:rPr>
      </w:pPr>
    </w:p>
    <w:p>
      <w:pPr>
        <w:ind w:left="2100" w:hanging="225"/>
        <w:spacing w:after="0"/>
        <w:tabs>
          <w:tab w:leader="none" w:pos="2100" w:val="left"/>
        </w:tabs>
        <w:numPr>
          <w:ilvl w:val="0"/>
          <w:numId w:val="4"/>
        </w:numPr>
        <w:rPr>
          <w:rFonts w:ascii="Arial" w:cs="Arial" w:eastAsia="Arial" w:hAnsi="Arial"/>
          <w:sz w:val="36"/>
          <w:szCs w:val="36"/>
          <w:color w:val="auto"/>
          <w:vertAlign w:val="subscript"/>
        </w:rPr>
      </w:pPr>
      <w:r>
        <w:rPr>
          <w:rFonts w:ascii="Arial" w:cs="Arial" w:eastAsia="Arial" w:hAnsi="Arial"/>
          <w:sz w:val="29"/>
          <w:szCs w:val="29"/>
          <w:b w:val="1"/>
          <w:bCs w:val="1"/>
          <w:color w:val="FFFFFF"/>
        </w:rPr>
        <w:t>Paul Marosvari</w:t>
      </w:r>
    </w:p>
    <w:p>
      <w:pPr>
        <w:spacing w:after="0" w:line="26" w:lineRule="exact"/>
        <w:rPr>
          <w:sz w:val="20"/>
          <w:szCs w:val="20"/>
          <w:color w:val="auto"/>
        </w:rPr>
      </w:pPr>
    </w:p>
    <w:p>
      <w:pPr>
        <w:ind w:left="2100"/>
        <w:spacing w:after="0"/>
        <w:rPr>
          <w:sz w:val="20"/>
          <w:szCs w:val="20"/>
          <w:color w:val="auto"/>
        </w:rPr>
      </w:pPr>
      <w:r>
        <w:rPr>
          <w:rFonts w:ascii="Arial" w:cs="Arial" w:eastAsia="Arial" w:hAnsi="Arial"/>
          <w:sz w:val="18"/>
          <w:szCs w:val="18"/>
          <w:b w:val="1"/>
          <w:bCs w:val="1"/>
          <w:i w:val="1"/>
          <w:iCs w:val="1"/>
          <w:color w:val="auto"/>
        </w:rPr>
        <w:t>Vice President, Chief Accounting Officer</w:t>
      </w:r>
    </w:p>
    <w:p>
      <w:pPr>
        <w:spacing w:after="0" w:line="58" w:lineRule="exact"/>
        <w:rPr>
          <w:sz w:val="20"/>
          <w:szCs w:val="20"/>
          <w:color w:val="auto"/>
        </w:rPr>
      </w:pPr>
    </w:p>
    <w:p>
      <w:pPr>
        <w:ind w:left="2100" w:right="20"/>
        <w:spacing w:after="0" w:line="229" w:lineRule="auto"/>
        <w:rPr>
          <w:sz w:val="20"/>
          <w:szCs w:val="20"/>
          <w:color w:val="auto"/>
        </w:rPr>
      </w:pPr>
      <w:r>
        <w:rPr>
          <w:rFonts w:ascii="Arial" w:cs="Arial" w:eastAsia="Arial" w:hAnsi="Arial"/>
          <w:sz w:val="18"/>
          <w:szCs w:val="18"/>
          <w:color w:val="auto"/>
        </w:rPr>
        <w:t>Mr. Marosvari, 54, joined us in March 1996, and has held various leadership positions since that time. Mr. Marosvari was named Vice President, Chief Accounting Officer in October 2019. Mr. Marosvari holds a Bachelor of Business Administration in Accounting from Boise State University.</w:t>
      </w:r>
    </w:p>
    <w:p>
      <w:pPr>
        <w:spacing w:after="0" w:line="218" w:lineRule="exact"/>
        <w:rPr>
          <w:sz w:val="20"/>
          <w:szCs w:val="20"/>
          <w:color w:val="auto"/>
        </w:rPr>
      </w:pPr>
    </w:p>
    <w:p>
      <w:pPr>
        <w:ind w:left="2100" w:right="200"/>
        <w:spacing w:after="0" w:line="229" w:lineRule="auto"/>
        <w:rPr>
          <w:sz w:val="20"/>
          <w:szCs w:val="20"/>
          <w:color w:val="auto"/>
        </w:rPr>
      </w:pPr>
      <w:r>
        <w:rPr>
          <w:rFonts w:ascii="Arial" w:cs="Arial" w:eastAsia="Arial" w:hAnsi="Arial"/>
          <w:sz w:val="18"/>
          <w:szCs w:val="18"/>
          <w:color w:val="auto"/>
        </w:rPr>
        <w:t>On September 21, 2020, we announced that Mr. Marosvari intends to retire from Micron in early calendar year 2021. Scott Allen, 52, has been appointed by our Board of Directors to succeed Mr. Marosvari as Corporate Vice President and Chief Accounting Officer, effective as of October 26, 2020.</w:t>
      </w:r>
    </w:p>
    <w:p>
      <w:pPr>
        <w:spacing w:after="0" w:line="111" w:lineRule="exact"/>
        <w:rPr>
          <w:sz w:val="20"/>
          <w:szCs w:val="20"/>
          <w:color w:val="auto"/>
        </w:rPr>
      </w:pPr>
    </w:p>
    <w:p>
      <w:pPr>
        <w:ind w:left="2100"/>
        <w:spacing w:after="0"/>
        <w:rPr>
          <w:sz w:val="20"/>
          <w:szCs w:val="20"/>
          <w:color w:val="auto"/>
        </w:rPr>
      </w:pPr>
      <w:r>
        <w:rPr>
          <w:rFonts w:ascii="Arial" w:cs="Arial" w:eastAsia="Arial" w:hAnsi="Arial"/>
          <w:sz w:val="29"/>
          <w:szCs w:val="29"/>
          <w:b w:val="1"/>
          <w:bCs w:val="1"/>
          <w:color w:val="FFFFFF"/>
        </w:rPr>
        <w:t>Sanjay Mehrotra</w:t>
      </w:r>
    </w:p>
    <w:p>
      <w:pPr>
        <w:spacing w:after="0" w:line="75" w:lineRule="exact"/>
        <w:rPr>
          <w:sz w:val="20"/>
          <w:szCs w:val="20"/>
          <w:color w:val="auto"/>
        </w:rPr>
      </w:pPr>
    </w:p>
    <w:p>
      <w:pPr>
        <w:ind w:left="2100"/>
        <w:spacing w:after="0"/>
        <w:rPr>
          <w:sz w:val="20"/>
          <w:szCs w:val="20"/>
          <w:color w:val="auto"/>
        </w:rPr>
      </w:pPr>
      <w:r>
        <w:rPr>
          <w:rFonts w:ascii="Arial" w:cs="Arial" w:eastAsia="Arial" w:hAnsi="Arial"/>
          <w:sz w:val="18"/>
          <w:szCs w:val="18"/>
          <w:b w:val="1"/>
          <w:bCs w:val="1"/>
          <w:i w:val="1"/>
          <w:iCs w:val="1"/>
          <w:color w:val="auto"/>
        </w:rPr>
        <w:t>President, Chief Executive Officer, and Director</w:t>
      </w:r>
    </w:p>
    <w:p>
      <w:pPr>
        <w:spacing w:after="0" w:line="72" w:lineRule="exact"/>
        <w:rPr>
          <w:sz w:val="20"/>
          <w:szCs w:val="20"/>
          <w:color w:val="auto"/>
        </w:rPr>
      </w:pPr>
    </w:p>
    <w:p>
      <w:pPr>
        <w:ind w:left="2100"/>
        <w:spacing w:after="0" w:line="237" w:lineRule="auto"/>
        <w:rPr>
          <w:sz w:val="20"/>
          <w:szCs w:val="20"/>
          <w:color w:val="auto"/>
        </w:rPr>
      </w:pPr>
      <w:r>
        <w:rPr>
          <w:rFonts w:ascii="Arial" w:cs="Arial" w:eastAsia="Arial" w:hAnsi="Arial"/>
          <w:sz w:val="18"/>
          <w:szCs w:val="18"/>
          <w:color w:val="auto"/>
        </w:rPr>
        <w:t>Mr. Mehrotra, 62, joined us in May 2017 as our President, Chief Executive Officer, and Director. Mr. Mehrotra co-founded and led SanDisk Corporation as a start-up in 1988 until its eventual sale in May 2016, serving as its President and Chief Executive Officer from January 2011 to May 2016, and as a member of its Board of Directors from July 2010 to May 2016. Mr. Mehrotra served as a member of the Board of Directors for Cavium, Inc. from July 2009 until July 2018 and for Western Digital Corp. from May 2016 to February 2017. Mr. Mehrotra holds a BS and an MS in Electrical Engineering and Computer Science from the University of California, Berkeley and is a graduate of the Stanford Graduate School of Business Executive Program.</w:t>
      </w:r>
    </w:p>
    <w:p>
      <w:pPr>
        <w:spacing w:after="0" w:line="109" w:lineRule="exact"/>
        <w:rPr>
          <w:sz w:val="20"/>
          <w:szCs w:val="20"/>
          <w:color w:val="auto"/>
        </w:rPr>
      </w:pPr>
    </w:p>
    <w:p>
      <w:pPr>
        <w:ind w:left="2100"/>
        <w:spacing w:after="0"/>
        <w:rPr>
          <w:sz w:val="20"/>
          <w:szCs w:val="20"/>
          <w:color w:val="auto"/>
        </w:rPr>
      </w:pPr>
      <w:r>
        <w:rPr>
          <w:rFonts w:ascii="Arial" w:cs="Arial" w:eastAsia="Arial" w:hAnsi="Arial"/>
          <w:sz w:val="29"/>
          <w:szCs w:val="29"/>
          <w:b w:val="1"/>
          <w:bCs w:val="1"/>
          <w:color w:val="FFFFFF"/>
        </w:rPr>
        <w:t>Joel L. Poppen</w:t>
      </w:r>
    </w:p>
    <w:p>
      <w:pPr>
        <w:spacing w:after="0" w:line="183" w:lineRule="exact"/>
        <w:rPr>
          <w:sz w:val="20"/>
          <w:szCs w:val="20"/>
          <w:color w:val="auto"/>
        </w:rPr>
      </w:pPr>
    </w:p>
    <w:p>
      <w:pPr>
        <w:ind w:left="2100"/>
        <w:spacing w:after="0"/>
        <w:rPr>
          <w:sz w:val="20"/>
          <w:szCs w:val="20"/>
          <w:color w:val="auto"/>
        </w:rPr>
      </w:pPr>
      <w:r>
        <w:rPr>
          <w:rFonts w:ascii="Arial" w:cs="Arial" w:eastAsia="Arial" w:hAnsi="Arial"/>
          <w:sz w:val="18"/>
          <w:szCs w:val="18"/>
          <w:b w:val="1"/>
          <w:bCs w:val="1"/>
          <w:i w:val="1"/>
          <w:iCs w:val="1"/>
          <w:color w:val="auto"/>
        </w:rPr>
        <w:t>Senior Vice President, Legal Affairs, General Counsel, and Corporate Secretary</w:t>
      </w:r>
    </w:p>
    <w:p>
      <w:pPr>
        <w:spacing w:after="0" w:line="139" w:lineRule="exact"/>
        <w:rPr>
          <w:sz w:val="20"/>
          <w:szCs w:val="20"/>
          <w:color w:val="auto"/>
        </w:rPr>
      </w:pPr>
    </w:p>
    <w:p>
      <w:pPr>
        <w:ind w:left="2100" w:right="180"/>
        <w:spacing w:after="0" w:line="227" w:lineRule="auto"/>
        <w:rPr>
          <w:sz w:val="20"/>
          <w:szCs w:val="20"/>
          <w:color w:val="auto"/>
        </w:rPr>
      </w:pPr>
      <w:r>
        <w:rPr>
          <w:rFonts w:ascii="Arial" w:cs="Arial" w:eastAsia="Arial" w:hAnsi="Arial"/>
          <w:sz w:val="18"/>
          <w:szCs w:val="18"/>
          <w:color w:val="auto"/>
        </w:rPr>
        <w:t>Mr. Poppen, 56, joined us in October 1995 and has held various leadership positions since that time. Mr. Poppen was named Senior Vice President, Legal Affairs, General Counsel, and Corporate Secretary in June 2017. Mr. Poppen holds a BS in Electrical Engineering from the University of Illinois and a JD from the Duke University School of Law.</w:t>
      </w:r>
    </w:p>
    <w:p>
      <w:pPr>
        <w:spacing w:after="0" w:line="352" w:lineRule="exact"/>
        <w:rPr>
          <w:sz w:val="20"/>
          <w:szCs w:val="20"/>
          <w:color w:val="auto"/>
        </w:rPr>
      </w:pPr>
    </w:p>
    <w:p>
      <w:pPr>
        <w:ind w:left="2100"/>
        <w:spacing w:after="0"/>
        <w:rPr>
          <w:sz w:val="20"/>
          <w:szCs w:val="20"/>
          <w:color w:val="auto"/>
        </w:rPr>
      </w:pPr>
      <w:r>
        <w:rPr>
          <w:rFonts w:ascii="Arial" w:cs="Arial" w:eastAsia="Arial" w:hAnsi="Arial"/>
          <w:sz w:val="29"/>
          <w:szCs w:val="29"/>
          <w:b w:val="1"/>
          <w:bCs w:val="1"/>
          <w:color w:val="FFFFFF"/>
        </w:rPr>
        <w:t>Sumit Sadana</w:t>
      </w:r>
    </w:p>
    <w:p>
      <w:pPr>
        <w:spacing w:after="0" w:line="75" w:lineRule="exact"/>
        <w:rPr>
          <w:sz w:val="20"/>
          <w:szCs w:val="20"/>
          <w:color w:val="auto"/>
        </w:rPr>
      </w:pPr>
    </w:p>
    <w:p>
      <w:pPr>
        <w:ind w:left="2100"/>
        <w:spacing w:after="0"/>
        <w:rPr>
          <w:sz w:val="20"/>
          <w:szCs w:val="20"/>
          <w:color w:val="auto"/>
        </w:rPr>
      </w:pPr>
      <w:r>
        <w:rPr>
          <w:rFonts w:ascii="Arial" w:cs="Arial" w:eastAsia="Arial" w:hAnsi="Arial"/>
          <w:sz w:val="18"/>
          <w:szCs w:val="18"/>
          <w:b w:val="1"/>
          <w:bCs w:val="1"/>
          <w:i w:val="1"/>
          <w:iCs w:val="1"/>
          <w:color w:val="auto"/>
        </w:rPr>
        <w:t>Executive Vice President and Chief Business Officer</w:t>
      </w:r>
    </w:p>
    <w:p>
      <w:pPr>
        <w:spacing w:after="0" w:line="72" w:lineRule="exact"/>
        <w:rPr>
          <w:sz w:val="20"/>
          <w:szCs w:val="20"/>
          <w:color w:val="auto"/>
        </w:rPr>
      </w:pPr>
    </w:p>
    <w:p>
      <w:pPr>
        <w:ind w:left="2100" w:right="20"/>
        <w:spacing w:after="0" w:line="224" w:lineRule="auto"/>
        <w:rPr>
          <w:sz w:val="20"/>
          <w:szCs w:val="20"/>
          <w:color w:val="auto"/>
        </w:rPr>
      </w:pPr>
      <w:r>
        <w:rPr>
          <w:rFonts w:ascii="Arial" w:cs="Arial" w:eastAsia="Arial" w:hAnsi="Arial"/>
          <w:sz w:val="18"/>
          <w:szCs w:val="18"/>
          <w:color w:val="auto"/>
        </w:rPr>
        <w:t>Mr. Sadana, 51, joined us in June 2017 as our Executive Vice President and Chief Business Officer. From April 2010 to May 2016, Mr. Sadana served in various roles at SanDisk Corporation, including Executive Vice President, Chief Strategy Officer, and General Manager, Enterprise Solutions until it was acquired by Western Digital in May 2016. Mr. Sadana currently serves on the Board of Directors of Silicon Laboratories, Inc. Mr. Sadana holds a B.Tech. in Electrical Engineering from the Indian Institute of Technology, Kharagpur, India and an MS in Electrical Engineering from Stanford University.</w:t>
      </w:r>
    </w:p>
    <w:p>
      <w:pPr>
        <w:spacing w:after="0" w:line="152" w:lineRule="exact"/>
        <w:rPr>
          <w:sz w:val="20"/>
          <w:szCs w:val="20"/>
          <w:color w:val="auto"/>
        </w:rPr>
      </w:pPr>
    </w:p>
    <w:p>
      <w:pPr>
        <w:ind w:left="2100"/>
        <w:spacing w:after="0"/>
        <w:rPr>
          <w:sz w:val="20"/>
          <w:szCs w:val="20"/>
          <w:color w:val="auto"/>
        </w:rPr>
      </w:pPr>
      <w:r>
        <w:rPr>
          <w:rFonts w:ascii="Arial" w:cs="Arial" w:eastAsia="Arial" w:hAnsi="Arial"/>
          <w:sz w:val="29"/>
          <w:szCs w:val="29"/>
          <w:b w:val="1"/>
          <w:bCs w:val="1"/>
          <w:color w:val="FFFFFF"/>
        </w:rPr>
        <w:t>David A. Zinsner</w:t>
      </w:r>
    </w:p>
    <w:p>
      <w:pPr>
        <w:spacing w:after="0" w:line="75" w:lineRule="exact"/>
        <w:rPr>
          <w:sz w:val="20"/>
          <w:szCs w:val="20"/>
          <w:color w:val="auto"/>
        </w:rPr>
      </w:pPr>
    </w:p>
    <w:p>
      <w:pPr>
        <w:ind w:left="2100"/>
        <w:spacing w:after="0"/>
        <w:rPr>
          <w:sz w:val="20"/>
          <w:szCs w:val="20"/>
          <w:color w:val="auto"/>
        </w:rPr>
      </w:pPr>
      <w:r>
        <w:rPr>
          <w:rFonts w:ascii="Arial" w:cs="Arial" w:eastAsia="Arial" w:hAnsi="Arial"/>
          <w:sz w:val="18"/>
          <w:szCs w:val="18"/>
          <w:b w:val="1"/>
          <w:bCs w:val="1"/>
          <w:i w:val="1"/>
          <w:iCs w:val="1"/>
          <w:color w:val="auto"/>
        </w:rPr>
        <w:t>Senior Vice President and Chief Financial Officer</w:t>
      </w:r>
    </w:p>
    <w:p>
      <w:pPr>
        <w:spacing w:after="0" w:line="72" w:lineRule="exact"/>
        <w:rPr>
          <w:sz w:val="20"/>
          <w:szCs w:val="20"/>
          <w:color w:val="auto"/>
        </w:rPr>
      </w:pPr>
    </w:p>
    <w:p>
      <w:pPr>
        <w:ind w:left="2100" w:right="120"/>
        <w:spacing w:after="0" w:line="237" w:lineRule="auto"/>
        <w:rPr>
          <w:sz w:val="20"/>
          <w:szCs w:val="20"/>
          <w:color w:val="auto"/>
        </w:rPr>
      </w:pPr>
      <w:r>
        <w:rPr>
          <w:rFonts w:ascii="Arial" w:cs="Arial" w:eastAsia="Arial" w:hAnsi="Arial"/>
          <w:sz w:val="18"/>
          <w:szCs w:val="18"/>
          <w:color w:val="auto"/>
        </w:rPr>
        <w:t>Mr. Zinsner, 51, joined us in February 2018 as our Senior Vice President and Chief Financial Officer. From April 2017 to February 2018, Mr. Zinsner served as the President and Chief Operating Officer of Affirmed Networks. From January 2009 to April 2017, Mr. Zinsner served as the Senior Vice President of Finance and Chief Financial Officer of Analog Devices. From July 2005 to January 2009, Mr. Zinsner served as the Senior Vice President and Chief Financial Officer of Intersil Corporation. Mr. Zinsner holds an MBA, Finance and Accounting from Vanderbilt University and a BS in Industrial Management from Carnegie Mellon University.</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between any of our directors or executive officers.</w:t>
      </w:r>
    </w:p>
    <w:p>
      <w:pPr>
        <w:sectPr>
          <w:pgSz w:w="11900" w:h="16838" w:orient="portrait"/>
          <w:cols w:equalWidth="0" w:num="1">
            <w:col w:w="11220"/>
          </w:cols>
          <w:pgMar w:left="320" w:top="107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13 </w:t>
      </w:r>
      <w:r>
        <w:rPr>
          <w:rFonts w:ascii="Arial" w:cs="Arial" w:eastAsia="Arial" w:hAnsi="Arial"/>
          <w:sz w:val="21"/>
          <w:szCs w:val="21"/>
          <w:b w:val="1"/>
          <w:bCs w:val="1"/>
          <w:color w:val="0090DA"/>
        </w:rPr>
        <w:t>|</w:t>
      </w:r>
      <w:r>
        <w:rPr>
          <w:rFonts w:ascii="Arial" w:cs="Arial" w:eastAsia="Arial" w:hAnsi="Arial"/>
          <w:sz w:val="18"/>
          <w:szCs w:val="18"/>
          <w:color w:val="auto"/>
        </w:rPr>
        <w:t xml:space="preserve"> 2020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71" w:right="35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40"/>
          <w:szCs w:val="40"/>
          <w:b w:val="1"/>
          <w:bCs w:val="1"/>
          <w:color w:val="auto"/>
        </w:rPr>
        <w:t>Available Information</w:t>
      </w:r>
    </w:p>
    <w:p>
      <w:pPr>
        <w:spacing w:after="0" w:line="28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Our executive offices are located at 8000 South Federal Way, Boise, Idaho 83716-9632 and our telephone number is (208) 368-4000. Information about us is available at our website, www.micron.com. Also available on our website are our Corporate Governance Guidelines, Governance and Sustainability Committee Charter, Compensation Committee Charter, Audit Committee Charter, Finance Committee Charter, and Code of Business Conduct and Ethics. Any amendments or waivers of our Code of Business Conduct and Ethics will also be posted on our website within four business days of the amendment or waiver. Copies of these documents are available to shareholders upon request. Information contained or referenced on our website is not incorporated by reference and does not form a part of this Annual Report on Form 10-K.</w:t>
      </w:r>
    </w:p>
    <w:p>
      <w:pPr>
        <w:spacing w:after="0" w:line="234"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Investors and others should note that we announce material financial information about our business and products through a variety of means, including our investor relations website (investors.micron.com), filings with the U.S. Securities and Exchange Commission (“SEC”), press releases, public conference calls, and webcasts. We use these channels to achieve broad, non-exclusionary distribution of information to the public and for complying with our disclosure obligations under Regulation FD. Therefore, we encourage investors, the media, and others interested in our company to review the information we post on such channels.</w:t>
      </w:r>
    </w:p>
    <w:p>
      <w:pPr>
        <w:spacing w:after="0" w:line="229"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Our filings are available free of charge on our website as soon as reasonably practicable after they are electronically filed with, or furnished to, the SEC, including our annual and quarterly reports on Forms 10-K and 10-Q and current reports on Form 8-K, our proxy statements, and any amendments to those reports or statements. The SEC’s website, www.sec.gov, contains reports, proxy and information statements, and other information regarding issuers that file electronically with the SEC. The content on any website referred to in this Form 10-K is not incorporated by reference in this Form 10-K unless expressly noted.</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1A. RISK FACTORS</w:t>
      </w:r>
    </w:p>
    <w:p>
      <w:pPr>
        <w:spacing w:after="0" w:line="28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 addition to the factors discussed elsewhere in this Form 10-K, the following are important factors, the order of which is not necessarily indicative of the level of risk that each poses to us, which could cause actual results or events to differ materially from those contained in any forward-looking statements made by us. Any of these factors could have a material adverse effect on our business, results of operations, financial condition, or stock price. Our operations could also be affected by other factors that are presently unknown to us or not considered significant.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The effects of the COVID-19 outbreak could adversely affect our business, results of operations, and financial condition.</w:t>
      </w:r>
    </w:p>
    <w:p>
      <w:pPr>
        <w:spacing w:after="0" w:line="274"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The effects of the public health crisis caused by the COVID-19 outbreak and the measures being taken to limit COVID-19’s spread are uncertain and difficult to predict, but may include, and in some cases, have included and may continue to include:</w:t>
      </w:r>
    </w:p>
    <w:p>
      <w:pPr>
        <w:spacing w:after="0" w:line="225" w:lineRule="exact"/>
        <w:rPr>
          <w:sz w:val="20"/>
          <w:szCs w:val="20"/>
          <w:color w:val="auto"/>
        </w:rPr>
      </w:pPr>
    </w:p>
    <w:p>
      <w:pPr>
        <w:ind w:left="660" w:right="240" w:hanging="328"/>
        <w:spacing w:after="0" w:line="250"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A decrease in short-term and/or long-term demand and/or pricing for our products and a global economic recession or depression that could further reduce demand and/or pricing for our products, resulting from actions taken by governments, businesses, and/or the general public in an effort to limit exposure to and the spreading of COVID-19, such as travel restrictions, quarantines, and business shutdowns or slowdowns;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Negative impacts to our operations, including:</w:t>
      </w:r>
    </w:p>
    <w:p>
      <w:pPr>
        <w:spacing w:after="0" w:line="9" w:lineRule="exact"/>
        <w:rPr>
          <w:rFonts w:ascii="Arial" w:cs="Arial" w:eastAsia="Arial" w:hAnsi="Arial"/>
          <w:sz w:val="18"/>
          <w:szCs w:val="18"/>
          <w:color w:val="auto"/>
        </w:rPr>
      </w:pPr>
    </w:p>
    <w:p>
      <w:pPr>
        <w:ind w:left="1300" w:right="20" w:hanging="320"/>
        <w:spacing w:after="0" w:line="250" w:lineRule="auto"/>
        <w:tabs>
          <w:tab w:leader="none" w:pos="1296" w:val="left"/>
        </w:tabs>
        <w:numPr>
          <w:ilvl w:val="1"/>
          <w:numId w:val="5"/>
        </w:numPr>
        <w:rPr>
          <w:rFonts w:ascii="Arial" w:cs="Arial" w:eastAsia="Arial" w:hAnsi="Arial"/>
          <w:sz w:val="18"/>
          <w:szCs w:val="18"/>
          <w:color w:val="auto"/>
        </w:rPr>
      </w:pPr>
      <w:r>
        <w:rPr>
          <w:rFonts w:ascii="Arial" w:cs="Arial" w:eastAsia="Arial" w:hAnsi="Arial"/>
          <w:sz w:val="18"/>
          <w:szCs w:val="18"/>
          <w:color w:val="auto"/>
        </w:rPr>
        <w:t>reductions in production levels, R&amp;D activities, product development, technology transitions, yield enhancement activities, and qualification activities with our customers, resulting from our efforts to mitigate the impact of COVID-19 through physical-distancing measures we have enacted at our locations around the world in an effort to protect our employees’ and contractors’ health and well-being, including working from home, limiting the number of meeting attendees, reducing the number of people in certain of our sites at any one time, quarantines of team members, contractors, or vendors who are at risk of contracting, or have contracted, COVID-19, and limiting employee travel;</w:t>
      </w:r>
    </w:p>
    <w:p>
      <w:pPr>
        <w:spacing w:after="0" w:line="2" w:lineRule="exact"/>
        <w:rPr>
          <w:rFonts w:ascii="Arial" w:cs="Arial" w:eastAsia="Arial" w:hAnsi="Arial"/>
          <w:sz w:val="18"/>
          <w:szCs w:val="18"/>
          <w:color w:val="auto"/>
        </w:rPr>
      </w:pPr>
    </w:p>
    <w:p>
      <w:pPr>
        <w:jc w:val="both"/>
        <w:ind w:left="1300" w:right="80" w:hanging="320"/>
        <w:spacing w:after="0" w:line="256" w:lineRule="auto"/>
        <w:tabs>
          <w:tab w:leader="none" w:pos="1296" w:val="left"/>
        </w:tabs>
        <w:numPr>
          <w:ilvl w:val="1"/>
          <w:numId w:val="5"/>
        </w:numPr>
        <w:rPr>
          <w:rFonts w:ascii="Arial" w:cs="Arial" w:eastAsia="Arial" w:hAnsi="Arial"/>
          <w:sz w:val="18"/>
          <w:szCs w:val="18"/>
          <w:color w:val="auto"/>
        </w:rPr>
      </w:pPr>
      <w:r>
        <w:rPr>
          <w:rFonts w:ascii="Arial" w:cs="Arial" w:eastAsia="Arial" w:hAnsi="Arial"/>
          <w:sz w:val="18"/>
          <w:szCs w:val="18"/>
          <w:color w:val="auto"/>
        </w:rPr>
        <w:t>increased costs resulting from our efforts to mitigate the impact of COVID-19 through physical distancing measures, working from home, upgrades to our sites, enhanced cleaning measures, and the increased use of personal protective equipment at our sites;</w:t>
      </w:r>
    </w:p>
    <w:p>
      <w:pPr>
        <w:spacing w:after="0" w:line="200" w:lineRule="exact"/>
        <w:rPr>
          <w:sz w:val="20"/>
          <w:szCs w:val="20"/>
          <w:color w:val="auto"/>
        </w:rPr>
      </w:pPr>
    </w:p>
    <w:p>
      <w:pPr>
        <w:spacing w:after="0" w:line="273" w:lineRule="exact"/>
        <w:rPr>
          <w:sz w:val="20"/>
          <w:szCs w:val="20"/>
          <w:color w:val="auto"/>
        </w:rPr>
      </w:pPr>
    </w:p>
    <w:p>
      <w:pPr>
        <w:jc w:val="right"/>
        <w:spacing w:after="0"/>
        <w:rPr>
          <w:sz w:val="20"/>
          <w:szCs w:val="20"/>
          <w:color w:val="auto"/>
        </w:rPr>
      </w:pPr>
      <w:r>
        <w:rPr>
          <w:sz w:val="1"/>
          <w:szCs w:val="1"/>
          <w:color w:val="auto"/>
        </w:rPr>
        <w:drawing>
          <wp:inline distT="0" distB="0" distL="0" distR="0">
            <wp:extent cx="608330" cy="17145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8330" cy="171450"/>
                    </a:xfrm>
                    <a:prstGeom prst="rect">
                      <a:avLst/>
                    </a:prstGeom>
                    <a:noFill/>
                    <a:ln>
                      <a:noFill/>
                    </a:ln>
                  </pic:spPr>
                </pic:pic>
              </a:graphicData>
            </a:graphic>
          </wp:inline>
        </w:drawing>
      </w:r>
      <w:r>
        <w:rPr>
          <w:rFonts w:ascii="Arial" w:cs="Arial" w:eastAsia="Arial" w:hAnsi="Arial"/>
          <w:sz w:val="18"/>
          <w:szCs w:val="18"/>
          <w:color w:val="auto"/>
        </w:rPr>
        <w:t xml:space="preserv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2" w:right="339" w:bottom="1440" w:gutter="0" w:footer="0" w:header="0"/>
        </w:sectPr>
      </w:pPr>
    </w:p>
    <w:bookmarkStart w:id="17" w:name="page18"/>
    <w:bookmarkEnd w:id="17"/>
    <w:p>
      <w:pPr>
        <w:ind w:left="1300" w:right="540" w:hanging="320"/>
        <w:spacing w:after="0" w:line="250" w:lineRule="auto"/>
        <w:tabs>
          <w:tab w:leader="none" w:pos="1296" w:val="left"/>
        </w:tabs>
        <w:numPr>
          <w:ilvl w:val="1"/>
          <w:numId w:val="6"/>
        </w:numPr>
        <w:rPr>
          <w:rFonts w:ascii="Arial" w:cs="Arial" w:eastAsia="Arial" w:hAnsi="Arial"/>
          <w:sz w:val="18"/>
          <w:szCs w:val="18"/>
          <w:color w:val="auto"/>
        </w:rPr>
      </w:pPr>
      <w:r>
        <w:rPr>
          <w:rFonts w:ascii="Arial" w:cs="Arial" w:eastAsia="Arial" w:hAnsi="Arial"/>
          <w:sz w:val="18"/>
          <w:szCs w:val="18"/>
          <w:color w:val="auto"/>
        </w:rPr>
        <w:t>increased costs for, or unavailability of, transportation, raw materials, or other inputs necessary for the operation of our business;</w:t>
      </w:r>
    </w:p>
    <w:p>
      <w:pPr>
        <w:ind w:left="1300" w:right="100" w:hanging="320"/>
        <w:spacing w:after="0" w:line="250" w:lineRule="auto"/>
        <w:tabs>
          <w:tab w:leader="none" w:pos="1296" w:val="left"/>
        </w:tabs>
        <w:numPr>
          <w:ilvl w:val="1"/>
          <w:numId w:val="6"/>
        </w:numPr>
        <w:rPr>
          <w:rFonts w:ascii="Arial" w:cs="Arial" w:eastAsia="Arial" w:hAnsi="Arial"/>
          <w:sz w:val="18"/>
          <w:szCs w:val="18"/>
          <w:color w:val="auto"/>
        </w:rPr>
      </w:pPr>
      <w:r>
        <w:rPr>
          <w:rFonts w:ascii="Arial" w:cs="Arial" w:eastAsia="Arial" w:hAnsi="Arial"/>
          <w:sz w:val="18"/>
          <w:szCs w:val="18"/>
          <w:color w:val="auto"/>
        </w:rPr>
        <w:t>reductions in or cessation of operations at any site or in any jurisdiction resulting from government restrictions on movement and/or business operations or our failure to prevent and/or adequately mitigate spread of COVID-19 at one or more of our sites;</w:t>
      </w:r>
    </w:p>
    <w:p>
      <w:pPr>
        <w:spacing w:after="0" w:line="1" w:lineRule="exact"/>
        <w:rPr>
          <w:rFonts w:ascii="Arial" w:cs="Arial" w:eastAsia="Arial" w:hAnsi="Arial"/>
          <w:sz w:val="18"/>
          <w:szCs w:val="18"/>
          <w:color w:val="auto"/>
        </w:rPr>
      </w:pPr>
    </w:p>
    <w:p>
      <w:pPr>
        <w:ind w:left="1300" w:right="200" w:hanging="320"/>
        <w:spacing w:after="0" w:line="250" w:lineRule="auto"/>
        <w:tabs>
          <w:tab w:leader="none" w:pos="1296" w:val="left"/>
        </w:tabs>
        <w:numPr>
          <w:ilvl w:val="1"/>
          <w:numId w:val="6"/>
        </w:numPr>
        <w:rPr>
          <w:rFonts w:ascii="Arial" w:cs="Arial" w:eastAsia="Arial" w:hAnsi="Arial"/>
          <w:sz w:val="18"/>
          <w:szCs w:val="18"/>
          <w:color w:val="auto"/>
        </w:rPr>
      </w:pPr>
      <w:r>
        <w:rPr>
          <w:rFonts w:ascii="Arial" w:cs="Arial" w:eastAsia="Arial" w:hAnsi="Arial"/>
          <w:sz w:val="18"/>
          <w:szCs w:val="18"/>
          <w:color w:val="auto"/>
        </w:rPr>
        <w:t>our inability to continue or resume construction projects due to delays in obtaining materials, equipment, labor, engineering services, government permits, or any other essential aspect of projects, which could impact our ability to introduce new technologies, reduce costs, or meet customer demand;</w:t>
      </w:r>
    </w:p>
    <w:p>
      <w:pPr>
        <w:spacing w:after="0" w:line="1" w:lineRule="exact"/>
        <w:rPr>
          <w:rFonts w:ascii="Arial" w:cs="Arial" w:eastAsia="Arial" w:hAnsi="Arial"/>
          <w:sz w:val="18"/>
          <w:szCs w:val="18"/>
          <w:color w:val="auto"/>
        </w:rPr>
      </w:pPr>
    </w:p>
    <w:p>
      <w:pPr>
        <w:ind w:left="1300" w:right="240" w:hanging="320"/>
        <w:spacing w:after="0" w:line="250" w:lineRule="auto"/>
        <w:tabs>
          <w:tab w:leader="none" w:pos="1296"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disruptions to our supply chain in connection with the sourcing and transportation of materials, equipment and engineering support, and services from or in geographic areas that have been impacted by COVID-19 and by efforts to contain the spread of COVID-19; and</w:t>
      </w:r>
    </w:p>
    <w:p>
      <w:pPr>
        <w:spacing w:after="0" w:line="1" w:lineRule="exact"/>
        <w:rPr>
          <w:rFonts w:ascii="Arial" w:cs="Arial" w:eastAsia="Arial" w:hAnsi="Arial"/>
          <w:sz w:val="18"/>
          <w:szCs w:val="18"/>
          <w:color w:val="auto"/>
        </w:rPr>
      </w:pPr>
    </w:p>
    <w:p>
      <w:pPr>
        <w:jc w:val="both"/>
        <w:ind w:left="660" w:right="240" w:hanging="328"/>
        <w:spacing w:after="0" w:line="256"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Deterioration of worldwide credit and financial markets that could limit our ability to obtain external financing to fund our operations and capital expenditures, result in losses on our holdings of cash and investments due to failures of financial institutions and other parties, and result in a higher rate of losses on our accounts receivables due to credit defaults.</w:t>
      </w:r>
    </w:p>
    <w:p>
      <w:pPr>
        <w:spacing w:after="0" w:line="229"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The resumption of normal business operations after such interruptions may be delayed or constrained by lingering effects of COVID-19 on our team members, contractors, suppliers, third-party service providers, customers, or distributors.</w:t>
      </w:r>
    </w:p>
    <w:p>
      <w:pPr>
        <w:spacing w:after="0" w:line="225"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color w:val="auto"/>
        </w:rPr>
        <w:t>These effects, alone or taken together, could have a material adverse effect on our business, results of operations, legal exposure, or financial condition. A sustained, prolonged, or recurring outbreak could exacerbate the adverse impact of such measures.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Volatility in average selling prices for our semiconductor memory and storage products may adversely affect our business.</w:t>
      </w:r>
    </w:p>
    <w:p>
      <w:pPr>
        <w:spacing w:after="0" w:line="27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have experienced significant volatility in our average selling prices, including dramatic declines as noted in the table below, and may continue to experience such volatility in the future. In some prior periods, average selling prices for our products have been below our manufacturing costs and we may experience such circumstances in the future. Average selling prices for our products that decline faster than our costs could have a material adverse effect on our business, results of operations, or financial condition.</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060" w:type="dxa"/>
            <w:vAlign w:val="bottom"/>
          </w:tcPr>
          <w:p>
            <w:pPr>
              <w:spacing w:after="0"/>
              <w:rPr>
                <w:sz w:val="21"/>
                <w:szCs w:val="21"/>
                <w:color w:val="auto"/>
              </w:rPr>
            </w:pPr>
          </w:p>
        </w:tc>
        <w:tc>
          <w:tcPr>
            <w:tcW w:w="1440" w:type="dxa"/>
            <w:vAlign w:val="bottom"/>
            <w:tcBorders>
              <w:bottom w:val="single" w:sz="8" w:color="0090DA"/>
            </w:tcBorders>
          </w:tcPr>
          <w:p>
            <w:pPr>
              <w:ind w:left="780"/>
              <w:spacing w:after="0"/>
              <w:rPr>
                <w:sz w:val="20"/>
                <w:szCs w:val="20"/>
                <w:color w:val="auto"/>
              </w:rPr>
            </w:pPr>
            <w:r>
              <w:rPr>
                <w:rFonts w:ascii="Arial" w:cs="Arial" w:eastAsia="Arial" w:hAnsi="Arial"/>
                <w:sz w:val="18"/>
                <w:szCs w:val="18"/>
                <w:b w:val="1"/>
                <w:bCs w:val="1"/>
                <w:color w:val="auto"/>
              </w:rPr>
              <w:t>DRAM</w:t>
            </w:r>
          </w:p>
        </w:tc>
        <w:tc>
          <w:tcPr>
            <w:tcW w:w="1020" w:type="dxa"/>
            <w:vAlign w:val="bottom"/>
            <w:tcBorders>
              <w:bottom w:val="single" w:sz="8" w:color="0090DA"/>
            </w:tcBorders>
          </w:tcPr>
          <w:p>
            <w:pPr>
              <w:spacing w:after="0"/>
              <w:rPr>
                <w:sz w:val="21"/>
                <w:szCs w:val="21"/>
                <w:color w:val="auto"/>
              </w:rPr>
            </w:pPr>
          </w:p>
        </w:tc>
        <w:tc>
          <w:tcPr>
            <w:tcW w:w="1720" w:type="dxa"/>
            <w:vAlign w:val="bottom"/>
            <w:tcBorders>
              <w:bottom w:val="single" w:sz="8" w:color="0090DA"/>
            </w:tcBorders>
          </w:tcPr>
          <w:p>
            <w:pPr>
              <w:jc w:val="right"/>
              <w:ind w:right="710"/>
              <w:spacing w:after="0"/>
              <w:rPr>
                <w:sz w:val="20"/>
                <w:szCs w:val="20"/>
                <w:color w:val="auto"/>
              </w:rPr>
            </w:pPr>
            <w:r>
              <w:rPr>
                <w:rFonts w:ascii="Arial" w:cs="Arial" w:eastAsia="Arial" w:hAnsi="Arial"/>
                <w:sz w:val="18"/>
                <w:szCs w:val="18"/>
                <w:b w:val="1"/>
                <w:bCs w:val="1"/>
                <w:color w:val="auto"/>
              </w:rPr>
              <w:t>NAND</w:t>
            </w:r>
          </w:p>
        </w:tc>
      </w:tr>
      <w:tr>
        <w:trPr>
          <w:trHeight w:val="250"/>
        </w:trPr>
        <w:tc>
          <w:tcPr>
            <w:tcW w:w="7060" w:type="dxa"/>
            <w:vAlign w:val="bottom"/>
            <w:tcBorders>
              <w:bottom w:val="single" w:sz="8" w:color="0090DA"/>
            </w:tcBorders>
          </w:tcPr>
          <w:p>
            <w:pPr>
              <w:spacing w:after="0"/>
              <w:rPr>
                <w:sz w:val="21"/>
                <w:szCs w:val="21"/>
                <w:color w:val="auto"/>
              </w:rPr>
            </w:pPr>
          </w:p>
        </w:tc>
        <w:tc>
          <w:tcPr>
            <w:tcW w:w="4180" w:type="dxa"/>
            <w:vAlign w:val="bottom"/>
            <w:tcBorders>
              <w:bottom w:val="single" w:sz="8" w:color="0090DA"/>
            </w:tcBorders>
            <w:gridSpan w:val="3"/>
          </w:tcPr>
          <w:p>
            <w:pPr>
              <w:jc w:val="right"/>
              <w:ind w:right="170"/>
              <w:spacing w:after="0"/>
              <w:rPr>
                <w:sz w:val="20"/>
                <w:szCs w:val="20"/>
                <w:color w:val="auto"/>
              </w:rPr>
            </w:pPr>
            <w:r>
              <w:rPr>
                <w:rFonts w:ascii="Arial" w:cs="Arial" w:eastAsia="Arial" w:hAnsi="Arial"/>
                <w:sz w:val="18"/>
                <w:szCs w:val="18"/>
                <w:color w:val="auto"/>
              </w:rPr>
              <w:t>(percentage change in average selling prices)</w:t>
            </w:r>
          </w:p>
        </w:tc>
      </w:tr>
      <w:tr>
        <w:trPr>
          <w:trHeight w:val="40"/>
        </w:trPr>
        <w:tc>
          <w:tcPr>
            <w:tcW w:w="70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720" w:type="dxa"/>
            <w:vAlign w:val="bottom"/>
          </w:tcPr>
          <w:p>
            <w:pPr>
              <w:spacing w:after="0"/>
              <w:rPr>
                <w:sz w:val="3"/>
                <w:szCs w:val="3"/>
                <w:color w:val="auto"/>
              </w:rPr>
            </w:pPr>
          </w:p>
        </w:tc>
      </w:tr>
      <w:tr>
        <w:trPr>
          <w:trHeight w:val="256"/>
        </w:trPr>
        <w:tc>
          <w:tcPr>
            <w:tcW w:w="8500" w:type="dxa"/>
            <w:vAlign w:val="bottom"/>
            <w:gridSpan w:val="2"/>
            <w:shd w:val="clear" w:color="auto" w:fill="D1D2D4"/>
          </w:tcPr>
          <w:p>
            <w:pPr>
              <w:ind w:left="20"/>
              <w:spacing w:after="0"/>
              <w:rPr>
                <w:sz w:val="20"/>
                <w:szCs w:val="20"/>
                <w:color w:val="auto"/>
              </w:rPr>
            </w:pPr>
            <w:r>
              <w:rPr>
                <w:rFonts w:ascii="Arial" w:cs="Arial" w:eastAsia="Arial" w:hAnsi="Arial"/>
                <w:sz w:val="18"/>
                <w:szCs w:val="18"/>
                <w:color w:val="auto"/>
              </w:rPr>
              <w:t>2020 from 2019</w:t>
            </w:r>
          </w:p>
        </w:tc>
        <w:tc>
          <w:tcPr>
            <w:tcW w:w="1020" w:type="dxa"/>
            <w:vAlign w:val="bottom"/>
            <w:shd w:val="clear" w:color="auto" w:fill="D1D2D4"/>
          </w:tcPr>
          <w:p>
            <w:pPr>
              <w:jc w:val="right"/>
              <w:ind w:right="310"/>
              <w:spacing w:after="0"/>
              <w:rPr>
                <w:sz w:val="20"/>
                <w:szCs w:val="20"/>
                <w:color w:val="auto"/>
              </w:rPr>
            </w:pPr>
            <w:r>
              <w:rPr>
                <w:rFonts w:ascii="Arial" w:cs="Arial" w:eastAsia="Arial" w:hAnsi="Arial"/>
                <w:sz w:val="18"/>
                <w:szCs w:val="18"/>
                <w:color w:val="auto"/>
              </w:rPr>
              <w:t>(34)%</w:t>
            </w:r>
          </w:p>
        </w:tc>
        <w:tc>
          <w:tcPr>
            <w:tcW w:w="1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w:t>
            </w:r>
          </w:p>
        </w:tc>
      </w:tr>
      <w:tr>
        <w:trPr>
          <w:trHeight w:val="250"/>
        </w:trPr>
        <w:tc>
          <w:tcPr>
            <w:tcW w:w="8500" w:type="dxa"/>
            <w:vAlign w:val="bottom"/>
            <w:gridSpan w:val="2"/>
          </w:tcPr>
          <w:p>
            <w:pPr>
              <w:ind w:left="20"/>
              <w:spacing w:after="0"/>
              <w:rPr>
                <w:sz w:val="20"/>
                <w:szCs w:val="20"/>
                <w:color w:val="auto"/>
              </w:rPr>
            </w:pPr>
            <w:r>
              <w:rPr>
                <w:rFonts w:ascii="Arial" w:cs="Arial" w:eastAsia="Arial" w:hAnsi="Arial"/>
                <w:sz w:val="18"/>
                <w:szCs w:val="18"/>
                <w:color w:val="auto"/>
              </w:rPr>
              <w:t>2019 from 2018</w:t>
            </w:r>
          </w:p>
        </w:tc>
        <w:tc>
          <w:tcPr>
            <w:tcW w:w="1020" w:type="dxa"/>
            <w:vAlign w:val="bottom"/>
          </w:tcPr>
          <w:p>
            <w:pPr>
              <w:jc w:val="right"/>
              <w:ind w:right="310"/>
              <w:spacing w:after="0"/>
              <w:rPr>
                <w:sz w:val="20"/>
                <w:szCs w:val="20"/>
                <w:color w:val="auto"/>
              </w:rPr>
            </w:pPr>
            <w:r>
              <w:rPr>
                <w:rFonts w:ascii="Arial" w:cs="Arial" w:eastAsia="Arial" w:hAnsi="Arial"/>
                <w:sz w:val="18"/>
                <w:szCs w:val="18"/>
                <w:color w:val="auto"/>
              </w:rPr>
              <w:t>(30)%</w:t>
            </w:r>
          </w:p>
        </w:tc>
        <w:tc>
          <w:tcPr>
            <w:tcW w:w="17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63"/>
        </w:trPr>
        <w:tc>
          <w:tcPr>
            <w:tcW w:w="8500" w:type="dxa"/>
            <w:vAlign w:val="bottom"/>
            <w:gridSpan w:val="2"/>
            <w:shd w:val="clear" w:color="auto" w:fill="D1D2D4"/>
          </w:tcPr>
          <w:p>
            <w:pPr>
              <w:ind w:left="20"/>
              <w:spacing w:after="0"/>
              <w:rPr>
                <w:sz w:val="20"/>
                <w:szCs w:val="20"/>
                <w:color w:val="auto"/>
              </w:rPr>
            </w:pPr>
            <w:r>
              <w:rPr>
                <w:rFonts w:ascii="Arial" w:cs="Arial" w:eastAsia="Arial" w:hAnsi="Arial"/>
                <w:sz w:val="18"/>
                <w:szCs w:val="18"/>
                <w:color w:val="auto"/>
              </w:rPr>
              <w:t>2018 from 2017</w:t>
            </w:r>
          </w:p>
        </w:tc>
        <w:tc>
          <w:tcPr>
            <w:tcW w:w="1020" w:type="dxa"/>
            <w:vAlign w:val="bottom"/>
            <w:shd w:val="clear" w:color="auto" w:fill="D1D2D4"/>
          </w:tcPr>
          <w:p>
            <w:pPr>
              <w:jc w:val="right"/>
              <w:ind w:right="310"/>
              <w:spacing w:after="0"/>
              <w:rPr>
                <w:sz w:val="20"/>
                <w:szCs w:val="20"/>
                <w:color w:val="auto"/>
              </w:rPr>
            </w:pPr>
            <w:r>
              <w:rPr>
                <w:rFonts w:ascii="Arial" w:cs="Arial" w:eastAsia="Arial" w:hAnsi="Arial"/>
                <w:sz w:val="18"/>
                <w:szCs w:val="18"/>
                <w:color w:val="auto"/>
              </w:rPr>
              <w:t>36 %</w:t>
            </w:r>
          </w:p>
        </w:tc>
        <w:tc>
          <w:tcPr>
            <w:tcW w:w="1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w:t>
            </w:r>
          </w:p>
        </w:tc>
      </w:tr>
      <w:tr>
        <w:trPr>
          <w:trHeight w:val="250"/>
        </w:trPr>
        <w:tc>
          <w:tcPr>
            <w:tcW w:w="8500" w:type="dxa"/>
            <w:vAlign w:val="bottom"/>
            <w:gridSpan w:val="2"/>
          </w:tcPr>
          <w:p>
            <w:pPr>
              <w:ind w:left="20"/>
              <w:spacing w:after="0"/>
              <w:rPr>
                <w:sz w:val="20"/>
                <w:szCs w:val="20"/>
                <w:color w:val="auto"/>
              </w:rPr>
            </w:pPr>
            <w:r>
              <w:rPr>
                <w:rFonts w:ascii="Arial" w:cs="Arial" w:eastAsia="Arial" w:hAnsi="Arial"/>
                <w:sz w:val="18"/>
                <w:szCs w:val="18"/>
                <w:color w:val="auto"/>
              </w:rPr>
              <w:t>2017 from 2016</w:t>
            </w:r>
          </w:p>
        </w:tc>
        <w:tc>
          <w:tcPr>
            <w:tcW w:w="1020" w:type="dxa"/>
            <w:vAlign w:val="bottom"/>
          </w:tcPr>
          <w:p>
            <w:pPr>
              <w:jc w:val="right"/>
              <w:ind w:right="310"/>
              <w:spacing w:after="0"/>
              <w:rPr>
                <w:sz w:val="20"/>
                <w:szCs w:val="20"/>
                <w:color w:val="auto"/>
              </w:rPr>
            </w:pPr>
            <w:r>
              <w:rPr>
                <w:rFonts w:ascii="Arial" w:cs="Arial" w:eastAsia="Arial" w:hAnsi="Arial"/>
                <w:sz w:val="18"/>
                <w:szCs w:val="18"/>
                <w:color w:val="auto"/>
              </w:rPr>
              <w:t>18 %</w:t>
            </w:r>
          </w:p>
        </w:tc>
        <w:tc>
          <w:tcPr>
            <w:tcW w:w="17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63"/>
        </w:trPr>
        <w:tc>
          <w:tcPr>
            <w:tcW w:w="8500" w:type="dxa"/>
            <w:vAlign w:val="bottom"/>
            <w:gridSpan w:val="2"/>
            <w:shd w:val="clear" w:color="auto" w:fill="D1D2D4"/>
          </w:tcPr>
          <w:p>
            <w:pPr>
              <w:ind w:left="20"/>
              <w:spacing w:after="0"/>
              <w:rPr>
                <w:sz w:val="20"/>
                <w:szCs w:val="20"/>
                <w:color w:val="auto"/>
              </w:rPr>
            </w:pPr>
            <w:r>
              <w:rPr>
                <w:rFonts w:ascii="Arial" w:cs="Arial" w:eastAsia="Arial" w:hAnsi="Arial"/>
                <w:sz w:val="18"/>
                <w:szCs w:val="18"/>
                <w:color w:val="auto"/>
              </w:rPr>
              <w:t>2016 from 2015</w:t>
            </w:r>
          </w:p>
        </w:tc>
        <w:tc>
          <w:tcPr>
            <w:tcW w:w="1020" w:type="dxa"/>
            <w:vAlign w:val="bottom"/>
            <w:shd w:val="clear" w:color="auto" w:fill="D1D2D4"/>
          </w:tcPr>
          <w:p>
            <w:pPr>
              <w:jc w:val="right"/>
              <w:ind w:right="310"/>
              <w:spacing w:after="0"/>
              <w:rPr>
                <w:sz w:val="20"/>
                <w:szCs w:val="20"/>
                <w:color w:val="auto"/>
              </w:rPr>
            </w:pPr>
            <w:r>
              <w:rPr>
                <w:rFonts w:ascii="Arial" w:cs="Arial" w:eastAsia="Arial" w:hAnsi="Arial"/>
                <w:sz w:val="18"/>
                <w:szCs w:val="18"/>
                <w:color w:val="auto"/>
              </w:rPr>
              <w:t>(34)%</w:t>
            </w:r>
          </w:p>
        </w:tc>
        <w:tc>
          <w:tcPr>
            <w:tcW w:w="1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w:t>
            </w:r>
          </w:p>
        </w:tc>
      </w:tr>
    </w:tbl>
    <w:p>
      <w:pPr>
        <w:spacing w:after="0" w:line="89"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i w:val="1"/>
          <w:iCs w:val="1"/>
          <w:color w:val="auto"/>
        </w:rPr>
        <w:t>Beginning in 2020, revenue and units for MCPs and SSDs, which contain both DRAM and NAND, are disaggregated based on the relative values of each component. Prior periods presented in the table above have been conformed to current period presentation.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We may be unable to maintain or improve gross margins.</w:t>
      </w:r>
    </w:p>
    <w:p>
      <w:pPr>
        <w:spacing w:after="0" w:line="27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gross margins are dependent, in part, upon continuing decreases in per gigabit manufacturing costs achieved through improvements in our manufacturing processes and product designs, including, but not limited to, process line-width, additional 3D memory layers, additional bits per cell (i.e., cell levels), architecture, number of mask layers, number of fabrication steps, and yield. In future periods, we may be unable to reduce our per gigabit manufacturing costs at sufficient levels to maintain or improve gross margins. Factors that may limit our ability to maintain or reduce costs include, but are not limited to, strategic product diversification decisions affecting product mix, the increasing complexity of manufacturing processes, difficulties in transitioning to smaller line-width process technologies, 3D memory layers, NAND cell levels, transitioning to replacement gate technology for NAND, process</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15 </w:t>
      </w:r>
      <w:r>
        <w:rPr>
          <w:rFonts w:ascii="Arial" w:cs="Arial" w:eastAsia="Arial" w:hAnsi="Arial"/>
          <w:sz w:val="21"/>
          <w:szCs w:val="21"/>
          <w:b w:val="1"/>
          <w:bCs w:val="1"/>
          <w:color w:val="0090DA"/>
        </w:rPr>
        <w:t>|</w:t>
      </w:r>
      <w:r>
        <w:rPr>
          <w:rFonts w:ascii="Arial" w:cs="Arial" w:eastAsia="Arial" w:hAnsi="Arial"/>
          <w:sz w:val="18"/>
          <w:szCs w:val="18"/>
          <w:color w:val="auto"/>
        </w:rPr>
        <w:t xml:space="preserve"> 2020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18" w:name="page19"/>
    <w:bookmarkEnd w:id="18"/>
    <w:p>
      <w:pPr>
        <w:ind w:right="920"/>
        <w:spacing w:after="0" w:line="261" w:lineRule="auto"/>
        <w:rPr>
          <w:sz w:val="20"/>
          <w:szCs w:val="20"/>
          <w:color w:val="auto"/>
        </w:rPr>
      </w:pPr>
      <w:r>
        <w:rPr>
          <w:rFonts w:ascii="Arial" w:cs="Arial" w:eastAsia="Arial" w:hAnsi="Arial"/>
          <w:sz w:val="18"/>
          <w:szCs w:val="18"/>
          <w:color w:val="auto"/>
        </w:rPr>
        <w:t>complexity including number of mask layers and fabrication steps, manufacturing yield, technological barriers, changes in process technologies, and new products that may require relatively larger die sizes.</w:t>
      </w:r>
    </w:p>
    <w:p>
      <w:pPr>
        <w:spacing w:after="0" w:line="225"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Many factors may result in a reduction of our output or a delay in ramping production, which could lead to underutilization of our production assets. These factors may include, among others, a weak demand environment, industry oversupply, inventory surpluses, our ramp of emerging technologies, declining selling prices, and changes in supply agreements. A significant portion of our manufacturing costs are fixed and do not vary proportionally with changes in production output. As a result, lower utilization and increases in our per gigabit manufacturing costs may adversely affect our gross margins, business, results of operations, or financial condition.</w:t>
      </w:r>
    </w:p>
    <w:p>
      <w:pPr>
        <w:spacing w:after="0" w:line="229"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In addition, per gigabit manufacturing costs may also be affected by a broader product portfolio, which may have smaller production quantities and shorter product lifecycles. Our business and the markets we serve are subject to rapid technological changes and material fluctuations in demand based on end-user preferences. As a result, we may have work in process or finished goods inventories that could become obsolete or in amounts that are in excess of our customers’ demand. As a result, we may incur charges in connection with obsolete or excess inventories, which could have a material adverse effect on our business, results of operations, or financial condition. In addition, due to the customized nature of certain of the products we manufacture, we may be unable to sell certain finished goods inventories to alternative customers or manufacture in-process inventory to different specifications, which may result in excess and obsolescence charges in future periods. Our inability to maintain or improve gross margins could have a material adverse effect on our business, results of operations, or financial condition.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The semiconductor memory and storage markets are highly competitive.</w:t>
      </w:r>
    </w:p>
    <w:p>
      <w:pPr>
        <w:spacing w:after="0" w:line="274"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We face intense competition in the semiconductor memory and storage markets from a number of companies, including Intel; Samsung Electronics Co., Ltd.; SK Hynix Inc.; Kioxia Holdings Corporation (formerly Toshiba Memory Corporation); and Western Digital Corporation. Some of our competitors are large corporations or conglomerates that may have greater resources to invest in technology, capitalize on growth opportunities, and withstand downturns in the semiconductor markets in which we compete. Consolidation of industry competitors could put us at a competitive disadvantage. In addition, some governments may provide, or have provided and may continue to provide, significant assistance, financial or otherwise, to some of our competitors or to new entrants and may intervene in support of national industries and/or competitors. In particular, we face the threat of increasing competition as a result of significant investment in the semiconductor industry by the Chinese government and various state-owned or affiliated entities that is intended to advance China’s stated national policy objectives. In addition, the Chinese government may restrict us from participating in the China market or may prevent us from competing effectively with Chinese companies. Some of our competitors may use aggressive pricing to obtain market share or take business of our key customers.</w:t>
      </w:r>
    </w:p>
    <w:p>
      <w:pPr>
        <w:spacing w:after="0" w:line="23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competitors generally seek to increase wafer capacity, improve yields, and reduce die size in their product designs which may result in significant increases in worldwide supply and downward pressure on prices. Increases in worldwide supply of semiconductor memory and storage also result from fabrication capacity expansions, either by way of new facilities, increased capacity utilization, or reallocation of other semiconductor production to semiconductor memory and storage production. Our competitors may increase capital expenditures resulting in future increases in worldwide supply. We and some of our competitors have plans to ramp, or are constructing or ramping, production at new fabrication facilities. Increases in worldwide supply of semiconductor memory and storage, if not accompanied by commensurate increases in demand, could lead to further declines in average selling prices for our products and could materially adversely affect our business, results of operations, or financial condition. If competitors are more successful at developing or implementing new product or process technology, their products could have cost or performance advantages.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competitive nature of our industry could have a material adverse effect on our business, results of operations, or financial condition.</w:t>
      </w:r>
    </w:p>
    <w:p>
      <w:pPr>
        <w:spacing w:after="0" w:line="230"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color w:val="0090DA"/>
        </w:rPr>
        <w:t>We may be unable to generate sufficient cash flows or obtain access to external financing necessary to fund our operations, make scheduled debt payments, and make adequate capital investments.</w:t>
      </w:r>
    </w:p>
    <w:p>
      <w:pPr>
        <w:spacing w:after="0" w:line="202"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Our cash flows from operations depend primarily on the volume of semiconductor memory and storage products sold, average selling prices, and manufacturing costs. To develop new product and process technology, support</w:t>
      </w:r>
    </w:p>
    <w:p>
      <w:pPr>
        <w:spacing w:after="0" w:line="200" w:lineRule="exact"/>
        <w:rPr>
          <w:sz w:val="20"/>
          <w:szCs w:val="20"/>
          <w:color w:val="auto"/>
        </w:rPr>
      </w:pPr>
    </w:p>
    <w:p>
      <w:pPr>
        <w:spacing w:after="0" w:line="269" w:lineRule="exact"/>
        <w:rPr>
          <w:sz w:val="20"/>
          <w:szCs w:val="20"/>
          <w:color w:val="auto"/>
        </w:rPr>
      </w:pPr>
    </w:p>
    <w:p>
      <w:pPr>
        <w:jc w:val="right"/>
        <w:spacing w:after="0"/>
        <w:rPr>
          <w:sz w:val="20"/>
          <w:szCs w:val="20"/>
          <w:color w:val="auto"/>
        </w:rPr>
      </w:pPr>
      <w:r>
        <w:rPr>
          <w:sz w:val="1"/>
          <w:szCs w:val="1"/>
          <w:color w:val="auto"/>
        </w:rPr>
        <w:drawing>
          <wp:inline distT="0" distB="0" distL="0" distR="0">
            <wp:extent cx="608330" cy="17145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8330" cy="171450"/>
                    </a:xfrm>
                    <a:prstGeom prst="rect">
                      <a:avLst/>
                    </a:prstGeom>
                    <a:noFill/>
                    <a:ln>
                      <a:noFill/>
                    </a:ln>
                  </pic:spPr>
                </pic:pic>
              </a:graphicData>
            </a:graphic>
          </wp:inline>
        </w:drawing>
      </w:r>
      <w:r>
        <w:rPr>
          <w:rFonts w:ascii="Arial" w:cs="Arial" w:eastAsia="Arial" w:hAnsi="Arial"/>
          <w:sz w:val="18"/>
          <w:szCs w:val="18"/>
          <w:color w:val="auto"/>
        </w:rPr>
        <w:t xml:space="preserv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19" w:name="page20"/>
    <w:bookmarkEnd w:id="19"/>
    <w:p>
      <w:pPr>
        <w:ind w:right="300"/>
        <w:spacing w:after="0" w:line="261" w:lineRule="auto"/>
        <w:rPr>
          <w:sz w:val="20"/>
          <w:szCs w:val="20"/>
          <w:color w:val="auto"/>
        </w:rPr>
      </w:pPr>
      <w:r>
        <w:rPr>
          <w:rFonts w:ascii="Arial" w:cs="Arial" w:eastAsia="Arial" w:hAnsi="Arial"/>
          <w:sz w:val="18"/>
          <w:szCs w:val="18"/>
          <w:color w:val="auto"/>
        </w:rPr>
        <w:t>future growth, achieve operating efficiencies, and maintain product quality, we must make significant capital investments in manufacturing technology, capital equipment, facilities, R&amp;D, and product and process technology.</w:t>
      </w:r>
    </w:p>
    <w:p>
      <w:pPr>
        <w:spacing w:after="0" w:line="225"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We estimate capital expenditures in 2021 for property, plant, and equipment, net of partner contributions, will be approximately $9 billion, focused on technology transitions and product enablement. Investments in capital expenditures may not generate expected returns or cash flows. Delays in completion and ramping of new production facilities could significantly impact our ability to realize expected returns on our capital expenditures, which could have a material adverse effect on our business, results of operations, or financial condition.</w:t>
      </w:r>
    </w:p>
    <w:p>
      <w:pPr>
        <w:spacing w:after="0" w:line="231"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In the past we have utilized external sources of financing when needed. As a result of our debt levels, expected debt amortization, and general economic conditions, it may be difficult for us to obtain financing on terms acceptable to us. We have experienced volatility in our cash flows and operating results and may continue to experience such volatility in the future, which may negatively affect our credit rating. Our credit rating may also be affected by our liquidity, financial results, economic risk, or other factors, which may increase the cost of future borrowings and make it difficult for us to obtain financing on terms acceptable to us. In addition, if our credit rating declines below a certain level, our credit facility will be required to become secured by certain of our assets, which may limit the amount or increase the cost of future financings. There can be no assurance that we will be able to generate sufficient cash flows, access capital or credit markets, or find other sources of financing to fund our operations, make debt payments, and make adequate capital investments to remain competitive in terms of technology development and cost efficiency. Our inability to do any of the foregoing could have a material adverse effect on our business, results of operations, or financial condition.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A downturn in the worldwide economy may harm our business.</w:t>
      </w:r>
    </w:p>
    <w:p>
      <w:pPr>
        <w:spacing w:after="0" w:line="27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health crisis caused by COVID-19 has adversely affected economic conditions and caused a downturn in the worldwide economy. Downturns in the worldwide economy have harmed our business in the past and the current downturn has adversely affected our business. As a result, demand for certain of our products used in smartphones, consumer electronics, and automotive, has declined. Reduced demand for these or other products could result in significant decreases in our average selling prices and product sales. If these adverse conditions persist or worsen, we could experience additional reduction in demand for our products and/or devices that incorporate our products. Future downturns could also adversely affect our business. In addition, to the extent our customers or distributors have elevated inventory levels, we may experience a decrease in short-term and/or long-term demand and/or pricing for our products.</w:t>
      </w:r>
    </w:p>
    <w:p>
      <w:pPr>
        <w:spacing w:after="0" w:line="234"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A deterioration of conditions in worldwide credit markets could limit our ability to obtain external financing to fund our operations and capital expenditures. In addition, we may experience losses on our holdings of cash and investments due to failures of financial institutions and other parties. Difficult economic conditions may also result in a higher rate of losses on our accounts receivable due to credit defaults. As a result, downturns in the worldwide economy could have a material adverse effect on our business, results of operations, or financial condition.</w:t>
      </w:r>
    </w:p>
    <w:p>
      <w:pPr>
        <w:spacing w:after="0" w:line="207"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color w:val="0090DA"/>
        </w:rPr>
        <w:t>Increases in tariffs or other trade restrictions or taxes on our or our customers’ products or equipment and supplies could have an adverse impact on our operations.</w:t>
      </w:r>
    </w:p>
    <w:p>
      <w:pPr>
        <w:spacing w:after="0" w:line="202" w:lineRule="exact"/>
        <w:rPr>
          <w:sz w:val="20"/>
          <w:szCs w:val="20"/>
          <w:color w:val="auto"/>
        </w:rPr>
      </w:pPr>
    </w:p>
    <w:p>
      <w:pPr>
        <w:jc w:val="both"/>
        <w:ind w:right="400"/>
        <w:spacing w:after="0" w:line="256" w:lineRule="auto"/>
        <w:rPr>
          <w:sz w:val="20"/>
          <w:szCs w:val="20"/>
          <w:color w:val="auto"/>
        </w:rPr>
      </w:pPr>
      <w:r>
        <w:rPr>
          <w:rFonts w:ascii="Arial" w:cs="Arial" w:eastAsia="Arial" w:hAnsi="Arial"/>
          <w:sz w:val="18"/>
          <w:szCs w:val="18"/>
          <w:color w:val="auto"/>
        </w:rPr>
        <w:t>In 2020, 88% of our revenue was from products shipped to customer locations outside the United States. We also purchase a significant portion of equipment and supplies from suppliers outside the United States. Additionally, a significant portion of our facilities are located outside the United States, including in Taiwan, Singapore, Japan, and China.</w:t>
      </w:r>
    </w:p>
    <w:p>
      <w:pPr>
        <w:spacing w:after="0" w:line="22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United States and other countries have levied tariffs and taxes on certain goods. General trade tensions between the United States and China have been escalating since 2018, with U.S. tariffs on Chinese goods and retaliatory Chinese tariffs on U.S. goods. Some of our products are included in these tariffs. Higher duties on existing tariffs and further rounds of tariffs have been announced or threatened by U.S. and Chinese leaders. Additionally, the United States has threatened to impose tariffs on goods imported from other countries, which could also impact certain of our customers’ or our operations. If the United States were to impose current or additional tariffs on components that we or our suppliers source, our cost for such components would increase. We may also incur increases in manufacturing costs and supply chain risks due to our efforts to mitigate the impact of tariffs on our customers and our operations. Additionally, tariffs on our customers’ products could impact their sales of such end products, resulting in lower demand for our products.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17 </w:t>
      </w:r>
      <w:r>
        <w:rPr>
          <w:rFonts w:ascii="Arial" w:cs="Arial" w:eastAsia="Arial" w:hAnsi="Arial"/>
          <w:sz w:val="21"/>
          <w:szCs w:val="21"/>
          <w:b w:val="1"/>
          <w:bCs w:val="1"/>
          <w:color w:val="0090DA"/>
        </w:rPr>
        <w:t>|</w:t>
      </w:r>
      <w:r>
        <w:rPr>
          <w:rFonts w:ascii="Arial" w:cs="Arial" w:eastAsia="Arial" w:hAnsi="Arial"/>
          <w:sz w:val="18"/>
          <w:szCs w:val="18"/>
          <w:color w:val="auto"/>
        </w:rPr>
        <w:t xml:space="preserve"> 2020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49" w:right="359" w:bottom="1440" w:gutter="0" w:footer="0" w:header="0"/>
        </w:sectPr>
      </w:pPr>
    </w:p>
    <w:bookmarkStart w:id="20" w:name="page21"/>
    <w:bookmarkEnd w:id="20"/>
    <w:p>
      <w:pPr>
        <w:ind w:right="80"/>
        <w:spacing w:after="0" w:line="252" w:lineRule="auto"/>
        <w:rPr>
          <w:sz w:val="20"/>
          <w:szCs w:val="20"/>
          <w:color w:val="auto"/>
        </w:rPr>
      </w:pPr>
      <w:r>
        <w:rPr>
          <w:rFonts w:ascii="Arial" w:cs="Arial" w:eastAsia="Arial" w:hAnsi="Arial"/>
          <w:sz w:val="18"/>
          <w:szCs w:val="18"/>
          <w:color w:val="auto"/>
        </w:rPr>
        <w:t>We cannot predict what further actions may ultimately be taken with respect to tariffs or trade relations between the United States and other countries, what products may be subject to such actions, or what actions may be taken by other countries in retaliation. Further changes in trade policy, tariffs, additional taxes, restrictions on exports or other trade barriers, or restrictions on supplies, equipment, and raw materials including rare earth minerals, may limit our ability to produce products, increase our selling and/or manufacturing costs, decrease margins, reduce the competitiveness of our products, or inhibit our ability to sell products or purchase necessary equipment and supplies, which could have a material adverse effect on our business, results of operations, or financial condition.</w:t>
      </w:r>
    </w:p>
    <w:p>
      <w:pPr>
        <w:spacing w:after="0" w:line="213"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color w:val="0090DA"/>
        </w:rPr>
        <w:t>Trade regulations have restricted our ability to sell our products to several customers, could restrict our ability to sell our products to other customers or in certain markets, or could otherwise restrict our ability to conduct operations.</w:t>
      </w:r>
    </w:p>
    <w:p>
      <w:pPr>
        <w:spacing w:after="0" w:line="202"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International trade disputes have led, and may continue to lead, to new and increasing trade barriers and other protectionist measures that can increase our manufacturing costs, make our products less competitive, reduce demand for our products, limit our ability to sell to certain customers or markets, limit our ability to procure components or raw materials, impede or slow the movement of our goods across borders, impede our ability to perform R&amp;D activities, or otherwise restrict our ability to conduct operations. Increasing protectionism and economic nationalism may lead to further changes in trade policy, domestic sourcing initiatives, or other formal and informal measures that could make it more difficult to sell our products in, or restrict our access to, some markets and/or customers.</w:t>
      </w:r>
    </w:p>
    <w:p>
      <w:pPr>
        <w:spacing w:after="0" w:line="23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Escalating trade tensions between the United States and China have led to increased trade restrictions, and have affected customer ordering patterns. For example, over the last 18 months the BIS has enacted increasingly broad trade restrictions with respect to Huawei (which represented approximately 10% of our revenue in the fourth quarter of 2020 and 12% in 2019), culminating with restrictions that took effect on September 15, 2020 and that currently prevent us and many other companies from shipping products to Huawei. We cannot predict the duration these restrictions will remain in place, whether the BIS will grant us or others licenses to ship products to Huawei, or whether the BIS or other U.S. or foreign government entities will enact similar restrictions with respect to other customers, markets, or products. We may not be able to replace the lost revenue opportunities associated with such restrictions.</w:t>
      </w:r>
    </w:p>
    <w:p>
      <w:pPr>
        <w:spacing w:after="0" w:line="23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United States has also imposed other restrictions on the export of U.S. regulated products and technology to certain Chinese technology companies, including certain of our customers. These restrictions have reduced our sales, and continuing or future restrictions could adversely affect our financial results, result in reputational harm to us due to our relationship with such companies, or lead such companies to develop or adopt technologies that compete with our products. It is difficult to predict what further trade-related actions governments may take, and we may be unable to quickly and effectively react to such actions. For example, U.S. legislation has expanded the power of the U.S. Department of Commerce to restrict the export of “emerging and foundational technologies” yet to be identified, which could impact our current or future products.</w:t>
      </w:r>
    </w:p>
    <w:p>
      <w:pPr>
        <w:spacing w:after="0" w:line="234"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Trade disputes and protectionist measures, or continued uncertainty about such matters, could result in declining consumer confidence and slowing economic growth or recession, and could cause our customers to reduce, cancel, or alter the timing of their purchases with us. Sustained trade tensions could lead to long-term changes in global trade and technology supply chains, which could adversely affect our business and growth prospects. Trade restrictions that may be imposed by the United States, China, or other countries may impact our business in ways we cannot reasonably quantify, including that some of our customers’ products which incorporate our solutions may also be impacted. Restrictions on our ability to sell and ship our products to Huawei have had, and may continue to have, an adverse effect on our business, results of operations, or financial condition. In addition, further increases in trade restrictions or barriers may negatively impact our revenue with Huawei or other customers, and any licenses we have received or could receive in the future could be rendered ineffective. Any such changes may have a further adverse effect on our business, results of operations, or financial condition.</w:t>
      </w:r>
    </w:p>
    <w:p>
      <w:pPr>
        <w:spacing w:after="0" w:line="239"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Although we have policies, controls, and procedures designed to help ensure compliance with applicable laws, there can be no assurance that our employees, contractors, suppliers, or agents will not violate such laws or our policies. Violations of trade laws, restrictions, or regulations can result in fines; criminal sanctions against us or our officers, directors, or employees; prohibitions on the conduct of our business; and damage to our reputation. The technology industry is subject to intense media, political, and regulatory scrutiny, which can increase our exposure to government investigations, legal actions, and penalties.</w:t>
      </w: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sz w:val="1"/>
          <w:szCs w:val="1"/>
          <w:color w:val="auto"/>
        </w:rPr>
        <w:drawing>
          <wp:inline distT="0" distB="0" distL="0" distR="0">
            <wp:extent cx="608330" cy="17145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8330" cy="171450"/>
                    </a:xfrm>
                    <a:prstGeom prst="rect">
                      <a:avLst/>
                    </a:prstGeom>
                    <a:noFill/>
                    <a:ln>
                      <a:noFill/>
                    </a:ln>
                  </pic:spPr>
                </pic:pic>
              </a:graphicData>
            </a:graphic>
          </wp:inline>
        </w:drawing>
      </w:r>
      <w:r>
        <w:rPr>
          <w:rFonts w:ascii="Arial" w:cs="Arial" w:eastAsia="Arial" w:hAnsi="Arial"/>
          <w:sz w:val="18"/>
          <w:szCs w:val="18"/>
          <w:color w:val="auto"/>
        </w:rPr>
        <w:t xml:space="preserv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0090DA"/>
        </w:rPr>
        <w:t>Our future success depends on our ability to develop and produce competitive new memory and storage technologies.</w:t>
      </w:r>
    </w:p>
    <w:p>
      <w:pPr>
        <w:spacing w:after="0" w:line="274"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Our key semiconductor memory and storage products and technologies face technological barriers to continue to meet long-term customer needs. These barriers include potential limitations on stacking additional 3D memory layers, increasing bits per cell (i.e., cell levels), meeting higher density requirements, and improving power consumption and reliability. We may face technological barriers to continue to shrink our products at our current or historical rate, which has generally reduced per-unit cost. We have invested and expect to continue to invest in R&amp;D for new and existing products, which involves significant risk and uncertainties. We may be unable to recover our investment in R&amp;D or otherwise realize the economic benefits of reducing die size or increasing memory and storage densities. Our competitors are working to develop new memory and storage technologies that may offer performance and/or cost advantages to existing technologies and render existing technologies obsolete. Accordingly, our future success may depend on our ability to develop and produce viable and competitive new memory and storage technologies. There can be no assurance of the following:</w:t>
      </w:r>
    </w:p>
    <w:p>
      <w:pPr>
        <w:spacing w:after="0" w:line="239"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that we will be successful in developing competitive new semiconductor memory and storage technologies;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that we will be able to cost-effectively manufacture new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that we will be able to successfully market these technologies;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that margins generated from sales of these products will allow us to recover costs of development efforts.</w:t>
      </w:r>
    </w:p>
    <w:p>
      <w:pPr>
        <w:spacing w:after="0" w:line="252"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We develop and produce advanced memory technologies, including 3D XPoint memory, a new class of non-volatile technology. There is no assurance that our efforts to develop and market new product technologies will be successful. Unsuccessful efforts to develop new memory and storage technologies could have a material adverse effect on our business, results of operations, or financial condition.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A significant portion of our revenue is concentrated with a select number of customers.</w:t>
      </w:r>
    </w:p>
    <w:p>
      <w:pPr>
        <w:spacing w:after="0" w:line="274"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In each of the last three years, approximately one-half of our total revenue was from our top ten customers. A disruption in our relationship with any of these customers could adversely affect our business. We could experience fluctuations in our customer base or the mix of revenue by customer as markets and strategies evolve. In addition, any consolidation of our customers could reduce the number of customers to whom our products may be sold. Our inability to meet our customers’ requirements or to qualify our products with them could adversely impact our revenue. Meaningful change in the inventory strategy of our customers, particularly those in China, could impact our industry bit demand growth outlook. The loss of, or restrictions on our ability to sell to, one or more of our major customers, such as those relating to Huawei described above, or any significant reduction in orders from, or a shift in product mix by, customers could have a material adverse effect on our business, results of operations, or financial condition.</w:t>
      </w:r>
    </w:p>
    <w:p>
      <w:pPr>
        <w:spacing w:after="0" w:line="213"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color w:val="0090DA"/>
        </w:rPr>
        <w:t>We face risks associated with our international sales and operations that could materially adversely affect our business, results of operations, or financial condition.</w:t>
      </w:r>
    </w:p>
    <w:p>
      <w:pPr>
        <w:spacing w:after="0" w:line="20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2020, 52% of our revenue was from sales to customers who have headquarters located outside the United States. We ship our products to the locations specified by our customers. Customers with global supply chains and operations may request we deliver products to countries where they own or operate production facilities or to countries where they utilize third-party subcontractors or warehouses. As a result, 88% of our revenue in 2020 was from products shipped to customer locations outside the United States.</w:t>
      </w:r>
    </w:p>
    <w:p>
      <w:pPr>
        <w:spacing w:after="0" w:line="231"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A substantial portion of our operations are conducted in Taiwan, Singapore, Japan, and China, and many of our customers, suppliers, and vendors also operate internationally. Our operations, and the global supply chain of the technology industry, are subject to a number of risks, including the effects of actions and policies of various governments across our global operations and supply chain. For example, political, economic, or other actions from China could impact Taiwan and its economy, and may adversely affect our operations in Taiwan, our customers, and the technology industry supply chain. In addition, the U.S. government has in the past restricted American firms from selling products and software to certain of our customers and may in the future impose similar bans or other restrictions on sales to one or more of our significant customers. These restrictions may not prohibit our competitors from selling similar products to our customers, which may result in our loss of sales and market share. Even when such restrictions are lifted, financial or other penalties or continuing export restrictions imposed with respect to our</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19 </w:t>
      </w:r>
      <w:r>
        <w:rPr>
          <w:rFonts w:ascii="Arial" w:cs="Arial" w:eastAsia="Arial" w:hAnsi="Arial"/>
          <w:sz w:val="21"/>
          <w:szCs w:val="21"/>
          <w:b w:val="1"/>
          <w:bCs w:val="1"/>
          <w:color w:val="0090DA"/>
        </w:rPr>
        <w:t>|</w:t>
      </w:r>
      <w:r>
        <w:rPr>
          <w:rFonts w:ascii="Arial" w:cs="Arial" w:eastAsia="Arial" w:hAnsi="Arial"/>
          <w:sz w:val="18"/>
          <w:szCs w:val="18"/>
          <w:color w:val="auto"/>
        </w:rPr>
        <w:t xml:space="preserve"> 2020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0" w:right="359" w:bottom="1440" w:gutter="0" w:footer="0" w:header="0"/>
        </w:sectPr>
      </w:pPr>
    </w:p>
    <w:bookmarkStart w:id="22" w:name="page23"/>
    <w:bookmarkEnd w:id="22"/>
    <w:p>
      <w:pPr>
        <w:ind w:right="160"/>
        <w:spacing w:after="0" w:line="246" w:lineRule="auto"/>
        <w:rPr>
          <w:sz w:val="20"/>
          <w:szCs w:val="20"/>
          <w:color w:val="auto"/>
        </w:rPr>
      </w:pPr>
      <w:r>
        <w:rPr>
          <w:rFonts w:ascii="Arial" w:cs="Arial" w:eastAsia="Arial" w:hAnsi="Arial"/>
          <w:sz w:val="18"/>
          <w:szCs w:val="18"/>
          <w:color w:val="auto"/>
        </w:rPr>
        <w:t>customers could have a continuing negative impact on our future revenue and results of operations, and we may not be able to recover any customers or market share we lose while complying with such restrictions.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Our international sales and operations are subject to a variety of risks, including:</w:t>
      </w:r>
    </w:p>
    <w:p>
      <w:pPr>
        <w:spacing w:after="0" w:line="252" w:lineRule="exact"/>
        <w:rPr>
          <w:sz w:val="20"/>
          <w:szCs w:val="20"/>
          <w:color w:val="auto"/>
        </w:rPr>
      </w:pPr>
    </w:p>
    <w:p>
      <w:pPr>
        <w:ind w:left="660" w:right="500" w:hanging="328"/>
        <w:spacing w:after="0" w:line="25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export and import duties, changes to import and export regulations, customs regulations and processes, and restrictions on the transfer of funds;</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imposition of bans on sales of goods or services to one or more of our significant foreign customers;</w:t>
      </w:r>
    </w:p>
    <w:p>
      <w:pPr>
        <w:spacing w:after="0" w:line="9" w:lineRule="exact"/>
        <w:rPr>
          <w:rFonts w:ascii="Arial" w:cs="Arial" w:eastAsia="Arial" w:hAnsi="Arial"/>
          <w:sz w:val="18"/>
          <w:szCs w:val="18"/>
          <w:color w:val="auto"/>
        </w:rPr>
      </w:pPr>
    </w:p>
    <w:p>
      <w:pPr>
        <w:ind w:left="660" w:right="400" w:hanging="328"/>
        <w:spacing w:after="0" w:line="25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public health issues (for example, an outbreak of a contagious disease such as COVID-19, Severe Acute Respiratory Syndrome (“SARS-CoV”), avian and swine influenza, measles, or Ebola);</w:t>
      </w:r>
    </w:p>
    <w:p>
      <w:pPr>
        <w:ind w:left="660" w:right="220" w:hanging="328"/>
        <w:spacing w:after="0" w:line="25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compliance with U.S. and international laws involving international operations, including the Foreign Corrupt Practices Act of 1977, as amended, export and import laws, and similar rules and regulations;</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theft of intellectual property;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political and economic instability, including the effects of disputes between China and Taiwan;</w:t>
      </w:r>
    </w:p>
    <w:p>
      <w:pPr>
        <w:spacing w:after="0" w:line="9" w:lineRule="exact"/>
        <w:rPr>
          <w:rFonts w:ascii="Arial" w:cs="Arial" w:eastAsia="Arial" w:hAnsi="Arial"/>
          <w:sz w:val="18"/>
          <w:szCs w:val="18"/>
          <w:color w:val="auto"/>
        </w:rPr>
      </w:pPr>
    </w:p>
    <w:p>
      <w:pPr>
        <w:ind w:left="660" w:right="200" w:hanging="328"/>
        <w:spacing w:after="0" w:line="25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government actions or civil unrest preventing the flow of products, including delays in shipping and obtaining products, cancellation of orders, or loss or damage of products;</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problems with the transportation or delivery of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issues arising from cultural or language differences and labor unrest;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longer payment cycles and greater difficulty in collecting accounts receivable;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compliance with trade, technical standards, and other laws in a variety of jurisdictions;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contractual and regulatory limitations on the ability to maintain flexibility with staffing levels;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disruptions to manufacturing or R&amp;D activities as a result of actions imposed by foreign governments;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economic policies of foreign governments;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in staffing and managing international operations.</w:t>
      </w:r>
    </w:p>
    <w:p>
      <w:pPr>
        <w:spacing w:after="0" w:line="252"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If we or our customers, suppliers, or vendors are impacted by these risks, it could have a material adverse effect on our business, results of operations, or financial condition.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We have been served with complaints in Chinese courts alleging patent infringement.</w:t>
      </w:r>
    </w:p>
    <w:p>
      <w:pPr>
        <w:spacing w:after="0" w:line="27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have been served with complaints in Chinese courts alleging that we infringe certain Chinese patents by manufacturing and selling certain products in China. The complaints seek orders requiring us to destroy inventory of the accused products and equipment for manufacturing the accused products in China; to stop manufacturing, using, selling, and offering for sale the accused products in China; and to pay damages plus court fees.</w:t>
      </w:r>
    </w:p>
    <w:p>
      <w:pPr>
        <w:spacing w:after="0" w:line="231"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We are unable to predict the outcome of these assertions of infringement made against us and therefore cannot estimate the range of possible loss. A determination that our products or manufacturing processes infringe the intellectual property rights of others or entering into a license agreement covering such intellectual property could result in significant liability and/or require us to make material changes to our operations in China, products, and/or manufacturing processes. Any of the foregoing could have a material adverse effect on our business, results of operations, or financial condition. (See “Part II – Item 8. Financial Statements and Supplementary Data – Notes to Consolidated Financial Statements – Contingencies.”)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We are subject to allegations of anticompetitive conduct.</w:t>
      </w:r>
    </w:p>
    <w:p>
      <w:pPr>
        <w:spacing w:after="0" w:line="27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On April 27, 2018, a complaint was filed against Micron and other DRAM suppliers in the U.S. District Court for the Northern District of California. Subsequently, two substantially identical cases were filed in the same court. The lawsuits purported to be on behalf of a nationwide class of indirect purchasers of DRAM products. On September 3, 2019, the District Court granted Micron’s motion to dismiss and allowed plaintiffs the opportunity to file a consolidated, amended complaint. On October 28, 2019, the plaintiffs filed a consolidated amended complaint that purports to be on behalf of a nationwide class of indirect purchasers of DRAM products. The amended complaint asserts claims based on alleged price-fixing of DRAM products under federal and state law during the period from June 1, 2016 to at least February 1, 2018, and seeks treble monetary damages, costs, interest, attorneys’ fees, and other injunctive and equitable relief.</w:t>
      </w:r>
    </w:p>
    <w:p>
      <w:pPr>
        <w:spacing w:after="0" w:line="230"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On June 26, 2018, a complaint was filed against Micron and other DRAM suppliers in the U.S. District Court for the Northern District of California. Subsequently, four substantially identical cases were filed in the same court. On October 28, 2019, the plaintiffs filed a consolidated, amended complaint. The consolidated complaint purports to be on behalf of a nationwide class of direct purchasers of DRAM products. The consolidated complaint asserts claims</w:t>
      </w:r>
    </w:p>
    <w:p>
      <w:pPr>
        <w:sectPr>
          <w:pgSz w:w="11900" w:h="16838" w:orient="portrait"/>
          <w:cols w:equalWidth="0" w:num="1">
            <w:col w:w="11240"/>
          </w:cols>
          <w:pgMar w:left="320" w:top="949" w:right="339" w:bottom="1440" w:gutter="0" w:footer="0" w:header="0"/>
        </w:sectPr>
      </w:pPr>
    </w:p>
    <w:p>
      <w:pPr>
        <w:spacing w:after="0" w:line="200" w:lineRule="exact"/>
        <w:rPr>
          <w:sz w:val="20"/>
          <w:szCs w:val="20"/>
          <w:color w:val="auto"/>
        </w:rPr>
      </w:pPr>
    </w:p>
    <w:p>
      <w:pPr>
        <w:spacing w:after="0" w:line="276" w:lineRule="exact"/>
        <w:rPr>
          <w:sz w:val="20"/>
          <w:szCs w:val="20"/>
          <w:color w:val="auto"/>
        </w:rPr>
      </w:pPr>
    </w:p>
    <w:p>
      <w:pPr>
        <w:ind w:left="10040"/>
        <w:spacing w:after="0"/>
        <w:rPr>
          <w:sz w:val="20"/>
          <w:szCs w:val="20"/>
          <w:color w:val="auto"/>
        </w:rPr>
      </w:pPr>
      <w:r>
        <w:rPr>
          <w:sz w:val="1"/>
          <w:szCs w:val="1"/>
          <w:color w:val="auto"/>
        </w:rPr>
        <w:drawing>
          <wp:inline distT="0" distB="0" distL="0" distR="0">
            <wp:extent cx="608330" cy="17145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08330" cy="171450"/>
                    </a:xfrm>
                    <a:prstGeom prst="rect">
                      <a:avLst/>
                    </a:prstGeom>
                    <a:noFill/>
                    <a:ln>
                      <a:noFill/>
                    </a:ln>
                  </pic:spPr>
                </pic:pic>
              </a:graphicData>
            </a:graphic>
          </wp:inline>
        </w:drawing>
      </w:r>
      <w:r>
        <w:rPr>
          <w:rFonts w:ascii="Arial" w:cs="Arial" w:eastAsia="Arial" w:hAnsi="Arial"/>
          <w:sz w:val="13"/>
          <w:szCs w:val="13"/>
          <w:color w:val="auto"/>
        </w:rPr>
        <w:t xml:space="preserv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type w:val="continuous"/>
        </w:sectPr>
      </w:pPr>
    </w:p>
    <w:bookmarkStart w:id="23" w:name="page24"/>
    <w:bookmarkEnd w:id="23"/>
    <w:p>
      <w:pPr>
        <w:ind w:right="20"/>
        <w:spacing w:after="0" w:line="246" w:lineRule="auto"/>
        <w:rPr>
          <w:sz w:val="20"/>
          <w:szCs w:val="20"/>
          <w:color w:val="auto"/>
        </w:rPr>
      </w:pPr>
      <w:r>
        <w:rPr>
          <w:rFonts w:ascii="Arial" w:cs="Arial" w:eastAsia="Arial" w:hAnsi="Arial"/>
          <w:sz w:val="18"/>
          <w:szCs w:val="18"/>
          <w:color w:val="auto"/>
        </w:rPr>
        <w:t>based on alleged price-fixing of DRAM products under federal and state law during the period from June 1, 2016 through at least February 1, 2018, and seeks treble monetary damages, costs, interest, attorneys’ fees, and other injunctive and equitable relief.</w:t>
      </w:r>
    </w:p>
    <w:p>
      <w:pPr>
        <w:spacing w:after="0" w:line="22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Additionally, six cases have been filed in the following Canadian courts: Superior Court of Quebec, the Federal Court of Canada, the Ontario Superior Court of Justice, and the Supreme Court of British Columbia. The substantive allegations in these cases are similar to those asserted in the cases filed in the United States.</w:t>
      </w:r>
    </w:p>
    <w:p>
      <w:pPr>
        <w:spacing w:after="0" w:line="229"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On May 15, 2018, the Chinese State Administration for Market Regulation (“SAMR”) notified Micron that it was investigating potential collusion and other anticompetitive conduct by DRAM suppliers in China. On May 31, 2018, SAMR made unannounced visits to our sales offices in Beijing, Shanghai, and Shenzhen to seek certain information as part of its investigation. We are cooperating with SAMR in its investigation.</w:t>
      </w:r>
    </w:p>
    <w:p>
      <w:pPr>
        <w:spacing w:after="0" w:line="23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are unable to predict the outcome of these matters and therefore cannot estimate the range of possible loss. The final resolution of these matters could result in significant liability and could have a material adverse effect on our business, results of operations, or financial condition.</w:t>
      </w:r>
    </w:p>
    <w:p>
      <w:pPr>
        <w:spacing w:after="0" w:line="207"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b w:val="1"/>
          <w:bCs w:val="1"/>
          <w:color w:val="0090DA"/>
        </w:rPr>
        <w:t>Our business, results of operations, or financial condition could be adversely affected by the limited availability and quality of materials, supplies, and capital equipment, or the dependency on third-party service providers.</w:t>
      </w:r>
    </w:p>
    <w:p>
      <w:pPr>
        <w:spacing w:after="0" w:line="202"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Our supply chain and operations are dependent on the availability of materials that meet exacting standards and the use of third parties to provide us with components and services. We generally have multiple sources of supply for our materials and services. However, only a limited number of suppliers are capable of delivering certain materials and services that meet our standards and, in some cases, materials, components, or services are provided by a single supplier. Various factors could reduce the availability of materials or components such as chemicals, silicon wafers, gases, photoresist, controllers, substrates, lead frames, printed circuit boards, targets, and reticle glass blanks. Shortages or increases in lead times may occur from time to time in the future. Our manufacturing processes are also dependent on our relationships with third-party manufacturers of controllers used in a number of our products and with outsourced semiconductor assembly and test providers, contract manufacturers, logistic carriers, and other service providers.</w:t>
      </w:r>
    </w:p>
    <w:p>
      <w:pPr>
        <w:spacing w:after="0" w:line="23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Certain materials are primarily available in certain countries, including rare earth elements, minerals, and metals available primarily from China. Trade disputes or other political conditions, economic conditions, or public health issues, such as COVID-19, may limit our ability to obtain such materials. Although these rare earth and other materials are generally available from multiple suppliers, China is the predominant producer of certain of these materials. If China were to restrict or stop exporting these materials, our suppliers’ ability to obtain such supply may be constrained and we may be unable to obtain sufficient quantities, or obtain supply in a timely manner, or at a commercially reasonable cost. Constrained supply of rare earth elements, minerals, and metals may restrict our ability to manufacture certain of our products and make it difficult or impossible to compete with other semiconductor memory manufacturers who are able to obtain sufficient quantities of these materials from China.</w:t>
      </w:r>
    </w:p>
    <w:p>
      <w:pPr>
        <w:spacing w:after="0" w:line="235"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and/or our suppliers and service providers could be affected by tariffs, embargoes, or other trade restrictions, as well as laws and regulations enacted in response to concerns regarding climate change, conflict minerals, responsible sourcing practices, public health crises, contagious disease outbreaks, or other matters, which could limit the supply of our materials and/or increase the cost. Environmental regulations could limit our ability to procure or use certain chemicals or materials in our operations or products. In addition, disruptions in transportation lines could delay our receipt of materials. Lead times for the supply of materials have been extended in the past. Our ability to procure components to repair equipment essential for our manufacturing processes could also be negatively impacted by various restrictions or disruptions in supply chains, among other items. The disruption of our supply of materials, components, services, or the extension of our lead times could have a material adverse effect on our business, results of operations, or financial condition.</w:t>
      </w:r>
    </w:p>
    <w:p>
      <w:pPr>
        <w:spacing w:after="0" w:line="23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operations are dependent on our ability to procure advanced semiconductor manufacturing equipment that enables the transition to lower cost manufacturing processes. For certain key types of equipment, including photolithography tools, we are sometimes dependent on a single supplier. From time to time, we have experienced difficulties in obtaining some equipment on a timely basis due to suppliers’ limited capacity. Our inability to obtain equipment on a timely basis could adversely affect our ability to transition to next generation manufacturing processes and reduce our costs. Delays in obtaining equipment could also impede our ability to ramp production at</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21"/>
          <w:szCs w:val="21"/>
          <w:b w:val="1"/>
          <w:bCs w:val="1"/>
          <w:color w:val="0090DA"/>
        </w:rPr>
        <w:t>|</w:t>
      </w:r>
      <w:r>
        <w:rPr>
          <w:rFonts w:ascii="Arial" w:cs="Arial" w:eastAsia="Arial" w:hAnsi="Arial"/>
          <w:sz w:val="18"/>
          <w:szCs w:val="18"/>
          <w:color w:val="auto"/>
        </w:rPr>
        <w:t xml:space="preserve"> 2020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49" w:right="359" w:bottom="1440" w:gutter="0" w:footer="0" w:header="0"/>
        </w:sectPr>
      </w:pPr>
    </w:p>
    <w:bookmarkStart w:id="24" w:name="page25"/>
    <w:bookmarkEnd w:id="24"/>
    <w:p>
      <w:pPr>
        <w:ind w:right="220"/>
        <w:spacing w:after="0" w:line="261" w:lineRule="auto"/>
        <w:rPr>
          <w:sz w:val="20"/>
          <w:szCs w:val="20"/>
          <w:color w:val="auto"/>
        </w:rPr>
      </w:pPr>
      <w:r>
        <w:rPr>
          <w:rFonts w:ascii="Arial" w:cs="Arial" w:eastAsia="Arial" w:hAnsi="Arial"/>
          <w:sz w:val="18"/>
          <w:szCs w:val="18"/>
          <w:color w:val="auto"/>
        </w:rPr>
        <w:t>new facilities and could increase our overall costs of a ramp. Our inability to obtain advanced semiconductor manufacturing equipment in a timely manner could have a material adverse effect on our business, results of operations, or financial condition.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New product and market development may be unsuccessful.</w:t>
      </w:r>
    </w:p>
    <w:p>
      <w:pPr>
        <w:spacing w:after="0" w:line="27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are developing new products, including system-level memory and storage products and solutions, which complement our traditional products or leverage their underlying design or process technology. We have made significant investments in product and process technology and anticipate expending significant resources for new semiconductor product and system-level solution development over the next several years. Additionally, we are increasingly differentiating our products and solutions to meet the specific demands of our customers, which increases our reliance on our customers’ ability to accurately forecast the needs and preferences of their customers. As a result, our product demand forecasts may be impacted significantly by the strategic actions of our customers.</w:t>
      </w:r>
    </w:p>
    <w:p>
      <w:pPr>
        <w:spacing w:after="0" w:line="235"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For certain of our markets, it is important that we deliver products in a timely manner with increasingly advanced performance characteristics at the time our customers are designing and evaluating samples for their products. If we do not meet their product design schedules, our customers may exclude us from further consideration as a supplier for those products. The process to develop new products requires us to demonstrate advanced functionality and performance, often well in advance of a planned ramp of production, in order to secure design wins with our customers. The effects of the public health crisis caused by the COVID-19 outbreak and the measures being taken to limit COVID-19’s spread could negatively impact our ability to meet anticipated timelines and/or expected or required quality standards with respect to the development of certain of our products. In addition, some of our components have long lead-times, requiring us to place orders several months in advance of anticipated demand. Such long lead-times increase the risk of excess inventory or loss of sales in the event our forecasts vary substantially from actual demand. There can be no assurance that:</w:t>
      </w:r>
    </w:p>
    <w:p>
      <w:pPr>
        <w:spacing w:after="0" w:line="234"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product development efforts will be successful;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will be able to cost-effectively manufacture new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will be able to successfully market these products;</w:t>
      </w:r>
    </w:p>
    <w:p>
      <w:pPr>
        <w:spacing w:after="0" w:line="9" w:lineRule="exact"/>
        <w:rPr>
          <w:rFonts w:ascii="Arial" w:cs="Arial" w:eastAsia="Arial" w:hAnsi="Arial"/>
          <w:sz w:val="18"/>
          <w:szCs w:val="18"/>
          <w:color w:val="auto"/>
        </w:rPr>
      </w:pPr>
    </w:p>
    <w:p>
      <w:pPr>
        <w:ind w:left="660" w:right="260" w:hanging="328"/>
        <w:spacing w:after="0" w:line="25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will be able to establish or maintain key relationships with customers, or that we will not be prohibited from working with certain customers, for specific chip set or design requirements;</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will be able to introduce new products into the market and qualify them with our customers on a timely basis;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margins generated from sales of these products will allow us to recover costs of development efforts.</w:t>
      </w:r>
    </w:p>
    <w:p>
      <w:pPr>
        <w:spacing w:after="0" w:line="252"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Our unsuccessful efforts to develop new products and solutions could have a material adverse effect on our business, results of operations, or financial condition.</w:t>
      </w:r>
    </w:p>
    <w:p>
      <w:pPr>
        <w:spacing w:after="0" w:line="203"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b w:val="1"/>
          <w:bCs w:val="1"/>
          <w:color w:val="0090DA"/>
        </w:rPr>
        <w:t>Increases in sales of system solutions may increase our dependency upon specific customers and our costs to develop and qualify our system solutions.</w:t>
      </w:r>
    </w:p>
    <w:p>
      <w:pPr>
        <w:spacing w:after="0" w:line="202"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Our development of system-level memory and storage products is dependent, in part, upon successfully identifying and meeting our customers’ specifications for those products. Developing and manufacturing system-level products with specifications unique to a customer increases our reliance upon that customer for purchasing our products at sufficient volumes and prices in a timely manner. If we fail to identify or develop products on a timely basis, or at all, that comply with our customers’ specifications or achieve design wins with our customers, we may experience a significant adverse impact on our revenue and margins. Even if our products meet customer specifications, our sales of system-level solutions are dependent upon our customers choosing our products over those of our competitors and purchasing our products at sufficient volumes and prices. Our competitors’ products may be less costly, provide better performance, or include additional features when compared to our products. Our long-term ability to sell system-level memory and storage products is reliant upon our customers’ ability to create, market, and sell their products containing our system-level solutions at sufficient volumes and prices in a timely manner. If we fail to successfully develop and market system-level products, our business, results of operations, or financial condition may be materially adversely affected.</w:t>
      </w:r>
    </w:p>
    <w:p>
      <w:pPr>
        <w:spacing w:after="0" w:line="238"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Even if we are successful in selling system-level solutions to our customers in sufficient volume, we may be unable to generate sufficient profit if our per-unit manufacturing costs exceed our per-unit selling prices. Manufacturing system-level solutions to customer specifications requires a longer development cycle, as compared to discrete products, to design, test, and qualify, which may increase our costs. Additionally, some of our system solutions are</w:t>
      </w:r>
    </w:p>
    <w:p>
      <w:pPr>
        <w:spacing w:after="0" w:line="200" w:lineRule="exact"/>
        <w:rPr>
          <w:sz w:val="20"/>
          <w:szCs w:val="20"/>
          <w:color w:val="auto"/>
        </w:rPr>
      </w:pPr>
    </w:p>
    <w:p>
      <w:pPr>
        <w:spacing w:after="0" w:line="275" w:lineRule="exact"/>
        <w:rPr>
          <w:sz w:val="20"/>
          <w:szCs w:val="20"/>
          <w:color w:val="auto"/>
        </w:rPr>
      </w:pPr>
    </w:p>
    <w:p>
      <w:pPr>
        <w:jc w:val="right"/>
        <w:spacing w:after="0"/>
        <w:rPr>
          <w:sz w:val="20"/>
          <w:szCs w:val="20"/>
          <w:color w:val="auto"/>
        </w:rPr>
      </w:pPr>
      <w:r>
        <w:rPr>
          <w:sz w:val="1"/>
          <w:szCs w:val="1"/>
          <w:color w:val="auto"/>
        </w:rPr>
        <w:drawing>
          <wp:inline distT="0" distB="0" distL="0" distR="0">
            <wp:extent cx="608330" cy="171450"/>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8330" cy="171450"/>
                    </a:xfrm>
                    <a:prstGeom prst="rect">
                      <a:avLst/>
                    </a:prstGeom>
                    <a:noFill/>
                    <a:ln>
                      <a:noFill/>
                    </a:ln>
                  </pic:spPr>
                </pic:pic>
              </a:graphicData>
            </a:graphic>
          </wp:inline>
        </w:drawing>
      </w:r>
      <w:r>
        <w:rPr>
          <w:rFonts w:ascii="Arial" w:cs="Arial" w:eastAsia="Arial" w:hAnsi="Arial"/>
          <w:sz w:val="18"/>
          <w:szCs w:val="18"/>
          <w:color w:val="auto"/>
        </w:rPr>
        <w:t xml:space="preserv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25" w:name="page26"/>
    <w:bookmarkEnd w:id="25"/>
    <w:p>
      <w:pPr>
        <w:ind w:right="160"/>
        <w:spacing w:after="0" w:line="252" w:lineRule="auto"/>
        <w:rPr>
          <w:sz w:val="20"/>
          <w:szCs w:val="20"/>
          <w:color w:val="auto"/>
        </w:rPr>
      </w:pPr>
      <w:r>
        <w:rPr>
          <w:rFonts w:ascii="Arial" w:cs="Arial" w:eastAsia="Arial" w:hAnsi="Arial"/>
          <w:sz w:val="18"/>
          <w:szCs w:val="18"/>
          <w:color w:val="auto"/>
        </w:rPr>
        <w:t>increasingly dependent on sophisticated firmware that may require significant customization to meet customer specifications, which increases our costs and time to market. Additionally, we may need to update our firmware or develop new firmware as a result of new product introductions or changes in customer specifications and/or industry standards, which increases our costs. System complexities and extended warranties for system-level products could also increase our warranty costs. Our failure to cost-effectively manufacture system-level solutions and/or firmware in a timely manner may result in reduced demand for our system-level products and could have a material adverse effect on our business, results of operations, or financial condition.</w:t>
      </w:r>
    </w:p>
    <w:p>
      <w:pPr>
        <w:spacing w:after="0" w:line="213"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color w:val="0090DA"/>
        </w:rPr>
        <w:t>Products that fail to meet specifications, are defective, or that are otherwise incompatible with end uses could impose significant costs on us.</w:t>
      </w:r>
    </w:p>
    <w:p>
      <w:pPr>
        <w:spacing w:after="0" w:line="202"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Products that do not meet specifications or that contain, or are perceived by our customers to contain, defects or that are otherwise incompatible with end uses could impose significant costs on us or otherwise materially adversely affect our business, results of operations, or financial condition. From time to time, we experience problems with nonconforming, defective, or incompatible products after we have shipped such products. In recent periods, we have further diversified and expanded our product offerings, which could potentially increase the chance that one or more of our products could fail to meet specifications in a particular application. Our products and solutions may be deemed fully or partially responsible for functionality in our customers’ products and may result in sharing or shifting of product or financial liability from our customers to us for costs incurred by the end user as a result of our customers’ products failing to perform as specified. In addition, if our products and solutions perform critical functions in our customers’ products or are used in high-risk consumer end products, such as autonomous driver assistance programs, home and enterprise security, smoke and noxious gas detectors, medical monitoring equipment, or wearables for child and elderly safety, our potential liability may increase. We could be adversely affected in several ways, including the following:</w:t>
      </w:r>
    </w:p>
    <w:p>
      <w:pPr>
        <w:spacing w:after="0" w:line="232" w:lineRule="exact"/>
        <w:rPr>
          <w:sz w:val="20"/>
          <w:szCs w:val="20"/>
          <w:color w:val="auto"/>
        </w:rPr>
      </w:pPr>
    </w:p>
    <w:p>
      <w:pPr>
        <w:ind w:left="660" w:right="80" w:hanging="328"/>
        <w:spacing w:after="0" w:line="25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be required or agree to compensate customers for costs incurred or damages caused by defective or incompatible products and to replace products;</w:t>
      </w:r>
    </w:p>
    <w:p>
      <w:pPr>
        <w:ind w:left="660" w:right="560" w:hanging="328"/>
        <w:spacing w:after="0" w:line="25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could incur a decrease in revenue or adjustment to pricing commensurate with the reimbursement of such costs or alleged damages; and</w:t>
      </w:r>
    </w:p>
    <w:p>
      <w:pPr>
        <w:ind w:left="660" w:right="200" w:hanging="328"/>
        <w:spacing w:after="0" w:line="261"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encounter adverse publicity, which could cause a decrease in sales of our products or harm our reputation or relationships with existing or potential customers.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Any of the foregoing items could have a material adverse effect on our business, results of operations, or financial condition.</w:t>
      </w:r>
    </w:p>
    <w:p>
      <w:pPr>
        <w:spacing w:after="0" w:line="230" w:lineRule="exact"/>
        <w:rPr>
          <w:sz w:val="20"/>
          <w:szCs w:val="20"/>
          <w:color w:val="auto"/>
        </w:rPr>
      </w:pPr>
    </w:p>
    <w:p>
      <w:pPr>
        <w:ind w:right="820"/>
        <w:spacing w:after="0" w:line="287" w:lineRule="auto"/>
        <w:rPr>
          <w:sz w:val="20"/>
          <w:szCs w:val="20"/>
          <w:color w:val="auto"/>
        </w:rPr>
      </w:pPr>
      <w:r>
        <w:rPr>
          <w:rFonts w:ascii="Arial" w:cs="Arial" w:eastAsia="Arial" w:hAnsi="Arial"/>
          <w:sz w:val="18"/>
          <w:szCs w:val="18"/>
          <w:b w:val="1"/>
          <w:bCs w:val="1"/>
          <w:color w:val="0090DA"/>
        </w:rPr>
        <w:t>We may be unable to protect our intellectual property or retain key employees who are knowledgeable of and develop our intellectual property.</w:t>
      </w:r>
    </w:p>
    <w:p>
      <w:pPr>
        <w:spacing w:after="0" w:line="202"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We maintain a system of controls over our intellectual property, including U.S. and foreign patents, trademarks, copyrights, trade secrets, licensing arrangements, confidentiality procedures, non-disclosure agreements with employees, consultants, and vendors, and a general system of internal controls. Despite our system of controls over our intellectual property, it may be possible for our current or future competitors to obtain, copy, use, or disclose, illegally or otherwise, our product and process technology or other proprietary information. The laws of some foreign countries may not protect our intellectual property to the same degree as do U.S. laws and our confidentiality, non-disclosure, and non-compete agreements may be unenforceable or difficult and costly to enforce.</w:t>
      </w:r>
    </w:p>
    <w:p>
      <w:pPr>
        <w:spacing w:after="0" w:line="23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Additionally, our ability to maintain and develop intellectual property is dependent upon our ability to attract, develop, and retain highly skilled employees. Global competition for such skilled employees in our industry is intense. Due to the volatile nature of our industry and our operating results, a decline in our operating results and/or stock price may adversely affect our ability to retain key employees whose compensation is dependent, in part, upon the market price of our common stock, achieving certain performance metrics, levels of company profitability, or other financial or company-wide performance. If our competitors or future entrants into our industry are successful in hiring our employees, they may directly benefit from the knowledge these employees gained while they were under our employment.</w:t>
      </w:r>
    </w:p>
    <w:p>
      <w:pPr>
        <w:spacing w:after="0" w:line="23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Our inability to protect our intellectual property or retain key employees who are knowledgeable of and develop our intellectual property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21"/>
          <w:szCs w:val="21"/>
          <w:b w:val="1"/>
          <w:bCs w:val="1"/>
          <w:color w:val="0090DA"/>
        </w:rPr>
        <w:t>|</w:t>
      </w:r>
      <w:r>
        <w:rPr>
          <w:rFonts w:ascii="Arial" w:cs="Arial" w:eastAsia="Arial" w:hAnsi="Arial"/>
          <w:sz w:val="18"/>
          <w:szCs w:val="18"/>
          <w:color w:val="auto"/>
        </w:rPr>
        <w:t xml:space="preserve"> 2020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49" w:right="359" w:bottom="1440" w:gutter="0" w:footer="0" w:header="0"/>
        </w:sectPr>
      </w:pPr>
    </w:p>
    <w:bookmarkStart w:id="26" w:name="page27"/>
    <w:bookmarkEnd w:id="26"/>
    <w:p>
      <w:pPr>
        <w:ind w:right="240"/>
        <w:spacing w:after="0" w:line="268" w:lineRule="auto"/>
        <w:rPr>
          <w:sz w:val="20"/>
          <w:szCs w:val="20"/>
          <w:color w:val="auto"/>
        </w:rPr>
      </w:pPr>
      <w:r>
        <w:rPr>
          <w:rFonts w:ascii="Arial" w:cs="Arial" w:eastAsia="Arial" w:hAnsi="Arial"/>
          <w:sz w:val="18"/>
          <w:szCs w:val="18"/>
          <w:b w:val="1"/>
          <w:bCs w:val="1"/>
          <w:color w:val="0090DA"/>
        </w:rPr>
        <w:t>Claims that our products or manufacturing processes infringe or otherwise violate the intellectual property rights of others, or failure to obtain or renew license agreements covering such intellectual property, could materially adversely affect our business, results of operations, or financial condition.</w:t>
      </w:r>
    </w:p>
    <w:p>
      <w:pPr>
        <w:spacing w:after="0" w:line="22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As is typical in the semiconductor and other high technology industries, from time to time others have asserted, and may in the future assert, that our products or manufacturing processes infringe upon, misappropriate, misuse, or otherwise violate their intellectual property rights. We are unable to predict the outcome of these assertions made against us. Any of these types of claims, regardless of the merits, could subject us to significant costs to defend or resolve such claims and may consume a substantial portion of management’s time and attention. As a result of these claims, we may be required to:</w:t>
      </w:r>
    </w:p>
    <w:p>
      <w:pPr>
        <w:spacing w:after="0" w:line="232"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pay significant monetary damages, fines, royalties, or penalties;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enter into license or settlement agreements covering such intellectual property rights;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make material changes to or redesign our products and/or manufacturing processes; and/or</w:t>
      </w:r>
    </w:p>
    <w:p>
      <w:pPr>
        <w:spacing w:after="0" w:line="9"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cease manufacturing, having made, selling, offering for sale, importing, marketing, or using products and/or manufacturing processes in certain jurisdictions.</w:t>
      </w:r>
    </w:p>
    <w:p>
      <w:pPr>
        <w:spacing w:after="0" w:line="22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We may not be able to take any of the actions described above on commercially reasonable terms and any of the foregoing results could have a material adverse effect on our business, results of operations, or financial condition. (See “Part II – Item 8. Financial Statements and Supplementary Data – Notes to Consolidated Financial Statements – Contingencies.”)</w:t>
      </w:r>
    </w:p>
    <w:p>
      <w:pPr>
        <w:spacing w:after="0" w:line="22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have a number of intellectual property license agreements. Some of these license agreements require us to make one-time or periodic payments. We may need to obtain additional licenses or renew existing license agreements in the future. We are unable to predict whether these license agreements can be obtained or renewed on terms acceptable to us. The failure to obtain or renew licenses as necessary could have a material adverse effect on our business, results of operations, or financial condition.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Legal proceedings and claims could have a material adverse effect on our business, results of operations, or financial condition.</w:t>
      </w:r>
    </w:p>
    <w:p>
      <w:pPr>
        <w:spacing w:after="0" w:line="27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From time to time we are subject to various legal proceedings and claims that arise out of the ordinary conduct of our business or otherwise, both domestically and internationally. See “Item 3. Legal Proceedings.” Any claim, with or without merit, could result in significant legal fees that could negatively impact our financial results, disrupt our operations, and require significant attention from our management. We could be subject to litigation or arbitration disputes arising from our relationships with vendors or customers, supply agreements, or contractual obligations with our subcontractors or business partners. We may also be associated with and subject to litigation arising from the actions of our vendors, subcontractors, or business partners. We may also be subject to litigation or claims as a result of our indemnification obligations, including obligations to defend our customers against third-party claims asserting infringement of certain intellectual property rights, which may include patents, trademarks, copyrights, or trade secrets. We may also be subject to claims or litigation arising from the terms of our product warranties or from product liability claims. As we continue to focus on developing system solutions with manufacturers of consumer products, including autonomous driving, augmented reality, and others, we may be exposed to greater potential for personal liability claims against us as a result of consumers’ use of those products. We, our officers, or our directors could also be subject to claims of alleged violations of securities laws. There can be no assurance that we are adequately insured to protect against all claims and potential liabilities, and we may elect to self-insure with respect to certain matters. Exposures to various legal proceedings and claims could lead to significant costs and expenses as we defend claims, are required to pay damage awards, or enter into settlement agreements, any of which could have a material adverse effect on our business, results of operations, or financial condition.</w:t>
      </w:r>
    </w:p>
    <w:p>
      <w:pPr>
        <w:spacing w:after="0" w:line="214" w:lineRule="exact"/>
        <w:rPr>
          <w:sz w:val="20"/>
          <w:szCs w:val="20"/>
          <w:color w:val="auto"/>
        </w:rPr>
      </w:pPr>
    </w:p>
    <w:p>
      <w:pPr>
        <w:ind w:right="720"/>
        <w:spacing w:after="0" w:line="287" w:lineRule="auto"/>
        <w:rPr>
          <w:sz w:val="20"/>
          <w:szCs w:val="20"/>
          <w:color w:val="auto"/>
        </w:rPr>
      </w:pPr>
      <w:r>
        <w:rPr>
          <w:rFonts w:ascii="Arial" w:cs="Arial" w:eastAsia="Arial" w:hAnsi="Arial"/>
          <w:sz w:val="18"/>
          <w:szCs w:val="18"/>
          <w:b w:val="1"/>
          <w:bCs w:val="1"/>
          <w:color w:val="0090DA"/>
        </w:rPr>
        <w:t>If our manufacturing process is disrupted by operational issues, natural disasters, or other events, our business, results of operations, or financial condition could be materially adversely affected.</w:t>
      </w:r>
    </w:p>
    <w:p>
      <w:pPr>
        <w:spacing w:after="0" w:line="20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and our subcontractors manufacture products using highly complex processes that require technologically advanced equipment and continuous modification to improve yields and performance. Difficulties in the manufacturing process or the effects from a shift in product mix can reduce yields or disrupt production and may increase our per gigabit manufacturing costs. We and our subcontractors maintain operations and continuously</w:t>
      </w:r>
    </w:p>
    <w:p>
      <w:pPr>
        <w:spacing w:after="0" w:line="200" w:lineRule="exact"/>
        <w:rPr>
          <w:sz w:val="20"/>
          <w:szCs w:val="20"/>
          <w:color w:val="auto"/>
        </w:rPr>
      </w:pPr>
    </w:p>
    <w:p>
      <w:pPr>
        <w:spacing w:after="0" w:line="275" w:lineRule="exact"/>
        <w:rPr>
          <w:sz w:val="20"/>
          <w:szCs w:val="20"/>
          <w:color w:val="auto"/>
        </w:rPr>
      </w:pPr>
    </w:p>
    <w:p>
      <w:pPr>
        <w:jc w:val="right"/>
        <w:spacing w:after="0"/>
        <w:rPr>
          <w:sz w:val="20"/>
          <w:szCs w:val="20"/>
          <w:color w:val="auto"/>
        </w:rPr>
      </w:pPr>
      <w:r>
        <w:rPr>
          <w:sz w:val="1"/>
          <w:szCs w:val="1"/>
          <w:color w:val="auto"/>
        </w:rPr>
        <w:drawing>
          <wp:inline distT="0" distB="0" distL="0" distR="0">
            <wp:extent cx="608330" cy="17145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8330" cy="171450"/>
                    </a:xfrm>
                    <a:prstGeom prst="rect">
                      <a:avLst/>
                    </a:prstGeom>
                    <a:noFill/>
                    <a:ln>
                      <a:noFill/>
                    </a:ln>
                  </pic:spPr>
                </pic:pic>
              </a:graphicData>
            </a:graphic>
          </wp:inline>
        </w:drawing>
      </w:r>
      <w:r>
        <w:rPr>
          <w:rFonts w:ascii="Arial" w:cs="Arial" w:eastAsia="Arial" w:hAnsi="Arial"/>
          <w:sz w:val="18"/>
          <w:szCs w:val="18"/>
          <w:color w:val="auto"/>
        </w:rPr>
        <w:t xml:space="preserv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7" w:name="page28"/>
    <w:bookmarkEnd w:id="27"/>
    <w:p>
      <w:pPr>
        <w:ind w:right="640"/>
        <w:spacing w:after="0" w:line="261" w:lineRule="auto"/>
        <w:rPr>
          <w:sz w:val="20"/>
          <w:szCs w:val="20"/>
          <w:color w:val="auto"/>
        </w:rPr>
      </w:pPr>
      <w:r>
        <w:rPr>
          <w:rFonts w:ascii="Arial" w:cs="Arial" w:eastAsia="Arial" w:hAnsi="Arial"/>
          <w:sz w:val="18"/>
          <w:szCs w:val="18"/>
          <w:color w:val="auto"/>
        </w:rPr>
        <w:t>implement new product and process technology at manufacturing facilities, which are widely dispersed in multiple locations in several countries including the United States, Singapore, Taiwan, Japan, Malaysia, and China.</w:t>
      </w:r>
    </w:p>
    <w:p>
      <w:pPr>
        <w:spacing w:after="0" w:line="225"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From time to time, there have been disruptions in the manufacturing process as a result of power outages, improperly functioning equipment, disruptions in supply of raw materials or components, or equipment failures. We have manufacturing and other operations in locations subject to natural occurrences such as severe weather and geological events, including earthquakes or tsunamis, that could disrupt operations. In addition, our suppliers and customers also have operations in such locations. Additionally, other events including political or public health crises, such as an outbreak of contagious diseases like COVID-19, SARS-CoV, avian and swine influenza, measles, or Ebola, may affect our production capabilities or that of our suppliers, including as a result of quarantines, closures of production facilities, lack of supplies, or delays caused by restrictions on travel or shipping. For example, in March 2020, the government of Malaysia announced measures to restrict movement in that country in an effort to suppress the number of COVID-19 cases. Those restrictions temporarily limited our ability to fully operate our manufacturing facilities in that country. The events noted above have occurred from time to time in the past and may occur in the future. As a result, in addition to disruptions to operations, our insurance premiums may increase or we may not be able to fully recover any sustained losses through insurance.</w:t>
      </w:r>
    </w:p>
    <w:p>
      <w:pPr>
        <w:spacing w:after="0" w:line="23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If production is disrupted for any reason, manufacturing yields may be adversely affected, or we may be unable to meet our customers’ requirements and they may purchase products from other suppliers. This could result in a significant increase in manufacturing costs, loss of revenue, or damage to customer relationships, any of which could have a material adverse effect on our business, results of operations, or financial condition.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Breaches of our security systems, or those of our customers, suppliers, or business partners, could expose us to losses.</w:t>
      </w:r>
    </w:p>
    <w:p>
      <w:pPr>
        <w:spacing w:after="0" w:line="27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maintain a system of controls over the physical security of our facilities. We also manage and store various proprietary information and sensitive or confidential data relating to our operations. In addition, we process, store, and transmit large amounts of data relating to our customers and employees, including sensitive personal information. Unauthorized persons or employees may gain access to our facilities or network systems to steal trade secrets or other proprietary information, compromise confidential information, create system disruptions, or cause shutdowns. These parties may also be able to develop and deploy viruses, worms, and other malicious software programs that disrupt our operations and create security vulnerabilities. Breaches of our physical security and attacks on our network systems, or breaches or attacks on our customers, suppliers, or business partners who have confidential or sensitive information regarding us and our customers and suppliers, could result in significant losses and damage our reputation with customers and suppliers and may expose us to litigation if the confidential information of our customers, suppliers, or employees is compromised. The foregoing could have a material adverse effect on our business, results of operations, or financial condition.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We face risks associated with our former IMFT joint venture with Intel.</w:t>
      </w:r>
    </w:p>
    <w:p>
      <w:pPr>
        <w:spacing w:after="0" w:line="274"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On October 31, 2019, we purchased Intel’s noncontrolling interest in the IMFT joint venture, now known as MTU. Our acquisition involves risks including, but not limited to, continued underutilization of the MTU facility. We also face risks from our arbitration proceeding with Intel, in which we and Intel have made claims against each other for damages relating to the joint venture. For information regarding the arbitration proceeding, see “Part II – Item 8. Financial Statements and Supplementary Data – Notes to Consolidated Financial Statements – Contingencies.” The foregoing could have a material adverse effect on our business, results of operations, or financial condition.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Debt obligations could adversely affect our financial condition.</w:t>
      </w:r>
    </w:p>
    <w:p>
      <w:pPr>
        <w:spacing w:after="0" w:line="27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have incurred in the past, and expect to incur in the future, debt to finance our capital investments, business acquisitions, and restructure of our capital structure. As of September 3, 2020, we had debt with a carrying value of $6.64 billion. As of September 3, 2020, $2.50 billion of our Revolving Credit Facility was available to us. As of September 3, 2020, the conversion value in excess of principal of our convertible notes was $486 million, based on the trading price of our common stock of $46.33 per share on such date.</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25 </w:t>
      </w:r>
      <w:r>
        <w:rPr>
          <w:rFonts w:ascii="Arial" w:cs="Arial" w:eastAsia="Arial" w:hAnsi="Arial"/>
          <w:sz w:val="21"/>
          <w:szCs w:val="21"/>
          <w:b w:val="1"/>
          <w:bCs w:val="1"/>
          <w:color w:val="0090DA"/>
        </w:rPr>
        <w:t>|</w:t>
      </w:r>
      <w:r>
        <w:rPr>
          <w:rFonts w:ascii="Arial" w:cs="Arial" w:eastAsia="Arial" w:hAnsi="Arial"/>
          <w:sz w:val="18"/>
          <w:szCs w:val="18"/>
          <w:color w:val="auto"/>
        </w:rPr>
        <w:t xml:space="preserve"> 2020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49"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Our debt obligations could adversely impact us. For example, these obligations could:</w:t>
      </w:r>
    </w:p>
    <w:p>
      <w:pPr>
        <w:spacing w:after="0" w:line="252" w:lineRule="exact"/>
        <w:rPr>
          <w:sz w:val="20"/>
          <w:szCs w:val="20"/>
          <w:color w:val="auto"/>
        </w:rPr>
      </w:pPr>
    </w:p>
    <w:p>
      <w:pPr>
        <w:ind w:left="660" w:right="420" w:hanging="328"/>
        <w:spacing w:after="0" w:line="25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require us to use a large portion of our cash flow to pay principal and interest on debt, which will reduce the amount of cash flow available to fund working capital, capital expenditures, acquisitions, R&amp;D expenditures, and other business activities;</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require us to use cash and/or issue shares of our common stock to settle any conversion obligations of our convertible notes;</w:t>
      </w:r>
    </w:p>
    <w:p>
      <w:pPr>
        <w:spacing w:after="0" w:line="9" w:lineRule="exact"/>
        <w:rPr>
          <w:rFonts w:ascii="Arial" w:cs="Arial" w:eastAsia="Arial" w:hAnsi="Arial"/>
          <w:sz w:val="18"/>
          <w:szCs w:val="18"/>
          <w:color w:val="auto"/>
        </w:rPr>
      </w:pPr>
    </w:p>
    <w:p>
      <w:pPr>
        <w:ind w:left="660" w:right="400" w:hanging="328"/>
        <w:spacing w:after="0" w:line="25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result in certain of our debt instruments being accelerated to be immediately due and payable or being deemed to be in default if certain terms of default are triggered, such as applicable cross payment default and/or cross-acceleration provisions;</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adversely impact our credit rating, which could increase future borrowing costs;</w:t>
      </w:r>
    </w:p>
    <w:p>
      <w:pPr>
        <w:spacing w:after="0" w:line="9" w:lineRule="exact"/>
        <w:rPr>
          <w:rFonts w:ascii="Arial" w:cs="Arial" w:eastAsia="Arial" w:hAnsi="Arial"/>
          <w:sz w:val="18"/>
          <w:szCs w:val="18"/>
          <w:color w:val="auto"/>
        </w:rPr>
      </w:pPr>
    </w:p>
    <w:p>
      <w:pPr>
        <w:ind w:left="660" w:right="80" w:hanging="328"/>
        <w:spacing w:after="0" w:line="25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 our future ability to raise funds for capital expenditures, strategic acquisitions or business opportunities, R&amp;D, and other general corporate requirements;</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restrict our ability to incur specified indebtedness, create or incur certain liens, and enter into sale-leaseback financing transactions;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 our vulnerability to adverse economic and semiconductor memory and storage industry conditions;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 our exposure to interest rate risk from variable rate indebtedness;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 to dilute our earnings per share as a result of the conversion provisions in our convertible notes; and</w:t>
      </w:r>
    </w:p>
    <w:p>
      <w:pPr>
        <w:spacing w:after="0" w:line="9" w:lineRule="exact"/>
        <w:rPr>
          <w:rFonts w:ascii="Arial" w:cs="Arial" w:eastAsia="Arial" w:hAnsi="Arial"/>
          <w:sz w:val="18"/>
          <w:szCs w:val="18"/>
          <w:color w:val="auto"/>
        </w:rPr>
      </w:pPr>
    </w:p>
    <w:p>
      <w:pPr>
        <w:ind w:left="660" w:right="100" w:hanging="328"/>
        <w:spacing w:after="0" w:line="261"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require us to continue to pay cash amounts substantially in excess of the principal amounts upon settlement of our convertible notes to minimize dilution of our earnings per share.</w:t>
      </w:r>
    </w:p>
    <w:p>
      <w:pPr>
        <w:spacing w:after="0" w:line="22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Our ability to meet our payment obligations under our debt instruments depends on our ability to generate significant cash flows or obtain external financing in the future. This, to some extent, is subject to market, economic, financial, competitive, legislative, and regulatory factors as well as other factors that are beyond our control. There can be no assurance that our business will generate cash flow from operations, or that additional capital will be available to us, in amounts sufficient to enable us to meet our debt payment obligations and to fund other liquidity needs. Additionally, events and circumstances may occur which would cause us to not be able to satisfy applicable draw-down conditions and utilize our revolving credit facility. In 2019, we suspended the security interest in the collateral under our credit facility upon achieving a specified credit rating and prepaying our Senior Secured Term Loan B due in 2022; however, if our corporate credit rating were to decline below a certain level, the security interest would be automatically reinstated, which may limit the amount or increase the cost of future financings. If we are unable to generate sufficient cash flows to service our debt payment obligations, we may need to refinance or restructure our debt, sell assets, reduce or delay capital investments, or seek to raise additional capital. If we are unable to implement one or more of these alternatives, we may be unable to meet our debt payment obligations, which could have a material adverse effect on our business, results of operations, or financial condition.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We must attract, retain, and motivate highly skilled employees.</w:t>
      </w:r>
    </w:p>
    <w:p>
      <w:pPr>
        <w:spacing w:after="0" w:line="27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To remain competitive, we must attract, retain, and motivate executives and other highly skilled employees, as well as effectively manage or plan for succession for key employees. Competition for experienced employees in our industry can be intense. Hiring and retaining qualified executives, engineers, technical staff, and sales representatives is critical to our business. Our inability to attract, retain, or effectively manage or plan for succession of key employees may inhibit our ability to maintain or expand our business operations. Additionally, changes to immigration policies in the numerous countries in which we operate, including the United States, as well as restrictions on global travel as a result of local or global public health crises requiring quarantines or other precautions to limit exposure to infectious diseases, may limit our ability to hire and/or retain talent in, or transfer talent to, specific locations. If our total compensation programs and workplace culture cease to be viewed as competitive, our ability to attract, retain, and motivate employees could be weakened, which could have a material adverse effect on our business, results of operations, or financial condition.</w:t>
      </w:r>
    </w:p>
    <w:p>
      <w:pPr>
        <w:spacing w:after="0" w:line="212"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b w:val="1"/>
          <w:bCs w:val="1"/>
          <w:color w:val="0090DA"/>
        </w:rPr>
        <w:t>The acquisition of our ownership interest in Inotera from Qimonda has been challenged by the administrator of the insolvency proceedings for Qimonda.</w:t>
      </w:r>
    </w:p>
    <w:p>
      <w:pPr>
        <w:spacing w:after="0" w:line="20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January 2011, Dr. Michael Jaffé, administrator for Qimonda’s insolvency proceedings, filed suit against Micron and Micron Semiconductor B.V. (“Micron B.V.”), in the District Court of Munich, Civil Chamber. The complaint seeks to void a share purchase agreement between Micron B.V. and Qimonda signed in 2008, pursuant to which Micron B.V. purchased substantially all of Qimonda’s shares of Inotera, representing approximately 18% of Inotera’s outstanding shares at that time, and seeks an order requiring us to re-transfer those shares to the Qimonda estate.</w:t>
      </w: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sz w:val="1"/>
          <w:szCs w:val="1"/>
          <w:color w:val="auto"/>
        </w:rPr>
        <w:drawing>
          <wp:inline distT="0" distB="0" distL="0" distR="0">
            <wp:extent cx="608330" cy="171450"/>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8330" cy="171450"/>
                    </a:xfrm>
                    <a:prstGeom prst="rect">
                      <a:avLst/>
                    </a:prstGeom>
                    <a:noFill/>
                    <a:ln>
                      <a:noFill/>
                    </a:ln>
                  </pic:spPr>
                </pic:pic>
              </a:graphicData>
            </a:graphic>
          </wp:inline>
        </w:drawing>
      </w:r>
      <w:r>
        <w:rPr>
          <w:rFonts w:ascii="Arial" w:cs="Arial" w:eastAsia="Arial" w:hAnsi="Arial"/>
          <w:sz w:val="18"/>
          <w:szCs w:val="18"/>
          <w:color w:val="auto"/>
        </w:rPr>
        <w:t xml:space="preserv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29" w:name="page30"/>
    <w:bookmarkEnd w:id="29"/>
    <w:p>
      <w:pPr>
        <w:ind w:right="20"/>
        <w:spacing w:after="0" w:line="254" w:lineRule="auto"/>
        <w:rPr>
          <w:sz w:val="20"/>
          <w:szCs w:val="20"/>
          <w:color w:val="auto"/>
        </w:rPr>
      </w:pPr>
      <w:r>
        <w:rPr>
          <w:rFonts w:ascii="Arial" w:cs="Arial" w:eastAsia="Arial" w:hAnsi="Arial"/>
          <w:sz w:val="18"/>
          <w:szCs w:val="18"/>
          <w:color w:val="auto"/>
        </w:rPr>
        <w:t>The complaint also seeks, among other things, to recover damages for the alleged value of the joint venture relationship with Inotera and to terminate a patent cross-license between us and Qimonda entered into at the same time as the share purchase agreement. See “Part II – Item 8. Financial Statements and Supplementary Data – Notes to Consolidated Financial Statements – Contingencies” for further information regarding the matter.</w:t>
      </w:r>
    </w:p>
    <w:p>
      <w:pPr>
        <w:spacing w:after="0" w:line="231"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We are unable to predict the outcome of the matter and, therefore, cannot estimate the range of possible loss. The final resolution of this lawsuit could result in the loss of the Inotera shares or monetary damages, unspecified damages based on the benefits derived by Micron B.V. from the ownership of the Inotera shares, and/or the termination of the patent cross-license, which could have a material adverse effect on our business, results of operations, or financial condition.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We may incur additional tax expense or become subject to additional tax exposure.</w:t>
      </w:r>
    </w:p>
    <w:p>
      <w:pPr>
        <w:spacing w:after="0" w:line="27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operate in a number of locations outside the United States, including Singapore, where we have tax incentive arrangements that are conditional, in part, upon meeting certain business operations and employment thresholds. Our domestic and international taxes are dependent upon the geographic mix of our earnings among these jurisdictions. Our provision for income taxes and cash tax liabilities in the future could be adversely affected by numerous factors, including challenges by tax authorities to our tax positions and intercompany transfer pricing arrangements, failure to meet performance obligations with respect to tax incentive agreements, expanding our operations in various countries, and changes in tax laws and regulations. Additionally, we file income tax returns with the U.S. federal government, various U.S. states, and various other jurisdictions throughout the world and certain tax returns may remain open to examination for several years. The results of audits and examinations of previously filed tax returns and continuing assessments of our tax exposures may have an adverse effect on our provision for income taxes and cash tax liability. The foregoing items could have a material adverse effect on our business, results of operations, or financial condition.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A change in tax laws in key jurisdictions could materially increase our tax expense.</w:t>
      </w:r>
    </w:p>
    <w:p>
      <w:pPr>
        <w:spacing w:after="0" w:line="27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are subject to income taxes in the United States and many foreign jurisdictions. Changes to income tax laws and regulations in any of the jurisdictions in which we operate, or in the interpretation of such laws, could significantly increase our effective tax rate and ultimately reduce our cash flows from operating activities and otherwise have a material adverse effect on our financial condition. For example, our effective tax rate increased from 1.2% for 2018 to 9.8% for 2019 primarily as a result of the Tax Cuts and Jobs Act enacted in December 2017 by the United States. Additionally, various levels of government are increasingly focused on tax reform and other legislative actions to increase tax revenue. Further changes in the tax laws of foreign jurisdictions could arise as a result of the base erosion and profit shifting project undertaken by the Organisation for Economic Co-operation and Development, which represents a coalition of member countries and recommended changes to numerous long-standing tax principles. If implemented by taxing authorities, such changes, as well as changes in U.S. federal and state tax laws or in taxing jurisdictions’ administrative interpretations, decisions, policies, and positions, could have a material adverse effect on our business, results of operations, or financial condition.</w:t>
      </w:r>
    </w:p>
    <w:p>
      <w:pPr>
        <w:spacing w:after="0" w:line="216"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color w:val="0090DA"/>
        </w:rPr>
        <w:t>Our incentives from various governments are conditional upon achieving or maintaining certain performance obligations and are subject to reduction, termination, or clawback.</w:t>
      </w:r>
    </w:p>
    <w:p>
      <w:pPr>
        <w:spacing w:after="0" w:line="202"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We have received, and may in the future continue to receive, benefits and incentives from national, state, and local governments in various regions of the world designed to encourage us to establish, maintain, or increase investment, workforce, or production in those regions. These incentives may take various forms, including grants, loan subsidies, and tax arrangements, and typically require us to perform or maintain certain levels of investment, capital spending, employment, technology deployment, or research and development activities to qualify for such incentives. We cannot guarantee that we will successfully achieve performance obligations required to qualify for these incentives or that the granting agencies will provide such funding. These incentive arrangements typically provide the granting agencies with rights to audit our performance with their terms and obligations. Such audits could result in modifications to, or termination of, the applicable incentive program. The incentives we receive could be subject to reduction, termination, or clawback, and any decrease or clawback of government incentives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27 </w:t>
      </w:r>
      <w:r>
        <w:rPr>
          <w:rFonts w:ascii="Arial" w:cs="Arial" w:eastAsia="Arial" w:hAnsi="Arial"/>
          <w:sz w:val="21"/>
          <w:szCs w:val="21"/>
          <w:b w:val="1"/>
          <w:bCs w:val="1"/>
          <w:color w:val="0090DA"/>
        </w:rPr>
        <w:t>|</w:t>
      </w:r>
      <w:r>
        <w:rPr>
          <w:rFonts w:ascii="Arial" w:cs="Arial" w:eastAsia="Arial" w:hAnsi="Arial"/>
          <w:sz w:val="18"/>
          <w:szCs w:val="18"/>
          <w:color w:val="auto"/>
        </w:rPr>
        <w:t xml:space="preserve"> 2020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49"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0090DA"/>
        </w:rPr>
        <w:t>We may make future acquisitions and/or alliances, which involve numerous risks.</w:t>
      </w:r>
    </w:p>
    <w:p>
      <w:pPr>
        <w:spacing w:after="0" w:line="274"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Acquisitions and the formation or operation of alliances, such as joint ventures and other partnering arrangements, involve numerous risks, including the following:</w:t>
      </w:r>
    </w:p>
    <w:p>
      <w:pPr>
        <w:spacing w:after="0" w:line="225"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integrating the operations, technologies, and products of acquired or newly formed entities into our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increasing capital expenditures to upgrade and maintain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debt levels;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assumption of unknown or underestimated liabilities;</w:t>
      </w:r>
    </w:p>
    <w:p>
      <w:pPr>
        <w:spacing w:after="0" w:line="9" w:lineRule="exact"/>
        <w:rPr>
          <w:rFonts w:ascii="Arial" w:cs="Arial" w:eastAsia="Arial" w:hAnsi="Arial"/>
          <w:sz w:val="18"/>
          <w:szCs w:val="18"/>
          <w:color w:val="auto"/>
        </w:rPr>
      </w:pPr>
    </w:p>
    <w:p>
      <w:pPr>
        <w:ind w:left="660" w:right="80" w:hanging="328"/>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use of cash to finance a transaction, which may reduce the availability of cash to fund working capital, capital expenditures, R&amp;D expenditures, and other business activities;</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diverting management’s attention from daily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managing larger or more complex operations and facilities and employees in separate and diverse geographic areas;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hiring and retaining key employees;</w:t>
      </w:r>
    </w:p>
    <w:p>
      <w:pPr>
        <w:spacing w:after="0" w:line="9" w:lineRule="exact"/>
        <w:rPr>
          <w:rFonts w:ascii="Arial" w:cs="Arial" w:eastAsia="Arial" w:hAnsi="Arial"/>
          <w:sz w:val="18"/>
          <w:szCs w:val="18"/>
          <w:color w:val="auto"/>
        </w:rPr>
      </w:pPr>
    </w:p>
    <w:p>
      <w:pPr>
        <w:ind w:left="660" w:right="580" w:hanging="328"/>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requirements imposed by government authorities in connection with the regulatory review of a transaction, which may include, among other things, divestitures or restrictions on the conduct of our business or the acquired business;</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inability to realize synergies or other expected benefits;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maintain customer, vendor, and other relationships;</w:t>
      </w:r>
    </w:p>
    <w:p>
      <w:pPr>
        <w:spacing w:after="0" w:line="9" w:lineRule="exact"/>
        <w:rPr>
          <w:rFonts w:ascii="Arial" w:cs="Arial" w:eastAsia="Arial" w:hAnsi="Arial"/>
          <w:sz w:val="18"/>
          <w:szCs w:val="18"/>
          <w:color w:val="auto"/>
        </w:rPr>
      </w:pPr>
    </w:p>
    <w:p>
      <w:pPr>
        <w:ind w:left="660" w:right="200" w:hanging="328"/>
        <w:spacing w:after="0" w:line="265" w:lineRule="auto"/>
        <w:tabs>
          <w:tab w:leader="none" w:pos="655"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inadequacy or ineffectiveness of an acquired company’s internal financial controls, disclosure controls and procedures, compliance programs, and/or environmental, health and safety, anti-corruption, human resource, or other policies or practices; and</w:t>
      </w:r>
    </w:p>
    <w:p>
      <w:pPr>
        <w:ind w:left="660" w:right="700" w:hanging="328"/>
        <w:spacing w:after="0" w:line="261"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impairment of acquired intangible assets, goodwill, or other assets as a result of changing business conditions, technological advancements, or worse-than-expected performance of the acquired business.</w:t>
      </w:r>
    </w:p>
    <w:p>
      <w:pPr>
        <w:spacing w:after="0" w:line="225"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The global memory and storage industry has experienced consolidation and may continue to consolidate. We engage, from time to time, in discussions regarding potential acquisitions and similar opportunities. To the extent we are successful in completing any such transactions, we could be subject to some or all of the risks described above, including the risks pertaining to funding, assumption of liabilities, integration challenges, and increases in debt that may accompany such transactions. Acquisitions of, or alliances with, technology companies are inherently risky and may not be successful and could have a material adverse effect on our business, results of operations, or financial condition.</w:t>
      </w:r>
    </w:p>
    <w:p>
      <w:pPr>
        <w:spacing w:after="0" w:line="213"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b w:val="1"/>
          <w:bCs w:val="1"/>
          <w:color w:val="0090DA"/>
        </w:rPr>
        <w:t>Changes in foreign currency exchange rates could materially adversely affect our business, results of operations, or financial condition.</w:t>
      </w:r>
    </w:p>
    <w:p>
      <w:pPr>
        <w:spacing w:after="0" w:line="20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Across our global operations, significant transactions and balances are denominated in currencies other than the U.S. dollar (our reporting currency), primarily the euro, Singapore dollar, New Taiwan dollar, and yen. In addition, a significant portion of our manufacturing costs are denominated in foreign currencies. Exchange rates for some of these currencies against the U.S. dollar have been volatile and may be volatile in future periods. If these currencies strengthen against the U.S. dollar, our manufacturing costs could significantly increase. Exchange rates for the U.S. dollar that adversely change against our foreign currency exposures could have a material adverse effect on our business, results of operations, or financial condition.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We may incur restructuring charges in future periods.</w:t>
      </w:r>
    </w:p>
    <w:p>
      <w:pPr>
        <w:spacing w:after="0" w:line="274"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From time to time, we have, and may in the future, enter into restructure initiatives in order to, among other items, streamline our operations, respond to changes in business conditions, our markets or product offerings, or to centralize certain key functions. We may not realize expected savings or other benefits from our restructure activities and may incur additional restructure charges or other losses in future periods associated with other initiatives. In connection with any restructure initiatives, we could incur restructure charges, loss of production output, loss of key personnel, disruptions in our operations, and difficulties in the timely delivery of products, which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sz w:val="1"/>
          <w:szCs w:val="1"/>
          <w:color w:val="auto"/>
        </w:rPr>
        <w:drawing>
          <wp:inline distT="0" distB="0" distL="0" distR="0">
            <wp:extent cx="608330" cy="17145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8330" cy="171450"/>
                    </a:xfrm>
                    <a:prstGeom prst="rect">
                      <a:avLst/>
                    </a:prstGeom>
                    <a:noFill/>
                    <a:ln>
                      <a:noFill/>
                    </a:ln>
                  </pic:spPr>
                </pic:pic>
              </a:graphicData>
            </a:graphic>
          </wp:inline>
        </w:drawing>
      </w:r>
      <w:r>
        <w:rPr>
          <w:rFonts w:ascii="Arial" w:cs="Arial" w:eastAsia="Arial" w:hAnsi="Arial"/>
          <w:sz w:val="18"/>
          <w:szCs w:val="18"/>
          <w:color w:val="auto"/>
        </w:rPr>
        <w:t xml:space="preserv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1" w:name="page32"/>
    <w:bookmarkEnd w:id="31"/>
    <w:p>
      <w:pPr>
        <w:ind w:right="120"/>
        <w:spacing w:after="0" w:line="287" w:lineRule="auto"/>
        <w:rPr>
          <w:sz w:val="20"/>
          <w:szCs w:val="20"/>
          <w:color w:val="auto"/>
        </w:rPr>
      </w:pPr>
      <w:r>
        <w:rPr>
          <w:rFonts w:ascii="Arial" w:cs="Arial" w:eastAsia="Arial" w:hAnsi="Arial"/>
          <w:sz w:val="18"/>
          <w:szCs w:val="18"/>
          <w:b w:val="1"/>
          <w:bCs w:val="1"/>
          <w:color w:val="0090DA"/>
        </w:rPr>
        <w:t>Compliance with customer and responsible sourcing requirements and related regulations could limit the supply and increase the cost of certain materials, supplies, and services used in manufacturing our products.</w:t>
      </w:r>
    </w:p>
    <w:p>
      <w:pPr>
        <w:spacing w:after="0" w:line="202"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Many of our customers have adopted responsible sourcing programs that require us to periodically report on our supply chain and responsible sourcing efforts to ensure we source the materials, supplies, and services we use and incorporate into the products we sell in a manner that is consistent with their programs. Some of our customers may elect to disqualify us as a supplier or reduce purchases from us if we are unable to verify that our products meet the specifications of their responsible sourcing programs. Meeting customer requirements may limit the sourcing and availability of some of the materials, supplies, and services we use, particularly when the availability of such materials, supplies, and services is concentrated to a limited number of suppliers. This in turn may affect our ability and/or the cost to obtain in sufficient quantities materials, supplies, and services necessary for the manufacture of our products.</w:t>
      </w:r>
    </w:p>
    <w:p>
      <w:pPr>
        <w:spacing w:after="0" w:line="23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This increased focus on environmental protection and social responsibility initiatives led to the passage of Section 1502 of the Dodd-Frank Wall Street Reform and Consumer Protection Act of 2010 and its implementing SEC regulations. The act imposes supply chain diligence and disclosure requirements for certain manufacturers of products containing specific minerals that may originate in or near the Democratic Republic of the Congo and finance or benefit local armed groups. These conflict minerals are commonly found in materials used in the manufacture of semiconductors.</w:t>
      </w:r>
    </w:p>
    <w:p>
      <w:pPr>
        <w:spacing w:after="0" w:line="232"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Our inability to comply with customers’ requirements for responsible sourcing or with related regulations could have a material adverse effect on our business, results of operations, or financial condition.</w:t>
      </w:r>
    </w:p>
    <w:p>
      <w:pPr>
        <w:spacing w:after="0" w:line="203"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b w:val="1"/>
          <w:bCs w:val="1"/>
          <w:color w:val="0090DA"/>
        </w:rPr>
        <w:t>We and others are subject to a variety of laws, regulations, or industry standards that may have a material adverse effect on our business, results of operations, or financial condition.</w:t>
      </w:r>
    </w:p>
    <w:p>
      <w:pPr>
        <w:spacing w:after="0" w:line="20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manufacturing of our products requires the use of facilities, equipment, and materials that are subject to a broad array of laws and regulations in numerous jurisdictions in which we operate. Additionally, we are subject to a variety of other laws and regulations relative to the construction, maintenance, and operations of our facilities. Any changes in laws, regulations, or industry standards could cause us to incur additional direct costs, as well as increased indirect costs related to our relationships with our customers and suppliers, and otherwise harm our operations and financial condition. Any failure to comply with laws, regulations, or industry standards could adversely impact our reputation and our financial results. Additionally, we engage various third parties as sales channel partners or to represent us or otherwise act on our behalf who are also subject to a broad array of laws, regulations, and industry standards. Our engagement with these third parties may also expose us to risks associated with their respective compliance with laws and regulations. As a result of these items, we could experience the following:</w:t>
      </w:r>
    </w:p>
    <w:p>
      <w:pPr>
        <w:spacing w:after="0" w:line="239"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suspension of production or sales of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remediation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alteration of our manufacturing processes;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regulatory penalties, fines, and legal liabilities;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reputational challenges.</w:t>
      </w:r>
    </w:p>
    <w:p>
      <w:pPr>
        <w:spacing w:after="0" w:line="252"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Compliance with, or our failure, or the failure of our third-party sales channel partners or agents, to comply with, laws, regulations, or industry standards could have a material adverse effect on our business, results of operations, or financial condition.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We are subject to counterparty default risks.</w:t>
      </w:r>
    </w:p>
    <w:p>
      <w:pPr>
        <w:spacing w:after="0" w:line="27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have numerous arrangements with financial institutions that subject us to counterparty default risks, including cash deposits, investments, and derivative instruments. Additionally, we are subject to counterparty default risk from our customers for amounts receivable from them. As a result, we are subject to the risk that the counterparty will default on its performance obligations. A counterparty may not comply with its contractual commitments which could then lead to its defaulting on its obligations with little or no notice to us, which could limit our ability to mitigate our exposure. Additionally, our ability to mitigate our exposures may be constrained by the terms of our contractual arrangements or because market conditions prevent us from taking effective action. If one of our counterparties becomes insolvent or files for bankruptcy, our ability to recover any losses suffered as a result of that counterparty’s</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29 </w:t>
      </w:r>
      <w:r>
        <w:rPr>
          <w:rFonts w:ascii="Arial" w:cs="Arial" w:eastAsia="Arial" w:hAnsi="Arial"/>
          <w:sz w:val="21"/>
          <w:szCs w:val="21"/>
          <w:b w:val="1"/>
          <w:bCs w:val="1"/>
          <w:color w:val="0090DA"/>
        </w:rPr>
        <w:t>|</w:t>
      </w:r>
      <w:r>
        <w:rPr>
          <w:rFonts w:ascii="Arial" w:cs="Arial" w:eastAsia="Arial" w:hAnsi="Arial"/>
          <w:sz w:val="18"/>
          <w:szCs w:val="18"/>
          <w:color w:val="auto"/>
        </w:rPr>
        <w:t xml:space="preserve"> 2020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2" w:name="page33"/>
    <w:bookmarkEnd w:id="32"/>
    <w:p>
      <w:pPr>
        <w:ind w:right="180"/>
        <w:spacing w:after="0"/>
        <w:rPr>
          <w:sz w:val="20"/>
          <w:szCs w:val="20"/>
          <w:color w:val="auto"/>
        </w:rPr>
      </w:pPr>
      <w:r>
        <w:rPr>
          <w:rFonts w:ascii="Arial" w:cs="Arial" w:eastAsia="Arial" w:hAnsi="Arial"/>
          <w:sz w:val="18"/>
          <w:szCs w:val="18"/>
          <w:color w:val="auto"/>
        </w:rPr>
        <w:t>default may be limited by the liquidity of the counterparty or the applicable laws governing the bankruptcy proceedings. In the event of such default, we could incur significant losses, which could have a material adverse effect on our business, results of operations, or financial condition.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The trading price of our common stock has been and may continue to be volatile.</w:t>
      </w:r>
    </w:p>
    <w:p>
      <w:pPr>
        <w:spacing w:after="0" w:line="27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common stock has experienced substantial price volatility in the past and may continue to do so in the future. Additionally, we, the technology industry, and the stock market as a whole have on occasion experienced extreme stock price and volume fluctuations that have affected stock prices in ways that may have been unrelated to the operating performance of the specific companies. The trading price of our common stock may fluctuate widely due to various factors, including, but not limited to, actual or anticipated fluctuations in our financial condition and operating results, changes in financial estimates by us or financial estimates and ratings by securities analysts, changes in our capital structure, including issuance of additional debt or equity to the public, interest rate changes, regulatory changes, news regarding our products or products of our competitors, and broad market and industry fluctuations. For these reasons, investors should not rely on recent or historical trends to predict future trading prices of our common stock, financial condition, results of operations, or cash flows. Investors in our common stock may not realize any return on their investment in us and may lose some or all of their investment. Volatility in the trading price of our common stock could also result in the filing of securities class action litigation matters, which could result in substantial costs and the diversion of management time and resources.</w:t>
      </w:r>
    </w:p>
    <w:p>
      <w:pPr>
        <w:spacing w:after="0" w:line="216" w:lineRule="exact"/>
        <w:rPr>
          <w:sz w:val="20"/>
          <w:szCs w:val="20"/>
          <w:color w:val="auto"/>
        </w:rPr>
      </w:pPr>
    </w:p>
    <w:p>
      <w:pPr>
        <w:jc w:val="both"/>
        <w:ind w:right="320"/>
        <w:spacing w:after="0" w:line="268" w:lineRule="auto"/>
        <w:rPr>
          <w:sz w:val="20"/>
          <w:szCs w:val="20"/>
          <w:color w:val="auto"/>
        </w:rPr>
      </w:pPr>
      <w:r>
        <w:rPr>
          <w:rFonts w:ascii="Arial" w:cs="Arial" w:eastAsia="Arial" w:hAnsi="Arial"/>
          <w:sz w:val="18"/>
          <w:szCs w:val="18"/>
          <w:b w:val="1"/>
          <w:bCs w:val="1"/>
          <w:color w:val="0090DA"/>
        </w:rPr>
        <w:t>The amount and frequency of our share repurchases may fluctuate, and we cannot guarantee that we will fully consummate our share repurchase authorization, or that it will enhance long-term shareholder value. Share repurchases could also increase the volatility of the trading price of our stock and will diminish our cash reserves.</w:t>
      </w:r>
    </w:p>
    <w:p>
      <w:pPr>
        <w:spacing w:after="0" w:line="220"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amount, timing, and execution of our share repurchases pursuant to our share repurchase authorization may fluctuate based on our operating results, cash flows, and priorities for the use of cash for other purposes. These purposes include, but are not limited to, operational spending, capital spending, acquisitions, and repayment of debt. Other factors, including changes in tax laws, could also impact our share repurchases. Although our Board of Directors has authorized share repurchases of up to $10 billion of our outstanding common stock, the authorization does not obligate us to repurchase any common stock.</w:t>
      </w:r>
    </w:p>
    <w:p>
      <w:pPr>
        <w:spacing w:after="0" w:line="232"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We cannot guarantee that our share repurchase authorization will be fully consummated or that it will enhance long-term shareholder value. The repurchase authorization could affect the trading price of our stock and increase volatility, and any announcement of a pause in, or termination of, this program may result in a decrease in the trading price of our stock. In addition, this program will diminish our cash reserves.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1B. UNRESOLVED STAFF COMMENTS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sz w:val="1"/>
          <w:szCs w:val="1"/>
          <w:color w:val="auto"/>
        </w:rPr>
        <w:drawing>
          <wp:inline distT="0" distB="0" distL="0" distR="0">
            <wp:extent cx="608330" cy="17145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8330" cy="171450"/>
                    </a:xfrm>
                    <a:prstGeom prst="rect">
                      <a:avLst/>
                    </a:prstGeom>
                    <a:noFill/>
                    <a:ln>
                      <a:noFill/>
                    </a:ln>
                  </pic:spPr>
                </pic:pic>
              </a:graphicData>
            </a:graphic>
          </wp:inline>
        </w:drawing>
      </w:r>
      <w:r>
        <w:rPr>
          <w:rFonts w:ascii="Arial" w:cs="Arial" w:eastAsia="Arial" w:hAnsi="Arial"/>
          <w:sz w:val="18"/>
          <w:szCs w:val="18"/>
          <w:color w:val="auto"/>
        </w:rPr>
        <w:t xml:space="preserv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33" w:name="page34"/>
    <w:bookmarkEnd w:id="33"/>
    <w:p>
      <w:pPr>
        <w:spacing w:after="0"/>
        <w:rPr>
          <w:sz w:val="20"/>
          <w:szCs w:val="20"/>
          <w:color w:val="auto"/>
        </w:rPr>
      </w:pPr>
      <w:r>
        <w:rPr>
          <w:rFonts w:ascii="Arial" w:cs="Arial" w:eastAsia="Arial" w:hAnsi="Arial"/>
          <w:sz w:val="25"/>
          <w:szCs w:val="25"/>
          <w:b w:val="1"/>
          <w:bCs w:val="1"/>
          <w:color w:val="auto"/>
        </w:rPr>
        <w:t>ITEM 2. PROPERTIES</w:t>
      </w:r>
    </w:p>
    <w:p>
      <w:pPr>
        <w:spacing w:after="0" w:line="282"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Our corporate headquarters are located in Boise, Idaho. In addition to our principal facilities described below, we own or lease numerous other facilities in locations throughout the world used for design, R&amp;D, and sales and marketing activities. The following is a summary of our principal facilities as of September 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5863590" cy="32918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863590" cy="3291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168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Location</w:t>
            </w:r>
          </w:p>
        </w:tc>
        <w:tc>
          <w:tcPr>
            <w:tcW w:w="9560" w:type="dxa"/>
            <w:vAlign w:val="bottom"/>
            <w:tcBorders>
              <w:bottom w:val="single" w:sz="8" w:color="0090DA"/>
            </w:tcBorders>
          </w:tcPr>
          <w:p>
            <w:pPr>
              <w:ind w:left="580"/>
              <w:spacing w:after="0"/>
              <w:rPr>
                <w:sz w:val="20"/>
                <w:szCs w:val="20"/>
                <w:color w:val="auto"/>
              </w:rPr>
            </w:pPr>
            <w:r>
              <w:rPr>
                <w:rFonts w:ascii="Arial" w:cs="Arial" w:eastAsia="Arial" w:hAnsi="Arial"/>
                <w:sz w:val="18"/>
                <w:szCs w:val="18"/>
                <w:b w:val="1"/>
                <w:bCs w:val="1"/>
                <w:color w:val="auto"/>
              </w:rPr>
              <w:t>Principal Operations</w:t>
            </w:r>
          </w:p>
        </w:tc>
      </w:tr>
      <w:tr>
        <w:trPr>
          <w:trHeight w:val="40"/>
        </w:trPr>
        <w:tc>
          <w:tcPr>
            <w:tcW w:w="1680" w:type="dxa"/>
            <w:vAlign w:val="bottom"/>
          </w:tcPr>
          <w:p>
            <w:pPr>
              <w:spacing w:after="0"/>
              <w:rPr>
                <w:sz w:val="3"/>
                <w:szCs w:val="3"/>
                <w:color w:val="auto"/>
              </w:rPr>
            </w:pPr>
          </w:p>
        </w:tc>
        <w:tc>
          <w:tcPr>
            <w:tcW w:w="9560" w:type="dxa"/>
            <w:vAlign w:val="bottom"/>
          </w:tcPr>
          <w:p>
            <w:pPr>
              <w:spacing w:after="0"/>
              <w:rPr>
                <w:sz w:val="3"/>
                <w:szCs w:val="3"/>
                <w:color w:val="auto"/>
              </w:rPr>
            </w:pPr>
          </w:p>
        </w:tc>
      </w:tr>
      <w:tr>
        <w:trPr>
          <w:trHeight w:val="256"/>
        </w:trPr>
        <w:tc>
          <w:tcPr>
            <w:tcW w:w="1680" w:type="dxa"/>
            <w:vAlign w:val="bottom"/>
            <w:shd w:val="clear" w:color="auto" w:fill="D1D2D4"/>
          </w:tcPr>
          <w:p>
            <w:pPr>
              <w:ind w:left="20"/>
              <w:spacing w:after="0"/>
              <w:rPr>
                <w:sz w:val="20"/>
                <w:szCs w:val="20"/>
                <w:color w:val="auto"/>
              </w:rPr>
            </w:pPr>
            <w:r>
              <w:rPr>
                <w:rFonts w:ascii="Arial" w:cs="Arial" w:eastAsia="Arial" w:hAnsi="Arial"/>
                <w:sz w:val="18"/>
                <w:szCs w:val="18"/>
                <w:color w:val="auto"/>
              </w:rPr>
              <w:t>Taiwan</w:t>
            </w:r>
          </w:p>
        </w:tc>
        <w:tc>
          <w:tcPr>
            <w:tcW w:w="9560" w:type="dxa"/>
            <w:vAlign w:val="bottom"/>
            <w:shd w:val="clear" w:color="auto" w:fill="D1D2D4"/>
          </w:tcPr>
          <w:p>
            <w:pPr>
              <w:ind w:left="580"/>
              <w:spacing w:after="0"/>
              <w:rPr>
                <w:sz w:val="20"/>
                <w:szCs w:val="20"/>
                <w:color w:val="auto"/>
              </w:rPr>
            </w:pPr>
            <w:r>
              <w:rPr>
                <w:rFonts w:ascii="Arial" w:cs="Arial" w:eastAsia="Arial" w:hAnsi="Arial"/>
                <w:sz w:val="18"/>
                <w:szCs w:val="18"/>
                <w:color w:val="auto"/>
              </w:rPr>
              <w:t>R&amp;D, wafer fabrication, component assembly and test, module assembly and test</w:t>
            </w:r>
          </w:p>
        </w:tc>
      </w:tr>
      <w:tr>
        <w:trPr>
          <w:trHeight w:val="250"/>
        </w:trPr>
        <w:tc>
          <w:tcPr>
            <w:tcW w:w="1680" w:type="dxa"/>
            <w:vAlign w:val="bottom"/>
          </w:tcPr>
          <w:p>
            <w:pPr>
              <w:ind w:left="20"/>
              <w:spacing w:after="0"/>
              <w:rPr>
                <w:sz w:val="20"/>
                <w:szCs w:val="20"/>
                <w:color w:val="auto"/>
              </w:rPr>
            </w:pPr>
            <w:r>
              <w:rPr>
                <w:rFonts w:ascii="Arial" w:cs="Arial" w:eastAsia="Arial" w:hAnsi="Arial"/>
                <w:sz w:val="18"/>
                <w:szCs w:val="18"/>
                <w:color w:val="auto"/>
              </w:rPr>
              <w:t>Singapore</w:t>
            </w:r>
          </w:p>
        </w:tc>
        <w:tc>
          <w:tcPr>
            <w:tcW w:w="9560" w:type="dxa"/>
            <w:vAlign w:val="bottom"/>
          </w:tcPr>
          <w:p>
            <w:pPr>
              <w:ind w:left="580"/>
              <w:spacing w:after="0"/>
              <w:rPr>
                <w:sz w:val="20"/>
                <w:szCs w:val="20"/>
                <w:color w:val="auto"/>
              </w:rPr>
            </w:pPr>
            <w:r>
              <w:rPr>
                <w:rFonts w:ascii="Arial" w:cs="Arial" w:eastAsia="Arial" w:hAnsi="Arial"/>
                <w:sz w:val="18"/>
                <w:szCs w:val="18"/>
                <w:color w:val="auto"/>
              </w:rPr>
              <w:t>R&amp;D, wafer fabrication, component assembly and test, module assembly and test</w:t>
            </w:r>
          </w:p>
        </w:tc>
      </w:tr>
      <w:tr>
        <w:trPr>
          <w:trHeight w:val="263"/>
        </w:trPr>
        <w:tc>
          <w:tcPr>
            <w:tcW w:w="1680" w:type="dxa"/>
            <w:vAlign w:val="bottom"/>
            <w:shd w:val="clear" w:color="auto" w:fill="D1D2D4"/>
          </w:tcPr>
          <w:p>
            <w:pPr>
              <w:ind w:left="20"/>
              <w:spacing w:after="0"/>
              <w:rPr>
                <w:sz w:val="20"/>
                <w:szCs w:val="20"/>
                <w:color w:val="auto"/>
              </w:rPr>
            </w:pPr>
            <w:r>
              <w:rPr>
                <w:rFonts w:ascii="Arial" w:cs="Arial" w:eastAsia="Arial" w:hAnsi="Arial"/>
                <w:sz w:val="18"/>
                <w:szCs w:val="18"/>
                <w:color w:val="auto"/>
              </w:rPr>
              <w:t>Japan</w:t>
            </w:r>
          </w:p>
        </w:tc>
        <w:tc>
          <w:tcPr>
            <w:tcW w:w="9560" w:type="dxa"/>
            <w:vAlign w:val="bottom"/>
            <w:shd w:val="clear" w:color="auto" w:fill="D1D2D4"/>
          </w:tcPr>
          <w:p>
            <w:pPr>
              <w:ind w:left="580"/>
              <w:spacing w:after="0"/>
              <w:rPr>
                <w:sz w:val="20"/>
                <w:szCs w:val="20"/>
                <w:color w:val="auto"/>
              </w:rPr>
            </w:pPr>
            <w:r>
              <w:rPr>
                <w:rFonts w:ascii="Arial" w:cs="Arial" w:eastAsia="Arial" w:hAnsi="Arial"/>
                <w:sz w:val="18"/>
                <w:szCs w:val="18"/>
                <w:color w:val="auto"/>
              </w:rPr>
              <w:t>R&amp;D, wafer fabrication</w:t>
            </w:r>
          </w:p>
        </w:tc>
      </w:tr>
      <w:tr>
        <w:trPr>
          <w:trHeight w:val="250"/>
        </w:trPr>
        <w:tc>
          <w:tcPr>
            <w:tcW w:w="168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9560" w:type="dxa"/>
            <w:vAlign w:val="bottom"/>
          </w:tcPr>
          <w:p>
            <w:pPr>
              <w:ind w:left="580"/>
              <w:spacing w:after="0"/>
              <w:rPr>
                <w:sz w:val="20"/>
                <w:szCs w:val="20"/>
                <w:color w:val="auto"/>
              </w:rPr>
            </w:pPr>
            <w:r>
              <w:rPr>
                <w:rFonts w:ascii="Arial" w:cs="Arial" w:eastAsia="Arial" w:hAnsi="Arial"/>
                <w:sz w:val="18"/>
                <w:szCs w:val="18"/>
                <w:color w:val="auto"/>
              </w:rPr>
              <w:t>R&amp;D, wafer fabrication, reticle manufacturing</w:t>
            </w:r>
          </w:p>
        </w:tc>
      </w:tr>
      <w:tr>
        <w:trPr>
          <w:trHeight w:val="263"/>
        </w:trPr>
        <w:tc>
          <w:tcPr>
            <w:tcW w:w="1680" w:type="dxa"/>
            <w:vAlign w:val="bottom"/>
            <w:shd w:val="clear" w:color="auto" w:fill="D1D2D4"/>
          </w:tcPr>
          <w:p>
            <w:pPr>
              <w:ind w:left="20"/>
              <w:spacing w:after="0"/>
              <w:rPr>
                <w:sz w:val="20"/>
                <w:szCs w:val="20"/>
                <w:color w:val="auto"/>
              </w:rPr>
            </w:pPr>
            <w:r>
              <w:rPr>
                <w:rFonts w:ascii="Arial" w:cs="Arial" w:eastAsia="Arial" w:hAnsi="Arial"/>
                <w:sz w:val="18"/>
                <w:szCs w:val="18"/>
                <w:color w:val="auto"/>
              </w:rPr>
              <w:t>China</w:t>
            </w:r>
          </w:p>
        </w:tc>
        <w:tc>
          <w:tcPr>
            <w:tcW w:w="9560" w:type="dxa"/>
            <w:vAlign w:val="bottom"/>
            <w:shd w:val="clear" w:color="auto" w:fill="D1D2D4"/>
          </w:tcPr>
          <w:p>
            <w:pPr>
              <w:ind w:left="580"/>
              <w:spacing w:after="0"/>
              <w:rPr>
                <w:sz w:val="20"/>
                <w:szCs w:val="20"/>
                <w:color w:val="auto"/>
              </w:rPr>
            </w:pPr>
            <w:r>
              <w:rPr>
                <w:rFonts w:ascii="Arial" w:cs="Arial" w:eastAsia="Arial" w:hAnsi="Arial"/>
                <w:sz w:val="18"/>
                <w:szCs w:val="18"/>
                <w:color w:val="auto"/>
              </w:rPr>
              <w:t>Component assembly and test, module assembly and test</w:t>
            </w:r>
          </w:p>
        </w:tc>
      </w:tr>
      <w:tr>
        <w:trPr>
          <w:trHeight w:val="243"/>
        </w:trPr>
        <w:tc>
          <w:tcPr>
            <w:tcW w:w="1680" w:type="dxa"/>
            <w:vAlign w:val="bottom"/>
          </w:tcPr>
          <w:p>
            <w:pPr>
              <w:ind w:left="20"/>
              <w:spacing w:after="0"/>
              <w:rPr>
                <w:sz w:val="20"/>
                <w:szCs w:val="20"/>
                <w:color w:val="auto"/>
              </w:rPr>
            </w:pPr>
            <w:r>
              <w:rPr>
                <w:rFonts w:ascii="Arial" w:cs="Arial" w:eastAsia="Arial" w:hAnsi="Arial"/>
                <w:sz w:val="18"/>
                <w:szCs w:val="18"/>
                <w:color w:val="auto"/>
              </w:rPr>
              <w:t>Malaysia</w:t>
            </w:r>
          </w:p>
        </w:tc>
        <w:tc>
          <w:tcPr>
            <w:tcW w:w="9560" w:type="dxa"/>
            <w:vAlign w:val="bottom"/>
          </w:tcPr>
          <w:p>
            <w:pPr>
              <w:ind w:left="580"/>
              <w:spacing w:after="0"/>
              <w:rPr>
                <w:sz w:val="20"/>
                <w:szCs w:val="20"/>
                <w:color w:val="auto"/>
              </w:rPr>
            </w:pPr>
            <w:r>
              <w:rPr>
                <w:rFonts w:ascii="Arial" w:cs="Arial" w:eastAsia="Arial" w:hAnsi="Arial"/>
                <w:sz w:val="18"/>
                <w:szCs w:val="18"/>
                <w:color w:val="auto"/>
              </w:rPr>
              <w:t>Component assembly and test, module assembly and test</w:t>
            </w:r>
          </w:p>
        </w:tc>
      </w:tr>
    </w:tbl>
    <w:p>
      <w:pPr>
        <w:spacing w:after="0" w:line="36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generally utilize all of our manufacturing capacity; however, a portion of our MTU facility was underutilized for 2020, 2019, and 2018. We believe that our existing facilities are suitable and adequate for our present purposes. We do not identify or allocate assets by operating segment, other than goodwill. (See “Part II – Item 8. Financial Statements and Supplementary Data – Notes to Consolidated Financial Statements – Geographic Information.”)</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3. LEGAL PROCEEDINGS</w:t>
      </w:r>
    </w:p>
    <w:p>
      <w:pPr>
        <w:spacing w:after="0" w:line="253"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Reorganization Proceedings of the MMJ Companies</w:t>
      </w:r>
    </w:p>
    <w:p>
      <w:pPr>
        <w:spacing w:after="0" w:line="28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 2013, we completed the acquisition of Elpida Memory, Inc., now known as MMJ, pursuant to the terms and conditions of an Agreement on Support for Reorganization Companies (the “Sponsor Agreement”) that we entered into in 2012 with the trustees of the MMJ Companies’ pending corporate reorganization proceedings under the Corporate Reorganization Act of Japan. Under the Sponsor Agreement, we agreed to provide certain support for the reorganization of the MMJ Companies and the trustees agreed to seek approval for such support from the Tokyo District Court and the MMJ Companies’ reorganization creditors.</w:t>
      </w:r>
    </w:p>
    <w:p>
      <w:pPr>
        <w:sectPr>
          <w:pgSz w:w="11900" w:h="16838" w:orient="portrait"/>
          <w:cols w:equalWidth="0" w:num="1">
            <w:col w:w="11240"/>
          </w:cols>
          <w:pgMar w:left="320" w:top="919"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21"/>
          <w:szCs w:val="21"/>
          <w:b w:val="1"/>
          <w:bCs w:val="1"/>
          <w:color w:val="0090DA"/>
        </w:rPr>
        <w:t>|</w:t>
      </w:r>
      <w:r>
        <w:rPr>
          <w:rFonts w:ascii="Arial" w:cs="Arial" w:eastAsia="Arial" w:hAnsi="Arial"/>
          <w:sz w:val="18"/>
          <w:szCs w:val="18"/>
          <w:color w:val="auto"/>
        </w:rPr>
        <w:t xml:space="preserve"> 2020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type w:val="continuous"/>
        </w:sectPr>
      </w:pPr>
    </w:p>
    <w:bookmarkStart w:id="34" w:name="page35"/>
    <w:bookmarkEnd w:id="34"/>
    <w:p>
      <w:pPr>
        <w:ind w:right="60"/>
        <w:spacing w:after="0" w:line="256" w:lineRule="auto"/>
        <w:rPr>
          <w:sz w:val="20"/>
          <w:szCs w:val="20"/>
          <w:color w:val="auto"/>
        </w:rPr>
      </w:pPr>
      <w:r>
        <w:rPr>
          <w:rFonts w:ascii="Arial" w:cs="Arial" w:eastAsia="Arial" w:hAnsi="Arial"/>
          <w:sz w:val="18"/>
          <w:szCs w:val="18"/>
          <w:color w:val="auto"/>
        </w:rPr>
        <w:t>The reorganization provided for payments by the MMJ Companies to their secured and unsecured creditors in an aggregate amount of 200 billion yen, less certain expenses. The plan of reorganization also provided for our cash payment at closing of 60 billion yen into MMJ to fund the initial installment payment to the creditors of 60 billion yen in exchange for 100% ownership of MMJ’s equity.</w:t>
      </w:r>
    </w:p>
    <w:p>
      <w:pPr>
        <w:spacing w:after="0" w:line="229"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Under MMJ’s plan of reorganization, secured creditors recovered 100% of the amount of their fixed claims on or before the sixth annual installment payment, and unsecured creditors recovered at least 17.4% of the amount of their fixed claims in seven annual installments. In connection with our sale of MAI in 2017, the remaining MAI creditor obligation was paid in full and MAI’s reorganization proceedings were closed at that time.</w:t>
      </w:r>
    </w:p>
    <w:p>
      <w:pPr>
        <w:spacing w:after="0" w:line="23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Because MMJ’s plan of reorganization provided for ongoing payments to creditors, the reorganization proceedings continued following the closing of the MMJ acquisition and MMJ remained subject to the oversight of the Tokyo District Court and two trustees. The final creditor payment under MMJ’s plan of reorganization occurred in December 2019 and, on July 22, 2020, the Tokyo District Court issued a termination order formally closing the reorganization proceedings and ending the oversight of MMJ’s operations by the Tokyo District Court and trustees.</w:t>
      </w:r>
    </w:p>
    <w:p>
      <w:pPr>
        <w:spacing w:after="0" w:line="218"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See “Part II – Item 8. Financial Statements and Supplementary Data – Notes to Consolidated Financial Statements – Contingencies” and “Item 1A. Risk Factors” for a discussion of other legal proceedings.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4. MINE SAFETY DISCLOSURES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PART II</w:t>
      </w:r>
    </w:p>
    <w:p>
      <w:pPr>
        <w:spacing w:after="0" w:line="257" w:lineRule="exact"/>
        <w:rPr>
          <w:sz w:val="20"/>
          <w:szCs w:val="20"/>
          <w:color w:val="auto"/>
        </w:rPr>
      </w:pPr>
    </w:p>
    <w:p>
      <w:pPr>
        <w:ind w:right="1120"/>
        <w:spacing w:after="0" w:line="288" w:lineRule="auto"/>
        <w:rPr>
          <w:sz w:val="20"/>
          <w:szCs w:val="20"/>
          <w:color w:val="auto"/>
        </w:rPr>
      </w:pPr>
      <w:r>
        <w:rPr>
          <w:rFonts w:ascii="Arial" w:cs="Arial" w:eastAsia="Arial" w:hAnsi="Arial"/>
          <w:sz w:val="25"/>
          <w:szCs w:val="25"/>
          <w:b w:val="1"/>
          <w:bCs w:val="1"/>
          <w:color w:val="auto"/>
        </w:rPr>
        <w:t>ITEM 5. MARKET FOR REGISTRANT’S COMMON EQUITY, RELATED STOCKHOLDER MATTERS, AND ISSUER PURCHASES OF EQUITY SECURITIES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Nasdaq Global Select Market under the trading symbol “MU.”</w:t>
      </w:r>
    </w:p>
    <w:p>
      <w:pPr>
        <w:spacing w:after="0" w:line="223"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Holders of Record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As of October 9, 2020, there were 1,942 shareholders of record of our 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Equity Compensation Plan Information</w:t>
      </w:r>
    </w:p>
    <w:p>
      <w:pPr>
        <w:spacing w:after="0" w:line="285"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The information required by this item is incorporated by reference from the information to be included in our 2020 Proxy Statement under the section entitled “Equity Compensation Plan Information,” which will be filed with the SEC within 120 days after September 3, 2020.</w:t>
      </w:r>
    </w:p>
    <w:p>
      <w:pPr>
        <w:spacing w:after="0" w:line="19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Issuer Purchase of Equity Securities</w:t>
      </w:r>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Common Stock Repurchase Authorization</w:t>
      </w:r>
    </w:p>
    <w:p>
      <w:pPr>
        <w:spacing w:after="0" w:line="265"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In May 2018, we announced that our Board of Directors authorized the discretionary repurchase of up to $ 10 billion of our outstanding common stock through open-market purchases, block trades, privately-negotiated transactions, derivative transactions, and/or pursuant to Rule 10b5-1 trading plans. The repurchase authorization has no expiration date, does not obligate us to acquire any common stock, and is subject to market conditions and our ongoing determination of the best use of available cash.</w:t>
      </w:r>
    </w:p>
    <w:p>
      <w:pPr>
        <w:sectPr>
          <w:pgSz w:w="11900" w:h="16838" w:orient="portrait"/>
          <w:cols w:equalWidth="0" w:num="1">
            <w:col w:w="11240"/>
          </w:cols>
          <w:pgMar w:left="320" w:top="11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0040"/>
        <w:spacing w:after="0"/>
        <w:rPr>
          <w:sz w:val="20"/>
          <w:szCs w:val="20"/>
          <w:color w:val="auto"/>
        </w:rPr>
      </w:pPr>
      <w:r>
        <w:rPr>
          <w:sz w:val="1"/>
          <w:szCs w:val="1"/>
          <w:color w:val="auto"/>
        </w:rPr>
        <w:drawing>
          <wp:inline distT="0" distB="0" distL="0" distR="0">
            <wp:extent cx="608330" cy="171450"/>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8330" cy="171450"/>
                    </a:xfrm>
                    <a:prstGeom prst="rect">
                      <a:avLst/>
                    </a:prstGeom>
                    <a:noFill/>
                    <a:ln>
                      <a:noFill/>
                    </a:ln>
                  </pic:spPr>
                </pic:pic>
              </a:graphicData>
            </a:graphic>
          </wp:inline>
        </w:drawing>
      </w:r>
      <w:r>
        <w:rPr>
          <w:rFonts w:ascii="Arial" w:cs="Arial" w:eastAsia="Arial" w:hAnsi="Arial"/>
          <w:sz w:val="13"/>
          <w:szCs w:val="13"/>
          <w:color w:val="auto"/>
        </w:rPr>
        <w:t xml:space="preserve">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type w:val="continuous"/>
        </w:sectPr>
      </w:pPr>
    </w:p>
    <w:bookmarkStart w:id="35" w:name="page36"/>
    <w:bookmarkEnd w:id="35"/>
    <w:tbl>
      <w:tblPr>
        <w:tblLayout w:type="fixed"/>
        <w:tblInd w:w="0" w:type="dxa"/>
        <w:tblCellMar>
          <w:top w:w="0" w:type="dxa"/>
          <w:left w:w="0" w:type="dxa"/>
          <w:bottom w:w="0" w:type="dxa"/>
          <w:right w:w="0" w:type="dxa"/>
        </w:tblCellMar>
      </w:tblPr>
      <w:tr>
        <w:trPr>
          <w:trHeight w:val="207"/>
        </w:trPr>
        <w:tc>
          <w:tcPr>
            <w:tcW w:w="11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99"/>
              </w:rPr>
              <w:t>Total number of shares</w:t>
            </w:r>
          </w:p>
        </w:tc>
        <w:tc>
          <w:tcPr>
            <w:tcW w:w="3440" w:type="dxa"/>
            <w:vAlign w:val="bottom"/>
          </w:tcPr>
          <w:p>
            <w:pPr>
              <w:jc w:val="center"/>
              <w:spacing w:after="0"/>
              <w:rPr>
                <w:sz w:val="20"/>
                <w:szCs w:val="20"/>
                <w:color w:val="auto"/>
              </w:rPr>
            </w:pPr>
            <w:r>
              <w:rPr>
                <w:rFonts w:ascii="Arial" w:cs="Arial" w:eastAsia="Arial" w:hAnsi="Arial"/>
                <w:sz w:val="18"/>
                <w:szCs w:val="18"/>
                <w:b w:val="1"/>
                <w:bCs w:val="1"/>
                <w:color w:val="auto"/>
              </w:rPr>
              <w:t>Maximum number (or approximate</w:t>
            </w:r>
          </w:p>
        </w:tc>
      </w:tr>
      <w:tr>
        <w:trPr>
          <w:trHeight w:val="203"/>
        </w:trPr>
        <w:tc>
          <w:tcPr>
            <w:tcW w:w="11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3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Total number</w:t>
            </w:r>
          </w:p>
        </w:tc>
        <w:tc>
          <w:tcPr>
            <w:tcW w:w="140" w:type="dxa"/>
            <w:vAlign w:val="bottom"/>
          </w:tcPr>
          <w:p>
            <w:pPr>
              <w:spacing w:after="0"/>
              <w:rPr>
                <w:sz w:val="17"/>
                <w:szCs w:val="17"/>
                <w:color w:val="auto"/>
              </w:rPr>
            </w:pPr>
          </w:p>
        </w:tc>
        <w:tc>
          <w:tcPr>
            <w:tcW w:w="86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w w:val="98"/>
              </w:rPr>
              <w:t>Average</w:t>
            </w:r>
          </w:p>
        </w:tc>
        <w:tc>
          <w:tcPr>
            <w:tcW w:w="24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purchased as part of</w:t>
            </w:r>
          </w:p>
        </w:tc>
        <w:tc>
          <w:tcPr>
            <w:tcW w:w="34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dollar value) of shares that may yet be</w:t>
            </w:r>
          </w:p>
        </w:tc>
      </w:tr>
      <w:tr>
        <w:trPr>
          <w:trHeight w:val="203"/>
        </w:trPr>
        <w:tc>
          <w:tcPr>
            <w:tcW w:w="11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3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of shares</w:t>
            </w:r>
          </w:p>
        </w:tc>
        <w:tc>
          <w:tcPr>
            <w:tcW w:w="100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8"/>
              </w:rPr>
              <w:t>price paid</w:t>
            </w:r>
          </w:p>
        </w:tc>
        <w:tc>
          <w:tcPr>
            <w:tcW w:w="24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publicly announced plans</w:t>
            </w:r>
          </w:p>
        </w:tc>
        <w:tc>
          <w:tcPr>
            <w:tcW w:w="34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purchased under publicly announced</w:t>
            </w:r>
          </w:p>
        </w:tc>
      </w:tr>
      <w:tr>
        <w:trPr>
          <w:trHeight w:val="246"/>
        </w:trPr>
        <w:tc>
          <w:tcPr>
            <w:tcW w:w="1180" w:type="dxa"/>
            <w:vAlign w:val="bottom"/>
            <w:tcBorders>
              <w:bottom w:val="single" w:sz="8" w:color="0090DA"/>
            </w:tcBorders>
          </w:tcPr>
          <w:p>
            <w:pPr>
              <w:spacing w:after="0"/>
              <w:rPr>
                <w:sz w:val="21"/>
                <w:szCs w:val="21"/>
                <w:color w:val="auto"/>
              </w:rPr>
            </w:pPr>
          </w:p>
        </w:tc>
        <w:tc>
          <w:tcPr>
            <w:tcW w:w="1860" w:type="dxa"/>
            <w:vAlign w:val="bottom"/>
            <w:tcBorders>
              <w:bottom w:val="single" w:sz="8" w:color="0090DA"/>
            </w:tcBorders>
          </w:tcPr>
          <w:p>
            <w:pPr>
              <w:ind w:left="60"/>
              <w:spacing w:after="0"/>
              <w:rPr>
                <w:sz w:val="20"/>
                <w:szCs w:val="20"/>
                <w:color w:val="auto"/>
              </w:rPr>
            </w:pPr>
            <w:r>
              <w:rPr>
                <w:rFonts w:ascii="Arial" w:cs="Arial" w:eastAsia="Arial" w:hAnsi="Arial"/>
                <w:sz w:val="18"/>
                <w:szCs w:val="18"/>
                <w:b w:val="1"/>
                <w:bCs w:val="1"/>
                <w:color w:val="auto"/>
              </w:rPr>
              <w:t>Period</w:t>
            </w:r>
          </w:p>
        </w:tc>
        <w:tc>
          <w:tcPr>
            <w:tcW w:w="1360" w:type="dxa"/>
            <w:vAlign w:val="bottom"/>
            <w:tcBorders>
              <w:bottom w:val="single" w:sz="8" w:color="0090DA"/>
            </w:tcBorders>
          </w:tcPr>
          <w:p>
            <w:pPr>
              <w:jc w:val="center"/>
              <w:spacing w:after="0"/>
              <w:rPr>
                <w:sz w:val="20"/>
                <w:szCs w:val="20"/>
                <w:color w:val="auto"/>
              </w:rPr>
            </w:pPr>
            <w:r>
              <w:rPr>
                <w:rFonts w:ascii="Arial" w:cs="Arial" w:eastAsia="Arial" w:hAnsi="Arial"/>
                <w:sz w:val="18"/>
                <w:szCs w:val="18"/>
                <w:b w:val="1"/>
                <w:bCs w:val="1"/>
                <w:color w:val="auto"/>
              </w:rPr>
              <w:t>purchased</w:t>
            </w:r>
          </w:p>
        </w:tc>
        <w:tc>
          <w:tcPr>
            <w:tcW w:w="1000" w:type="dxa"/>
            <w:vAlign w:val="bottom"/>
            <w:tcBorders>
              <w:bottom w:val="single" w:sz="8" w:color="0090DA"/>
            </w:tcBorders>
            <w:gridSpan w:val="2"/>
          </w:tcPr>
          <w:p>
            <w:pPr>
              <w:jc w:val="center"/>
              <w:spacing w:after="0"/>
              <w:rPr>
                <w:sz w:val="20"/>
                <w:szCs w:val="20"/>
                <w:color w:val="auto"/>
              </w:rPr>
            </w:pPr>
            <w:r>
              <w:rPr>
                <w:rFonts w:ascii="Arial" w:cs="Arial" w:eastAsia="Arial" w:hAnsi="Arial"/>
                <w:sz w:val="18"/>
                <w:szCs w:val="18"/>
                <w:b w:val="1"/>
                <w:bCs w:val="1"/>
                <w:color w:val="auto"/>
                <w:w w:val="98"/>
              </w:rPr>
              <w:t>per share</w:t>
            </w:r>
          </w:p>
        </w:tc>
        <w:tc>
          <w:tcPr>
            <w:tcW w:w="2400" w:type="dxa"/>
            <w:vAlign w:val="bottom"/>
            <w:tcBorders>
              <w:bottom w:val="single" w:sz="8" w:color="0090DA"/>
            </w:tcBorders>
          </w:tcPr>
          <w:p>
            <w:pPr>
              <w:jc w:val="center"/>
              <w:spacing w:after="0"/>
              <w:rPr>
                <w:sz w:val="20"/>
                <w:szCs w:val="20"/>
                <w:color w:val="auto"/>
              </w:rPr>
            </w:pPr>
            <w:r>
              <w:rPr>
                <w:rFonts w:ascii="Arial" w:cs="Arial" w:eastAsia="Arial" w:hAnsi="Arial"/>
                <w:sz w:val="18"/>
                <w:szCs w:val="18"/>
                <w:b w:val="1"/>
                <w:bCs w:val="1"/>
                <w:color w:val="auto"/>
                <w:w w:val="99"/>
              </w:rPr>
              <w:t>or programs</w:t>
            </w:r>
          </w:p>
        </w:tc>
        <w:tc>
          <w:tcPr>
            <w:tcW w:w="3440" w:type="dxa"/>
            <w:vAlign w:val="bottom"/>
            <w:tcBorders>
              <w:bottom w:val="single" w:sz="8" w:color="0090DA"/>
            </w:tcBorders>
          </w:tcPr>
          <w:p>
            <w:pPr>
              <w:jc w:val="center"/>
              <w:spacing w:after="0"/>
              <w:rPr>
                <w:sz w:val="20"/>
                <w:szCs w:val="20"/>
                <w:color w:val="auto"/>
              </w:rPr>
            </w:pPr>
            <w:r>
              <w:rPr>
                <w:rFonts w:ascii="Arial" w:cs="Arial" w:eastAsia="Arial" w:hAnsi="Arial"/>
                <w:sz w:val="18"/>
                <w:szCs w:val="18"/>
                <w:b w:val="1"/>
                <w:bCs w:val="1"/>
                <w:color w:val="auto"/>
                <w:w w:val="99"/>
              </w:rPr>
              <w:t>plans or programs</w:t>
            </w:r>
          </w:p>
        </w:tc>
      </w:tr>
      <w:tr>
        <w:trPr>
          <w:trHeight w:val="41"/>
        </w:trPr>
        <w:tc>
          <w:tcPr>
            <w:tcW w:w="118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0" w:type="dxa"/>
            <w:vAlign w:val="bottom"/>
          </w:tcPr>
          <w:p>
            <w:pPr>
              <w:spacing w:after="0"/>
              <w:rPr>
                <w:sz w:val="3"/>
                <w:szCs w:val="3"/>
                <w:color w:val="auto"/>
              </w:rPr>
            </w:pPr>
          </w:p>
        </w:tc>
        <w:tc>
          <w:tcPr>
            <w:tcW w:w="3440" w:type="dxa"/>
            <w:vAlign w:val="bottom"/>
          </w:tcPr>
          <w:p>
            <w:pPr>
              <w:spacing w:after="0"/>
              <w:rPr>
                <w:sz w:val="3"/>
                <w:szCs w:val="3"/>
                <w:color w:val="auto"/>
              </w:rPr>
            </w:pPr>
          </w:p>
        </w:tc>
      </w:tr>
      <w:tr>
        <w:trPr>
          <w:trHeight w:val="257"/>
        </w:trPr>
        <w:tc>
          <w:tcPr>
            <w:tcW w:w="1180" w:type="dxa"/>
            <w:vAlign w:val="bottom"/>
            <w:shd w:val="clear" w:color="auto" w:fill="D1D2D4"/>
          </w:tcPr>
          <w:p>
            <w:pPr>
              <w:ind w:left="20"/>
              <w:spacing w:after="0"/>
              <w:rPr>
                <w:sz w:val="20"/>
                <w:szCs w:val="20"/>
                <w:color w:val="auto"/>
              </w:rPr>
            </w:pPr>
            <w:r>
              <w:rPr>
                <w:rFonts w:ascii="Arial" w:cs="Arial" w:eastAsia="Arial" w:hAnsi="Arial"/>
                <w:sz w:val="18"/>
                <w:szCs w:val="18"/>
                <w:color w:val="auto"/>
              </w:rPr>
              <w:t>May 29, 2020</w:t>
            </w:r>
          </w:p>
        </w:tc>
        <w:tc>
          <w:tcPr>
            <w:tcW w:w="1860" w:type="dxa"/>
            <w:vAlign w:val="bottom"/>
            <w:shd w:val="clear" w:color="auto" w:fill="D1D2D4"/>
          </w:tcPr>
          <w:p>
            <w:pPr>
              <w:ind w:left="80"/>
              <w:spacing w:after="0"/>
              <w:rPr>
                <w:sz w:val="20"/>
                <w:szCs w:val="20"/>
                <w:color w:val="auto"/>
              </w:rPr>
            </w:pPr>
            <w:r>
              <w:rPr>
                <w:rFonts w:ascii="Arial" w:cs="Arial" w:eastAsia="Arial" w:hAnsi="Arial"/>
                <w:sz w:val="18"/>
                <w:szCs w:val="18"/>
                <w:color w:val="auto"/>
              </w:rPr>
              <w:t>– July 2, 2020</w:t>
            </w:r>
          </w:p>
        </w:tc>
        <w:tc>
          <w:tcPr>
            <w:tcW w:w="136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824,339</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49.91</w:t>
            </w:r>
          </w:p>
        </w:tc>
        <w:tc>
          <w:tcPr>
            <w:tcW w:w="240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824,339</w:t>
            </w:r>
          </w:p>
        </w:tc>
        <w:tc>
          <w:tcPr>
            <w:tcW w:w="3440" w:type="dxa"/>
            <w:vAlign w:val="bottom"/>
            <w:shd w:val="clear" w:color="auto" w:fill="D1D2D4"/>
          </w:tcPr>
          <w:p>
            <w:pPr>
              <w:spacing w:after="0"/>
              <w:rPr>
                <w:sz w:val="22"/>
                <w:szCs w:val="22"/>
                <w:color w:val="auto"/>
              </w:rPr>
            </w:pPr>
          </w:p>
        </w:tc>
      </w:tr>
      <w:tr>
        <w:trPr>
          <w:trHeight w:val="250"/>
        </w:trPr>
        <w:tc>
          <w:tcPr>
            <w:tcW w:w="1180" w:type="dxa"/>
            <w:vAlign w:val="bottom"/>
          </w:tcPr>
          <w:p>
            <w:pPr>
              <w:ind w:left="20"/>
              <w:spacing w:after="0"/>
              <w:rPr>
                <w:sz w:val="20"/>
                <w:szCs w:val="20"/>
                <w:color w:val="auto"/>
              </w:rPr>
            </w:pPr>
            <w:r>
              <w:rPr>
                <w:rFonts w:ascii="Arial" w:cs="Arial" w:eastAsia="Arial" w:hAnsi="Arial"/>
                <w:sz w:val="18"/>
                <w:szCs w:val="18"/>
                <w:color w:val="auto"/>
              </w:rPr>
              <w:t>July 3, 2020</w:t>
            </w:r>
          </w:p>
        </w:tc>
        <w:tc>
          <w:tcPr>
            <w:tcW w:w="1860" w:type="dxa"/>
            <w:vAlign w:val="bottom"/>
          </w:tcPr>
          <w:p>
            <w:pPr>
              <w:ind w:left="80"/>
              <w:spacing w:after="0"/>
              <w:rPr>
                <w:sz w:val="20"/>
                <w:szCs w:val="20"/>
                <w:color w:val="auto"/>
              </w:rPr>
            </w:pPr>
            <w:r>
              <w:rPr>
                <w:rFonts w:ascii="Arial" w:cs="Arial" w:eastAsia="Arial" w:hAnsi="Arial"/>
                <w:sz w:val="18"/>
                <w:szCs w:val="18"/>
                <w:color w:val="auto"/>
              </w:rPr>
              <w:t>– July 30, 2020</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40" w:type="dxa"/>
            <w:vAlign w:val="bottom"/>
          </w:tcPr>
          <w:p>
            <w:pPr>
              <w:spacing w:after="0"/>
              <w:rPr>
                <w:sz w:val="21"/>
                <w:szCs w:val="21"/>
                <w:color w:val="auto"/>
              </w:rPr>
            </w:pPr>
          </w:p>
        </w:tc>
      </w:tr>
      <w:tr>
        <w:trPr>
          <w:trHeight w:val="257"/>
        </w:trPr>
        <w:tc>
          <w:tcPr>
            <w:tcW w:w="1180" w:type="dxa"/>
            <w:vAlign w:val="bottom"/>
            <w:shd w:val="clear" w:color="auto" w:fill="D1D2D4"/>
          </w:tcPr>
          <w:p>
            <w:pPr>
              <w:ind w:left="20"/>
              <w:spacing w:after="0"/>
              <w:rPr>
                <w:sz w:val="20"/>
                <w:szCs w:val="20"/>
                <w:color w:val="auto"/>
              </w:rPr>
            </w:pPr>
            <w:r>
              <w:rPr>
                <w:rFonts w:ascii="Arial" w:cs="Arial" w:eastAsia="Arial" w:hAnsi="Arial"/>
                <w:sz w:val="18"/>
                <w:szCs w:val="18"/>
                <w:color w:val="auto"/>
              </w:rPr>
              <w:t>July 31, 2020</w:t>
            </w:r>
          </w:p>
        </w:tc>
        <w:tc>
          <w:tcPr>
            <w:tcW w:w="1860" w:type="dxa"/>
            <w:vAlign w:val="bottom"/>
            <w:shd w:val="clear" w:color="auto" w:fill="D1D2D4"/>
          </w:tcPr>
          <w:p>
            <w:pPr>
              <w:ind w:left="80"/>
              <w:spacing w:after="0"/>
              <w:rPr>
                <w:sz w:val="20"/>
                <w:szCs w:val="20"/>
                <w:color w:val="auto"/>
              </w:rPr>
            </w:pPr>
            <w:r>
              <w:rPr>
                <w:rFonts w:ascii="Arial" w:cs="Arial" w:eastAsia="Arial" w:hAnsi="Arial"/>
                <w:sz w:val="18"/>
                <w:szCs w:val="18"/>
                <w:color w:val="auto"/>
              </w:rPr>
              <w:t>– September 3, 2020</w:t>
            </w:r>
          </w:p>
        </w:tc>
        <w:tc>
          <w:tcPr>
            <w:tcW w:w="136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22"/>
                <w:szCs w:val="22"/>
                <w:color w:val="auto"/>
              </w:rPr>
            </w:pPr>
          </w:p>
        </w:tc>
        <w:tc>
          <w:tcPr>
            <w:tcW w:w="8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3440" w:type="dxa"/>
            <w:vAlign w:val="bottom"/>
            <w:shd w:val="clear" w:color="auto" w:fill="D1D2D4"/>
          </w:tcPr>
          <w:p>
            <w:pPr>
              <w:spacing w:after="0"/>
              <w:rPr>
                <w:sz w:val="22"/>
                <w:szCs w:val="22"/>
                <w:color w:val="auto"/>
              </w:rPr>
            </w:pPr>
          </w:p>
        </w:tc>
      </w:tr>
      <w:tr>
        <w:trPr>
          <w:trHeight w:val="256"/>
        </w:trPr>
        <w:tc>
          <w:tcPr>
            <w:tcW w:w="118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824,339</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49.91</w:t>
            </w:r>
          </w:p>
        </w:tc>
        <w:tc>
          <w:tcPr>
            <w:tcW w:w="2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824,339</w:t>
            </w:r>
          </w:p>
        </w:tc>
        <w:tc>
          <w:tcPr>
            <w:tcW w:w="3440" w:type="dxa"/>
            <w:vAlign w:val="bottom"/>
          </w:tcPr>
          <w:p>
            <w:pPr>
              <w:jc w:val="right"/>
              <w:spacing w:after="0"/>
              <w:rPr>
                <w:sz w:val="20"/>
                <w:szCs w:val="20"/>
                <w:color w:val="auto"/>
              </w:rPr>
            </w:pPr>
            <w:r>
              <w:rPr>
                <w:rFonts w:ascii="Arial" w:cs="Arial" w:eastAsia="Arial" w:hAnsi="Arial"/>
                <w:sz w:val="18"/>
                <w:szCs w:val="18"/>
                <w:color w:val="auto"/>
              </w:rPr>
              <w:t>$7,162,264,784</w:t>
            </w:r>
          </w:p>
        </w:tc>
      </w:tr>
      <w:tr>
        <w:trPr>
          <w:trHeight w:val="21"/>
        </w:trPr>
        <w:tc>
          <w:tcPr>
            <w:tcW w:w="11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80"/>
        <w:spacing w:after="0" w:line="278" w:lineRule="auto"/>
        <w:rPr>
          <w:sz w:val="20"/>
          <w:szCs w:val="20"/>
          <w:color w:val="auto"/>
        </w:rPr>
      </w:pPr>
      <w:r>
        <w:rPr>
          <w:rFonts w:ascii="Arial" w:cs="Arial" w:eastAsia="Arial" w:hAnsi="Arial"/>
          <w:sz w:val="17"/>
          <w:szCs w:val="17"/>
          <w:color w:val="auto"/>
        </w:rPr>
        <w:t>Shares of common stock withheld as payment of withholding taxes and exercise prices in connection with the vesting or exercise of equity awards are also treated as common stock repurchases. Those withheld shares of common stock are not considered common stock repurchases under an authorized common stock repurchase plan and accordingly are excluded from the amounts in the table above.</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Performance Graph</w:t>
      </w:r>
    </w:p>
    <w:p>
      <w:pPr>
        <w:spacing w:after="0" w:line="265"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The following graph illustrates a five-year comparison of cumulative total returns for our common stock, the S&amp;P 500 Composite Index, and the Philadelphia Semiconductor Index (SOX) from August 31, 2015, through August 31, 2020. We operate on a 52 or 53 week fiscal year which ends on the Thursday closest to August 31. Accordingly, the last day of our fiscal year varies. For consistent presentation and comparison to the industry indices shown herein, we have calculated our stock performance graph assuming an August 31 year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5709285" cy="26231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09285" cy="2623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i w:val="1"/>
          <w:iCs w:val="1"/>
          <w:color w:val="auto"/>
        </w:rPr>
        <w:t>Note: Management cautions that the stock price performance information shown in the graph above may not be indicative of current stock price levels or future stock price performance.</w:t>
      </w:r>
    </w:p>
    <w:p>
      <w:pPr>
        <w:spacing w:after="0" w:line="207"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color w:val="auto"/>
        </w:rPr>
        <w:t>The performance graph above assumes $100 was invested on August 31, 2015 in common stock of Micron Technology, Inc., the S&amp;P 500 Composite Index, and the Philadelphia Semiconductor Index (SOX). Any dividends paid during the period presented were assumed to be reinvested. The performance was plotted using the following data:</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900" w:type="dxa"/>
            <w:vAlign w:val="bottom"/>
            <w:tcBorders>
              <w:bottom w:val="single" w:sz="8" w:color="0090DA"/>
            </w:tcBorders>
          </w:tcPr>
          <w:p>
            <w:pPr>
              <w:spacing w:after="0"/>
              <w:rPr>
                <w:sz w:val="21"/>
                <w:szCs w:val="21"/>
                <w:color w:val="auto"/>
              </w:rPr>
            </w:pPr>
          </w:p>
        </w:tc>
        <w:tc>
          <w:tcPr>
            <w:tcW w:w="820" w:type="dxa"/>
            <w:vAlign w:val="bottom"/>
            <w:tcBorders>
              <w:bottom w:val="single" w:sz="8" w:color="0090DA"/>
            </w:tcBorders>
          </w:tcPr>
          <w:p>
            <w:pPr>
              <w:spacing w:after="0"/>
              <w:rPr>
                <w:sz w:val="21"/>
                <w:szCs w:val="21"/>
                <w:color w:val="auto"/>
              </w:rPr>
            </w:pPr>
          </w:p>
        </w:tc>
        <w:tc>
          <w:tcPr>
            <w:tcW w:w="840" w:type="dxa"/>
            <w:vAlign w:val="bottom"/>
            <w:tcBorders>
              <w:bottom w:val="single" w:sz="8" w:color="0090DA"/>
            </w:tcBorders>
          </w:tcPr>
          <w:p>
            <w:pPr>
              <w:jc w:val="right"/>
              <w:ind w:right="230"/>
              <w:spacing w:after="0"/>
              <w:rPr>
                <w:sz w:val="20"/>
                <w:szCs w:val="20"/>
                <w:color w:val="auto"/>
              </w:rPr>
            </w:pPr>
            <w:r>
              <w:rPr>
                <w:rFonts w:ascii="Arial" w:cs="Arial" w:eastAsia="Arial" w:hAnsi="Arial"/>
                <w:sz w:val="18"/>
                <w:szCs w:val="18"/>
                <w:b w:val="1"/>
                <w:bCs w:val="1"/>
                <w:color w:val="auto"/>
              </w:rPr>
              <w:t>2015</w:t>
            </w:r>
          </w:p>
        </w:tc>
        <w:tc>
          <w:tcPr>
            <w:tcW w:w="280" w:type="dxa"/>
            <w:vAlign w:val="bottom"/>
            <w:tcBorders>
              <w:bottom w:val="single" w:sz="8" w:color="0090DA"/>
            </w:tcBorders>
          </w:tcPr>
          <w:p>
            <w:pPr>
              <w:spacing w:after="0"/>
              <w:rPr>
                <w:sz w:val="21"/>
                <w:szCs w:val="21"/>
                <w:color w:val="auto"/>
              </w:rPr>
            </w:pPr>
          </w:p>
        </w:tc>
        <w:tc>
          <w:tcPr>
            <w:tcW w:w="840" w:type="dxa"/>
            <w:vAlign w:val="bottom"/>
            <w:tcBorders>
              <w:bottom w:val="single" w:sz="8" w:color="0090DA"/>
            </w:tcBorders>
          </w:tcPr>
          <w:p>
            <w:pPr>
              <w:jc w:val="right"/>
              <w:ind w:right="230"/>
              <w:spacing w:after="0"/>
              <w:rPr>
                <w:sz w:val="20"/>
                <w:szCs w:val="20"/>
                <w:color w:val="auto"/>
              </w:rPr>
            </w:pPr>
            <w:r>
              <w:rPr>
                <w:rFonts w:ascii="Arial" w:cs="Arial" w:eastAsia="Arial" w:hAnsi="Arial"/>
                <w:sz w:val="18"/>
                <w:szCs w:val="18"/>
                <w:b w:val="1"/>
                <w:bCs w:val="1"/>
                <w:color w:val="auto"/>
              </w:rPr>
              <w:t>2016</w:t>
            </w:r>
          </w:p>
        </w:tc>
        <w:tc>
          <w:tcPr>
            <w:tcW w:w="280" w:type="dxa"/>
            <w:vAlign w:val="bottom"/>
            <w:tcBorders>
              <w:bottom w:val="single" w:sz="8" w:color="0090DA"/>
            </w:tcBorders>
          </w:tcPr>
          <w:p>
            <w:pPr>
              <w:spacing w:after="0"/>
              <w:rPr>
                <w:sz w:val="21"/>
                <w:szCs w:val="21"/>
                <w:color w:val="auto"/>
              </w:rPr>
            </w:pPr>
          </w:p>
        </w:tc>
        <w:tc>
          <w:tcPr>
            <w:tcW w:w="840" w:type="dxa"/>
            <w:vAlign w:val="bottom"/>
            <w:tcBorders>
              <w:bottom w:val="single" w:sz="8" w:color="0090DA"/>
            </w:tcBorders>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280" w:type="dxa"/>
            <w:vAlign w:val="bottom"/>
            <w:tcBorders>
              <w:bottom w:val="single" w:sz="8" w:color="0090DA"/>
            </w:tcBorders>
          </w:tcPr>
          <w:p>
            <w:pPr>
              <w:spacing w:after="0"/>
              <w:rPr>
                <w:sz w:val="21"/>
                <w:szCs w:val="21"/>
                <w:color w:val="auto"/>
              </w:rPr>
            </w:pPr>
          </w:p>
        </w:tc>
        <w:tc>
          <w:tcPr>
            <w:tcW w:w="860" w:type="dxa"/>
            <w:vAlign w:val="bottom"/>
            <w:tcBorders>
              <w:bottom w:val="single" w:sz="8" w:color="0090DA"/>
            </w:tcBorders>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280" w:type="dxa"/>
            <w:vAlign w:val="bottom"/>
            <w:tcBorders>
              <w:bottom w:val="single" w:sz="8" w:color="0090DA"/>
            </w:tcBorders>
          </w:tcPr>
          <w:p>
            <w:pPr>
              <w:spacing w:after="0"/>
              <w:rPr>
                <w:sz w:val="21"/>
                <w:szCs w:val="21"/>
                <w:color w:val="auto"/>
              </w:rPr>
            </w:pPr>
          </w:p>
        </w:tc>
        <w:tc>
          <w:tcPr>
            <w:tcW w:w="840" w:type="dxa"/>
            <w:vAlign w:val="bottom"/>
            <w:tcBorders>
              <w:bottom w:val="single" w:sz="8" w:color="0090DA"/>
            </w:tcBorders>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bottom w:val="single" w:sz="8" w:color="0090DA"/>
            </w:tcBorders>
          </w:tcPr>
          <w:p>
            <w:pPr>
              <w:spacing w:after="0"/>
              <w:rPr>
                <w:sz w:val="21"/>
                <w:szCs w:val="21"/>
                <w:color w:val="auto"/>
              </w:rPr>
            </w:pPr>
          </w:p>
        </w:tc>
        <w:tc>
          <w:tcPr>
            <w:tcW w:w="900" w:type="dxa"/>
            <w:vAlign w:val="bottom"/>
            <w:tcBorders>
              <w:bottom w:val="single" w:sz="8" w:color="0090DA"/>
            </w:tcBorders>
          </w:tcPr>
          <w:p>
            <w:pPr>
              <w:jc w:val="right"/>
              <w:ind w:right="270"/>
              <w:spacing w:after="0"/>
              <w:rPr>
                <w:sz w:val="20"/>
                <w:szCs w:val="20"/>
                <w:color w:val="auto"/>
              </w:rPr>
            </w:pPr>
            <w:r>
              <w:rPr>
                <w:rFonts w:ascii="Arial" w:cs="Arial" w:eastAsia="Arial" w:hAnsi="Arial"/>
                <w:sz w:val="18"/>
                <w:szCs w:val="18"/>
                <w:b w:val="1"/>
                <w:bCs w:val="1"/>
                <w:color w:val="auto"/>
              </w:rPr>
              <w:t>2020</w:t>
            </w:r>
          </w:p>
        </w:tc>
      </w:tr>
      <w:tr>
        <w:trPr>
          <w:trHeight w:val="40"/>
        </w:trPr>
        <w:tc>
          <w:tcPr>
            <w:tcW w:w="39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57"/>
        </w:trPr>
        <w:tc>
          <w:tcPr>
            <w:tcW w:w="3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Micron Technology, Inc.</w:t>
            </w:r>
          </w:p>
        </w:tc>
        <w:tc>
          <w:tcPr>
            <w:tcW w:w="8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100</w:t>
            </w:r>
          </w:p>
        </w:tc>
        <w:tc>
          <w:tcPr>
            <w:tcW w:w="28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100</w:t>
            </w:r>
          </w:p>
        </w:tc>
        <w:tc>
          <w:tcPr>
            <w:tcW w:w="28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195</w:t>
            </w:r>
          </w:p>
        </w:tc>
        <w:tc>
          <w:tcPr>
            <w:tcW w:w="28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320</w:t>
            </w:r>
          </w:p>
        </w:tc>
        <w:tc>
          <w:tcPr>
            <w:tcW w:w="28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276</w:t>
            </w:r>
          </w:p>
        </w:tc>
        <w:tc>
          <w:tcPr>
            <w:tcW w:w="28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277</w:t>
            </w:r>
          </w:p>
        </w:tc>
      </w:tr>
      <w:tr>
        <w:trPr>
          <w:trHeight w:val="250"/>
        </w:trPr>
        <w:tc>
          <w:tcPr>
            <w:tcW w:w="3900" w:type="dxa"/>
            <w:vAlign w:val="bottom"/>
          </w:tcPr>
          <w:p>
            <w:pPr>
              <w:ind w:left="20"/>
              <w:spacing w:after="0"/>
              <w:rPr>
                <w:sz w:val="20"/>
                <w:szCs w:val="20"/>
                <w:color w:val="auto"/>
              </w:rPr>
            </w:pPr>
            <w:r>
              <w:rPr>
                <w:rFonts w:ascii="Arial" w:cs="Arial" w:eastAsia="Arial" w:hAnsi="Arial"/>
                <w:sz w:val="18"/>
                <w:szCs w:val="18"/>
                <w:color w:val="auto"/>
              </w:rPr>
              <w:t>S&amp;P 500 Composite Index</w:t>
            </w:r>
          </w:p>
        </w:tc>
        <w:tc>
          <w:tcPr>
            <w:tcW w:w="8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113</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131</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157</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161</w:t>
            </w:r>
          </w:p>
        </w:tc>
        <w:tc>
          <w:tcPr>
            <w:tcW w:w="28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196</w:t>
            </w:r>
          </w:p>
        </w:tc>
      </w:tr>
      <w:tr>
        <w:trPr>
          <w:trHeight w:val="263"/>
        </w:trPr>
        <w:tc>
          <w:tcPr>
            <w:tcW w:w="3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Philadelphia Semiconductor Index (SOX)</w:t>
            </w:r>
          </w:p>
        </w:tc>
        <w:tc>
          <w:tcPr>
            <w:tcW w:w="820" w:type="dxa"/>
            <w:vAlign w:val="bottom"/>
            <w:shd w:val="clear" w:color="auto" w:fill="D1D2D4"/>
          </w:tcPr>
          <w:p>
            <w:pPr>
              <w:spacing w:after="0"/>
              <w:rPr>
                <w:sz w:val="22"/>
                <w:szCs w:val="22"/>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100</w:t>
            </w:r>
          </w:p>
        </w:tc>
        <w:tc>
          <w:tcPr>
            <w:tcW w:w="280" w:type="dxa"/>
            <w:vAlign w:val="bottom"/>
            <w:shd w:val="clear" w:color="auto" w:fill="D1D2D4"/>
          </w:tcPr>
          <w:p>
            <w:pPr>
              <w:spacing w:after="0"/>
              <w:rPr>
                <w:sz w:val="22"/>
                <w:szCs w:val="22"/>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134</w:t>
            </w:r>
          </w:p>
        </w:tc>
        <w:tc>
          <w:tcPr>
            <w:tcW w:w="280" w:type="dxa"/>
            <w:vAlign w:val="bottom"/>
            <w:shd w:val="clear" w:color="auto" w:fill="D1D2D4"/>
          </w:tcPr>
          <w:p>
            <w:pPr>
              <w:spacing w:after="0"/>
              <w:rPr>
                <w:sz w:val="22"/>
                <w:szCs w:val="22"/>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189</w:t>
            </w:r>
          </w:p>
        </w:tc>
        <w:tc>
          <w:tcPr>
            <w:tcW w:w="280" w:type="dxa"/>
            <w:vAlign w:val="bottom"/>
            <w:shd w:val="clear" w:color="auto" w:fill="D1D2D4"/>
          </w:tcPr>
          <w:p>
            <w:pPr>
              <w:spacing w:after="0"/>
              <w:rPr>
                <w:sz w:val="22"/>
                <w:szCs w:val="22"/>
                <w:color w:val="auto"/>
              </w:rPr>
            </w:pPr>
          </w:p>
        </w:tc>
        <w:tc>
          <w:tcPr>
            <w:tcW w:w="8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242</w:t>
            </w:r>
          </w:p>
        </w:tc>
        <w:tc>
          <w:tcPr>
            <w:tcW w:w="280" w:type="dxa"/>
            <w:vAlign w:val="bottom"/>
            <w:shd w:val="clear" w:color="auto" w:fill="D1D2D4"/>
          </w:tcPr>
          <w:p>
            <w:pPr>
              <w:spacing w:after="0"/>
              <w:rPr>
                <w:sz w:val="22"/>
                <w:szCs w:val="22"/>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265</w:t>
            </w:r>
          </w:p>
        </w:tc>
        <w:tc>
          <w:tcPr>
            <w:tcW w:w="280" w:type="dxa"/>
            <w:vAlign w:val="bottom"/>
            <w:shd w:val="clear" w:color="auto" w:fill="D1D2D4"/>
          </w:tcPr>
          <w:p>
            <w:pPr>
              <w:spacing w:after="0"/>
              <w:rPr>
                <w:sz w:val="22"/>
                <w:szCs w:val="22"/>
                <w:color w:val="auto"/>
              </w:rPr>
            </w:pPr>
          </w:p>
        </w:tc>
        <w:tc>
          <w:tcPr>
            <w:tcW w:w="90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405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21"/>
          <w:szCs w:val="21"/>
          <w:b w:val="1"/>
          <w:bCs w:val="1"/>
          <w:color w:val="0090DA"/>
        </w:rPr>
        <w:t>|</w:t>
      </w:r>
      <w:r>
        <w:rPr>
          <w:rFonts w:ascii="Arial" w:cs="Arial" w:eastAsia="Arial" w:hAnsi="Arial"/>
          <w:sz w:val="18"/>
          <w:szCs w:val="18"/>
          <w:color w:val="auto"/>
        </w:rPr>
        <w:t xml:space="preserve"> 2020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36" w:name="page37"/>
    <w:bookmarkEnd w:id="36"/>
    <w:p>
      <w:pPr>
        <w:spacing w:after="0"/>
        <w:rPr>
          <w:sz w:val="20"/>
          <w:szCs w:val="20"/>
          <w:color w:val="auto"/>
        </w:rPr>
      </w:pPr>
      <w:r>
        <w:rPr>
          <w:rFonts w:ascii="Arial" w:cs="Arial" w:eastAsia="Arial" w:hAnsi="Arial"/>
          <w:sz w:val="25"/>
          <w:szCs w:val="25"/>
          <w:b w:val="1"/>
          <w:bCs w:val="1"/>
          <w:color w:val="auto"/>
        </w:rPr>
        <w:t>ITEM 6. SELECTED FINANCIAL DATA</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940" w:type="dxa"/>
            <w:vAlign w:val="bottom"/>
          </w:tcPr>
          <w:p>
            <w:pPr>
              <w:spacing w:after="0"/>
              <w:rPr>
                <w:sz w:val="21"/>
                <w:szCs w:val="21"/>
                <w:color w:val="auto"/>
              </w:rPr>
            </w:pPr>
          </w:p>
        </w:tc>
        <w:tc>
          <w:tcPr>
            <w:tcW w:w="260" w:type="dxa"/>
            <w:vAlign w:val="bottom"/>
            <w:tcBorders>
              <w:bottom w:val="single" w:sz="8" w:color="0090DA"/>
            </w:tcBorders>
          </w:tcPr>
          <w:p>
            <w:pPr>
              <w:spacing w:after="0"/>
              <w:rPr>
                <w:sz w:val="21"/>
                <w:szCs w:val="21"/>
                <w:color w:val="auto"/>
              </w:rPr>
            </w:pPr>
          </w:p>
        </w:tc>
        <w:tc>
          <w:tcPr>
            <w:tcW w:w="920" w:type="dxa"/>
            <w:vAlign w:val="bottom"/>
            <w:tcBorders>
              <w:bottom w:val="single" w:sz="8" w:color="0090DA"/>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300" w:type="dxa"/>
            <w:vAlign w:val="bottom"/>
            <w:tcBorders>
              <w:bottom w:val="single" w:sz="8" w:color="0090DA"/>
            </w:tcBorders>
          </w:tcPr>
          <w:p>
            <w:pPr>
              <w:spacing w:after="0"/>
              <w:rPr>
                <w:sz w:val="21"/>
                <w:szCs w:val="21"/>
                <w:color w:val="auto"/>
              </w:rPr>
            </w:pPr>
          </w:p>
        </w:tc>
        <w:tc>
          <w:tcPr>
            <w:tcW w:w="980" w:type="dxa"/>
            <w:vAlign w:val="bottom"/>
            <w:tcBorders>
              <w:bottom w:val="single" w:sz="8" w:color="0090DA"/>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300" w:type="dxa"/>
            <w:vAlign w:val="bottom"/>
            <w:tcBorders>
              <w:bottom w:val="single" w:sz="8" w:color="0090DA"/>
            </w:tcBorders>
          </w:tcPr>
          <w:p>
            <w:pPr>
              <w:spacing w:after="0"/>
              <w:rPr>
                <w:sz w:val="21"/>
                <w:szCs w:val="21"/>
                <w:color w:val="auto"/>
              </w:rPr>
            </w:pPr>
          </w:p>
        </w:tc>
        <w:tc>
          <w:tcPr>
            <w:tcW w:w="960" w:type="dxa"/>
            <w:vAlign w:val="bottom"/>
            <w:tcBorders>
              <w:bottom w:val="single" w:sz="8" w:color="0090DA"/>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320" w:type="dxa"/>
            <w:vAlign w:val="bottom"/>
            <w:tcBorders>
              <w:bottom w:val="single" w:sz="8" w:color="0090DA"/>
            </w:tcBorders>
          </w:tcPr>
          <w:p>
            <w:pPr>
              <w:spacing w:after="0"/>
              <w:rPr>
                <w:sz w:val="21"/>
                <w:szCs w:val="21"/>
                <w:color w:val="auto"/>
              </w:rPr>
            </w:pPr>
          </w:p>
        </w:tc>
        <w:tc>
          <w:tcPr>
            <w:tcW w:w="960" w:type="dxa"/>
            <w:vAlign w:val="bottom"/>
            <w:tcBorders>
              <w:bottom w:val="single" w:sz="8" w:color="0090DA"/>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300" w:type="dxa"/>
            <w:vAlign w:val="bottom"/>
            <w:tcBorders>
              <w:bottom w:val="single" w:sz="8" w:color="0090DA"/>
            </w:tcBorders>
          </w:tcPr>
          <w:p>
            <w:pPr>
              <w:spacing w:after="0"/>
              <w:rPr>
                <w:sz w:val="21"/>
                <w:szCs w:val="21"/>
                <w:color w:val="auto"/>
              </w:rPr>
            </w:pPr>
          </w:p>
        </w:tc>
        <w:tc>
          <w:tcPr>
            <w:tcW w:w="1000" w:type="dxa"/>
            <w:vAlign w:val="bottom"/>
            <w:tcBorders>
              <w:bottom w:val="single" w:sz="8" w:color="0090DA"/>
            </w:tcBorders>
          </w:tcPr>
          <w:p>
            <w:pPr>
              <w:jc w:val="right"/>
              <w:ind w:right="350"/>
              <w:spacing w:after="0"/>
              <w:rPr>
                <w:sz w:val="20"/>
                <w:szCs w:val="20"/>
                <w:color w:val="auto"/>
              </w:rPr>
            </w:pPr>
            <w:r>
              <w:rPr>
                <w:rFonts w:ascii="Arial" w:cs="Arial" w:eastAsia="Arial" w:hAnsi="Arial"/>
                <w:sz w:val="18"/>
                <w:szCs w:val="18"/>
                <w:b w:val="1"/>
                <w:bCs w:val="1"/>
                <w:color w:val="auto"/>
              </w:rPr>
              <w:t>2016</w:t>
            </w:r>
          </w:p>
        </w:tc>
      </w:tr>
      <w:tr>
        <w:trPr>
          <w:trHeight w:val="250"/>
        </w:trPr>
        <w:tc>
          <w:tcPr>
            <w:tcW w:w="4940" w:type="dxa"/>
            <w:vAlign w:val="bottom"/>
            <w:tcBorders>
              <w:bottom w:val="single" w:sz="8" w:color="0090DA"/>
            </w:tcBorders>
          </w:tcPr>
          <w:p>
            <w:pPr>
              <w:spacing w:after="0"/>
              <w:rPr>
                <w:sz w:val="21"/>
                <w:szCs w:val="21"/>
                <w:color w:val="auto"/>
              </w:rPr>
            </w:pPr>
          </w:p>
        </w:tc>
        <w:tc>
          <w:tcPr>
            <w:tcW w:w="260" w:type="dxa"/>
            <w:vAlign w:val="bottom"/>
            <w:tcBorders>
              <w:bottom w:val="single" w:sz="8" w:color="0090DA"/>
            </w:tcBorders>
          </w:tcPr>
          <w:p>
            <w:pPr>
              <w:spacing w:after="0"/>
              <w:rPr>
                <w:sz w:val="21"/>
                <w:szCs w:val="21"/>
                <w:color w:val="auto"/>
              </w:rPr>
            </w:pPr>
          </w:p>
        </w:tc>
        <w:tc>
          <w:tcPr>
            <w:tcW w:w="920" w:type="dxa"/>
            <w:vAlign w:val="bottom"/>
            <w:tcBorders>
              <w:bottom w:val="single" w:sz="8" w:color="0090DA"/>
            </w:tcBorders>
          </w:tcPr>
          <w:p>
            <w:pPr>
              <w:spacing w:after="0"/>
              <w:rPr>
                <w:sz w:val="21"/>
                <w:szCs w:val="21"/>
                <w:color w:val="auto"/>
              </w:rPr>
            </w:pPr>
          </w:p>
        </w:tc>
        <w:tc>
          <w:tcPr>
            <w:tcW w:w="300" w:type="dxa"/>
            <w:vAlign w:val="bottom"/>
            <w:tcBorders>
              <w:bottom w:val="single" w:sz="8" w:color="0090DA"/>
            </w:tcBorders>
          </w:tcPr>
          <w:p>
            <w:pPr>
              <w:spacing w:after="0"/>
              <w:rPr>
                <w:sz w:val="21"/>
                <w:szCs w:val="21"/>
                <w:color w:val="auto"/>
              </w:rPr>
            </w:pPr>
          </w:p>
        </w:tc>
        <w:tc>
          <w:tcPr>
            <w:tcW w:w="3520" w:type="dxa"/>
            <w:vAlign w:val="bottom"/>
            <w:tcBorders>
              <w:bottom w:val="single" w:sz="8" w:color="0090DA"/>
            </w:tcBorders>
            <w:gridSpan w:val="5"/>
          </w:tcPr>
          <w:p>
            <w:pPr>
              <w:jc w:val="right"/>
              <w:ind w:right="210"/>
              <w:spacing w:after="0"/>
              <w:rPr>
                <w:sz w:val="20"/>
                <w:szCs w:val="20"/>
                <w:color w:val="auto"/>
              </w:rPr>
            </w:pPr>
            <w:r>
              <w:rPr>
                <w:rFonts w:ascii="Arial" w:cs="Arial" w:eastAsia="Arial" w:hAnsi="Arial"/>
                <w:sz w:val="18"/>
                <w:szCs w:val="18"/>
                <w:color w:val="auto"/>
              </w:rPr>
              <w:t>(in millions, except per share amounts)</w:t>
            </w:r>
          </w:p>
        </w:tc>
        <w:tc>
          <w:tcPr>
            <w:tcW w:w="300" w:type="dxa"/>
            <w:vAlign w:val="bottom"/>
            <w:tcBorders>
              <w:bottom w:val="single" w:sz="8" w:color="0090DA"/>
            </w:tcBorders>
          </w:tcPr>
          <w:p>
            <w:pPr>
              <w:spacing w:after="0"/>
              <w:rPr>
                <w:sz w:val="21"/>
                <w:szCs w:val="21"/>
                <w:color w:val="auto"/>
              </w:rPr>
            </w:pPr>
          </w:p>
        </w:tc>
        <w:tc>
          <w:tcPr>
            <w:tcW w:w="1000" w:type="dxa"/>
            <w:vAlign w:val="bottom"/>
            <w:tcBorders>
              <w:bottom w:val="single" w:sz="8" w:color="0090DA"/>
            </w:tcBorders>
          </w:tcPr>
          <w:p>
            <w:pPr>
              <w:spacing w:after="0"/>
              <w:rPr>
                <w:sz w:val="21"/>
                <w:szCs w:val="21"/>
                <w:color w:val="auto"/>
              </w:rPr>
            </w:pPr>
          </w:p>
        </w:tc>
      </w:tr>
      <w:tr>
        <w:trPr>
          <w:trHeight w:val="41"/>
        </w:trPr>
        <w:tc>
          <w:tcPr>
            <w:tcW w:w="49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320" w:type="dxa"/>
            <w:vAlign w:val="bottom"/>
          </w:tcPr>
          <w:p>
            <w:pPr>
              <w:spacing w:after="0"/>
              <w:rPr>
                <w:sz w:val="3"/>
                <w:szCs w:val="3"/>
                <w:color w:val="auto"/>
              </w:rPr>
            </w:pPr>
          </w:p>
        </w:tc>
        <w:tc>
          <w:tcPr>
            <w:tcW w:w="9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57"/>
        </w:trPr>
        <w:tc>
          <w:tcPr>
            <w:tcW w:w="494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21,435</w:t>
            </w:r>
          </w:p>
        </w:tc>
        <w:tc>
          <w:tcPr>
            <w:tcW w:w="30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23,406</w:t>
            </w:r>
          </w:p>
        </w:tc>
        <w:tc>
          <w:tcPr>
            <w:tcW w:w="30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30,391</w:t>
            </w:r>
          </w:p>
        </w:tc>
        <w:tc>
          <w:tcPr>
            <w:tcW w:w="32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20,322</w:t>
            </w:r>
          </w:p>
        </w:tc>
        <w:tc>
          <w:tcPr>
            <w:tcW w:w="3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12,399</w:t>
            </w:r>
          </w:p>
        </w:tc>
      </w:tr>
      <w:tr>
        <w:trPr>
          <w:trHeight w:val="250"/>
        </w:trPr>
        <w:tc>
          <w:tcPr>
            <w:tcW w:w="494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6,552</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10,702</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17,891</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8,436</w:t>
            </w:r>
          </w:p>
        </w:tc>
        <w:tc>
          <w:tcPr>
            <w:tcW w:w="3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2,505</w:t>
            </w:r>
          </w:p>
        </w:tc>
      </w:tr>
      <w:tr>
        <w:trPr>
          <w:trHeight w:val="263"/>
        </w:trPr>
        <w:tc>
          <w:tcPr>
            <w:tcW w:w="4940" w:type="dxa"/>
            <w:vAlign w:val="bottom"/>
            <w:shd w:val="clear" w:color="auto" w:fill="D1D2D4"/>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shd w:val="clear" w:color="auto" w:fill="D1D2D4"/>
          </w:tcPr>
          <w:p>
            <w:pPr>
              <w:spacing w:after="0"/>
              <w:rPr>
                <w:sz w:val="22"/>
                <w:szCs w:val="22"/>
                <w:color w:val="auto"/>
              </w:rPr>
            </w:pPr>
          </w:p>
        </w:tc>
        <w:tc>
          <w:tcPr>
            <w:tcW w:w="9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3,003</w:t>
            </w:r>
          </w:p>
        </w:tc>
        <w:tc>
          <w:tcPr>
            <w:tcW w:w="300" w:type="dxa"/>
            <w:vAlign w:val="bottom"/>
            <w:shd w:val="clear" w:color="auto" w:fill="D1D2D4"/>
          </w:tcPr>
          <w:p>
            <w:pPr>
              <w:spacing w:after="0"/>
              <w:rPr>
                <w:sz w:val="22"/>
                <w:szCs w:val="22"/>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7,376</w:t>
            </w:r>
          </w:p>
        </w:tc>
        <w:tc>
          <w:tcPr>
            <w:tcW w:w="300" w:type="dxa"/>
            <w:vAlign w:val="bottom"/>
            <w:shd w:val="clear" w:color="auto" w:fill="D1D2D4"/>
          </w:tcPr>
          <w:p>
            <w:pPr>
              <w:spacing w:after="0"/>
              <w:rPr>
                <w:sz w:val="22"/>
                <w:szCs w:val="22"/>
                <w:color w:val="auto"/>
              </w:rPr>
            </w:pPr>
          </w:p>
        </w:tc>
        <w:tc>
          <w:tcPr>
            <w:tcW w:w="9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14,994</w:t>
            </w:r>
          </w:p>
        </w:tc>
        <w:tc>
          <w:tcPr>
            <w:tcW w:w="320" w:type="dxa"/>
            <w:vAlign w:val="bottom"/>
            <w:shd w:val="clear" w:color="auto" w:fill="D1D2D4"/>
          </w:tcPr>
          <w:p>
            <w:pPr>
              <w:spacing w:after="0"/>
              <w:rPr>
                <w:sz w:val="22"/>
                <w:szCs w:val="22"/>
                <w:color w:val="auto"/>
              </w:rPr>
            </w:pPr>
          </w:p>
        </w:tc>
        <w:tc>
          <w:tcPr>
            <w:tcW w:w="9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5,868</w:t>
            </w:r>
          </w:p>
        </w:tc>
        <w:tc>
          <w:tcPr>
            <w:tcW w:w="300" w:type="dxa"/>
            <w:vAlign w:val="bottom"/>
            <w:shd w:val="clear" w:color="auto" w:fill="D1D2D4"/>
          </w:tcPr>
          <w:p>
            <w:pPr>
              <w:spacing w:after="0"/>
              <w:rPr>
                <w:sz w:val="22"/>
                <w:szCs w:val="22"/>
                <w:color w:val="auto"/>
              </w:rPr>
            </w:pPr>
          </w:p>
        </w:tc>
        <w:tc>
          <w:tcPr>
            <w:tcW w:w="100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168</w:t>
            </w:r>
          </w:p>
        </w:tc>
      </w:tr>
      <w:tr>
        <w:trPr>
          <w:trHeight w:val="250"/>
        </w:trPr>
        <w:tc>
          <w:tcPr>
            <w:tcW w:w="494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2,710</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6,358</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14,138</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5,090</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(275)</w:t>
            </w:r>
          </w:p>
        </w:tc>
      </w:tr>
      <w:tr>
        <w:trPr>
          <w:trHeight w:val="263"/>
        </w:trPr>
        <w:tc>
          <w:tcPr>
            <w:tcW w:w="494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income (loss) attributable to Micron</w:t>
            </w:r>
          </w:p>
        </w:tc>
        <w:tc>
          <w:tcPr>
            <w:tcW w:w="260" w:type="dxa"/>
            <w:vAlign w:val="bottom"/>
            <w:shd w:val="clear" w:color="auto" w:fill="D1D2D4"/>
          </w:tcPr>
          <w:p>
            <w:pPr>
              <w:spacing w:after="0"/>
              <w:rPr>
                <w:sz w:val="22"/>
                <w:szCs w:val="22"/>
                <w:color w:val="auto"/>
              </w:rPr>
            </w:pPr>
          </w:p>
        </w:tc>
        <w:tc>
          <w:tcPr>
            <w:tcW w:w="9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2,687</w:t>
            </w:r>
          </w:p>
        </w:tc>
        <w:tc>
          <w:tcPr>
            <w:tcW w:w="300" w:type="dxa"/>
            <w:vAlign w:val="bottom"/>
            <w:shd w:val="clear" w:color="auto" w:fill="D1D2D4"/>
          </w:tcPr>
          <w:p>
            <w:pPr>
              <w:spacing w:after="0"/>
              <w:rPr>
                <w:sz w:val="22"/>
                <w:szCs w:val="22"/>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6,313</w:t>
            </w:r>
          </w:p>
        </w:tc>
        <w:tc>
          <w:tcPr>
            <w:tcW w:w="300" w:type="dxa"/>
            <w:vAlign w:val="bottom"/>
            <w:shd w:val="clear" w:color="auto" w:fill="D1D2D4"/>
          </w:tcPr>
          <w:p>
            <w:pPr>
              <w:spacing w:after="0"/>
              <w:rPr>
                <w:sz w:val="22"/>
                <w:szCs w:val="22"/>
                <w:color w:val="auto"/>
              </w:rPr>
            </w:pPr>
          </w:p>
        </w:tc>
        <w:tc>
          <w:tcPr>
            <w:tcW w:w="9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14,135</w:t>
            </w:r>
          </w:p>
        </w:tc>
        <w:tc>
          <w:tcPr>
            <w:tcW w:w="320" w:type="dxa"/>
            <w:vAlign w:val="bottom"/>
            <w:shd w:val="clear" w:color="auto" w:fill="D1D2D4"/>
          </w:tcPr>
          <w:p>
            <w:pPr>
              <w:spacing w:after="0"/>
              <w:rPr>
                <w:sz w:val="22"/>
                <w:szCs w:val="22"/>
                <w:color w:val="auto"/>
              </w:rPr>
            </w:pPr>
          </w:p>
        </w:tc>
        <w:tc>
          <w:tcPr>
            <w:tcW w:w="9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5,089</w:t>
            </w:r>
          </w:p>
        </w:tc>
        <w:tc>
          <w:tcPr>
            <w:tcW w:w="300" w:type="dxa"/>
            <w:vAlign w:val="bottom"/>
            <w:shd w:val="clear" w:color="auto" w:fill="D1D2D4"/>
          </w:tcPr>
          <w:p>
            <w:pPr>
              <w:spacing w:after="0"/>
              <w:rPr>
                <w:sz w:val="22"/>
                <w:szCs w:val="22"/>
                <w:color w:val="auto"/>
              </w:rPr>
            </w:pPr>
          </w:p>
        </w:tc>
        <w:tc>
          <w:tcPr>
            <w:tcW w:w="10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(276)</w:t>
            </w:r>
          </w:p>
        </w:tc>
      </w:tr>
      <w:tr>
        <w:trPr>
          <w:trHeight w:val="250"/>
        </w:trPr>
        <w:tc>
          <w:tcPr>
            <w:tcW w:w="4940" w:type="dxa"/>
            <w:vAlign w:val="bottom"/>
          </w:tcPr>
          <w:p>
            <w:pPr>
              <w:ind w:left="20"/>
              <w:spacing w:after="0"/>
              <w:rPr>
                <w:sz w:val="20"/>
                <w:szCs w:val="20"/>
                <w:color w:val="auto"/>
              </w:rPr>
            </w:pPr>
            <w:r>
              <w:rPr>
                <w:rFonts w:ascii="Arial" w:cs="Arial" w:eastAsia="Arial" w:hAnsi="Arial"/>
                <w:sz w:val="18"/>
                <w:szCs w:val="18"/>
                <w:color w:val="auto"/>
              </w:rPr>
              <w:t>Diluted earnings (loss) per share</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2.37</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5.51</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11.51</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4.41</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(0.27)</w:t>
            </w:r>
          </w:p>
        </w:tc>
      </w:tr>
      <w:tr>
        <w:trPr>
          <w:trHeight w:val="263"/>
        </w:trPr>
        <w:tc>
          <w:tcPr>
            <w:tcW w:w="4940" w:type="dxa"/>
            <w:vAlign w:val="bottom"/>
            <w:shd w:val="clear" w:color="auto" w:fill="D1D2D4"/>
          </w:tcPr>
          <w:p>
            <w:pPr>
              <w:spacing w:after="0"/>
              <w:rPr>
                <w:sz w:val="22"/>
                <w:szCs w:val="22"/>
                <w:color w:val="auto"/>
              </w:rPr>
            </w:pPr>
          </w:p>
        </w:tc>
        <w:tc>
          <w:tcPr>
            <w:tcW w:w="260" w:type="dxa"/>
            <w:vAlign w:val="bottom"/>
            <w:shd w:val="clear" w:color="auto" w:fill="D1D2D4"/>
          </w:tcPr>
          <w:p>
            <w:pPr>
              <w:spacing w:after="0"/>
              <w:rPr>
                <w:sz w:val="22"/>
                <w:szCs w:val="22"/>
                <w:color w:val="auto"/>
              </w:rPr>
            </w:pPr>
          </w:p>
        </w:tc>
        <w:tc>
          <w:tcPr>
            <w:tcW w:w="920" w:type="dxa"/>
            <w:vAlign w:val="bottom"/>
            <w:shd w:val="clear" w:color="auto" w:fill="D1D2D4"/>
          </w:tcPr>
          <w:p>
            <w:pPr>
              <w:spacing w:after="0"/>
              <w:rPr>
                <w:sz w:val="22"/>
                <w:szCs w:val="22"/>
                <w:color w:val="auto"/>
              </w:rPr>
            </w:pPr>
          </w:p>
        </w:tc>
        <w:tc>
          <w:tcPr>
            <w:tcW w:w="300" w:type="dxa"/>
            <w:vAlign w:val="bottom"/>
            <w:shd w:val="clear" w:color="auto" w:fill="D1D2D4"/>
          </w:tcPr>
          <w:p>
            <w:pPr>
              <w:spacing w:after="0"/>
              <w:rPr>
                <w:sz w:val="22"/>
                <w:szCs w:val="22"/>
                <w:color w:val="auto"/>
              </w:rPr>
            </w:pPr>
          </w:p>
        </w:tc>
        <w:tc>
          <w:tcPr>
            <w:tcW w:w="980" w:type="dxa"/>
            <w:vAlign w:val="bottom"/>
            <w:shd w:val="clear" w:color="auto" w:fill="D1D2D4"/>
          </w:tcPr>
          <w:p>
            <w:pPr>
              <w:spacing w:after="0"/>
              <w:rPr>
                <w:sz w:val="22"/>
                <w:szCs w:val="22"/>
                <w:color w:val="auto"/>
              </w:rPr>
            </w:pPr>
          </w:p>
        </w:tc>
        <w:tc>
          <w:tcPr>
            <w:tcW w:w="300" w:type="dxa"/>
            <w:vAlign w:val="bottom"/>
            <w:shd w:val="clear" w:color="auto" w:fill="D1D2D4"/>
          </w:tcPr>
          <w:p>
            <w:pPr>
              <w:spacing w:after="0"/>
              <w:rPr>
                <w:sz w:val="22"/>
                <w:szCs w:val="22"/>
                <w:color w:val="auto"/>
              </w:rPr>
            </w:pPr>
          </w:p>
        </w:tc>
        <w:tc>
          <w:tcPr>
            <w:tcW w:w="960" w:type="dxa"/>
            <w:vAlign w:val="bottom"/>
            <w:shd w:val="clear" w:color="auto" w:fill="D1D2D4"/>
          </w:tcPr>
          <w:p>
            <w:pPr>
              <w:spacing w:after="0"/>
              <w:rPr>
                <w:sz w:val="22"/>
                <w:szCs w:val="22"/>
                <w:color w:val="auto"/>
              </w:rPr>
            </w:pPr>
          </w:p>
        </w:tc>
        <w:tc>
          <w:tcPr>
            <w:tcW w:w="320" w:type="dxa"/>
            <w:vAlign w:val="bottom"/>
            <w:shd w:val="clear" w:color="auto" w:fill="D1D2D4"/>
          </w:tcPr>
          <w:p>
            <w:pPr>
              <w:spacing w:after="0"/>
              <w:rPr>
                <w:sz w:val="22"/>
                <w:szCs w:val="22"/>
                <w:color w:val="auto"/>
              </w:rPr>
            </w:pPr>
          </w:p>
        </w:tc>
        <w:tc>
          <w:tcPr>
            <w:tcW w:w="960" w:type="dxa"/>
            <w:vAlign w:val="bottom"/>
            <w:shd w:val="clear" w:color="auto" w:fill="D1D2D4"/>
          </w:tcPr>
          <w:p>
            <w:pPr>
              <w:spacing w:after="0"/>
              <w:rPr>
                <w:sz w:val="22"/>
                <w:szCs w:val="22"/>
                <w:color w:val="auto"/>
              </w:rPr>
            </w:pPr>
          </w:p>
        </w:tc>
        <w:tc>
          <w:tcPr>
            <w:tcW w:w="300" w:type="dxa"/>
            <w:vAlign w:val="bottom"/>
            <w:shd w:val="clear" w:color="auto" w:fill="D1D2D4"/>
          </w:tcPr>
          <w:p>
            <w:pPr>
              <w:spacing w:after="0"/>
              <w:rPr>
                <w:sz w:val="22"/>
                <w:szCs w:val="22"/>
                <w:color w:val="auto"/>
              </w:rPr>
            </w:pPr>
          </w:p>
        </w:tc>
        <w:tc>
          <w:tcPr>
            <w:tcW w:w="1000" w:type="dxa"/>
            <w:vAlign w:val="bottom"/>
            <w:shd w:val="clear" w:color="auto" w:fill="D1D2D4"/>
          </w:tcPr>
          <w:p>
            <w:pPr>
              <w:spacing w:after="0"/>
              <w:rPr>
                <w:sz w:val="22"/>
                <w:szCs w:val="22"/>
                <w:color w:val="auto"/>
              </w:rPr>
            </w:pPr>
          </w:p>
        </w:tc>
      </w:tr>
      <w:tr>
        <w:trPr>
          <w:trHeight w:val="250"/>
        </w:trPr>
        <w:tc>
          <w:tcPr>
            <w:tcW w:w="4940" w:type="dxa"/>
            <w:vAlign w:val="bottom"/>
          </w:tcPr>
          <w:p>
            <w:pPr>
              <w:ind w:left="20"/>
              <w:spacing w:after="0"/>
              <w:rPr>
                <w:sz w:val="20"/>
                <w:szCs w:val="20"/>
                <w:color w:val="auto"/>
              </w:rPr>
            </w:pPr>
            <w:r>
              <w:rPr>
                <w:rFonts w:ascii="Arial" w:cs="Arial" w:eastAsia="Arial" w:hAnsi="Arial"/>
                <w:sz w:val="18"/>
                <w:szCs w:val="18"/>
                <w:color w:val="auto"/>
              </w:rPr>
              <w:t>Cash and short-term investments</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8,142</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7,955</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6,802</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5,428</w:t>
            </w:r>
          </w:p>
        </w:tc>
        <w:tc>
          <w:tcPr>
            <w:tcW w:w="3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4,398</w:t>
            </w:r>
          </w:p>
        </w:tc>
      </w:tr>
      <w:tr>
        <w:trPr>
          <w:trHeight w:val="263"/>
        </w:trPr>
        <w:tc>
          <w:tcPr>
            <w:tcW w:w="4940" w:type="dxa"/>
            <w:vAlign w:val="bottom"/>
            <w:shd w:val="clear" w:color="auto" w:fill="D1D2D4"/>
          </w:tcPr>
          <w:p>
            <w:pPr>
              <w:ind w:left="20"/>
              <w:spacing w:after="0"/>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D1D2D4"/>
          </w:tcPr>
          <w:p>
            <w:pPr>
              <w:spacing w:after="0"/>
              <w:rPr>
                <w:sz w:val="22"/>
                <w:szCs w:val="22"/>
                <w:color w:val="auto"/>
              </w:rPr>
            </w:pPr>
          </w:p>
        </w:tc>
        <w:tc>
          <w:tcPr>
            <w:tcW w:w="9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17,965</w:t>
            </w:r>
          </w:p>
        </w:tc>
        <w:tc>
          <w:tcPr>
            <w:tcW w:w="300" w:type="dxa"/>
            <w:vAlign w:val="bottom"/>
            <w:shd w:val="clear" w:color="auto" w:fill="D1D2D4"/>
          </w:tcPr>
          <w:p>
            <w:pPr>
              <w:spacing w:after="0"/>
              <w:rPr>
                <w:sz w:val="22"/>
                <w:szCs w:val="22"/>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16,503</w:t>
            </w:r>
          </w:p>
        </w:tc>
        <w:tc>
          <w:tcPr>
            <w:tcW w:w="300" w:type="dxa"/>
            <w:vAlign w:val="bottom"/>
            <w:shd w:val="clear" w:color="auto" w:fill="D1D2D4"/>
          </w:tcPr>
          <w:p>
            <w:pPr>
              <w:spacing w:after="0"/>
              <w:rPr>
                <w:sz w:val="22"/>
                <w:szCs w:val="22"/>
                <w:color w:val="auto"/>
              </w:rPr>
            </w:pPr>
          </w:p>
        </w:tc>
        <w:tc>
          <w:tcPr>
            <w:tcW w:w="9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16,039</w:t>
            </w:r>
          </w:p>
        </w:tc>
        <w:tc>
          <w:tcPr>
            <w:tcW w:w="320" w:type="dxa"/>
            <w:vAlign w:val="bottom"/>
            <w:shd w:val="clear" w:color="auto" w:fill="D1D2D4"/>
          </w:tcPr>
          <w:p>
            <w:pPr>
              <w:spacing w:after="0"/>
              <w:rPr>
                <w:sz w:val="22"/>
                <w:szCs w:val="22"/>
                <w:color w:val="auto"/>
              </w:rPr>
            </w:pPr>
          </w:p>
        </w:tc>
        <w:tc>
          <w:tcPr>
            <w:tcW w:w="9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12,457</w:t>
            </w:r>
          </w:p>
        </w:tc>
        <w:tc>
          <w:tcPr>
            <w:tcW w:w="300" w:type="dxa"/>
            <w:vAlign w:val="bottom"/>
            <w:shd w:val="clear" w:color="auto" w:fill="D1D2D4"/>
          </w:tcPr>
          <w:p>
            <w:pPr>
              <w:spacing w:after="0"/>
              <w:rPr>
                <w:sz w:val="22"/>
                <w:szCs w:val="22"/>
                <w:color w:val="auto"/>
              </w:rPr>
            </w:pPr>
          </w:p>
        </w:tc>
        <w:tc>
          <w:tcPr>
            <w:tcW w:w="100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9,495</w:t>
            </w:r>
          </w:p>
        </w:tc>
      </w:tr>
      <w:tr>
        <w:trPr>
          <w:trHeight w:val="250"/>
        </w:trPr>
        <w:tc>
          <w:tcPr>
            <w:tcW w:w="494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31,031</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28,240</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23,672</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19,431</w:t>
            </w:r>
          </w:p>
        </w:tc>
        <w:tc>
          <w:tcPr>
            <w:tcW w:w="3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14,686</w:t>
            </w:r>
          </w:p>
        </w:tc>
      </w:tr>
      <w:tr>
        <w:trPr>
          <w:trHeight w:val="263"/>
        </w:trPr>
        <w:tc>
          <w:tcPr>
            <w:tcW w:w="4940" w:type="dxa"/>
            <w:vAlign w:val="bottom"/>
            <w:shd w:val="clear" w:color="auto" w:fill="D1D2D4"/>
          </w:tcPr>
          <w:p>
            <w:pPr>
              <w:ind w:left="20"/>
              <w:spacing w:after="0"/>
              <w:rPr>
                <w:sz w:val="20"/>
                <w:szCs w:val="20"/>
                <w:color w:val="auto"/>
              </w:rPr>
            </w:pPr>
            <w:r>
              <w:rPr>
                <w:rFonts w:ascii="Arial" w:cs="Arial" w:eastAsia="Arial" w:hAnsi="Arial"/>
                <w:sz w:val="18"/>
                <w:szCs w:val="18"/>
                <w:color w:val="auto"/>
              </w:rPr>
              <w:t>Total assets</w:t>
            </w:r>
          </w:p>
        </w:tc>
        <w:tc>
          <w:tcPr>
            <w:tcW w:w="260" w:type="dxa"/>
            <w:vAlign w:val="bottom"/>
            <w:shd w:val="clear" w:color="auto" w:fill="D1D2D4"/>
          </w:tcPr>
          <w:p>
            <w:pPr>
              <w:spacing w:after="0"/>
              <w:rPr>
                <w:sz w:val="22"/>
                <w:szCs w:val="22"/>
                <w:color w:val="auto"/>
              </w:rPr>
            </w:pPr>
          </w:p>
        </w:tc>
        <w:tc>
          <w:tcPr>
            <w:tcW w:w="9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53,678</w:t>
            </w:r>
          </w:p>
        </w:tc>
        <w:tc>
          <w:tcPr>
            <w:tcW w:w="300" w:type="dxa"/>
            <w:vAlign w:val="bottom"/>
            <w:shd w:val="clear" w:color="auto" w:fill="D1D2D4"/>
          </w:tcPr>
          <w:p>
            <w:pPr>
              <w:spacing w:after="0"/>
              <w:rPr>
                <w:sz w:val="22"/>
                <w:szCs w:val="22"/>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48,887</w:t>
            </w:r>
          </w:p>
        </w:tc>
        <w:tc>
          <w:tcPr>
            <w:tcW w:w="300" w:type="dxa"/>
            <w:vAlign w:val="bottom"/>
            <w:shd w:val="clear" w:color="auto" w:fill="D1D2D4"/>
          </w:tcPr>
          <w:p>
            <w:pPr>
              <w:spacing w:after="0"/>
              <w:rPr>
                <w:sz w:val="22"/>
                <w:szCs w:val="22"/>
                <w:color w:val="auto"/>
              </w:rPr>
            </w:pPr>
          </w:p>
        </w:tc>
        <w:tc>
          <w:tcPr>
            <w:tcW w:w="9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43,376</w:t>
            </w:r>
          </w:p>
        </w:tc>
        <w:tc>
          <w:tcPr>
            <w:tcW w:w="320" w:type="dxa"/>
            <w:vAlign w:val="bottom"/>
            <w:shd w:val="clear" w:color="auto" w:fill="D1D2D4"/>
          </w:tcPr>
          <w:p>
            <w:pPr>
              <w:spacing w:after="0"/>
              <w:rPr>
                <w:sz w:val="22"/>
                <w:szCs w:val="22"/>
                <w:color w:val="auto"/>
              </w:rPr>
            </w:pPr>
          </w:p>
        </w:tc>
        <w:tc>
          <w:tcPr>
            <w:tcW w:w="9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35,336</w:t>
            </w:r>
          </w:p>
        </w:tc>
        <w:tc>
          <w:tcPr>
            <w:tcW w:w="300" w:type="dxa"/>
            <w:vAlign w:val="bottom"/>
            <w:shd w:val="clear" w:color="auto" w:fill="D1D2D4"/>
          </w:tcPr>
          <w:p>
            <w:pPr>
              <w:spacing w:after="0"/>
              <w:rPr>
                <w:sz w:val="22"/>
                <w:szCs w:val="22"/>
                <w:color w:val="auto"/>
              </w:rPr>
            </w:pPr>
          </w:p>
        </w:tc>
        <w:tc>
          <w:tcPr>
            <w:tcW w:w="100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27,540</w:t>
            </w:r>
          </w:p>
        </w:tc>
      </w:tr>
      <w:tr>
        <w:trPr>
          <w:trHeight w:val="250"/>
        </w:trPr>
        <w:tc>
          <w:tcPr>
            <w:tcW w:w="494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6,635</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6,390</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5,754</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5,334</w:t>
            </w:r>
          </w:p>
        </w:tc>
        <w:tc>
          <w:tcPr>
            <w:tcW w:w="3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4,835</w:t>
            </w:r>
          </w:p>
        </w:tc>
      </w:tr>
      <w:tr>
        <w:trPr>
          <w:trHeight w:val="263"/>
        </w:trPr>
        <w:tc>
          <w:tcPr>
            <w:tcW w:w="4940" w:type="dxa"/>
            <w:vAlign w:val="bottom"/>
            <w:shd w:val="clear" w:color="auto" w:fill="D1D2D4"/>
          </w:tcPr>
          <w:p>
            <w:pPr>
              <w:ind w:left="20"/>
              <w:spacing w:after="0"/>
              <w:rPr>
                <w:sz w:val="20"/>
                <w:szCs w:val="20"/>
                <w:color w:val="auto"/>
              </w:rPr>
            </w:pPr>
            <w:r>
              <w:rPr>
                <w:rFonts w:ascii="Arial" w:cs="Arial" w:eastAsia="Arial" w:hAnsi="Arial"/>
                <w:sz w:val="18"/>
                <w:szCs w:val="18"/>
                <w:color w:val="auto"/>
              </w:rPr>
              <w:t>Long-term debt</w:t>
            </w:r>
          </w:p>
        </w:tc>
        <w:tc>
          <w:tcPr>
            <w:tcW w:w="260" w:type="dxa"/>
            <w:vAlign w:val="bottom"/>
            <w:shd w:val="clear" w:color="auto" w:fill="D1D2D4"/>
          </w:tcPr>
          <w:p>
            <w:pPr>
              <w:spacing w:after="0"/>
              <w:rPr>
                <w:sz w:val="22"/>
                <w:szCs w:val="22"/>
                <w:color w:val="auto"/>
              </w:rPr>
            </w:pPr>
          </w:p>
        </w:tc>
        <w:tc>
          <w:tcPr>
            <w:tcW w:w="9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6,373</w:t>
            </w:r>
          </w:p>
        </w:tc>
        <w:tc>
          <w:tcPr>
            <w:tcW w:w="300" w:type="dxa"/>
            <w:vAlign w:val="bottom"/>
            <w:shd w:val="clear" w:color="auto" w:fill="D1D2D4"/>
          </w:tcPr>
          <w:p>
            <w:pPr>
              <w:spacing w:after="0"/>
              <w:rPr>
                <w:sz w:val="22"/>
                <w:szCs w:val="22"/>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4,541</w:t>
            </w:r>
          </w:p>
        </w:tc>
        <w:tc>
          <w:tcPr>
            <w:tcW w:w="300" w:type="dxa"/>
            <w:vAlign w:val="bottom"/>
            <w:shd w:val="clear" w:color="auto" w:fill="D1D2D4"/>
          </w:tcPr>
          <w:p>
            <w:pPr>
              <w:spacing w:after="0"/>
              <w:rPr>
                <w:sz w:val="22"/>
                <w:szCs w:val="22"/>
                <w:color w:val="auto"/>
              </w:rPr>
            </w:pPr>
          </w:p>
        </w:tc>
        <w:tc>
          <w:tcPr>
            <w:tcW w:w="9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3,777</w:t>
            </w:r>
          </w:p>
        </w:tc>
        <w:tc>
          <w:tcPr>
            <w:tcW w:w="320" w:type="dxa"/>
            <w:vAlign w:val="bottom"/>
            <w:shd w:val="clear" w:color="auto" w:fill="D1D2D4"/>
          </w:tcPr>
          <w:p>
            <w:pPr>
              <w:spacing w:after="0"/>
              <w:rPr>
                <w:sz w:val="22"/>
                <w:szCs w:val="22"/>
                <w:color w:val="auto"/>
              </w:rPr>
            </w:pPr>
          </w:p>
        </w:tc>
        <w:tc>
          <w:tcPr>
            <w:tcW w:w="9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9,872</w:t>
            </w:r>
          </w:p>
        </w:tc>
        <w:tc>
          <w:tcPr>
            <w:tcW w:w="300" w:type="dxa"/>
            <w:vAlign w:val="bottom"/>
            <w:shd w:val="clear" w:color="auto" w:fill="D1D2D4"/>
          </w:tcPr>
          <w:p>
            <w:pPr>
              <w:spacing w:after="0"/>
              <w:rPr>
                <w:sz w:val="22"/>
                <w:szCs w:val="22"/>
                <w:color w:val="auto"/>
              </w:rPr>
            </w:pPr>
          </w:p>
        </w:tc>
        <w:tc>
          <w:tcPr>
            <w:tcW w:w="100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9,154</w:t>
            </w:r>
          </w:p>
        </w:tc>
      </w:tr>
      <w:tr>
        <w:trPr>
          <w:trHeight w:val="250"/>
        </w:trPr>
        <w:tc>
          <w:tcPr>
            <w:tcW w:w="4940" w:type="dxa"/>
            <w:vAlign w:val="bottom"/>
          </w:tcPr>
          <w:p>
            <w:pPr>
              <w:ind w:left="20"/>
              <w:spacing w:after="0"/>
              <w:rPr>
                <w:sz w:val="20"/>
                <w:szCs w:val="20"/>
                <w:color w:val="auto"/>
              </w:rPr>
            </w:pPr>
            <w:r>
              <w:rPr>
                <w:rFonts w:ascii="Arial" w:cs="Arial" w:eastAsia="Arial" w:hAnsi="Arial"/>
                <w:sz w:val="18"/>
                <w:szCs w:val="18"/>
                <w:color w:val="auto"/>
              </w:rPr>
              <w:t>Total Micron shareholders’ equity</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38,996</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35,881</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32,294</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18,621</w:t>
            </w:r>
          </w:p>
        </w:tc>
        <w:tc>
          <w:tcPr>
            <w:tcW w:w="3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12,080</w:t>
            </w:r>
          </w:p>
        </w:tc>
      </w:tr>
      <w:tr>
        <w:trPr>
          <w:trHeight w:val="263"/>
        </w:trPr>
        <w:tc>
          <w:tcPr>
            <w:tcW w:w="4940" w:type="dxa"/>
            <w:vAlign w:val="bottom"/>
            <w:shd w:val="clear" w:color="auto" w:fill="D1D2D4"/>
          </w:tcPr>
          <w:p>
            <w:pPr>
              <w:ind w:left="20"/>
              <w:spacing w:after="0"/>
              <w:rPr>
                <w:sz w:val="20"/>
                <w:szCs w:val="20"/>
                <w:color w:val="auto"/>
              </w:rPr>
            </w:pPr>
            <w:r>
              <w:rPr>
                <w:rFonts w:ascii="Arial" w:cs="Arial" w:eastAsia="Arial" w:hAnsi="Arial"/>
                <w:sz w:val="18"/>
                <w:szCs w:val="18"/>
                <w:color w:val="auto"/>
              </w:rPr>
              <w:t>Noncontrolling interests in subsidiaries</w:t>
            </w:r>
          </w:p>
        </w:tc>
        <w:tc>
          <w:tcPr>
            <w:tcW w:w="260" w:type="dxa"/>
            <w:vAlign w:val="bottom"/>
            <w:shd w:val="clear" w:color="auto" w:fill="D1D2D4"/>
          </w:tcPr>
          <w:p>
            <w:pPr>
              <w:spacing w:after="0"/>
              <w:rPr>
                <w:sz w:val="22"/>
                <w:szCs w:val="22"/>
                <w:color w:val="auto"/>
              </w:rPr>
            </w:pPr>
          </w:p>
        </w:tc>
        <w:tc>
          <w:tcPr>
            <w:tcW w:w="9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D1D2D4"/>
          </w:tcPr>
          <w:p>
            <w:pPr>
              <w:spacing w:after="0"/>
              <w:rPr>
                <w:sz w:val="22"/>
                <w:szCs w:val="22"/>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889</w:t>
            </w:r>
          </w:p>
        </w:tc>
        <w:tc>
          <w:tcPr>
            <w:tcW w:w="300" w:type="dxa"/>
            <w:vAlign w:val="bottom"/>
            <w:shd w:val="clear" w:color="auto" w:fill="D1D2D4"/>
          </w:tcPr>
          <w:p>
            <w:pPr>
              <w:spacing w:after="0"/>
              <w:rPr>
                <w:sz w:val="22"/>
                <w:szCs w:val="22"/>
                <w:color w:val="auto"/>
              </w:rPr>
            </w:pPr>
          </w:p>
        </w:tc>
        <w:tc>
          <w:tcPr>
            <w:tcW w:w="9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870</w:t>
            </w:r>
          </w:p>
        </w:tc>
        <w:tc>
          <w:tcPr>
            <w:tcW w:w="320" w:type="dxa"/>
            <w:vAlign w:val="bottom"/>
            <w:shd w:val="clear" w:color="auto" w:fill="D1D2D4"/>
          </w:tcPr>
          <w:p>
            <w:pPr>
              <w:spacing w:after="0"/>
              <w:rPr>
                <w:sz w:val="22"/>
                <w:szCs w:val="22"/>
                <w:color w:val="auto"/>
              </w:rPr>
            </w:pPr>
          </w:p>
        </w:tc>
        <w:tc>
          <w:tcPr>
            <w:tcW w:w="9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849</w:t>
            </w:r>
          </w:p>
        </w:tc>
        <w:tc>
          <w:tcPr>
            <w:tcW w:w="300" w:type="dxa"/>
            <w:vAlign w:val="bottom"/>
            <w:shd w:val="clear" w:color="auto" w:fill="D1D2D4"/>
          </w:tcPr>
          <w:p>
            <w:pPr>
              <w:spacing w:after="0"/>
              <w:rPr>
                <w:sz w:val="22"/>
                <w:szCs w:val="22"/>
                <w:color w:val="auto"/>
              </w:rPr>
            </w:pPr>
          </w:p>
        </w:tc>
        <w:tc>
          <w:tcPr>
            <w:tcW w:w="100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848</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Total equity</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38,996</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36,770</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33,164</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19,470</w:t>
            </w:r>
          </w:p>
        </w:tc>
        <w:tc>
          <w:tcPr>
            <w:tcW w:w="3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12,928</w:t>
            </w:r>
          </w:p>
        </w:tc>
      </w:tr>
    </w:tbl>
    <w:p>
      <w:pPr>
        <w:spacing w:after="0" w:line="256"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On October 31, 2019, we purchased Intel’s noncontrolling interest in IMFT, now known as MTU, and IMFT Member Debt for $1.25 billion. See “Item 8. Financial Statements and Supplementary Data – Notes to Consolidated Financial Statements – Debt” and “– Equity.”</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December 2016, we acquired the 67% remaining interest in Inotera and began consolidating Inotera's operating results. In the periods presented above through December 2016, Inotera sold DRAM products exclusively to us through supply agreements. The cash paid for the Inotera Acquisition was funded, in part, with a term loan of 80 billion New Taiwan dollars and $986 million from the sale of 58 million shares of our common stock.</w:t>
      </w:r>
    </w:p>
    <w:p>
      <w:pPr>
        <w:spacing w:after="0" w:line="200" w:lineRule="exact"/>
        <w:rPr>
          <w:sz w:val="20"/>
          <w:szCs w:val="20"/>
          <w:color w:val="auto"/>
        </w:rPr>
      </w:pPr>
    </w:p>
    <w:p>
      <w:pPr>
        <w:spacing w:after="0" w:line="244" w:lineRule="exact"/>
        <w:rPr>
          <w:sz w:val="20"/>
          <w:szCs w:val="20"/>
          <w:color w:val="auto"/>
        </w:rPr>
      </w:pPr>
    </w:p>
    <w:p>
      <w:pPr>
        <w:ind w:right="700"/>
        <w:spacing w:after="0" w:line="288" w:lineRule="auto"/>
        <w:rPr>
          <w:sz w:val="20"/>
          <w:szCs w:val="20"/>
          <w:color w:val="auto"/>
        </w:rPr>
      </w:pPr>
      <w:r>
        <w:rPr>
          <w:rFonts w:ascii="Arial" w:cs="Arial" w:eastAsia="Arial" w:hAnsi="Arial"/>
          <w:sz w:val="25"/>
          <w:szCs w:val="25"/>
          <w:b w:val="1"/>
          <w:bCs w:val="1"/>
          <w:color w:val="auto"/>
        </w:rPr>
        <w:t>ITEM 7. MANAGEMENT’S DISCUSSION AND ANALYSIS OF FINANCIAL CONDITION AND RESULTS OF OPERATIONS</w:t>
      </w:r>
    </w:p>
    <w:p>
      <w:pPr>
        <w:spacing w:after="0" w:line="159"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i w:val="1"/>
          <w:iCs w:val="1"/>
          <w:color w:val="auto"/>
        </w:rPr>
        <w:t>This discussion should be read in conjunction with the consolidated financial statements and accompanying notes for the year ended September 3, 2020. All period references are to our fiscal periods unless otherwise indicated. Our fiscal year is the 52 or 53-week period ending on the Thursday closest to August 31. Fiscal 2020 contains 53 weeks and our fiscal 2019 and 2018 each contain 52 weeks. Our fourth quarter of fiscal 2020 contained 14 weeks. All tabular dollar amounts are in millions,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an overview of our business, see “Part I – Item 1. Business – Overview.”</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Impact of COVID-19 on Our Business</w:t>
      </w:r>
    </w:p>
    <w:p>
      <w:pPr>
        <w:spacing w:after="0" w:line="26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Events surrounding the ongoing COVID-19 outbreak have resulted in a reduction in economic activity across the globe, which has affected demand for certain of our products. While we have observed demand increases in some areas of our business that support a stay-at-home economy, such as products used in data center infrastructure, notebook computers, and similar applications, we have also observed demand decreases in other categories such as smartphones, consumer electronics, automotive, desktop PCs, and enterprise markets. The ultimate extent to which COVID-19 will impact demand for our products depends on future developments, which are highly uncertain and very difficult to predict, including new information that may emerge concerning the severity of the coronavirus and actions to contain and treat its impacts.</w:t>
      </w:r>
    </w:p>
    <w:p>
      <w:pPr>
        <w:sectPr>
          <w:pgSz w:w="11900" w:h="16838" w:orient="portrait"/>
          <w:cols w:equalWidth="0" w:num="1">
            <w:col w:w="11240"/>
          </w:cols>
          <w:pgMar w:left="320" w:top="9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0040"/>
        <w:spacing w:after="0"/>
        <w:rPr>
          <w:sz w:val="20"/>
          <w:szCs w:val="20"/>
          <w:color w:val="auto"/>
        </w:rPr>
      </w:pPr>
      <w:r>
        <w:rPr>
          <w:sz w:val="1"/>
          <w:szCs w:val="1"/>
          <w:color w:val="auto"/>
        </w:rPr>
        <w:drawing>
          <wp:inline distT="0" distB="0" distL="0" distR="0">
            <wp:extent cx="608330" cy="171450"/>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8330" cy="171450"/>
                    </a:xfrm>
                    <a:prstGeom prst="rect">
                      <a:avLst/>
                    </a:prstGeom>
                    <a:noFill/>
                    <a:ln>
                      <a:noFill/>
                    </a:ln>
                  </pic:spPr>
                </pic:pic>
              </a:graphicData>
            </a:graphic>
          </wp:inline>
        </w:drawing>
      </w:r>
      <w:r>
        <w:rPr>
          <w:rFonts w:ascii="Arial" w:cs="Arial" w:eastAsia="Arial" w:hAnsi="Arial"/>
          <w:sz w:val="13"/>
          <w:szCs w:val="13"/>
          <w:color w:val="auto"/>
        </w:rPr>
        <w:t xml:space="preserv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type w:val="continuous"/>
        </w:sectPr>
      </w:pPr>
    </w:p>
    <w:bookmarkStart w:id="37" w:name="page38"/>
    <w:bookmarkEnd w:id="37"/>
    <w:p>
      <w:pPr>
        <w:ind w:right="140"/>
        <w:spacing w:after="0" w:line="252" w:lineRule="auto"/>
        <w:rPr>
          <w:sz w:val="20"/>
          <w:szCs w:val="20"/>
          <w:color w:val="auto"/>
        </w:rPr>
      </w:pPr>
      <w:r>
        <w:rPr>
          <w:rFonts w:ascii="Arial" w:cs="Arial" w:eastAsia="Arial" w:hAnsi="Arial"/>
          <w:sz w:val="18"/>
          <w:szCs w:val="18"/>
          <w:color w:val="auto"/>
        </w:rPr>
        <w:t>While all our global sites are currently operating with close to full staff and at normal capacity levels, our facilities could be required to temporarily curtail production levels or temporarily cease operations based on government mandates. We may be required to, or deem it to be in the best interest of our employees, customers, partners, suppliers, and stakeholders, to alter our business operations in order to maintain a healthy and safe environment. It is not clear what potential effects any such alterations or modifications may have on our business, including effects on our customers, employees, and prospects, or on our financial results. We are following government policies and recommendations designed to slow the spread of COVID-19 and remain committed to the health and safety of our team members, contractors, suppliers, customers, distributors, and communities.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Our efforts to respond to the COVID-19 outbreak include the following:</w:t>
      </w:r>
    </w:p>
    <w:p>
      <w:pPr>
        <w:spacing w:after="0" w:line="252" w:lineRule="exact"/>
        <w:rPr>
          <w:sz w:val="20"/>
          <w:szCs w:val="20"/>
          <w:color w:val="auto"/>
        </w:rPr>
      </w:pPr>
    </w:p>
    <w:p>
      <w:pPr>
        <w:ind w:left="660" w:right="140" w:hanging="328"/>
        <w:spacing w:after="0" w:line="265" w:lineRule="auto"/>
        <w:tabs>
          <w:tab w:leader="none" w:pos="655"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 have put health screenings in place, required physical distancing, established team separation protocols, and made equipment upgrades at our facilities. We are also prohibiting visitors, have significantly decreased business travel, and are generally requiring team members to work from home where possible. Where work from home is not possible, all on-site team members must pass thermal scanning equipment to ensure they do not have an elevated body temperature and must wear a mask at all times.</w:t>
      </w:r>
    </w:p>
    <w:p>
      <w:pPr>
        <w:ind w:left="660" w:right="60" w:hanging="328"/>
        <w:spacing w:after="0" w:line="25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respond to changing market conditions, we have shifted some supply from markets which have experienced declines in demand, such as smartphones, consumer electronics, desktop PCs, automotive, and enterprise to markets that have experienced demand increases, such as data center, cloud server, notebooks, and gaming.</w:t>
      </w:r>
    </w:p>
    <w:p>
      <w:pPr>
        <w:spacing w:after="0" w:line="1" w:lineRule="exact"/>
        <w:rPr>
          <w:rFonts w:ascii="Arial" w:cs="Arial" w:eastAsia="Arial" w:hAnsi="Arial"/>
          <w:sz w:val="18"/>
          <w:szCs w:val="18"/>
          <w:color w:val="auto"/>
        </w:rPr>
      </w:pPr>
    </w:p>
    <w:p>
      <w:pPr>
        <w:ind w:left="660" w:right="100" w:hanging="328"/>
        <w:spacing w:after="0" w:line="25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have evaluated our supply chain and communicated with our suppliers to identify supply gaps and taken steps to ensure continuity. In some cases, we have added alternative suppliers and increased our on-hand inventory of raw materials needed in our operations.</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have added assembly and test capacity to provide redundant manufacturing capability through our network of captive operations and external partners.</w:t>
      </w:r>
    </w:p>
    <w:p>
      <w:pPr>
        <w:ind w:left="660" w:right="240" w:hanging="328"/>
        <w:spacing w:after="0" w:line="25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are evaluating all our construction projects across our global manufacturing operations and enacting protocols to enhance the safety of our team members, suppliers, and contractors.</w:t>
      </w:r>
    </w:p>
    <w:p>
      <w:pPr>
        <w:ind w:left="660" w:right="380" w:hanging="328"/>
        <w:spacing w:after="0" w:line="25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have developed strategies and are implementing measures to respond to a variety of potential economic scenarios, such as limitations on new hiring and business travel and reductions of discretionary spending.</w:t>
      </w:r>
    </w:p>
    <w:p>
      <w:pPr>
        <w:ind w:left="660" w:right="180" w:hanging="328"/>
        <w:spacing w:after="0" w:line="256"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are working with government authorities in the jurisdictions where we operate, and continuing to monitor our operations in an effort to ensure we follow government requirements, relevant regulations, industry standards, and best practices to help safeguard our team members, while safely continuing operations at our sites across the globe.</w:t>
      </w:r>
    </w:p>
    <w:p>
      <w:pPr>
        <w:spacing w:after="0" w:line="229" w:lineRule="exact"/>
        <w:rPr>
          <w:sz w:val="20"/>
          <w:szCs w:val="20"/>
          <w:color w:val="auto"/>
        </w:rPr>
      </w:pPr>
    </w:p>
    <w:p>
      <w:pPr>
        <w:jc w:val="both"/>
        <w:ind w:right="40"/>
        <w:spacing w:after="0" w:line="278" w:lineRule="auto"/>
        <w:rPr>
          <w:sz w:val="20"/>
          <w:szCs w:val="20"/>
          <w:color w:val="auto"/>
        </w:rPr>
      </w:pPr>
      <w:r>
        <w:rPr>
          <w:rFonts w:ascii="Arial" w:cs="Arial" w:eastAsia="Arial" w:hAnsi="Arial"/>
          <w:sz w:val="17"/>
          <w:szCs w:val="17"/>
          <w:color w:val="auto"/>
        </w:rPr>
        <w:t>We believe these actions are appropriate and prudent to safeguard our team members, contractors, suppliers, customers, and communities, while allowing us to safely continue operations, but we cannot predict how the steps we, our team members, government entities, suppliers, or customers take in response to the COVID-19 outbreak will ultimately impact our business, outlook,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35 </w:t>
      </w:r>
      <w:r>
        <w:rPr>
          <w:rFonts w:ascii="Arial" w:cs="Arial" w:eastAsia="Arial" w:hAnsi="Arial"/>
          <w:sz w:val="21"/>
          <w:szCs w:val="21"/>
          <w:b w:val="1"/>
          <w:bCs w:val="1"/>
          <w:color w:val="0090DA"/>
        </w:rPr>
        <w:t>|</w:t>
      </w:r>
      <w:r>
        <w:rPr>
          <w:rFonts w:ascii="Arial" w:cs="Arial" w:eastAsia="Arial" w:hAnsi="Arial"/>
          <w:sz w:val="18"/>
          <w:szCs w:val="18"/>
          <w:color w:val="auto"/>
        </w:rPr>
        <w:t xml:space="preserve"> 2020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49" w:right="399" w:bottom="1440" w:gutter="0" w:footer="0" w:header="0"/>
        </w:sectPr>
      </w:pPr>
    </w:p>
    <w:bookmarkStart w:id="38" w:name="page39"/>
    <w:bookmarkEnd w:id="38"/>
    <w:p>
      <w:pPr>
        <w:spacing w:after="0"/>
        <w:rPr>
          <w:sz w:val="20"/>
          <w:szCs w:val="20"/>
          <w:color w:val="auto"/>
        </w:rPr>
      </w:pPr>
      <w:r>
        <w:rPr>
          <w:rFonts w:ascii="Arial" w:cs="Arial" w:eastAsia="Arial" w:hAnsi="Arial"/>
          <w:sz w:val="40"/>
          <w:szCs w:val="40"/>
          <w:b w:val="1"/>
          <w:bCs w:val="1"/>
          <w:color w:val="auto"/>
        </w:rPr>
        <w:t>Results of Operations</w:t>
      </w:r>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Consolidated Results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72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For the year ended</w:t>
            </w:r>
          </w:p>
        </w:tc>
        <w:tc>
          <w:tcPr>
            <w:tcW w:w="180" w:type="dxa"/>
            <w:vAlign w:val="bottom"/>
            <w:tcBorders>
              <w:bottom w:val="single" w:sz="8" w:color="0090DA"/>
            </w:tcBorders>
          </w:tcPr>
          <w:p>
            <w:pPr>
              <w:spacing w:after="0"/>
              <w:rPr>
                <w:sz w:val="21"/>
                <w:szCs w:val="21"/>
                <w:color w:val="auto"/>
              </w:rPr>
            </w:pPr>
          </w:p>
        </w:tc>
        <w:tc>
          <w:tcPr>
            <w:tcW w:w="1020" w:type="dxa"/>
            <w:vAlign w:val="bottom"/>
            <w:tcBorders>
              <w:bottom w:val="single" w:sz="8" w:color="0090DA"/>
            </w:tcBorders>
            <w:gridSpan w:val="2"/>
          </w:tcPr>
          <w:p>
            <w:pPr>
              <w:jc w:val="right"/>
              <w:ind w:right="80"/>
              <w:spacing w:after="0"/>
              <w:rPr>
                <w:sz w:val="20"/>
                <w:szCs w:val="20"/>
                <w:color w:val="auto"/>
              </w:rPr>
            </w:pPr>
            <w:r>
              <w:rPr>
                <w:rFonts w:ascii="Arial" w:cs="Arial" w:eastAsia="Arial" w:hAnsi="Arial"/>
                <w:sz w:val="18"/>
                <w:szCs w:val="18"/>
                <w:b w:val="1"/>
                <w:bCs w:val="1"/>
                <w:color w:val="auto"/>
              </w:rPr>
              <w:t>2020</w:t>
            </w:r>
          </w:p>
        </w:tc>
        <w:tc>
          <w:tcPr>
            <w:tcW w:w="420" w:type="dxa"/>
            <w:vAlign w:val="bottom"/>
            <w:tcBorders>
              <w:bottom w:val="single" w:sz="8" w:color="0090DA"/>
            </w:tcBorders>
          </w:tcPr>
          <w:p>
            <w:pPr>
              <w:spacing w:after="0"/>
              <w:rPr>
                <w:sz w:val="21"/>
                <w:szCs w:val="21"/>
                <w:color w:val="auto"/>
              </w:rPr>
            </w:pPr>
          </w:p>
        </w:tc>
        <w:tc>
          <w:tcPr>
            <w:tcW w:w="220" w:type="dxa"/>
            <w:vAlign w:val="bottom"/>
            <w:tcBorders>
              <w:bottom w:val="single" w:sz="8" w:color="0090DA"/>
            </w:tcBorders>
          </w:tcPr>
          <w:p>
            <w:pPr>
              <w:spacing w:after="0"/>
              <w:rPr>
                <w:sz w:val="21"/>
                <w:szCs w:val="21"/>
                <w:color w:val="auto"/>
              </w:rPr>
            </w:pPr>
          </w:p>
        </w:tc>
        <w:tc>
          <w:tcPr>
            <w:tcW w:w="180" w:type="dxa"/>
            <w:vAlign w:val="bottom"/>
            <w:tcBorders>
              <w:bottom w:val="single" w:sz="8" w:color="0090DA"/>
            </w:tcBorders>
          </w:tcPr>
          <w:p>
            <w:pPr>
              <w:spacing w:after="0"/>
              <w:rPr>
                <w:sz w:val="21"/>
                <w:szCs w:val="21"/>
                <w:color w:val="auto"/>
              </w:rPr>
            </w:pPr>
          </w:p>
        </w:tc>
        <w:tc>
          <w:tcPr>
            <w:tcW w:w="1020" w:type="dxa"/>
            <w:vAlign w:val="bottom"/>
            <w:tcBorders>
              <w:bottom w:val="single" w:sz="8" w:color="0090DA"/>
            </w:tcBorders>
            <w:gridSpan w:val="2"/>
          </w:tcPr>
          <w:p>
            <w:pPr>
              <w:jc w:val="right"/>
              <w:ind w:right="80"/>
              <w:spacing w:after="0"/>
              <w:rPr>
                <w:sz w:val="20"/>
                <w:szCs w:val="20"/>
                <w:color w:val="auto"/>
              </w:rPr>
            </w:pPr>
            <w:r>
              <w:rPr>
                <w:rFonts w:ascii="Arial" w:cs="Arial" w:eastAsia="Arial" w:hAnsi="Arial"/>
                <w:sz w:val="18"/>
                <w:szCs w:val="18"/>
                <w:b w:val="1"/>
                <w:bCs w:val="1"/>
                <w:color w:val="auto"/>
              </w:rPr>
              <w:t>2019</w:t>
            </w:r>
          </w:p>
        </w:tc>
        <w:tc>
          <w:tcPr>
            <w:tcW w:w="420" w:type="dxa"/>
            <w:vAlign w:val="bottom"/>
            <w:tcBorders>
              <w:bottom w:val="single" w:sz="8" w:color="0090DA"/>
            </w:tcBorders>
          </w:tcPr>
          <w:p>
            <w:pPr>
              <w:spacing w:after="0"/>
              <w:rPr>
                <w:sz w:val="21"/>
                <w:szCs w:val="21"/>
                <w:color w:val="auto"/>
              </w:rPr>
            </w:pPr>
          </w:p>
        </w:tc>
        <w:tc>
          <w:tcPr>
            <w:tcW w:w="220" w:type="dxa"/>
            <w:vAlign w:val="bottom"/>
            <w:tcBorders>
              <w:bottom w:val="single" w:sz="8" w:color="0090DA"/>
            </w:tcBorders>
          </w:tcPr>
          <w:p>
            <w:pPr>
              <w:spacing w:after="0"/>
              <w:rPr>
                <w:sz w:val="21"/>
                <w:szCs w:val="21"/>
                <w:color w:val="auto"/>
              </w:rPr>
            </w:pPr>
          </w:p>
        </w:tc>
        <w:tc>
          <w:tcPr>
            <w:tcW w:w="180" w:type="dxa"/>
            <w:vAlign w:val="bottom"/>
            <w:tcBorders>
              <w:bottom w:val="single" w:sz="8" w:color="0090DA"/>
            </w:tcBorders>
          </w:tcPr>
          <w:p>
            <w:pPr>
              <w:spacing w:after="0"/>
              <w:rPr>
                <w:sz w:val="21"/>
                <w:szCs w:val="21"/>
                <w:color w:val="auto"/>
              </w:rPr>
            </w:pPr>
          </w:p>
        </w:tc>
        <w:tc>
          <w:tcPr>
            <w:tcW w:w="1020" w:type="dxa"/>
            <w:vAlign w:val="bottom"/>
            <w:tcBorders>
              <w:bottom w:val="single" w:sz="8" w:color="0090DA"/>
            </w:tcBorders>
            <w:gridSpan w:val="2"/>
          </w:tcPr>
          <w:p>
            <w:pPr>
              <w:jc w:val="right"/>
              <w:ind w:right="80"/>
              <w:spacing w:after="0"/>
              <w:rPr>
                <w:sz w:val="20"/>
                <w:szCs w:val="20"/>
                <w:color w:val="auto"/>
              </w:rPr>
            </w:pPr>
            <w:r>
              <w:rPr>
                <w:rFonts w:ascii="Arial" w:cs="Arial" w:eastAsia="Arial" w:hAnsi="Arial"/>
                <w:sz w:val="18"/>
                <w:szCs w:val="18"/>
                <w:b w:val="1"/>
                <w:bCs w:val="1"/>
                <w:color w:val="auto"/>
              </w:rPr>
              <w:t>2018</w:t>
            </w:r>
          </w:p>
        </w:tc>
        <w:tc>
          <w:tcPr>
            <w:tcW w:w="420" w:type="dxa"/>
            <w:vAlign w:val="bottom"/>
            <w:tcBorders>
              <w:bottom w:val="single" w:sz="8" w:color="0090DA"/>
            </w:tcBorders>
          </w:tcPr>
          <w:p>
            <w:pPr>
              <w:spacing w:after="0"/>
              <w:rPr>
                <w:sz w:val="21"/>
                <w:szCs w:val="21"/>
                <w:color w:val="auto"/>
              </w:rPr>
            </w:pPr>
          </w:p>
        </w:tc>
        <w:tc>
          <w:tcPr>
            <w:tcW w:w="220" w:type="dxa"/>
            <w:vAlign w:val="bottom"/>
            <w:tcBorders>
              <w:bottom w:val="single" w:sz="8" w:color="0090DA"/>
            </w:tcBorders>
          </w:tcPr>
          <w:p>
            <w:pPr>
              <w:spacing w:after="0"/>
              <w:rPr>
                <w:sz w:val="21"/>
                <w:szCs w:val="21"/>
                <w:color w:val="auto"/>
              </w:rPr>
            </w:pPr>
          </w:p>
        </w:tc>
      </w:tr>
      <w:tr>
        <w:trPr>
          <w:trHeight w:val="41"/>
        </w:trPr>
        <w:tc>
          <w:tcPr>
            <w:tcW w:w="5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56"/>
        </w:trPr>
        <w:tc>
          <w:tcPr>
            <w:tcW w:w="572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21,435</w:t>
            </w:r>
          </w:p>
        </w:tc>
        <w:tc>
          <w:tcPr>
            <w:tcW w:w="300" w:type="dxa"/>
            <w:vAlign w:val="bottom"/>
            <w:shd w:val="clear" w:color="auto" w:fill="D1D2D4"/>
          </w:tcPr>
          <w:p>
            <w:pPr>
              <w:spacing w:after="0"/>
              <w:rPr>
                <w:sz w:val="22"/>
                <w:szCs w:val="22"/>
                <w:color w:val="auto"/>
              </w:rPr>
            </w:pPr>
          </w:p>
        </w:tc>
        <w:tc>
          <w:tcPr>
            <w:tcW w:w="820" w:type="dxa"/>
            <w:vAlign w:val="bottom"/>
            <w:gridSpan w:val="3"/>
            <w:shd w:val="clear" w:color="auto" w:fill="D1D2D4"/>
          </w:tcPr>
          <w:p>
            <w:pPr>
              <w:jc w:val="right"/>
              <w:ind w:right="60"/>
              <w:spacing w:after="0"/>
              <w:rPr>
                <w:sz w:val="20"/>
                <w:szCs w:val="20"/>
                <w:color w:val="auto"/>
              </w:rPr>
            </w:pPr>
            <w:r>
              <w:rPr>
                <w:rFonts w:ascii="Arial" w:cs="Arial" w:eastAsia="Arial" w:hAnsi="Arial"/>
                <w:sz w:val="18"/>
                <w:szCs w:val="18"/>
                <w:color w:val="auto"/>
              </w:rPr>
              <w:t>100 %$</w:t>
            </w:r>
          </w:p>
        </w:tc>
        <w:tc>
          <w:tcPr>
            <w:tcW w:w="7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23,406</w:t>
            </w:r>
          </w:p>
        </w:tc>
        <w:tc>
          <w:tcPr>
            <w:tcW w:w="300" w:type="dxa"/>
            <w:vAlign w:val="bottom"/>
            <w:shd w:val="clear" w:color="auto" w:fill="D1D2D4"/>
          </w:tcPr>
          <w:p>
            <w:pPr>
              <w:spacing w:after="0"/>
              <w:rPr>
                <w:sz w:val="22"/>
                <w:szCs w:val="22"/>
                <w:color w:val="auto"/>
              </w:rPr>
            </w:pPr>
          </w:p>
        </w:tc>
        <w:tc>
          <w:tcPr>
            <w:tcW w:w="820" w:type="dxa"/>
            <w:vAlign w:val="bottom"/>
            <w:gridSpan w:val="3"/>
            <w:shd w:val="clear" w:color="auto" w:fill="D1D2D4"/>
          </w:tcPr>
          <w:p>
            <w:pPr>
              <w:jc w:val="right"/>
              <w:ind w:right="80"/>
              <w:spacing w:after="0"/>
              <w:rPr>
                <w:sz w:val="20"/>
                <w:szCs w:val="20"/>
                <w:color w:val="auto"/>
              </w:rPr>
            </w:pPr>
            <w:r>
              <w:rPr>
                <w:rFonts w:ascii="Arial" w:cs="Arial" w:eastAsia="Arial" w:hAnsi="Arial"/>
                <w:sz w:val="18"/>
                <w:szCs w:val="18"/>
                <w:color w:val="auto"/>
              </w:rPr>
              <w:t>100 %$</w:t>
            </w: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30,391</w:t>
            </w:r>
          </w:p>
        </w:tc>
        <w:tc>
          <w:tcPr>
            <w:tcW w:w="300" w:type="dxa"/>
            <w:vAlign w:val="bottom"/>
            <w:shd w:val="clear" w:color="auto" w:fill="D1D2D4"/>
          </w:tcPr>
          <w:p>
            <w:pPr>
              <w:spacing w:after="0"/>
              <w:rPr>
                <w:sz w:val="22"/>
                <w:szCs w:val="22"/>
                <w:color w:val="auto"/>
              </w:rPr>
            </w:pPr>
          </w:p>
        </w:tc>
        <w:tc>
          <w:tcPr>
            <w:tcW w:w="64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100 %</w:t>
            </w:r>
          </w:p>
        </w:tc>
      </w:tr>
      <w:tr>
        <w:trPr>
          <w:trHeight w:val="250"/>
        </w:trPr>
        <w:tc>
          <w:tcPr>
            <w:tcW w:w="572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Cost of goods sold</w:t>
            </w: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14,883</w:t>
            </w:r>
          </w:p>
        </w:tc>
        <w:tc>
          <w:tcPr>
            <w:tcW w:w="300" w:type="dxa"/>
            <w:vAlign w:val="bottom"/>
            <w:tcBorders>
              <w:bottom w:val="single" w:sz="8" w:color="D1D2D4"/>
            </w:tcBorders>
          </w:tcPr>
          <w:p>
            <w:pPr>
              <w:spacing w:after="0"/>
              <w:rPr>
                <w:sz w:val="21"/>
                <w:szCs w:val="21"/>
                <w:color w:val="auto"/>
              </w:rPr>
            </w:pPr>
          </w:p>
        </w:tc>
        <w:tc>
          <w:tcPr>
            <w:tcW w:w="42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auto"/>
              </w:rPr>
              <w:t>69</w:t>
            </w:r>
          </w:p>
        </w:tc>
        <w:tc>
          <w:tcPr>
            <w:tcW w:w="22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12,704</w:t>
            </w:r>
          </w:p>
        </w:tc>
        <w:tc>
          <w:tcPr>
            <w:tcW w:w="300" w:type="dxa"/>
            <w:vAlign w:val="bottom"/>
            <w:tcBorders>
              <w:bottom w:val="single" w:sz="8" w:color="D1D2D4"/>
            </w:tcBorders>
          </w:tcPr>
          <w:p>
            <w:pPr>
              <w:spacing w:after="0"/>
              <w:rPr>
                <w:sz w:val="21"/>
                <w:szCs w:val="21"/>
                <w:color w:val="auto"/>
              </w:rPr>
            </w:pPr>
          </w:p>
        </w:tc>
        <w:tc>
          <w:tcPr>
            <w:tcW w:w="42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auto"/>
              </w:rPr>
              <w:t>54</w:t>
            </w:r>
          </w:p>
        </w:tc>
        <w:tc>
          <w:tcPr>
            <w:tcW w:w="22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12,500</w:t>
            </w:r>
          </w:p>
        </w:tc>
        <w:tc>
          <w:tcPr>
            <w:tcW w:w="300" w:type="dxa"/>
            <w:vAlign w:val="bottom"/>
            <w:tcBorders>
              <w:bottom w:val="single" w:sz="8" w:color="D1D2D4"/>
            </w:tcBorders>
          </w:tcPr>
          <w:p>
            <w:pPr>
              <w:spacing w:after="0"/>
              <w:rPr>
                <w:sz w:val="21"/>
                <w:szCs w:val="21"/>
                <w:color w:val="auto"/>
              </w:rPr>
            </w:pPr>
          </w:p>
        </w:tc>
        <w:tc>
          <w:tcPr>
            <w:tcW w:w="42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auto"/>
              </w:rPr>
              <w:t>41</w:t>
            </w:r>
          </w:p>
        </w:tc>
        <w:tc>
          <w:tcPr>
            <w:tcW w:w="22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5720" w:type="dxa"/>
            <w:vAlign w:val="bottom"/>
            <w:shd w:val="clear" w:color="auto" w:fill="D1D2D4"/>
          </w:tcPr>
          <w:p>
            <w:pPr>
              <w:ind w:left="360"/>
              <w:spacing w:after="0"/>
              <w:rPr>
                <w:sz w:val="20"/>
                <w:szCs w:val="20"/>
                <w:color w:val="auto"/>
              </w:rPr>
            </w:pPr>
            <w:r>
              <w:rPr>
                <w:rFonts w:ascii="Arial" w:cs="Arial" w:eastAsia="Arial" w:hAnsi="Arial"/>
                <w:sz w:val="18"/>
                <w:szCs w:val="18"/>
                <w:color w:val="auto"/>
              </w:rPr>
              <w:t>Gross margin</w:t>
            </w:r>
          </w:p>
        </w:tc>
        <w:tc>
          <w:tcPr>
            <w:tcW w:w="180" w:type="dxa"/>
            <w:vAlign w:val="bottom"/>
            <w:shd w:val="clear" w:color="auto" w:fill="D1D2D4"/>
          </w:tcPr>
          <w:p>
            <w:pPr>
              <w:spacing w:after="0"/>
              <w:rPr>
                <w:sz w:val="22"/>
                <w:szCs w:val="22"/>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6,552</w:t>
            </w:r>
          </w:p>
        </w:tc>
        <w:tc>
          <w:tcPr>
            <w:tcW w:w="300" w:type="dxa"/>
            <w:vAlign w:val="bottom"/>
            <w:shd w:val="clear" w:color="auto" w:fill="D1D2D4"/>
          </w:tcPr>
          <w:p>
            <w:pPr>
              <w:spacing w:after="0"/>
              <w:rPr>
                <w:sz w:val="22"/>
                <w:szCs w:val="22"/>
                <w:color w:val="auto"/>
              </w:rPr>
            </w:pPr>
          </w:p>
        </w:tc>
        <w:tc>
          <w:tcPr>
            <w:tcW w:w="4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31</w:t>
            </w:r>
          </w:p>
        </w:tc>
        <w:tc>
          <w:tcPr>
            <w:tcW w:w="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22"/>
                <w:szCs w:val="22"/>
                <w:color w:val="auto"/>
              </w:rPr>
            </w:pPr>
          </w:p>
        </w:tc>
        <w:tc>
          <w:tcPr>
            <w:tcW w:w="7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10,702</w:t>
            </w:r>
          </w:p>
        </w:tc>
        <w:tc>
          <w:tcPr>
            <w:tcW w:w="300" w:type="dxa"/>
            <w:vAlign w:val="bottom"/>
            <w:shd w:val="clear" w:color="auto" w:fill="D1D2D4"/>
          </w:tcPr>
          <w:p>
            <w:pPr>
              <w:spacing w:after="0"/>
              <w:rPr>
                <w:sz w:val="22"/>
                <w:szCs w:val="22"/>
                <w:color w:val="auto"/>
              </w:rPr>
            </w:pPr>
          </w:p>
        </w:tc>
        <w:tc>
          <w:tcPr>
            <w:tcW w:w="4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46</w:t>
            </w:r>
          </w:p>
        </w:tc>
        <w:tc>
          <w:tcPr>
            <w:tcW w:w="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22"/>
                <w:szCs w:val="22"/>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17,891</w:t>
            </w:r>
          </w:p>
        </w:tc>
        <w:tc>
          <w:tcPr>
            <w:tcW w:w="300" w:type="dxa"/>
            <w:vAlign w:val="bottom"/>
            <w:shd w:val="clear" w:color="auto" w:fill="D1D2D4"/>
          </w:tcPr>
          <w:p>
            <w:pPr>
              <w:spacing w:after="0"/>
              <w:rPr>
                <w:sz w:val="22"/>
                <w:szCs w:val="22"/>
                <w:color w:val="auto"/>
              </w:rPr>
            </w:pPr>
          </w:p>
        </w:tc>
        <w:tc>
          <w:tcPr>
            <w:tcW w:w="4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59</w:t>
            </w:r>
          </w:p>
        </w:tc>
        <w:tc>
          <w:tcPr>
            <w:tcW w:w="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5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257"/>
        </w:trPr>
        <w:tc>
          <w:tcPr>
            <w:tcW w:w="572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D1D2D4"/>
          </w:tcPr>
          <w:p>
            <w:pPr>
              <w:spacing w:after="0"/>
              <w:rPr>
                <w:sz w:val="22"/>
                <w:szCs w:val="22"/>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2,600</w:t>
            </w:r>
          </w:p>
        </w:tc>
        <w:tc>
          <w:tcPr>
            <w:tcW w:w="300" w:type="dxa"/>
            <w:vAlign w:val="bottom"/>
            <w:shd w:val="clear" w:color="auto" w:fill="D1D2D4"/>
          </w:tcPr>
          <w:p>
            <w:pPr>
              <w:spacing w:after="0"/>
              <w:rPr>
                <w:sz w:val="22"/>
                <w:szCs w:val="22"/>
                <w:color w:val="auto"/>
              </w:rPr>
            </w:pPr>
          </w:p>
        </w:tc>
        <w:tc>
          <w:tcPr>
            <w:tcW w:w="4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22"/>
                <w:szCs w:val="22"/>
                <w:color w:val="auto"/>
              </w:rPr>
            </w:pPr>
          </w:p>
        </w:tc>
        <w:tc>
          <w:tcPr>
            <w:tcW w:w="7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2,441</w:t>
            </w:r>
          </w:p>
        </w:tc>
        <w:tc>
          <w:tcPr>
            <w:tcW w:w="300" w:type="dxa"/>
            <w:vAlign w:val="bottom"/>
            <w:shd w:val="clear" w:color="auto" w:fill="D1D2D4"/>
          </w:tcPr>
          <w:p>
            <w:pPr>
              <w:spacing w:after="0"/>
              <w:rPr>
                <w:sz w:val="22"/>
                <w:szCs w:val="22"/>
                <w:color w:val="auto"/>
              </w:rPr>
            </w:pPr>
          </w:p>
        </w:tc>
        <w:tc>
          <w:tcPr>
            <w:tcW w:w="4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22"/>
                <w:szCs w:val="22"/>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2,141</w:t>
            </w:r>
          </w:p>
        </w:tc>
        <w:tc>
          <w:tcPr>
            <w:tcW w:w="300" w:type="dxa"/>
            <w:vAlign w:val="bottom"/>
            <w:shd w:val="clear" w:color="auto" w:fill="D1D2D4"/>
          </w:tcPr>
          <w:p>
            <w:pPr>
              <w:spacing w:after="0"/>
              <w:rPr>
                <w:sz w:val="22"/>
                <w:szCs w:val="22"/>
                <w:color w:val="auto"/>
              </w:rPr>
            </w:pPr>
          </w:p>
        </w:tc>
        <w:tc>
          <w:tcPr>
            <w:tcW w:w="4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572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881</w:t>
            </w:r>
          </w:p>
        </w:tc>
        <w:tc>
          <w:tcPr>
            <w:tcW w:w="3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836</w:t>
            </w:r>
          </w:p>
        </w:tc>
        <w:tc>
          <w:tcPr>
            <w:tcW w:w="3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813</w:t>
            </w:r>
          </w:p>
        </w:tc>
        <w:tc>
          <w:tcPr>
            <w:tcW w:w="3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572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operating (income) expense, net</w:t>
            </w:r>
          </w:p>
        </w:tc>
        <w:tc>
          <w:tcPr>
            <w:tcW w:w="180" w:type="dxa"/>
            <w:vAlign w:val="bottom"/>
            <w:tcBorders>
              <w:bottom w:val="single" w:sz="8" w:color="auto"/>
            </w:tcBorders>
            <w:shd w:val="clear" w:color="auto" w:fill="D1D2D4"/>
          </w:tcPr>
          <w:p>
            <w:pPr>
              <w:spacing w:after="0"/>
              <w:rPr>
                <w:sz w:val="22"/>
                <w:szCs w:val="22"/>
                <w:color w:val="auto"/>
              </w:rPr>
            </w:pPr>
          </w:p>
        </w:tc>
        <w:tc>
          <w:tcPr>
            <w:tcW w:w="7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68</w:t>
            </w:r>
          </w:p>
        </w:tc>
        <w:tc>
          <w:tcPr>
            <w:tcW w:w="300" w:type="dxa"/>
            <w:vAlign w:val="bottom"/>
            <w:shd w:val="clear" w:color="auto" w:fill="D1D2D4"/>
          </w:tcPr>
          <w:p>
            <w:pPr>
              <w:spacing w:after="0"/>
              <w:rPr>
                <w:sz w:val="22"/>
                <w:szCs w:val="22"/>
                <w:color w:val="auto"/>
              </w:rPr>
            </w:pPr>
          </w:p>
        </w:tc>
        <w:tc>
          <w:tcPr>
            <w:tcW w:w="4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D1D2D4"/>
          </w:tcPr>
          <w:p>
            <w:pPr>
              <w:spacing w:after="0"/>
              <w:rPr>
                <w:sz w:val="22"/>
                <w:szCs w:val="22"/>
                <w:color w:val="auto"/>
              </w:rPr>
            </w:pPr>
          </w:p>
        </w:tc>
        <w:tc>
          <w:tcPr>
            <w:tcW w:w="72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49</w:t>
            </w:r>
          </w:p>
        </w:tc>
        <w:tc>
          <w:tcPr>
            <w:tcW w:w="300" w:type="dxa"/>
            <w:vAlign w:val="bottom"/>
            <w:shd w:val="clear" w:color="auto" w:fill="D1D2D4"/>
          </w:tcPr>
          <w:p>
            <w:pPr>
              <w:spacing w:after="0"/>
              <w:rPr>
                <w:sz w:val="22"/>
                <w:szCs w:val="22"/>
                <w:color w:val="auto"/>
              </w:rPr>
            </w:pPr>
          </w:p>
        </w:tc>
        <w:tc>
          <w:tcPr>
            <w:tcW w:w="4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D1D2D4"/>
          </w:tcPr>
          <w:p>
            <w:pPr>
              <w:spacing w:after="0"/>
              <w:rPr>
                <w:sz w:val="22"/>
                <w:szCs w:val="22"/>
                <w:color w:val="auto"/>
              </w:rPr>
            </w:pPr>
          </w:p>
        </w:tc>
        <w:tc>
          <w:tcPr>
            <w:tcW w:w="7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(57)</w:t>
            </w:r>
          </w:p>
        </w:tc>
        <w:tc>
          <w:tcPr>
            <w:tcW w:w="300" w:type="dxa"/>
            <w:vAlign w:val="bottom"/>
            <w:shd w:val="clear" w:color="auto" w:fill="D1D2D4"/>
          </w:tcPr>
          <w:p>
            <w:pPr>
              <w:spacing w:after="0"/>
              <w:rPr>
                <w:sz w:val="22"/>
                <w:szCs w:val="22"/>
                <w:color w:val="auto"/>
              </w:rPr>
            </w:pPr>
          </w:p>
        </w:tc>
        <w:tc>
          <w:tcPr>
            <w:tcW w:w="64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 %</w:t>
            </w:r>
          </w:p>
        </w:tc>
      </w:tr>
      <w:tr>
        <w:trPr>
          <w:trHeight w:val="250"/>
        </w:trPr>
        <w:tc>
          <w:tcPr>
            <w:tcW w:w="5720" w:type="dxa"/>
            <w:vAlign w:val="bottom"/>
          </w:tcPr>
          <w:p>
            <w:pPr>
              <w:ind w:left="360"/>
              <w:spacing w:after="0"/>
              <w:rPr>
                <w:sz w:val="20"/>
                <w:szCs w:val="20"/>
                <w:color w:val="auto"/>
              </w:rPr>
            </w:pPr>
            <w:r>
              <w:rPr>
                <w:rFonts w:ascii="Arial" w:cs="Arial" w:eastAsia="Arial" w:hAnsi="Arial"/>
                <w:sz w:val="18"/>
                <w:szCs w:val="18"/>
                <w:color w:val="auto"/>
              </w:rPr>
              <w:t>Operating income</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3,003</w:t>
            </w:r>
          </w:p>
        </w:tc>
        <w:tc>
          <w:tcPr>
            <w:tcW w:w="3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7,376</w:t>
            </w:r>
          </w:p>
        </w:tc>
        <w:tc>
          <w:tcPr>
            <w:tcW w:w="3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14,994</w:t>
            </w:r>
          </w:p>
        </w:tc>
        <w:tc>
          <w:tcPr>
            <w:tcW w:w="3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5720" w:type="dxa"/>
            <w:vAlign w:val="bottom"/>
            <w:shd w:val="clear" w:color="auto" w:fill="D1D2D4"/>
          </w:tcPr>
          <w:p>
            <w:pPr>
              <w:spacing w:after="0"/>
              <w:rPr>
                <w:sz w:val="22"/>
                <w:szCs w:val="22"/>
                <w:color w:val="auto"/>
              </w:rPr>
            </w:pPr>
          </w:p>
        </w:tc>
        <w:tc>
          <w:tcPr>
            <w:tcW w:w="180" w:type="dxa"/>
            <w:vAlign w:val="bottom"/>
            <w:shd w:val="clear" w:color="auto" w:fill="D1D2D4"/>
          </w:tcPr>
          <w:p>
            <w:pPr>
              <w:spacing w:after="0"/>
              <w:rPr>
                <w:sz w:val="22"/>
                <w:szCs w:val="22"/>
                <w:color w:val="auto"/>
              </w:rPr>
            </w:pPr>
          </w:p>
        </w:tc>
        <w:tc>
          <w:tcPr>
            <w:tcW w:w="720" w:type="dxa"/>
            <w:vAlign w:val="bottom"/>
            <w:shd w:val="clear" w:color="auto" w:fill="D1D2D4"/>
          </w:tcPr>
          <w:p>
            <w:pPr>
              <w:spacing w:after="0"/>
              <w:rPr>
                <w:sz w:val="22"/>
                <w:szCs w:val="22"/>
                <w:color w:val="auto"/>
              </w:rPr>
            </w:pPr>
          </w:p>
        </w:tc>
        <w:tc>
          <w:tcPr>
            <w:tcW w:w="300" w:type="dxa"/>
            <w:vAlign w:val="bottom"/>
            <w:shd w:val="clear" w:color="auto" w:fill="D1D2D4"/>
          </w:tcPr>
          <w:p>
            <w:pPr>
              <w:spacing w:after="0"/>
              <w:rPr>
                <w:sz w:val="22"/>
                <w:szCs w:val="22"/>
                <w:color w:val="auto"/>
              </w:rPr>
            </w:pPr>
          </w:p>
        </w:tc>
        <w:tc>
          <w:tcPr>
            <w:tcW w:w="420" w:type="dxa"/>
            <w:vAlign w:val="bottom"/>
            <w:shd w:val="clear" w:color="auto" w:fill="D1D2D4"/>
          </w:tcPr>
          <w:p>
            <w:pPr>
              <w:spacing w:after="0"/>
              <w:rPr>
                <w:sz w:val="22"/>
                <w:szCs w:val="22"/>
                <w:color w:val="auto"/>
              </w:rPr>
            </w:pPr>
          </w:p>
        </w:tc>
        <w:tc>
          <w:tcPr>
            <w:tcW w:w="220" w:type="dxa"/>
            <w:vAlign w:val="bottom"/>
            <w:shd w:val="clear" w:color="auto" w:fill="D1D2D4"/>
          </w:tcPr>
          <w:p>
            <w:pPr>
              <w:spacing w:after="0"/>
              <w:rPr>
                <w:sz w:val="22"/>
                <w:szCs w:val="22"/>
                <w:color w:val="auto"/>
              </w:rPr>
            </w:pPr>
          </w:p>
        </w:tc>
        <w:tc>
          <w:tcPr>
            <w:tcW w:w="180" w:type="dxa"/>
            <w:vAlign w:val="bottom"/>
            <w:shd w:val="clear" w:color="auto" w:fill="D1D2D4"/>
          </w:tcPr>
          <w:p>
            <w:pPr>
              <w:spacing w:after="0"/>
              <w:rPr>
                <w:sz w:val="22"/>
                <w:szCs w:val="22"/>
                <w:color w:val="auto"/>
              </w:rPr>
            </w:pPr>
          </w:p>
        </w:tc>
        <w:tc>
          <w:tcPr>
            <w:tcW w:w="720" w:type="dxa"/>
            <w:vAlign w:val="bottom"/>
            <w:shd w:val="clear" w:color="auto" w:fill="D1D2D4"/>
          </w:tcPr>
          <w:p>
            <w:pPr>
              <w:spacing w:after="0"/>
              <w:rPr>
                <w:sz w:val="22"/>
                <w:szCs w:val="22"/>
                <w:color w:val="auto"/>
              </w:rPr>
            </w:pPr>
          </w:p>
        </w:tc>
        <w:tc>
          <w:tcPr>
            <w:tcW w:w="300" w:type="dxa"/>
            <w:vAlign w:val="bottom"/>
            <w:shd w:val="clear" w:color="auto" w:fill="D1D2D4"/>
          </w:tcPr>
          <w:p>
            <w:pPr>
              <w:spacing w:after="0"/>
              <w:rPr>
                <w:sz w:val="22"/>
                <w:szCs w:val="22"/>
                <w:color w:val="auto"/>
              </w:rPr>
            </w:pPr>
          </w:p>
        </w:tc>
        <w:tc>
          <w:tcPr>
            <w:tcW w:w="640" w:type="dxa"/>
            <w:vAlign w:val="bottom"/>
            <w:gridSpan w:val="2"/>
            <w:shd w:val="clear" w:color="auto" w:fill="D1D2D4"/>
          </w:tcPr>
          <w:p>
            <w:pPr>
              <w:spacing w:after="0"/>
              <w:rPr>
                <w:sz w:val="22"/>
                <w:szCs w:val="22"/>
                <w:color w:val="auto"/>
              </w:rPr>
            </w:pPr>
          </w:p>
        </w:tc>
        <w:tc>
          <w:tcPr>
            <w:tcW w:w="180" w:type="dxa"/>
            <w:vAlign w:val="bottom"/>
            <w:shd w:val="clear" w:color="auto" w:fill="D1D2D4"/>
          </w:tcPr>
          <w:p>
            <w:pPr>
              <w:spacing w:after="0"/>
              <w:rPr>
                <w:sz w:val="22"/>
                <w:szCs w:val="22"/>
                <w:color w:val="auto"/>
              </w:rPr>
            </w:pPr>
          </w:p>
        </w:tc>
        <w:tc>
          <w:tcPr>
            <w:tcW w:w="720" w:type="dxa"/>
            <w:vAlign w:val="bottom"/>
            <w:shd w:val="clear" w:color="auto" w:fill="D1D2D4"/>
          </w:tcPr>
          <w:p>
            <w:pPr>
              <w:spacing w:after="0"/>
              <w:rPr>
                <w:sz w:val="22"/>
                <w:szCs w:val="22"/>
                <w:color w:val="auto"/>
              </w:rPr>
            </w:pPr>
          </w:p>
        </w:tc>
        <w:tc>
          <w:tcPr>
            <w:tcW w:w="300" w:type="dxa"/>
            <w:vAlign w:val="bottom"/>
            <w:shd w:val="clear" w:color="auto" w:fill="D1D2D4"/>
          </w:tcPr>
          <w:p>
            <w:pPr>
              <w:spacing w:after="0"/>
              <w:rPr>
                <w:sz w:val="22"/>
                <w:szCs w:val="22"/>
                <w:color w:val="auto"/>
              </w:rPr>
            </w:pPr>
          </w:p>
        </w:tc>
        <w:tc>
          <w:tcPr>
            <w:tcW w:w="640" w:type="dxa"/>
            <w:vAlign w:val="bottom"/>
            <w:gridSpan w:val="2"/>
            <w:shd w:val="clear" w:color="auto" w:fill="D1D2D4"/>
          </w:tcPr>
          <w:p>
            <w:pPr>
              <w:spacing w:after="0"/>
              <w:rPr>
                <w:sz w:val="22"/>
                <w:szCs w:val="22"/>
                <w:color w:val="auto"/>
              </w:rPr>
            </w:pPr>
          </w:p>
        </w:tc>
      </w:tr>
      <w:tr>
        <w:trPr>
          <w:trHeight w:val="250"/>
        </w:trPr>
        <w:tc>
          <w:tcPr>
            <w:tcW w:w="5720" w:type="dxa"/>
            <w:vAlign w:val="bottom"/>
          </w:tcPr>
          <w:p>
            <w:pPr>
              <w:ind w:left="20"/>
              <w:spacing w:after="0"/>
              <w:rPr>
                <w:sz w:val="20"/>
                <w:szCs w:val="20"/>
                <w:color w:val="auto"/>
              </w:rPr>
            </w:pPr>
            <w:r>
              <w:rPr>
                <w:rFonts w:ascii="Arial" w:cs="Arial" w:eastAsia="Arial" w:hAnsi="Arial"/>
                <w:sz w:val="18"/>
                <w:szCs w:val="18"/>
                <w:color w:val="auto"/>
              </w:rPr>
              <w:t>Interest income (expense), net</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(80)</w:t>
            </w:r>
          </w:p>
        </w:tc>
        <w:tc>
          <w:tcPr>
            <w:tcW w:w="3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77</w:t>
            </w:r>
          </w:p>
        </w:tc>
        <w:tc>
          <w:tcPr>
            <w:tcW w:w="300" w:type="dxa"/>
            <w:vAlign w:val="bottom"/>
          </w:tcPr>
          <w:p>
            <w:pPr>
              <w:spacing w:after="0"/>
              <w:rPr>
                <w:sz w:val="21"/>
                <w:szCs w:val="21"/>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 %</w:t>
            </w:r>
          </w:p>
        </w:tc>
        <w:tc>
          <w:tcPr>
            <w:tcW w:w="720" w:type="dxa"/>
            <w:vAlign w:val="bottom"/>
          </w:tcPr>
          <w:p>
            <w:pPr>
              <w:jc w:val="right"/>
              <w:spacing w:after="0"/>
              <w:rPr>
                <w:sz w:val="20"/>
                <w:szCs w:val="20"/>
                <w:color w:val="auto"/>
              </w:rPr>
            </w:pPr>
            <w:r>
              <w:rPr>
                <w:rFonts w:ascii="Arial" w:cs="Arial" w:eastAsia="Arial" w:hAnsi="Arial"/>
                <w:sz w:val="18"/>
                <w:szCs w:val="18"/>
                <w:color w:val="auto"/>
              </w:rPr>
              <w:t>(222)</w:t>
            </w:r>
          </w:p>
        </w:tc>
        <w:tc>
          <w:tcPr>
            <w:tcW w:w="30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63"/>
        </w:trPr>
        <w:tc>
          <w:tcPr>
            <w:tcW w:w="572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non-operating income (expense), net</w:t>
            </w:r>
          </w:p>
        </w:tc>
        <w:tc>
          <w:tcPr>
            <w:tcW w:w="180" w:type="dxa"/>
            <w:vAlign w:val="bottom"/>
            <w:shd w:val="clear" w:color="auto" w:fill="D1D2D4"/>
          </w:tcPr>
          <w:p>
            <w:pPr>
              <w:spacing w:after="0"/>
              <w:rPr>
                <w:sz w:val="22"/>
                <w:szCs w:val="22"/>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60</w:t>
            </w:r>
          </w:p>
        </w:tc>
        <w:tc>
          <w:tcPr>
            <w:tcW w:w="300" w:type="dxa"/>
            <w:vAlign w:val="bottom"/>
            <w:shd w:val="clear" w:color="auto" w:fill="D1D2D4"/>
          </w:tcPr>
          <w:p>
            <w:pPr>
              <w:spacing w:after="0"/>
              <w:rPr>
                <w:sz w:val="22"/>
                <w:szCs w:val="22"/>
                <w:color w:val="auto"/>
              </w:rPr>
            </w:pPr>
          </w:p>
        </w:tc>
        <w:tc>
          <w:tcPr>
            <w:tcW w:w="820" w:type="dxa"/>
            <w:vAlign w:val="bottom"/>
            <w:gridSpan w:val="3"/>
            <w:shd w:val="clear" w:color="auto" w:fill="D1D2D4"/>
          </w:tcPr>
          <w:p>
            <w:pPr>
              <w:jc w:val="right"/>
              <w:ind w:right="200"/>
              <w:spacing w:after="0"/>
              <w:rPr>
                <w:sz w:val="20"/>
                <w:szCs w:val="20"/>
                <w:color w:val="auto"/>
              </w:rPr>
            </w:pPr>
            <w:r>
              <w:rPr>
                <w:rFonts w:ascii="Arial" w:cs="Arial" w:eastAsia="Arial" w:hAnsi="Arial"/>
                <w:sz w:val="18"/>
                <w:szCs w:val="18"/>
                <w:color w:val="auto"/>
              </w:rPr>
              <w:t>— %</w:t>
            </w: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(405)</w:t>
            </w:r>
          </w:p>
        </w:tc>
        <w:tc>
          <w:tcPr>
            <w:tcW w:w="300" w:type="dxa"/>
            <w:vAlign w:val="bottom"/>
            <w:shd w:val="clear" w:color="auto" w:fill="D1D2D4"/>
          </w:tcPr>
          <w:p>
            <w:pPr>
              <w:spacing w:after="0"/>
              <w:rPr>
                <w:sz w:val="22"/>
                <w:szCs w:val="22"/>
                <w:color w:val="auto"/>
              </w:rPr>
            </w:pPr>
          </w:p>
        </w:tc>
        <w:tc>
          <w:tcPr>
            <w:tcW w:w="64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D1D2D4"/>
          </w:tcPr>
          <w:p>
            <w:pPr>
              <w:spacing w:after="0"/>
              <w:rPr>
                <w:sz w:val="22"/>
                <w:szCs w:val="22"/>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(465)</w:t>
            </w:r>
          </w:p>
        </w:tc>
        <w:tc>
          <w:tcPr>
            <w:tcW w:w="300" w:type="dxa"/>
            <w:vAlign w:val="bottom"/>
            <w:shd w:val="clear" w:color="auto" w:fill="D1D2D4"/>
          </w:tcPr>
          <w:p>
            <w:pPr>
              <w:spacing w:after="0"/>
              <w:rPr>
                <w:sz w:val="22"/>
                <w:szCs w:val="22"/>
                <w:color w:val="auto"/>
              </w:rPr>
            </w:pPr>
          </w:p>
        </w:tc>
        <w:tc>
          <w:tcPr>
            <w:tcW w:w="64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(2)%</w:t>
            </w:r>
          </w:p>
        </w:tc>
      </w:tr>
      <w:tr>
        <w:trPr>
          <w:trHeight w:val="257"/>
        </w:trPr>
        <w:tc>
          <w:tcPr>
            <w:tcW w:w="5720" w:type="dxa"/>
            <w:vAlign w:val="bottom"/>
          </w:tcPr>
          <w:p>
            <w:pPr>
              <w:ind w:left="20"/>
              <w:spacing w:after="0"/>
              <w:rPr>
                <w:sz w:val="20"/>
                <w:szCs w:val="20"/>
                <w:color w:val="auto"/>
              </w:rPr>
            </w:pPr>
            <w:r>
              <w:rPr>
                <w:rFonts w:ascii="Arial" w:cs="Arial" w:eastAsia="Arial" w:hAnsi="Arial"/>
                <w:sz w:val="18"/>
                <w:szCs w:val="18"/>
                <w:color w:val="auto"/>
              </w:rPr>
              <w:t>Income tax (provision) benefit</w:t>
            </w: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(280)</w:t>
            </w:r>
          </w:p>
        </w:tc>
        <w:tc>
          <w:tcPr>
            <w:tcW w:w="300" w:type="dxa"/>
            <w:vAlign w:val="bottom"/>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(693)</w:t>
            </w:r>
          </w:p>
        </w:tc>
        <w:tc>
          <w:tcPr>
            <w:tcW w:w="300" w:type="dxa"/>
            <w:vAlign w:val="bottom"/>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(168)</w:t>
            </w:r>
          </w:p>
        </w:tc>
        <w:tc>
          <w:tcPr>
            <w:tcW w:w="300" w:type="dxa"/>
            <w:vAlign w:val="bottom"/>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57"/>
        </w:trPr>
        <w:tc>
          <w:tcPr>
            <w:tcW w:w="5720" w:type="dxa"/>
            <w:vAlign w:val="bottom"/>
            <w:shd w:val="clear" w:color="auto" w:fill="D1D2D4"/>
          </w:tcPr>
          <w:p>
            <w:pPr>
              <w:ind w:left="20"/>
              <w:spacing w:after="0"/>
              <w:rPr>
                <w:sz w:val="20"/>
                <w:szCs w:val="20"/>
                <w:color w:val="auto"/>
              </w:rPr>
            </w:pPr>
            <w:r>
              <w:rPr>
                <w:rFonts w:ascii="Arial" w:cs="Arial" w:eastAsia="Arial" w:hAnsi="Arial"/>
                <w:sz w:val="18"/>
                <w:szCs w:val="18"/>
                <w:color w:val="auto"/>
              </w:rPr>
              <w:t>Equity in net income (loss) of equity method investees</w:t>
            </w:r>
          </w:p>
        </w:tc>
        <w:tc>
          <w:tcPr>
            <w:tcW w:w="180" w:type="dxa"/>
            <w:vAlign w:val="bottom"/>
            <w:shd w:val="clear" w:color="auto" w:fill="D1D2D4"/>
          </w:tcPr>
          <w:p>
            <w:pPr>
              <w:spacing w:after="0"/>
              <w:rPr>
                <w:sz w:val="22"/>
                <w:szCs w:val="22"/>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w:t>
            </w:r>
          </w:p>
        </w:tc>
        <w:tc>
          <w:tcPr>
            <w:tcW w:w="300" w:type="dxa"/>
            <w:vAlign w:val="bottom"/>
            <w:shd w:val="clear" w:color="auto" w:fill="D1D2D4"/>
          </w:tcPr>
          <w:p>
            <w:pPr>
              <w:spacing w:after="0"/>
              <w:rPr>
                <w:sz w:val="22"/>
                <w:szCs w:val="22"/>
                <w:color w:val="auto"/>
              </w:rPr>
            </w:pPr>
          </w:p>
        </w:tc>
        <w:tc>
          <w:tcPr>
            <w:tcW w:w="820" w:type="dxa"/>
            <w:vAlign w:val="bottom"/>
            <w:gridSpan w:val="3"/>
            <w:shd w:val="clear" w:color="auto" w:fill="D1D2D4"/>
          </w:tcPr>
          <w:p>
            <w:pPr>
              <w:jc w:val="right"/>
              <w:ind w:right="200"/>
              <w:spacing w:after="0"/>
              <w:rPr>
                <w:sz w:val="20"/>
                <w:szCs w:val="20"/>
                <w:color w:val="auto"/>
              </w:rPr>
            </w:pPr>
            <w:r>
              <w:rPr>
                <w:rFonts w:ascii="Arial" w:cs="Arial" w:eastAsia="Arial" w:hAnsi="Arial"/>
                <w:sz w:val="18"/>
                <w:szCs w:val="18"/>
                <w:color w:val="auto"/>
              </w:rPr>
              <w:t>— %</w:t>
            </w:r>
          </w:p>
        </w:tc>
        <w:tc>
          <w:tcPr>
            <w:tcW w:w="7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3</w:t>
            </w:r>
          </w:p>
        </w:tc>
        <w:tc>
          <w:tcPr>
            <w:tcW w:w="300" w:type="dxa"/>
            <w:vAlign w:val="bottom"/>
            <w:shd w:val="clear" w:color="auto" w:fill="D1D2D4"/>
          </w:tcPr>
          <w:p>
            <w:pPr>
              <w:spacing w:after="0"/>
              <w:rPr>
                <w:sz w:val="22"/>
                <w:szCs w:val="22"/>
                <w:color w:val="auto"/>
              </w:rPr>
            </w:pPr>
          </w:p>
        </w:tc>
        <w:tc>
          <w:tcPr>
            <w:tcW w:w="820" w:type="dxa"/>
            <w:vAlign w:val="bottom"/>
            <w:gridSpan w:val="3"/>
            <w:shd w:val="clear" w:color="auto" w:fill="D1D2D4"/>
          </w:tcPr>
          <w:p>
            <w:pPr>
              <w:jc w:val="right"/>
              <w:ind w:right="200"/>
              <w:spacing w:after="0"/>
              <w:rPr>
                <w:sz w:val="20"/>
                <w:szCs w:val="20"/>
                <w:color w:val="auto"/>
              </w:rPr>
            </w:pPr>
            <w:r>
              <w:rPr>
                <w:rFonts w:ascii="Arial" w:cs="Arial" w:eastAsia="Arial" w:hAnsi="Arial"/>
                <w:sz w:val="18"/>
                <w:szCs w:val="18"/>
                <w:color w:val="auto"/>
              </w:rPr>
              <w:t>— %</w:t>
            </w: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D1D2D4"/>
          </w:tcPr>
          <w:p>
            <w:pPr>
              <w:spacing w:after="0"/>
              <w:rPr>
                <w:sz w:val="22"/>
                <w:szCs w:val="22"/>
                <w:color w:val="auto"/>
              </w:rPr>
            </w:pPr>
          </w:p>
        </w:tc>
        <w:tc>
          <w:tcPr>
            <w:tcW w:w="64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 %</w:t>
            </w:r>
          </w:p>
        </w:tc>
      </w:tr>
      <w:tr>
        <w:trPr>
          <w:trHeight w:val="257"/>
        </w:trPr>
        <w:tc>
          <w:tcPr>
            <w:tcW w:w="572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300" w:type="dxa"/>
            <w:vAlign w:val="bottom"/>
            <w:tcBorders>
              <w:bottom w:val="single" w:sz="8" w:color="D1D2D4"/>
            </w:tcBorders>
          </w:tcPr>
          <w:p>
            <w:pPr>
              <w:spacing w:after="0"/>
              <w:rPr>
                <w:sz w:val="22"/>
                <w:szCs w:val="22"/>
                <w:color w:val="auto"/>
              </w:rPr>
            </w:pPr>
          </w:p>
        </w:tc>
        <w:tc>
          <w:tcPr>
            <w:tcW w:w="640" w:type="dxa"/>
            <w:vAlign w:val="bottom"/>
            <w:tcBorders>
              <w:bottom w:val="single" w:sz="8" w:color="D1D2D4"/>
            </w:tcBorders>
            <w:gridSpan w:val="2"/>
          </w:tcPr>
          <w:p>
            <w:pPr>
              <w:jc w:val="right"/>
              <w:spacing w:after="0"/>
              <w:rPr>
                <w:sz w:val="20"/>
                <w:szCs w:val="20"/>
                <w:color w:val="auto"/>
              </w:rPr>
            </w:pPr>
            <w:r>
              <w:rPr>
                <w:rFonts w:ascii="Arial" w:cs="Arial" w:eastAsia="Arial" w:hAnsi="Arial"/>
                <w:sz w:val="18"/>
                <w:szCs w:val="18"/>
                <w:color w:val="auto"/>
              </w:rPr>
              <w:t>— %</w:t>
            </w: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300" w:type="dxa"/>
            <w:vAlign w:val="bottom"/>
            <w:tcBorders>
              <w:bottom w:val="single" w:sz="8" w:color="D1D2D4"/>
            </w:tcBorders>
          </w:tcPr>
          <w:p>
            <w:pPr>
              <w:spacing w:after="0"/>
              <w:rPr>
                <w:sz w:val="22"/>
                <w:szCs w:val="22"/>
                <w:color w:val="auto"/>
              </w:rPr>
            </w:pPr>
          </w:p>
        </w:tc>
        <w:tc>
          <w:tcPr>
            <w:tcW w:w="640" w:type="dxa"/>
            <w:vAlign w:val="bottom"/>
            <w:tcBorders>
              <w:bottom w:val="single" w:sz="8" w:color="D1D2D4"/>
            </w:tcBorders>
            <w:gridSpan w:val="2"/>
          </w:tcPr>
          <w:p>
            <w:pPr>
              <w:jc w:val="right"/>
              <w:spacing w:after="0"/>
              <w:rPr>
                <w:sz w:val="20"/>
                <w:szCs w:val="20"/>
                <w:color w:val="auto"/>
              </w:rPr>
            </w:pPr>
            <w:r>
              <w:rPr>
                <w:rFonts w:ascii="Arial" w:cs="Arial" w:eastAsia="Arial" w:hAnsi="Arial"/>
                <w:sz w:val="18"/>
                <w:szCs w:val="18"/>
                <w:color w:val="auto"/>
              </w:rPr>
              <w:t>— %</w:t>
            </w: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300" w:type="dxa"/>
            <w:vAlign w:val="bottom"/>
            <w:tcBorders>
              <w:bottom w:val="single" w:sz="8" w:color="D1D2D4"/>
            </w:tcBorders>
          </w:tcPr>
          <w:p>
            <w:pPr>
              <w:spacing w:after="0"/>
              <w:rPr>
                <w:sz w:val="22"/>
                <w:szCs w:val="22"/>
                <w:color w:val="auto"/>
              </w:rPr>
            </w:pPr>
          </w:p>
        </w:tc>
        <w:tc>
          <w:tcPr>
            <w:tcW w:w="640" w:type="dxa"/>
            <w:vAlign w:val="bottom"/>
            <w:tcBorders>
              <w:bottom w:val="single" w:sz="8" w:color="D1D2D4"/>
            </w:tcBorders>
            <w:gridSpan w:val="2"/>
          </w:tcPr>
          <w:p>
            <w:pPr>
              <w:jc w:val="right"/>
              <w:spacing w:after="0"/>
              <w:rPr>
                <w:sz w:val="20"/>
                <w:szCs w:val="20"/>
                <w:color w:val="auto"/>
              </w:rPr>
            </w:pPr>
            <w:r>
              <w:rPr>
                <w:rFonts w:ascii="Arial" w:cs="Arial" w:eastAsia="Arial" w:hAnsi="Arial"/>
                <w:sz w:val="18"/>
                <w:szCs w:val="18"/>
                <w:color w:val="auto"/>
              </w:rPr>
              <w:t>— %</w:t>
            </w:r>
          </w:p>
        </w:tc>
      </w:tr>
      <w:tr>
        <w:trPr>
          <w:trHeight w:val="270"/>
        </w:trPr>
        <w:tc>
          <w:tcPr>
            <w:tcW w:w="5720" w:type="dxa"/>
            <w:vAlign w:val="bottom"/>
            <w:shd w:val="clear" w:color="auto" w:fill="D1D2D4"/>
          </w:tcPr>
          <w:p>
            <w:pPr>
              <w:ind w:left="360"/>
              <w:spacing w:after="0"/>
              <w:rPr>
                <w:sz w:val="20"/>
                <w:szCs w:val="20"/>
                <w:color w:val="auto"/>
              </w:rPr>
            </w:pPr>
            <w:r>
              <w:rPr>
                <w:rFonts w:ascii="Arial" w:cs="Arial" w:eastAsia="Arial" w:hAnsi="Arial"/>
                <w:sz w:val="18"/>
                <w:szCs w:val="18"/>
                <w:color w:val="auto"/>
              </w:rPr>
              <w:t>Net income attributable to Micron</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2,687</w:t>
            </w:r>
          </w:p>
        </w:tc>
        <w:tc>
          <w:tcPr>
            <w:tcW w:w="300" w:type="dxa"/>
            <w:vAlign w:val="bottom"/>
            <w:shd w:val="clear" w:color="auto" w:fill="D1D2D4"/>
          </w:tcPr>
          <w:p>
            <w:pPr>
              <w:spacing w:after="0"/>
              <w:rPr>
                <w:sz w:val="23"/>
                <w:szCs w:val="23"/>
                <w:color w:val="auto"/>
              </w:rPr>
            </w:pPr>
          </w:p>
        </w:tc>
        <w:tc>
          <w:tcPr>
            <w:tcW w:w="4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w:t>
            </w:r>
          </w:p>
        </w:tc>
        <w:tc>
          <w:tcPr>
            <w:tcW w:w="400" w:type="dxa"/>
            <w:vAlign w:val="bottom"/>
            <w:gridSpan w:val="2"/>
            <w:shd w:val="clear" w:color="auto" w:fill="D1D2D4"/>
          </w:tcPr>
          <w:p>
            <w:pPr>
              <w:jc w:val="right"/>
              <w:ind w:right="60"/>
              <w:spacing w:after="0"/>
              <w:rPr>
                <w:sz w:val="20"/>
                <w:szCs w:val="20"/>
                <w:color w:val="auto"/>
              </w:rPr>
            </w:pPr>
            <w:r>
              <w:rPr>
                <w:rFonts w:ascii="Arial" w:cs="Arial" w:eastAsia="Arial" w:hAnsi="Arial"/>
                <w:sz w:val="18"/>
                <w:szCs w:val="18"/>
                <w:color w:val="auto"/>
              </w:rPr>
              <w:t>% $</w:t>
            </w:r>
          </w:p>
        </w:tc>
        <w:tc>
          <w:tcPr>
            <w:tcW w:w="7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6,313</w:t>
            </w:r>
          </w:p>
        </w:tc>
        <w:tc>
          <w:tcPr>
            <w:tcW w:w="300" w:type="dxa"/>
            <w:vAlign w:val="bottom"/>
            <w:shd w:val="clear" w:color="auto" w:fill="D1D2D4"/>
          </w:tcPr>
          <w:p>
            <w:pPr>
              <w:spacing w:after="0"/>
              <w:rPr>
                <w:sz w:val="23"/>
                <w:szCs w:val="23"/>
                <w:color w:val="auto"/>
              </w:rPr>
            </w:pPr>
          </w:p>
        </w:tc>
        <w:tc>
          <w:tcPr>
            <w:tcW w:w="4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w:t>
            </w:r>
          </w:p>
        </w:tc>
        <w:tc>
          <w:tcPr>
            <w:tcW w:w="400" w:type="dxa"/>
            <w:vAlign w:val="bottom"/>
            <w:gridSpan w:val="2"/>
            <w:shd w:val="clear" w:color="auto" w:fill="D1D2D4"/>
          </w:tcPr>
          <w:p>
            <w:pPr>
              <w:jc w:val="right"/>
              <w:ind w:right="80"/>
              <w:spacing w:after="0"/>
              <w:rPr>
                <w:sz w:val="20"/>
                <w:szCs w:val="20"/>
                <w:color w:val="auto"/>
              </w:rPr>
            </w:pPr>
            <w:r>
              <w:rPr>
                <w:rFonts w:ascii="Arial" w:cs="Arial" w:eastAsia="Arial" w:hAnsi="Arial"/>
                <w:sz w:val="18"/>
                <w:szCs w:val="18"/>
                <w:color w:val="auto"/>
                <w:w w:val="96"/>
              </w:rPr>
              <w:t>% $</w:t>
            </w: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14,135</w:t>
            </w:r>
          </w:p>
        </w:tc>
        <w:tc>
          <w:tcPr>
            <w:tcW w:w="300" w:type="dxa"/>
            <w:vAlign w:val="bottom"/>
            <w:shd w:val="clear" w:color="auto" w:fill="D1D2D4"/>
          </w:tcPr>
          <w:p>
            <w:pPr>
              <w:spacing w:after="0"/>
              <w:rPr>
                <w:sz w:val="23"/>
                <w:szCs w:val="23"/>
                <w:color w:val="auto"/>
              </w:rPr>
            </w:pPr>
          </w:p>
        </w:tc>
        <w:tc>
          <w:tcPr>
            <w:tcW w:w="4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47</w:t>
            </w:r>
          </w:p>
        </w:tc>
        <w:tc>
          <w:tcPr>
            <w:tcW w:w="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720" w:type="dxa"/>
            <w:vAlign w:val="bottom"/>
            <w:tcBorders>
              <w:top w:val="single" w:sz="8" w:color="D1D2D4"/>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D1D2D4"/>
            </w:tcBorders>
          </w:tcPr>
          <w:p>
            <w:pPr>
              <w:spacing w:after="0" w:line="20" w:lineRule="exact"/>
              <w:rPr>
                <w:sz w:val="1"/>
                <w:szCs w:val="1"/>
                <w:color w:val="auto"/>
              </w:rPr>
            </w:pPr>
          </w:p>
        </w:tc>
        <w:tc>
          <w:tcPr>
            <w:tcW w:w="420" w:type="dxa"/>
            <w:vAlign w:val="bottom"/>
            <w:tcBorders>
              <w:top w:val="single" w:sz="8" w:color="D1D2D4"/>
            </w:tcBorders>
          </w:tcPr>
          <w:p>
            <w:pPr>
              <w:spacing w:after="0" w:line="20" w:lineRule="exact"/>
              <w:rPr>
                <w:sz w:val="1"/>
                <w:szCs w:val="1"/>
                <w:color w:val="auto"/>
              </w:rPr>
            </w:pPr>
          </w:p>
        </w:tc>
        <w:tc>
          <w:tcPr>
            <w:tcW w:w="220" w:type="dxa"/>
            <w:vAlign w:val="bottom"/>
            <w:tcBorders>
              <w:top w:val="single" w:sz="8" w:color="D1D2D4"/>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D1D2D4"/>
            </w:tcBorders>
          </w:tcPr>
          <w:p>
            <w:pPr>
              <w:spacing w:after="0" w:line="20" w:lineRule="exact"/>
              <w:rPr>
                <w:sz w:val="1"/>
                <w:szCs w:val="1"/>
                <w:color w:val="auto"/>
              </w:rPr>
            </w:pPr>
          </w:p>
        </w:tc>
        <w:tc>
          <w:tcPr>
            <w:tcW w:w="420" w:type="dxa"/>
            <w:vAlign w:val="bottom"/>
            <w:tcBorders>
              <w:top w:val="single" w:sz="8" w:color="D1D2D4"/>
            </w:tcBorders>
          </w:tcPr>
          <w:p>
            <w:pPr>
              <w:spacing w:after="0" w:line="20" w:lineRule="exact"/>
              <w:rPr>
                <w:sz w:val="1"/>
                <w:szCs w:val="1"/>
                <w:color w:val="auto"/>
              </w:rPr>
            </w:pPr>
          </w:p>
        </w:tc>
        <w:tc>
          <w:tcPr>
            <w:tcW w:w="220" w:type="dxa"/>
            <w:vAlign w:val="bottom"/>
            <w:tcBorders>
              <w:top w:val="single" w:sz="8" w:color="D1D2D4"/>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D1D2D4"/>
            </w:tcBorders>
          </w:tcPr>
          <w:p>
            <w:pPr>
              <w:spacing w:after="0" w:line="20" w:lineRule="exact"/>
              <w:rPr>
                <w:sz w:val="1"/>
                <w:szCs w:val="1"/>
                <w:color w:val="auto"/>
              </w:rPr>
            </w:pPr>
          </w:p>
        </w:tc>
        <w:tc>
          <w:tcPr>
            <w:tcW w:w="420" w:type="dxa"/>
            <w:vAlign w:val="bottom"/>
            <w:tcBorders>
              <w:top w:val="single" w:sz="8" w:color="D1D2D4"/>
            </w:tcBorders>
          </w:tcPr>
          <w:p>
            <w:pPr>
              <w:spacing w:after="0" w:line="20" w:lineRule="exact"/>
              <w:rPr>
                <w:sz w:val="1"/>
                <w:szCs w:val="1"/>
                <w:color w:val="auto"/>
              </w:rPr>
            </w:pPr>
          </w:p>
        </w:tc>
        <w:tc>
          <w:tcPr>
            <w:tcW w:w="220" w:type="dxa"/>
            <w:vAlign w:val="bottom"/>
            <w:tcBorders>
              <w:top w:val="single" w:sz="8" w:color="D1D2D4"/>
            </w:tcBorders>
          </w:tcPr>
          <w:p>
            <w:pPr>
              <w:spacing w:after="0" w:line="20" w:lineRule="exact"/>
              <w:rPr>
                <w:sz w:val="1"/>
                <w:szCs w:val="1"/>
                <w:color w:val="auto"/>
              </w:rPr>
            </w:pPr>
          </w:p>
        </w:tc>
      </w:tr>
    </w:tbl>
    <w:p>
      <w:pPr>
        <w:spacing w:after="0" w:line="32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b w:val="1"/>
          <w:bCs w:val="1"/>
          <w:i w:val="1"/>
          <w:iCs w:val="1"/>
          <w:color w:val="auto"/>
        </w:rPr>
        <w:t>Total Revenue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Total revenue for 2020 decreased 8% as compared to 2019 primarily due to a decline in DRAM sales partially offset by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in NAND sales. Sales of DRAM products for 2020 decreased 14% as compared to 2019 as average selling prices declined in the mid-30% range due to challenging market conditions, partially offset by growth in bit shipments in the low-30% range driven by cloud server, enterprise server, and mobile markets. Sales of NAND products for 2020 increased 14% as compared to 2019 primarily due to increases in bit shipments in the mid-20% range driven by sales of SSDs to data center customers and sales of managed NAND products, partially offset by a high-single digit percent decline in average selling prices.</w:t>
      </w:r>
    </w:p>
    <w:p>
      <w:pPr>
        <w:spacing w:after="0" w:line="23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U.S. Bureau of Industry and Security (“BIS”) enacted broad trade restrictions with respect to Huawei (which represented approximately 10% of our revenue in the fourth quarter of 2020 and 12% in 2019) that took effect on September 15, 2020 and currently prevent us from shipping products to Huawei. We cannot predict the duration these restrictions will remain in place and whether the BIS will grant us licenses to ship products to Huawei. We may not be able to replace the lost revenue opportunities associated with such restrictions.</w:t>
      </w:r>
    </w:p>
    <w:p>
      <w:pPr>
        <w:spacing w:after="0" w:line="23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Total revenue for 2019 decreased 23% as compared to 2018 primarily due to pricing declines resulting from the challenging memory market environment in 2019. Sales of DRAM products for 2019 decreased 28% as compared to 2018 primarily due to declines in average selling prices of approximately 30% resulting from supply and demand imbalances, customer inventory corrections, and CPU shortages. Sales of NAND products for 2019 decreased 12% as compared to 2018 primarily due to declines in average selling prices in the mid-40% range resulting from supply and demand imbalances, which were partially offset by significant increases in sales volumes. In addition, demand for our NAND products was adversely affected by the transition from SATA SSDs to NVMe SSDs. The higher NAND sales volumes in 2019 were driven by increases in sales of high-value mobile managed NAND products as well as discrete NAND products enabled by our execution in ramping 64- and 96-layer TLC 3D NAND.</w:t>
      </w:r>
    </w:p>
    <w:p>
      <w:pPr>
        <w:spacing w:after="0" w:line="21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b w:val="1"/>
          <w:bCs w:val="1"/>
          <w:i w:val="1"/>
          <w:iCs w:val="1"/>
          <w:color w:val="auto"/>
        </w:rPr>
        <w:t>Overall Gross Margin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overall gross margin percentage decreased to 31% for 2020 from 46% for 2019, primarily due to declines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average selling prices, partially offset by the effect of decreases in non-cash depreciation expense from the revision in estimated useful lives of equipment in our NAND wafer fabrication facilities described below, cost reductions resulting from strong execution in delivering products featuring advanced technologies, and continuous improvement initiatives to reduce production costs. Our gross margins included the impact of underutilization costs at MTU of $557 million for 2020, $384 million for 2019, and $262 million for 2018. We expect underutilization costs at MTU to gradually decline through 2021 as we redeploy equipment and continue to right-size our capacity.</w:t>
      </w:r>
    </w:p>
    <w:p>
      <w:pPr>
        <w:spacing w:after="0" w:line="200" w:lineRule="exact"/>
        <w:rPr>
          <w:sz w:val="20"/>
          <w:szCs w:val="20"/>
          <w:color w:val="auto"/>
        </w:rPr>
      </w:pPr>
    </w:p>
    <w:p>
      <w:pPr>
        <w:spacing w:after="0" w:line="275" w:lineRule="exact"/>
        <w:rPr>
          <w:sz w:val="20"/>
          <w:szCs w:val="20"/>
          <w:color w:val="auto"/>
        </w:rPr>
      </w:pPr>
    </w:p>
    <w:p>
      <w:pPr>
        <w:jc w:val="right"/>
        <w:spacing w:after="0"/>
        <w:rPr>
          <w:sz w:val="20"/>
          <w:szCs w:val="20"/>
          <w:color w:val="auto"/>
        </w:rPr>
      </w:pPr>
      <w:r>
        <w:rPr>
          <w:sz w:val="1"/>
          <w:szCs w:val="1"/>
          <w:color w:val="auto"/>
        </w:rPr>
        <w:drawing>
          <wp:inline distT="0" distB="0" distL="0" distR="0">
            <wp:extent cx="608330" cy="171450"/>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8330" cy="171450"/>
                    </a:xfrm>
                    <a:prstGeom prst="rect">
                      <a:avLst/>
                    </a:prstGeom>
                    <a:noFill/>
                    <a:ln>
                      <a:noFill/>
                    </a:ln>
                  </pic:spPr>
                </pic:pic>
              </a:graphicData>
            </a:graphic>
          </wp:inline>
        </w:drawing>
      </w:r>
      <w:r>
        <w:rPr>
          <w:rFonts w:ascii="Arial" w:cs="Arial" w:eastAsia="Arial" w:hAnsi="Arial"/>
          <w:sz w:val="18"/>
          <w:szCs w:val="18"/>
          <w:color w:val="auto"/>
        </w:rPr>
        <w:t xml:space="preserv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bookmarkStart w:id="39" w:name="page40"/>
    <w:bookmarkEnd w:id="39"/>
    <w:p>
      <w:pPr>
        <w:ind w:right="40"/>
        <w:spacing w:after="0" w:line="256" w:lineRule="auto"/>
        <w:rPr>
          <w:sz w:val="20"/>
          <w:szCs w:val="20"/>
          <w:color w:val="auto"/>
        </w:rPr>
      </w:pPr>
      <w:r>
        <w:rPr>
          <w:rFonts w:ascii="Arial" w:cs="Arial" w:eastAsia="Arial" w:hAnsi="Arial"/>
          <w:sz w:val="18"/>
          <w:szCs w:val="18"/>
          <w:color w:val="auto"/>
        </w:rPr>
        <w:t>Our overall gross margin percentage decreased to 46% for 2019 from 59% for 2018 primarily due to declines in average selling prices partially offset by cost reductions resulting from strong execution in delivering products featuring advanced technologies and from continuous improvement initiatives to reduce production costs.</w:t>
      </w:r>
    </w:p>
    <w:p>
      <w:pPr>
        <w:spacing w:after="0" w:line="22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periodically assess the estimated useful lives of our property, plant, and equipment. Based on our assessment of planned technology node transitions, capital spending, and re -use rates, we revised the estimated useful lives of the existing equipment in our NAND wafer fabrication facilities and our research and development facilities from five years to seven years as of the beginning of the first quarter of 2020. The revision in estimated useful lives reduced NAND manufacturing depreciation expense by approximately $565 million in 2020, of which approximately $165 million remained capitalized in inventory as of the end of 2020. Adjusting for the effect of the reduced amount of depreciation expense remaining in inventory, the revision in estimated useful lives benefited cost of goods sold by approximately $400 million for 2020.</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Revenue by Business Unit</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72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For the year ended</w:t>
            </w:r>
          </w:p>
        </w:tc>
        <w:tc>
          <w:tcPr>
            <w:tcW w:w="200" w:type="dxa"/>
            <w:vAlign w:val="bottom"/>
            <w:tcBorders>
              <w:bottom w:val="single" w:sz="8" w:color="0090DA"/>
            </w:tcBorders>
          </w:tcPr>
          <w:p>
            <w:pPr>
              <w:spacing w:after="0"/>
              <w:rPr>
                <w:sz w:val="21"/>
                <w:szCs w:val="21"/>
                <w:color w:val="auto"/>
              </w:rPr>
            </w:pPr>
          </w:p>
        </w:tc>
        <w:tc>
          <w:tcPr>
            <w:tcW w:w="1040" w:type="dxa"/>
            <w:vAlign w:val="bottom"/>
            <w:tcBorders>
              <w:bottom w:val="single" w:sz="8" w:color="0090DA"/>
            </w:tcBorders>
            <w:gridSpan w:val="2"/>
          </w:tcPr>
          <w:p>
            <w:pPr>
              <w:jc w:val="right"/>
              <w:ind w:right="120"/>
              <w:spacing w:after="0"/>
              <w:rPr>
                <w:sz w:val="20"/>
                <w:szCs w:val="20"/>
                <w:color w:val="auto"/>
              </w:rPr>
            </w:pPr>
            <w:r>
              <w:rPr>
                <w:rFonts w:ascii="Arial" w:cs="Arial" w:eastAsia="Arial" w:hAnsi="Arial"/>
                <w:sz w:val="18"/>
                <w:szCs w:val="18"/>
                <w:b w:val="1"/>
                <w:bCs w:val="1"/>
                <w:color w:val="auto"/>
              </w:rPr>
              <w:t>2020</w:t>
            </w:r>
          </w:p>
        </w:tc>
        <w:tc>
          <w:tcPr>
            <w:tcW w:w="600" w:type="dxa"/>
            <w:vAlign w:val="bottom"/>
            <w:tcBorders>
              <w:bottom w:val="single" w:sz="8" w:color="0090DA"/>
            </w:tcBorders>
          </w:tcPr>
          <w:p>
            <w:pPr>
              <w:spacing w:after="0"/>
              <w:rPr>
                <w:sz w:val="21"/>
                <w:szCs w:val="21"/>
                <w:color w:val="auto"/>
              </w:rPr>
            </w:pPr>
          </w:p>
        </w:tc>
        <w:tc>
          <w:tcPr>
            <w:tcW w:w="200" w:type="dxa"/>
            <w:vAlign w:val="bottom"/>
            <w:tcBorders>
              <w:bottom w:val="single" w:sz="8" w:color="0090DA"/>
            </w:tcBorders>
          </w:tcPr>
          <w:p>
            <w:pPr>
              <w:spacing w:after="0"/>
              <w:rPr>
                <w:sz w:val="21"/>
                <w:szCs w:val="21"/>
                <w:color w:val="auto"/>
              </w:rPr>
            </w:pPr>
          </w:p>
        </w:tc>
        <w:tc>
          <w:tcPr>
            <w:tcW w:w="1040" w:type="dxa"/>
            <w:vAlign w:val="bottom"/>
            <w:tcBorders>
              <w:bottom w:val="single" w:sz="8" w:color="0090DA"/>
            </w:tcBorders>
            <w:gridSpan w:val="2"/>
          </w:tcPr>
          <w:p>
            <w:pPr>
              <w:jc w:val="right"/>
              <w:ind w:right="120"/>
              <w:spacing w:after="0"/>
              <w:rPr>
                <w:sz w:val="20"/>
                <w:szCs w:val="20"/>
                <w:color w:val="auto"/>
              </w:rPr>
            </w:pPr>
            <w:r>
              <w:rPr>
                <w:rFonts w:ascii="Arial" w:cs="Arial" w:eastAsia="Arial" w:hAnsi="Arial"/>
                <w:sz w:val="18"/>
                <w:szCs w:val="18"/>
                <w:b w:val="1"/>
                <w:bCs w:val="1"/>
                <w:color w:val="auto"/>
              </w:rPr>
              <w:t>2019</w:t>
            </w:r>
          </w:p>
        </w:tc>
        <w:tc>
          <w:tcPr>
            <w:tcW w:w="600" w:type="dxa"/>
            <w:vAlign w:val="bottom"/>
            <w:tcBorders>
              <w:bottom w:val="single" w:sz="8" w:color="0090DA"/>
            </w:tcBorders>
          </w:tcPr>
          <w:p>
            <w:pPr>
              <w:spacing w:after="0"/>
              <w:rPr>
                <w:sz w:val="21"/>
                <w:szCs w:val="21"/>
                <w:color w:val="auto"/>
              </w:rPr>
            </w:pPr>
          </w:p>
        </w:tc>
        <w:tc>
          <w:tcPr>
            <w:tcW w:w="180" w:type="dxa"/>
            <w:vAlign w:val="bottom"/>
            <w:tcBorders>
              <w:bottom w:val="single" w:sz="8" w:color="0090DA"/>
            </w:tcBorders>
          </w:tcPr>
          <w:p>
            <w:pPr>
              <w:spacing w:after="0"/>
              <w:rPr>
                <w:sz w:val="21"/>
                <w:szCs w:val="21"/>
                <w:color w:val="auto"/>
              </w:rPr>
            </w:pPr>
          </w:p>
        </w:tc>
        <w:tc>
          <w:tcPr>
            <w:tcW w:w="1080" w:type="dxa"/>
            <w:vAlign w:val="bottom"/>
            <w:tcBorders>
              <w:bottom w:val="single" w:sz="8" w:color="0090DA"/>
            </w:tcBorders>
            <w:gridSpan w:val="2"/>
          </w:tcPr>
          <w:p>
            <w:pPr>
              <w:jc w:val="right"/>
              <w:ind w:right="140"/>
              <w:spacing w:after="0"/>
              <w:rPr>
                <w:sz w:val="20"/>
                <w:szCs w:val="20"/>
                <w:color w:val="auto"/>
              </w:rPr>
            </w:pPr>
            <w:r>
              <w:rPr>
                <w:rFonts w:ascii="Arial" w:cs="Arial" w:eastAsia="Arial" w:hAnsi="Arial"/>
                <w:sz w:val="18"/>
                <w:szCs w:val="18"/>
                <w:b w:val="1"/>
                <w:bCs w:val="1"/>
                <w:color w:val="auto"/>
              </w:rPr>
              <w:t>2018</w:t>
            </w:r>
          </w:p>
        </w:tc>
        <w:tc>
          <w:tcPr>
            <w:tcW w:w="580" w:type="dxa"/>
            <w:vAlign w:val="bottom"/>
            <w:tcBorders>
              <w:bottom w:val="single" w:sz="8" w:color="0090DA"/>
            </w:tcBorders>
          </w:tcPr>
          <w:p>
            <w:pPr>
              <w:spacing w:after="0"/>
              <w:rPr>
                <w:sz w:val="21"/>
                <w:szCs w:val="21"/>
                <w:color w:val="auto"/>
              </w:rPr>
            </w:pPr>
          </w:p>
        </w:tc>
      </w:tr>
      <w:tr>
        <w:trPr>
          <w:trHeight w:val="40"/>
        </w:trPr>
        <w:tc>
          <w:tcPr>
            <w:tcW w:w="57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257"/>
        </w:trPr>
        <w:tc>
          <w:tcPr>
            <w:tcW w:w="5720" w:type="dxa"/>
            <w:vAlign w:val="bottom"/>
            <w:shd w:val="clear" w:color="auto" w:fill="D1D2D4"/>
          </w:tcPr>
          <w:p>
            <w:pPr>
              <w:ind w:left="20"/>
              <w:spacing w:after="0"/>
              <w:rPr>
                <w:sz w:val="20"/>
                <w:szCs w:val="20"/>
                <w:color w:val="auto"/>
              </w:rPr>
            </w:pPr>
            <w:r>
              <w:rPr>
                <w:rFonts w:ascii="Arial" w:cs="Arial" w:eastAsia="Arial" w:hAnsi="Arial"/>
                <w:sz w:val="18"/>
                <w:szCs w:val="18"/>
                <w:color w:val="auto"/>
              </w:rPr>
              <w:t>CNBU</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9,184</w:t>
            </w:r>
          </w:p>
        </w:tc>
        <w:tc>
          <w:tcPr>
            <w:tcW w:w="320" w:type="dxa"/>
            <w:vAlign w:val="bottom"/>
            <w:shd w:val="clear" w:color="auto" w:fill="D1D2D4"/>
          </w:tcPr>
          <w:p>
            <w:pPr>
              <w:spacing w:after="0"/>
              <w:rPr>
                <w:sz w:val="22"/>
                <w:szCs w:val="22"/>
                <w:color w:val="auto"/>
              </w:rPr>
            </w:pPr>
          </w:p>
        </w:tc>
        <w:tc>
          <w:tcPr>
            <w:tcW w:w="800" w:type="dxa"/>
            <w:vAlign w:val="bottom"/>
            <w:gridSpan w:val="2"/>
            <w:shd w:val="clear" w:color="auto" w:fill="D1D2D4"/>
          </w:tcPr>
          <w:p>
            <w:pPr>
              <w:jc w:val="right"/>
              <w:ind w:right="80"/>
              <w:spacing w:after="0"/>
              <w:rPr>
                <w:sz w:val="20"/>
                <w:szCs w:val="20"/>
                <w:color w:val="auto"/>
              </w:rPr>
            </w:pPr>
            <w:r>
              <w:rPr>
                <w:rFonts w:ascii="Arial" w:cs="Arial" w:eastAsia="Arial" w:hAnsi="Arial"/>
                <w:sz w:val="18"/>
                <w:szCs w:val="18"/>
                <w:color w:val="auto"/>
              </w:rPr>
              <w:t>43 %$</w:t>
            </w:r>
          </w:p>
        </w:tc>
        <w:tc>
          <w:tcPr>
            <w:tcW w:w="7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9,968</w:t>
            </w:r>
          </w:p>
        </w:tc>
        <w:tc>
          <w:tcPr>
            <w:tcW w:w="320" w:type="dxa"/>
            <w:vAlign w:val="bottom"/>
            <w:shd w:val="clear" w:color="auto" w:fill="D1D2D4"/>
          </w:tcPr>
          <w:p>
            <w:pPr>
              <w:spacing w:after="0"/>
              <w:rPr>
                <w:sz w:val="22"/>
                <w:szCs w:val="22"/>
                <w:color w:val="auto"/>
              </w:rPr>
            </w:pPr>
          </w:p>
        </w:tc>
        <w:tc>
          <w:tcPr>
            <w:tcW w:w="780" w:type="dxa"/>
            <w:vAlign w:val="bottom"/>
            <w:gridSpan w:val="2"/>
            <w:shd w:val="clear" w:color="auto" w:fill="D1D2D4"/>
          </w:tcPr>
          <w:p>
            <w:pPr>
              <w:jc w:val="right"/>
              <w:ind w:right="80"/>
              <w:spacing w:after="0"/>
              <w:rPr>
                <w:sz w:val="20"/>
                <w:szCs w:val="20"/>
                <w:color w:val="auto"/>
              </w:rPr>
            </w:pPr>
            <w:r>
              <w:rPr>
                <w:rFonts w:ascii="Arial" w:cs="Arial" w:eastAsia="Arial" w:hAnsi="Arial"/>
                <w:sz w:val="18"/>
                <w:szCs w:val="18"/>
                <w:color w:val="auto"/>
              </w:rPr>
              <w:t>43 %$</w:t>
            </w: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15,252</w:t>
            </w:r>
          </w:p>
        </w:tc>
        <w:tc>
          <w:tcPr>
            <w:tcW w:w="360" w:type="dxa"/>
            <w:vAlign w:val="bottom"/>
            <w:shd w:val="clear" w:color="auto" w:fill="D1D2D4"/>
          </w:tcPr>
          <w:p>
            <w:pPr>
              <w:spacing w:after="0"/>
              <w:rPr>
                <w:sz w:val="22"/>
                <w:szCs w:val="22"/>
                <w:color w:val="auto"/>
              </w:rPr>
            </w:pPr>
          </w:p>
        </w:tc>
        <w:tc>
          <w:tcPr>
            <w:tcW w:w="5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50 %</w:t>
            </w:r>
          </w:p>
        </w:tc>
      </w:tr>
      <w:tr>
        <w:trPr>
          <w:trHeight w:val="250"/>
        </w:trPr>
        <w:tc>
          <w:tcPr>
            <w:tcW w:w="5720" w:type="dxa"/>
            <w:vAlign w:val="bottom"/>
          </w:tcPr>
          <w:p>
            <w:pPr>
              <w:ind w:left="20"/>
              <w:spacing w:after="0"/>
              <w:rPr>
                <w:sz w:val="20"/>
                <w:szCs w:val="20"/>
                <w:color w:val="auto"/>
              </w:rPr>
            </w:pPr>
            <w:r>
              <w:rPr>
                <w:rFonts w:ascii="Arial" w:cs="Arial" w:eastAsia="Arial" w:hAnsi="Arial"/>
                <w:sz w:val="18"/>
                <w:szCs w:val="18"/>
                <w:color w:val="auto"/>
              </w:rPr>
              <w:t>MBU</w:t>
            </w:r>
          </w:p>
        </w:tc>
        <w:tc>
          <w:tcPr>
            <w:tcW w:w="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5,702</w:t>
            </w:r>
          </w:p>
        </w:tc>
        <w:tc>
          <w:tcPr>
            <w:tcW w:w="3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27 %</w:t>
            </w:r>
          </w:p>
        </w:tc>
        <w:tc>
          <w:tcPr>
            <w:tcW w:w="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6,403</w:t>
            </w:r>
          </w:p>
        </w:tc>
        <w:tc>
          <w:tcPr>
            <w:tcW w:w="3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27 %</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6,579</w:t>
            </w:r>
          </w:p>
        </w:tc>
        <w:tc>
          <w:tcPr>
            <w:tcW w:w="3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22 %</w:t>
            </w:r>
          </w:p>
        </w:tc>
      </w:tr>
      <w:tr>
        <w:trPr>
          <w:trHeight w:val="263"/>
        </w:trPr>
        <w:tc>
          <w:tcPr>
            <w:tcW w:w="5720" w:type="dxa"/>
            <w:vAlign w:val="bottom"/>
            <w:shd w:val="clear" w:color="auto" w:fill="D1D2D4"/>
          </w:tcPr>
          <w:p>
            <w:pPr>
              <w:ind w:left="20"/>
              <w:spacing w:after="0"/>
              <w:rPr>
                <w:sz w:val="20"/>
                <w:szCs w:val="20"/>
                <w:color w:val="auto"/>
              </w:rPr>
            </w:pPr>
            <w:r>
              <w:rPr>
                <w:rFonts w:ascii="Arial" w:cs="Arial" w:eastAsia="Arial" w:hAnsi="Arial"/>
                <w:sz w:val="18"/>
                <w:szCs w:val="18"/>
                <w:color w:val="auto"/>
              </w:rPr>
              <w:t>SBU</w:t>
            </w:r>
          </w:p>
        </w:tc>
        <w:tc>
          <w:tcPr>
            <w:tcW w:w="200" w:type="dxa"/>
            <w:vAlign w:val="bottom"/>
            <w:shd w:val="clear" w:color="auto" w:fill="D1D2D4"/>
          </w:tcPr>
          <w:p>
            <w:pPr>
              <w:spacing w:after="0"/>
              <w:rPr>
                <w:sz w:val="22"/>
                <w:szCs w:val="22"/>
                <w:color w:val="auto"/>
              </w:rPr>
            </w:pPr>
          </w:p>
        </w:tc>
        <w:tc>
          <w:tcPr>
            <w:tcW w:w="7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3,765</w:t>
            </w:r>
          </w:p>
        </w:tc>
        <w:tc>
          <w:tcPr>
            <w:tcW w:w="320" w:type="dxa"/>
            <w:vAlign w:val="bottom"/>
            <w:shd w:val="clear" w:color="auto" w:fill="D1D2D4"/>
          </w:tcPr>
          <w:p>
            <w:pPr>
              <w:spacing w:after="0"/>
              <w:rPr>
                <w:sz w:val="22"/>
                <w:szCs w:val="22"/>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18 %</w:t>
            </w:r>
          </w:p>
        </w:tc>
        <w:tc>
          <w:tcPr>
            <w:tcW w:w="200" w:type="dxa"/>
            <w:vAlign w:val="bottom"/>
            <w:shd w:val="clear" w:color="auto" w:fill="D1D2D4"/>
          </w:tcPr>
          <w:p>
            <w:pPr>
              <w:spacing w:after="0"/>
              <w:rPr>
                <w:sz w:val="22"/>
                <w:szCs w:val="22"/>
                <w:color w:val="auto"/>
              </w:rPr>
            </w:pPr>
          </w:p>
        </w:tc>
        <w:tc>
          <w:tcPr>
            <w:tcW w:w="7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3,826</w:t>
            </w:r>
          </w:p>
        </w:tc>
        <w:tc>
          <w:tcPr>
            <w:tcW w:w="320" w:type="dxa"/>
            <w:vAlign w:val="bottom"/>
            <w:shd w:val="clear" w:color="auto" w:fill="D1D2D4"/>
          </w:tcPr>
          <w:p>
            <w:pPr>
              <w:spacing w:after="0"/>
              <w:rPr>
                <w:sz w:val="22"/>
                <w:szCs w:val="22"/>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16 %</w:t>
            </w:r>
          </w:p>
        </w:tc>
        <w:tc>
          <w:tcPr>
            <w:tcW w:w="180" w:type="dxa"/>
            <w:vAlign w:val="bottom"/>
            <w:shd w:val="clear" w:color="auto" w:fill="D1D2D4"/>
          </w:tcPr>
          <w:p>
            <w:pPr>
              <w:spacing w:after="0"/>
              <w:rPr>
                <w:sz w:val="22"/>
                <w:szCs w:val="22"/>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5,022</w:t>
            </w:r>
          </w:p>
        </w:tc>
        <w:tc>
          <w:tcPr>
            <w:tcW w:w="360" w:type="dxa"/>
            <w:vAlign w:val="bottom"/>
            <w:shd w:val="clear" w:color="auto" w:fill="D1D2D4"/>
          </w:tcPr>
          <w:p>
            <w:pPr>
              <w:spacing w:after="0"/>
              <w:rPr>
                <w:sz w:val="22"/>
                <w:szCs w:val="22"/>
                <w:color w:val="auto"/>
              </w:rPr>
            </w:pPr>
          </w:p>
        </w:tc>
        <w:tc>
          <w:tcPr>
            <w:tcW w:w="5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17 %</w:t>
            </w:r>
          </w:p>
        </w:tc>
      </w:tr>
      <w:tr>
        <w:trPr>
          <w:trHeight w:val="250"/>
        </w:trPr>
        <w:tc>
          <w:tcPr>
            <w:tcW w:w="5720" w:type="dxa"/>
            <w:vAlign w:val="bottom"/>
          </w:tcPr>
          <w:p>
            <w:pPr>
              <w:ind w:left="20"/>
              <w:spacing w:after="0"/>
              <w:rPr>
                <w:sz w:val="20"/>
                <w:szCs w:val="20"/>
                <w:color w:val="auto"/>
              </w:rPr>
            </w:pPr>
            <w:r>
              <w:rPr>
                <w:rFonts w:ascii="Arial" w:cs="Arial" w:eastAsia="Arial" w:hAnsi="Arial"/>
                <w:sz w:val="18"/>
                <w:szCs w:val="18"/>
                <w:color w:val="auto"/>
              </w:rPr>
              <w:t>EBU</w:t>
            </w:r>
          </w:p>
        </w:tc>
        <w:tc>
          <w:tcPr>
            <w:tcW w:w="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2,759</w:t>
            </w:r>
          </w:p>
        </w:tc>
        <w:tc>
          <w:tcPr>
            <w:tcW w:w="3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13 %</w:t>
            </w:r>
          </w:p>
        </w:tc>
        <w:tc>
          <w:tcPr>
            <w:tcW w:w="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3,137</w:t>
            </w:r>
          </w:p>
        </w:tc>
        <w:tc>
          <w:tcPr>
            <w:tcW w:w="3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13 %</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3,479</w:t>
            </w:r>
          </w:p>
        </w:tc>
        <w:tc>
          <w:tcPr>
            <w:tcW w:w="3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11 %</w:t>
            </w:r>
          </w:p>
        </w:tc>
      </w:tr>
      <w:tr>
        <w:trPr>
          <w:trHeight w:val="257"/>
        </w:trPr>
        <w:tc>
          <w:tcPr>
            <w:tcW w:w="5720" w:type="dxa"/>
            <w:vAlign w:val="bottom"/>
            <w:shd w:val="clear" w:color="auto" w:fill="D1D2D4"/>
          </w:tcPr>
          <w:p>
            <w:pPr>
              <w:ind w:left="20"/>
              <w:spacing w:after="0"/>
              <w:rPr>
                <w:sz w:val="20"/>
                <w:szCs w:val="20"/>
                <w:color w:val="auto"/>
              </w:rPr>
            </w:pPr>
            <w:r>
              <w:rPr>
                <w:rFonts w:ascii="Arial" w:cs="Arial" w:eastAsia="Arial" w:hAnsi="Arial"/>
                <w:sz w:val="18"/>
                <w:szCs w:val="18"/>
                <w:color w:val="auto"/>
              </w:rPr>
              <w:t>All Other</w:t>
            </w:r>
          </w:p>
        </w:tc>
        <w:tc>
          <w:tcPr>
            <w:tcW w:w="200" w:type="dxa"/>
            <w:vAlign w:val="bottom"/>
            <w:tcBorders>
              <w:bottom w:val="single" w:sz="8" w:color="auto"/>
            </w:tcBorders>
            <w:shd w:val="clear" w:color="auto" w:fill="D1D2D4"/>
          </w:tcPr>
          <w:p>
            <w:pPr>
              <w:spacing w:after="0"/>
              <w:rPr>
                <w:sz w:val="22"/>
                <w:szCs w:val="22"/>
                <w:color w:val="auto"/>
              </w:rPr>
            </w:pPr>
          </w:p>
        </w:tc>
        <w:tc>
          <w:tcPr>
            <w:tcW w:w="72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25</w:t>
            </w:r>
          </w:p>
        </w:tc>
        <w:tc>
          <w:tcPr>
            <w:tcW w:w="320" w:type="dxa"/>
            <w:vAlign w:val="bottom"/>
            <w:shd w:val="clear" w:color="auto" w:fill="D1D2D4"/>
          </w:tcPr>
          <w:p>
            <w:pPr>
              <w:spacing w:after="0"/>
              <w:rPr>
                <w:sz w:val="22"/>
                <w:szCs w:val="22"/>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200" w:type="dxa"/>
            <w:vAlign w:val="bottom"/>
            <w:tcBorders>
              <w:bottom w:val="single" w:sz="8" w:color="auto"/>
            </w:tcBorders>
            <w:shd w:val="clear" w:color="auto" w:fill="D1D2D4"/>
          </w:tcPr>
          <w:p>
            <w:pPr>
              <w:spacing w:after="0"/>
              <w:rPr>
                <w:sz w:val="22"/>
                <w:szCs w:val="22"/>
                <w:color w:val="auto"/>
              </w:rPr>
            </w:pPr>
          </w:p>
        </w:tc>
        <w:tc>
          <w:tcPr>
            <w:tcW w:w="72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72</w:t>
            </w:r>
          </w:p>
        </w:tc>
        <w:tc>
          <w:tcPr>
            <w:tcW w:w="320" w:type="dxa"/>
            <w:vAlign w:val="bottom"/>
            <w:shd w:val="clear" w:color="auto" w:fill="D1D2D4"/>
          </w:tcPr>
          <w:p>
            <w:pPr>
              <w:spacing w:after="0"/>
              <w:rPr>
                <w:sz w:val="22"/>
                <w:szCs w:val="22"/>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180" w:type="dxa"/>
            <w:vAlign w:val="bottom"/>
            <w:tcBorders>
              <w:bottom w:val="single" w:sz="8" w:color="auto"/>
            </w:tcBorders>
            <w:shd w:val="clear" w:color="auto" w:fill="D1D2D4"/>
          </w:tcPr>
          <w:p>
            <w:pPr>
              <w:spacing w:after="0"/>
              <w:rPr>
                <w:sz w:val="22"/>
                <w:szCs w:val="22"/>
                <w:color w:val="auto"/>
              </w:rPr>
            </w:pPr>
          </w:p>
        </w:tc>
        <w:tc>
          <w:tcPr>
            <w:tcW w:w="7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59</w:t>
            </w:r>
          </w:p>
        </w:tc>
        <w:tc>
          <w:tcPr>
            <w:tcW w:w="360" w:type="dxa"/>
            <w:vAlign w:val="bottom"/>
            <w:shd w:val="clear" w:color="auto" w:fill="D1D2D4"/>
          </w:tcPr>
          <w:p>
            <w:pPr>
              <w:spacing w:after="0"/>
              <w:rPr>
                <w:sz w:val="22"/>
                <w:szCs w:val="22"/>
                <w:color w:val="auto"/>
              </w:rPr>
            </w:pPr>
          </w:p>
        </w:tc>
        <w:tc>
          <w:tcPr>
            <w:tcW w:w="5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 %</w:t>
            </w:r>
          </w:p>
        </w:tc>
      </w:tr>
      <w:tr>
        <w:trPr>
          <w:trHeight w:val="250"/>
        </w:trPr>
        <w:tc>
          <w:tcPr>
            <w:tcW w:w="57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21,435</w:t>
            </w:r>
          </w:p>
        </w:tc>
        <w:tc>
          <w:tcPr>
            <w:tcW w:w="320" w:type="dxa"/>
            <w:vAlign w:val="bottom"/>
          </w:tcPr>
          <w:p>
            <w:pPr>
              <w:spacing w:after="0"/>
              <w:rPr>
                <w:sz w:val="21"/>
                <w:szCs w:val="21"/>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23,406</w:t>
            </w:r>
          </w:p>
        </w:tc>
        <w:tc>
          <w:tcPr>
            <w:tcW w:w="320" w:type="dxa"/>
            <w:vAlign w:val="bottom"/>
          </w:tcPr>
          <w:p>
            <w:pPr>
              <w:spacing w:after="0"/>
              <w:rPr>
                <w:sz w:val="21"/>
                <w:szCs w:val="21"/>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30,391</w:t>
            </w:r>
          </w:p>
        </w:tc>
        <w:tc>
          <w:tcPr>
            <w:tcW w:w="36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27"/>
        </w:trPr>
        <w:tc>
          <w:tcPr>
            <w:tcW w:w="572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Percentages of total revenue may not total 100% due to rounding.</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Changes in revenue for each business unit for 2020 as compared to 2019 were as follows:</w:t>
      </w:r>
    </w:p>
    <w:p>
      <w:pPr>
        <w:spacing w:after="0" w:line="252" w:lineRule="exact"/>
        <w:rPr>
          <w:sz w:val="20"/>
          <w:szCs w:val="20"/>
          <w:color w:val="auto"/>
        </w:rPr>
      </w:pPr>
    </w:p>
    <w:p>
      <w:pPr>
        <w:ind w:left="660" w:right="80" w:hanging="328"/>
        <w:spacing w:after="0" w:line="25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CNBU revenue decreased 8% primarily due to DRAM price declines driven by imbalances in supply and demand, partially offset by bit sales growth across key markets, particularly in cloud server and graphics markets. In addition, in the second quarter of 2020, we determined that the 3D XPoint technology and product roadmap are more closely aligned with our CNBU strategy than our SBU strategy and 3D XPoint became an integral part of CNBU. Accordingly, we began to report all 3D XPoint activities within CNBU from that date.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MBU revenue decreased 11% primarily due to price declines, partially offset by bit sales growth for high-value mobile MCP products.</w:t>
      </w:r>
    </w:p>
    <w:p>
      <w:pPr>
        <w:spacing w:after="0" w:line="9" w:lineRule="exact"/>
        <w:rPr>
          <w:rFonts w:ascii="Arial" w:cs="Arial" w:eastAsia="Arial" w:hAnsi="Arial"/>
          <w:sz w:val="18"/>
          <w:szCs w:val="18"/>
          <w:color w:val="auto"/>
        </w:rPr>
      </w:pPr>
    </w:p>
    <w:p>
      <w:pPr>
        <w:ind w:left="660" w:right="160" w:hanging="328"/>
        <w:spacing w:after="0" w:line="25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SBU revenue decreased 2% primarily due to the decline in 3D XPoint revenue in SBU after the first quarter of 2020 as noted above and NAND selling price declines, partially offset by bit sales growth for SSDs. SBU revenue included products manufactured and sold to Intel under a long-term supply agreement at prices approximating cost, which included 3D XPoint memory and NAND, aggregating $124 million, $682 million, and $541 million, for 2020, 2019, and 2018, respectively.</w:t>
      </w:r>
    </w:p>
    <w:p>
      <w:pPr>
        <w:spacing w:after="0" w:line="1" w:lineRule="exact"/>
        <w:rPr>
          <w:rFonts w:ascii="Arial" w:cs="Arial" w:eastAsia="Arial" w:hAnsi="Arial"/>
          <w:sz w:val="18"/>
          <w:szCs w:val="18"/>
          <w:color w:val="auto"/>
        </w:rPr>
      </w:pPr>
    </w:p>
    <w:p>
      <w:pPr>
        <w:ind w:left="660" w:right="540" w:hanging="328"/>
        <w:spacing w:after="0"/>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EBU revenue decreased 12% primarily due to price declines resulting from the impact of the global COVID-19 pandemic on automotive, industrial, and consumer segments partially offset by bit sales growth from transitions to an increasing mix of high-density DRAM and NAND products.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Changes in revenue for each business unit for 2019 as compared to 2018 were as follows:</w:t>
      </w:r>
    </w:p>
    <w:p>
      <w:pPr>
        <w:spacing w:after="0" w:line="252"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CNBU revenue decreased 35% due to challenging market conditions in 2019, which led to price declines.</w:t>
      </w:r>
    </w:p>
    <w:p>
      <w:pPr>
        <w:spacing w:after="0" w:line="9" w:lineRule="exact"/>
        <w:rPr>
          <w:rFonts w:ascii="Arial" w:cs="Arial" w:eastAsia="Arial" w:hAnsi="Arial"/>
          <w:sz w:val="18"/>
          <w:szCs w:val="18"/>
          <w:color w:val="auto"/>
        </w:rPr>
      </w:pPr>
    </w:p>
    <w:p>
      <w:pPr>
        <w:jc w:val="both"/>
        <w:ind w:left="660" w:right="100" w:hanging="328"/>
        <w:spacing w:after="0" w:line="265" w:lineRule="auto"/>
        <w:tabs>
          <w:tab w:leader="none" w:pos="655" w:val="left"/>
        </w:tabs>
        <w:numPr>
          <w:ilvl w:val="0"/>
          <w:numId w:val="17"/>
        </w:numPr>
        <w:rPr>
          <w:rFonts w:ascii="Arial" w:cs="Arial" w:eastAsia="Arial" w:hAnsi="Arial"/>
          <w:sz w:val="17"/>
          <w:szCs w:val="17"/>
          <w:color w:val="auto"/>
        </w:rPr>
      </w:pPr>
      <w:r>
        <w:rPr>
          <w:rFonts w:ascii="Arial" w:cs="Arial" w:eastAsia="Arial" w:hAnsi="Arial"/>
          <w:sz w:val="17"/>
          <w:szCs w:val="17"/>
          <w:color w:val="auto"/>
        </w:rPr>
        <w:t>MBU revenue decreased 3% primarily due to price declines offset by strong execution in developing and qualifying mobile managed NAND products and continued content growth in smartphones, which combined to drive a significant increase in shipment volumes.</w:t>
      </w:r>
    </w:p>
    <w:p>
      <w:pPr>
        <w:ind w:left="660" w:right="140" w:hanging="328"/>
        <w:spacing w:after="0" w:line="250"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SBU revenue decreased 24% primarily due to price declines, partially offset by significant growth in shipment volumes as a result of strong execution in ramping 64-layer and 96-layer TLC NAND products.</w:t>
      </w:r>
    </w:p>
    <w:p>
      <w:pPr>
        <w:ind w:left="660" w:right="360" w:hanging="328"/>
        <w:spacing w:after="0" w:line="261"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EBU revenue decreased 10% primarily due to lower sales to consumer markets as a result of weak demand and pricing, partially offset by increases in sales to automotive and industrial markets.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37 </w:t>
      </w:r>
      <w:r>
        <w:rPr>
          <w:rFonts w:ascii="Arial" w:cs="Arial" w:eastAsia="Arial" w:hAnsi="Arial"/>
          <w:sz w:val="21"/>
          <w:szCs w:val="21"/>
          <w:b w:val="1"/>
          <w:bCs w:val="1"/>
          <w:color w:val="0090DA"/>
        </w:rPr>
        <w:t>|</w:t>
      </w:r>
      <w:r>
        <w:rPr>
          <w:rFonts w:ascii="Arial" w:cs="Arial" w:eastAsia="Arial" w:hAnsi="Arial"/>
          <w:sz w:val="18"/>
          <w:szCs w:val="18"/>
          <w:color w:val="auto"/>
        </w:rPr>
        <w:t xml:space="preserve"> 2020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40" w:name="page41"/>
    <w:bookmarkEnd w:id="40"/>
    <w:p>
      <w:pPr>
        <w:spacing w:after="0"/>
        <w:rPr>
          <w:sz w:val="20"/>
          <w:szCs w:val="20"/>
          <w:color w:val="auto"/>
        </w:rPr>
      </w:pPr>
      <w:r>
        <w:rPr>
          <w:rFonts w:ascii="Arial" w:cs="Arial" w:eastAsia="Arial" w:hAnsi="Arial"/>
          <w:sz w:val="22"/>
          <w:szCs w:val="22"/>
          <w:b w:val="1"/>
          <w:bCs w:val="1"/>
          <w:color w:val="0090DA"/>
        </w:rPr>
        <w:t>Operating Income (Loss) by Business Unit</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74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For the year ended</w:t>
            </w:r>
          </w:p>
        </w:tc>
        <w:tc>
          <w:tcPr>
            <w:tcW w:w="240" w:type="dxa"/>
            <w:vAlign w:val="bottom"/>
            <w:tcBorders>
              <w:bottom w:val="single" w:sz="8" w:color="0090DA"/>
            </w:tcBorders>
          </w:tcPr>
          <w:p>
            <w:pPr>
              <w:spacing w:after="0"/>
              <w:rPr>
                <w:sz w:val="21"/>
                <w:szCs w:val="21"/>
                <w:color w:val="auto"/>
              </w:rPr>
            </w:pPr>
          </w:p>
        </w:tc>
        <w:tc>
          <w:tcPr>
            <w:tcW w:w="1000" w:type="dxa"/>
            <w:vAlign w:val="bottom"/>
            <w:tcBorders>
              <w:bottom w:val="single" w:sz="8" w:color="0090DA"/>
            </w:tcBorders>
            <w:gridSpan w:val="2"/>
          </w:tcPr>
          <w:p>
            <w:pPr>
              <w:jc w:val="right"/>
              <w:ind w:right="140"/>
              <w:spacing w:after="0"/>
              <w:rPr>
                <w:sz w:val="20"/>
                <w:szCs w:val="20"/>
                <w:color w:val="auto"/>
              </w:rPr>
            </w:pPr>
            <w:r>
              <w:rPr>
                <w:rFonts w:ascii="Arial" w:cs="Arial" w:eastAsia="Arial" w:hAnsi="Arial"/>
                <w:sz w:val="18"/>
                <w:szCs w:val="18"/>
                <w:b w:val="1"/>
                <w:bCs w:val="1"/>
                <w:color w:val="auto"/>
              </w:rPr>
              <w:t>2020</w:t>
            </w:r>
          </w:p>
        </w:tc>
        <w:tc>
          <w:tcPr>
            <w:tcW w:w="580" w:type="dxa"/>
            <w:vAlign w:val="bottom"/>
            <w:tcBorders>
              <w:bottom w:val="single" w:sz="8" w:color="0090DA"/>
            </w:tcBorders>
          </w:tcPr>
          <w:p>
            <w:pPr>
              <w:spacing w:after="0"/>
              <w:rPr>
                <w:sz w:val="21"/>
                <w:szCs w:val="21"/>
                <w:color w:val="auto"/>
              </w:rPr>
            </w:pPr>
          </w:p>
        </w:tc>
        <w:tc>
          <w:tcPr>
            <w:tcW w:w="240" w:type="dxa"/>
            <w:vAlign w:val="bottom"/>
            <w:tcBorders>
              <w:bottom w:val="single" w:sz="8" w:color="0090DA"/>
            </w:tcBorders>
          </w:tcPr>
          <w:p>
            <w:pPr>
              <w:spacing w:after="0"/>
              <w:rPr>
                <w:sz w:val="21"/>
                <w:szCs w:val="21"/>
                <w:color w:val="auto"/>
              </w:rPr>
            </w:pPr>
          </w:p>
        </w:tc>
        <w:tc>
          <w:tcPr>
            <w:tcW w:w="980" w:type="dxa"/>
            <w:vAlign w:val="bottom"/>
            <w:tcBorders>
              <w:bottom w:val="single" w:sz="8" w:color="0090DA"/>
            </w:tcBorders>
            <w:gridSpan w:val="2"/>
          </w:tcPr>
          <w:p>
            <w:pPr>
              <w:jc w:val="right"/>
              <w:ind w:right="100"/>
              <w:spacing w:after="0"/>
              <w:rPr>
                <w:sz w:val="20"/>
                <w:szCs w:val="20"/>
                <w:color w:val="auto"/>
              </w:rPr>
            </w:pPr>
            <w:r>
              <w:rPr>
                <w:rFonts w:ascii="Arial" w:cs="Arial" w:eastAsia="Arial" w:hAnsi="Arial"/>
                <w:sz w:val="18"/>
                <w:szCs w:val="18"/>
                <w:b w:val="1"/>
                <w:bCs w:val="1"/>
                <w:color w:val="auto"/>
              </w:rPr>
              <w:t>2019</w:t>
            </w:r>
          </w:p>
        </w:tc>
        <w:tc>
          <w:tcPr>
            <w:tcW w:w="620" w:type="dxa"/>
            <w:vAlign w:val="bottom"/>
            <w:tcBorders>
              <w:bottom w:val="single" w:sz="8" w:color="0090DA"/>
            </w:tcBorders>
          </w:tcPr>
          <w:p>
            <w:pPr>
              <w:spacing w:after="0"/>
              <w:rPr>
                <w:sz w:val="21"/>
                <w:szCs w:val="21"/>
                <w:color w:val="auto"/>
              </w:rPr>
            </w:pPr>
          </w:p>
        </w:tc>
        <w:tc>
          <w:tcPr>
            <w:tcW w:w="180" w:type="dxa"/>
            <w:vAlign w:val="bottom"/>
            <w:tcBorders>
              <w:bottom w:val="single" w:sz="8" w:color="0090DA"/>
            </w:tcBorders>
          </w:tcPr>
          <w:p>
            <w:pPr>
              <w:spacing w:after="0"/>
              <w:rPr>
                <w:sz w:val="21"/>
                <w:szCs w:val="21"/>
                <w:color w:val="auto"/>
              </w:rPr>
            </w:pPr>
          </w:p>
        </w:tc>
        <w:tc>
          <w:tcPr>
            <w:tcW w:w="1080" w:type="dxa"/>
            <w:vAlign w:val="bottom"/>
            <w:tcBorders>
              <w:bottom w:val="single" w:sz="8" w:color="0090DA"/>
            </w:tcBorders>
            <w:gridSpan w:val="2"/>
          </w:tcPr>
          <w:p>
            <w:pPr>
              <w:jc w:val="right"/>
              <w:ind w:right="140"/>
              <w:spacing w:after="0"/>
              <w:rPr>
                <w:sz w:val="20"/>
                <w:szCs w:val="20"/>
                <w:color w:val="auto"/>
              </w:rPr>
            </w:pPr>
            <w:r>
              <w:rPr>
                <w:rFonts w:ascii="Arial" w:cs="Arial" w:eastAsia="Arial" w:hAnsi="Arial"/>
                <w:sz w:val="18"/>
                <w:szCs w:val="18"/>
                <w:b w:val="1"/>
                <w:bCs w:val="1"/>
                <w:color w:val="auto"/>
              </w:rPr>
              <w:t>2018</w:t>
            </w:r>
          </w:p>
        </w:tc>
        <w:tc>
          <w:tcPr>
            <w:tcW w:w="580" w:type="dxa"/>
            <w:vAlign w:val="bottom"/>
            <w:tcBorders>
              <w:bottom w:val="single" w:sz="8" w:color="0090DA"/>
            </w:tcBorders>
          </w:tcPr>
          <w:p>
            <w:pPr>
              <w:spacing w:after="0"/>
              <w:rPr>
                <w:sz w:val="21"/>
                <w:szCs w:val="21"/>
                <w:color w:val="auto"/>
              </w:rPr>
            </w:pPr>
          </w:p>
        </w:tc>
      </w:tr>
      <w:tr>
        <w:trPr>
          <w:trHeight w:val="41"/>
        </w:trPr>
        <w:tc>
          <w:tcPr>
            <w:tcW w:w="57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256"/>
        </w:trPr>
        <w:tc>
          <w:tcPr>
            <w:tcW w:w="5740" w:type="dxa"/>
            <w:vAlign w:val="bottom"/>
            <w:shd w:val="clear" w:color="auto" w:fill="D1D2D4"/>
          </w:tcPr>
          <w:p>
            <w:pPr>
              <w:ind w:left="20"/>
              <w:spacing w:after="0"/>
              <w:rPr>
                <w:sz w:val="20"/>
                <w:szCs w:val="20"/>
                <w:color w:val="auto"/>
              </w:rPr>
            </w:pPr>
            <w:r>
              <w:rPr>
                <w:rFonts w:ascii="Arial" w:cs="Arial" w:eastAsia="Arial" w:hAnsi="Arial"/>
                <w:sz w:val="18"/>
                <w:szCs w:val="18"/>
                <w:color w:val="auto"/>
              </w:rPr>
              <w:t>CNBU</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2,010</w:t>
            </w:r>
          </w:p>
        </w:tc>
        <w:tc>
          <w:tcPr>
            <w:tcW w:w="340" w:type="dxa"/>
            <w:vAlign w:val="bottom"/>
            <w:shd w:val="clear" w:color="auto" w:fill="D1D2D4"/>
          </w:tcPr>
          <w:p>
            <w:pPr>
              <w:spacing w:after="0"/>
              <w:rPr>
                <w:sz w:val="22"/>
                <w:szCs w:val="22"/>
                <w:color w:val="auto"/>
              </w:rPr>
            </w:pPr>
          </w:p>
        </w:tc>
        <w:tc>
          <w:tcPr>
            <w:tcW w:w="820" w:type="dxa"/>
            <w:vAlign w:val="bottom"/>
            <w:gridSpan w:val="2"/>
            <w:shd w:val="clear" w:color="auto" w:fill="D1D2D4"/>
          </w:tcPr>
          <w:p>
            <w:pPr>
              <w:jc w:val="right"/>
              <w:ind w:right="120"/>
              <w:spacing w:after="0"/>
              <w:rPr>
                <w:sz w:val="20"/>
                <w:szCs w:val="20"/>
                <w:color w:val="auto"/>
              </w:rPr>
            </w:pPr>
            <w:r>
              <w:rPr>
                <w:rFonts w:ascii="Arial" w:cs="Arial" w:eastAsia="Arial" w:hAnsi="Arial"/>
                <w:sz w:val="18"/>
                <w:szCs w:val="18"/>
                <w:color w:val="auto"/>
              </w:rPr>
              <w:t>22 %$</w:t>
            </w:r>
          </w:p>
        </w:tc>
        <w:tc>
          <w:tcPr>
            <w:tcW w:w="66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4,645</w:t>
            </w:r>
          </w:p>
        </w:tc>
        <w:tc>
          <w:tcPr>
            <w:tcW w:w="320" w:type="dxa"/>
            <w:vAlign w:val="bottom"/>
            <w:shd w:val="clear" w:color="auto" w:fill="D1D2D4"/>
          </w:tcPr>
          <w:p>
            <w:pPr>
              <w:spacing w:after="0"/>
              <w:rPr>
                <w:sz w:val="22"/>
                <w:szCs w:val="22"/>
                <w:color w:val="auto"/>
              </w:rPr>
            </w:pPr>
          </w:p>
        </w:tc>
        <w:tc>
          <w:tcPr>
            <w:tcW w:w="800" w:type="dxa"/>
            <w:vAlign w:val="bottom"/>
            <w:gridSpan w:val="2"/>
            <w:shd w:val="clear" w:color="auto" w:fill="D1D2D4"/>
          </w:tcPr>
          <w:p>
            <w:pPr>
              <w:jc w:val="right"/>
              <w:ind w:right="80"/>
              <w:spacing w:after="0"/>
              <w:rPr>
                <w:sz w:val="20"/>
                <w:szCs w:val="20"/>
                <w:color w:val="auto"/>
              </w:rPr>
            </w:pPr>
            <w:r>
              <w:rPr>
                <w:rFonts w:ascii="Arial" w:cs="Arial" w:eastAsia="Arial" w:hAnsi="Arial"/>
                <w:sz w:val="18"/>
                <w:szCs w:val="18"/>
                <w:color w:val="auto"/>
              </w:rPr>
              <w:t>47 %$</w:t>
            </w: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9,773</w:t>
            </w:r>
          </w:p>
        </w:tc>
        <w:tc>
          <w:tcPr>
            <w:tcW w:w="360" w:type="dxa"/>
            <w:vAlign w:val="bottom"/>
            <w:shd w:val="clear" w:color="auto" w:fill="D1D2D4"/>
          </w:tcPr>
          <w:p>
            <w:pPr>
              <w:spacing w:after="0"/>
              <w:rPr>
                <w:sz w:val="22"/>
                <w:szCs w:val="22"/>
                <w:color w:val="auto"/>
              </w:rPr>
            </w:pPr>
          </w:p>
        </w:tc>
        <w:tc>
          <w:tcPr>
            <w:tcW w:w="5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64 %</w:t>
            </w:r>
          </w:p>
        </w:tc>
      </w:tr>
      <w:tr>
        <w:trPr>
          <w:trHeight w:val="250"/>
        </w:trPr>
        <w:tc>
          <w:tcPr>
            <w:tcW w:w="5740" w:type="dxa"/>
            <w:vAlign w:val="bottom"/>
          </w:tcPr>
          <w:p>
            <w:pPr>
              <w:ind w:left="20"/>
              <w:spacing w:after="0"/>
              <w:rPr>
                <w:sz w:val="20"/>
                <w:szCs w:val="20"/>
                <w:color w:val="auto"/>
              </w:rPr>
            </w:pPr>
            <w:r>
              <w:rPr>
                <w:rFonts w:ascii="Arial" w:cs="Arial" w:eastAsia="Arial" w:hAnsi="Arial"/>
                <w:sz w:val="18"/>
                <w:szCs w:val="18"/>
                <w:color w:val="auto"/>
              </w:rPr>
              <w:t>MBU</w:t>
            </w:r>
          </w:p>
        </w:tc>
        <w:tc>
          <w:tcPr>
            <w:tcW w:w="2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1,074</w:t>
            </w:r>
          </w:p>
        </w:tc>
        <w:tc>
          <w:tcPr>
            <w:tcW w:w="3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19 %</w:t>
            </w:r>
          </w:p>
        </w:tc>
        <w:tc>
          <w:tcPr>
            <w:tcW w:w="2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2,606</w:t>
            </w:r>
          </w:p>
        </w:tc>
        <w:tc>
          <w:tcPr>
            <w:tcW w:w="3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41 %</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3,033</w:t>
            </w:r>
          </w:p>
        </w:tc>
        <w:tc>
          <w:tcPr>
            <w:tcW w:w="3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46 %</w:t>
            </w:r>
          </w:p>
        </w:tc>
      </w:tr>
      <w:tr>
        <w:trPr>
          <w:trHeight w:val="263"/>
        </w:trPr>
        <w:tc>
          <w:tcPr>
            <w:tcW w:w="5740" w:type="dxa"/>
            <w:vAlign w:val="bottom"/>
            <w:shd w:val="clear" w:color="auto" w:fill="D1D2D4"/>
          </w:tcPr>
          <w:p>
            <w:pPr>
              <w:ind w:left="20"/>
              <w:spacing w:after="0"/>
              <w:rPr>
                <w:sz w:val="20"/>
                <w:szCs w:val="20"/>
                <w:color w:val="auto"/>
              </w:rPr>
            </w:pPr>
            <w:r>
              <w:rPr>
                <w:rFonts w:ascii="Arial" w:cs="Arial" w:eastAsia="Arial" w:hAnsi="Arial"/>
                <w:sz w:val="18"/>
                <w:szCs w:val="18"/>
                <w:color w:val="auto"/>
              </w:rPr>
              <w:t>SBU</w:t>
            </w:r>
          </w:p>
        </w:tc>
        <w:tc>
          <w:tcPr>
            <w:tcW w:w="240" w:type="dxa"/>
            <w:vAlign w:val="bottom"/>
            <w:shd w:val="clear" w:color="auto" w:fill="D1D2D4"/>
          </w:tcPr>
          <w:p>
            <w:pPr>
              <w:spacing w:after="0"/>
              <w:rPr>
                <w:sz w:val="22"/>
                <w:szCs w:val="22"/>
                <w:color w:val="auto"/>
              </w:rPr>
            </w:pPr>
          </w:p>
        </w:tc>
        <w:tc>
          <w:tcPr>
            <w:tcW w:w="66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36</w:t>
            </w:r>
          </w:p>
        </w:tc>
        <w:tc>
          <w:tcPr>
            <w:tcW w:w="340" w:type="dxa"/>
            <w:vAlign w:val="bottom"/>
            <w:shd w:val="clear" w:color="auto" w:fill="D1D2D4"/>
          </w:tcPr>
          <w:p>
            <w:pPr>
              <w:spacing w:after="0"/>
              <w:rPr>
                <w:sz w:val="22"/>
                <w:szCs w:val="22"/>
                <w:color w:val="auto"/>
              </w:rPr>
            </w:pPr>
          </w:p>
        </w:tc>
        <w:tc>
          <w:tcPr>
            <w:tcW w:w="5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1 %</w:t>
            </w:r>
          </w:p>
        </w:tc>
        <w:tc>
          <w:tcPr>
            <w:tcW w:w="240" w:type="dxa"/>
            <w:vAlign w:val="bottom"/>
            <w:shd w:val="clear" w:color="auto" w:fill="D1D2D4"/>
          </w:tcPr>
          <w:p>
            <w:pPr>
              <w:spacing w:after="0"/>
              <w:rPr>
                <w:sz w:val="22"/>
                <w:szCs w:val="22"/>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(386)</w:t>
            </w:r>
          </w:p>
        </w:tc>
        <w:tc>
          <w:tcPr>
            <w:tcW w:w="320" w:type="dxa"/>
            <w:vAlign w:val="bottom"/>
            <w:shd w:val="clear" w:color="auto" w:fill="D1D2D4"/>
          </w:tcPr>
          <w:p>
            <w:pPr>
              <w:spacing w:after="0"/>
              <w:rPr>
                <w:sz w:val="22"/>
                <w:szCs w:val="22"/>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D1D2D4"/>
          </w:tcPr>
          <w:p>
            <w:pPr>
              <w:spacing w:after="0"/>
              <w:rPr>
                <w:sz w:val="22"/>
                <w:szCs w:val="22"/>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964</w:t>
            </w:r>
          </w:p>
        </w:tc>
        <w:tc>
          <w:tcPr>
            <w:tcW w:w="360" w:type="dxa"/>
            <w:vAlign w:val="bottom"/>
            <w:shd w:val="clear" w:color="auto" w:fill="D1D2D4"/>
          </w:tcPr>
          <w:p>
            <w:pPr>
              <w:spacing w:after="0"/>
              <w:rPr>
                <w:sz w:val="22"/>
                <w:szCs w:val="22"/>
                <w:color w:val="auto"/>
              </w:rPr>
            </w:pPr>
          </w:p>
        </w:tc>
        <w:tc>
          <w:tcPr>
            <w:tcW w:w="5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19 %</w:t>
            </w:r>
          </w:p>
        </w:tc>
      </w:tr>
      <w:tr>
        <w:trPr>
          <w:trHeight w:val="250"/>
        </w:trPr>
        <w:tc>
          <w:tcPr>
            <w:tcW w:w="5740" w:type="dxa"/>
            <w:vAlign w:val="bottom"/>
          </w:tcPr>
          <w:p>
            <w:pPr>
              <w:ind w:left="20"/>
              <w:spacing w:after="0"/>
              <w:rPr>
                <w:sz w:val="20"/>
                <w:szCs w:val="20"/>
                <w:color w:val="auto"/>
              </w:rPr>
            </w:pPr>
            <w:r>
              <w:rPr>
                <w:rFonts w:ascii="Arial" w:cs="Arial" w:eastAsia="Arial" w:hAnsi="Arial"/>
                <w:sz w:val="18"/>
                <w:szCs w:val="18"/>
                <w:color w:val="auto"/>
              </w:rPr>
              <w:t>EBU</w:t>
            </w:r>
          </w:p>
        </w:tc>
        <w:tc>
          <w:tcPr>
            <w:tcW w:w="2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301</w:t>
            </w:r>
          </w:p>
        </w:tc>
        <w:tc>
          <w:tcPr>
            <w:tcW w:w="3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11 %</w:t>
            </w:r>
          </w:p>
        </w:tc>
        <w:tc>
          <w:tcPr>
            <w:tcW w:w="2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923</w:t>
            </w:r>
          </w:p>
        </w:tc>
        <w:tc>
          <w:tcPr>
            <w:tcW w:w="3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29 %</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1,473</w:t>
            </w:r>
          </w:p>
        </w:tc>
        <w:tc>
          <w:tcPr>
            <w:tcW w:w="3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42 %</w:t>
            </w:r>
          </w:p>
        </w:tc>
      </w:tr>
      <w:tr>
        <w:trPr>
          <w:trHeight w:val="257"/>
        </w:trPr>
        <w:tc>
          <w:tcPr>
            <w:tcW w:w="5740" w:type="dxa"/>
            <w:vAlign w:val="bottom"/>
            <w:shd w:val="clear" w:color="auto" w:fill="D1D2D4"/>
          </w:tcPr>
          <w:p>
            <w:pPr>
              <w:ind w:left="20"/>
              <w:spacing w:after="0"/>
              <w:rPr>
                <w:sz w:val="20"/>
                <w:szCs w:val="20"/>
                <w:color w:val="auto"/>
              </w:rPr>
            </w:pPr>
            <w:r>
              <w:rPr>
                <w:rFonts w:ascii="Arial" w:cs="Arial" w:eastAsia="Arial" w:hAnsi="Arial"/>
                <w:sz w:val="18"/>
                <w:szCs w:val="18"/>
                <w:color w:val="auto"/>
              </w:rPr>
              <w:t>All Other</w:t>
            </w:r>
          </w:p>
        </w:tc>
        <w:tc>
          <w:tcPr>
            <w:tcW w:w="240" w:type="dxa"/>
            <w:vAlign w:val="bottom"/>
            <w:tcBorders>
              <w:bottom w:val="single" w:sz="8" w:color="auto"/>
            </w:tcBorders>
            <w:shd w:val="clear" w:color="auto" w:fill="D1D2D4"/>
          </w:tcPr>
          <w:p>
            <w:pPr>
              <w:spacing w:after="0"/>
              <w:rPr>
                <w:sz w:val="22"/>
                <w:szCs w:val="22"/>
                <w:color w:val="auto"/>
              </w:rPr>
            </w:pPr>
          </w:p>
        </w:tc>
        <w:tc>
          <w:tcPr>
            <w:tcW w:w="6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340" w:type="dxa"/>
            <w:vAlign w:val="bottom"/>
            <w:shd w:val="clear" w:color="auto" w:fill="D1D2D4"/>
          </w:tcPr>
          <w:p>
            <w:pPr>
              <w:spacing w:after="0"/>
              <w:rPr>
                <w:sz w:val="22"/>
                <w:szCs w:val="22"/>
                <w:color w:val="auto"/>
              </w:rPr>
            </w:pPr>
          </w:p>
        </w:tc>
        <w:tc>
          <w:tcPr>
            <w:tcW w:w="5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w:t>
            </w:r>
          </w:p>
        </w:tc>
        <w:tc>
          <w:tcPr>
            <w:tcW w:w="240" w:type="dxa"/>
            <w:vAlign w:val="bottom"/>
            <w:tcBorders>
              <w:bottom w:val="single" w:sz="8" w:color="auto"/>
            </w:tcBorders>
            <w:shd w:val="clear" w:color="auto" w:fill="D1D2D4"/>
          </w:tcPr>
          <w:p>
            <w:pPr>
              <w:spacing w:after="0"/>
              <w:rPr>
                <w:sz w:val="22"/>
                <w:szCs w:val="22"/>
                <w:color w:val="auto"/>
              </w:rPr>
            </w:pPr>
          </w:p>
        </w:tc>
        <w:tc>
          <w:tcPr>
            <w:tcW w:w="66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13</w:t>
            </w:r>
          </w:p>
        </w:tc>
        <w:tc>
          <w:tcPr>
            <w:tcW w:w="320" w:type="dxa"/>
            <w:vAlign w:val="bottom"/>
            <w:shd w:val="clear" w:color="auto" w:fill="D1D2D4"/>
          </w:tcPr>
          <w:p>
            <w:pPr>
              <w:spacing w:after="0"/>
              <w:rPr>
                <w:sz w:val="22"/>
                <w:szCs w:val="22"/>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18 %</w:t>
            </w:r>
          </w:p>
        </w:tc>
        <w:tc>
          <w:tcPr>
            <w:tcW w:w="180" w:type="dxa"/>
            <w:vAlign w:val="bottom"/>
            <w:tcBorders>
              <w:bottom w:val="single" w:sz="8" w:color="auto"/>
            </w:tcBorders>
            <w:shd w:val="clear" w:color="auto" w:fill="D1D2D4"/>
          </w:tcPr>
          <w:p>
            <w:pPr>
              <w:spacing w:after="0"/>
              <w:rPr>
                <w:sz w:val="22"/>
                <w:szCs w:val="22"/>
                <w:color w:val="auto"/>
              </w:rPr>
            </w:pPr>
          </w:p>
        </w:tc>
        <w:tc>
          <w:tcPr>
            <w:tcW w:w="7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D1D2D4"/>
          </w:tcPr>
          <w:p>
            <w:pPr>
              <w:spacing w:after="0"/>
              <w:rPr>
                <w:sz w:val="22"/>
                <w:szCs w:val="22"/>
                <w:color w:val="auto"/>
              </w:rPr>
            </w:pPr>
          </w:p>
        </w:tc>
        <w:tc>
          <w:tcPr>
            <w:tcW w:w="5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 %</w:t>
            </w:r>
          </w:p>
        </w:tc>
      </w:tr>
      <w:tr>
        <w:trPr>
          <w:trHeight w:val="250"/>
        </w:trPr>
        <w:tc>
          <w:tcPr>
            <w:tcW w:w="574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3,419</w:t>
            </w:r>
          </w:p>
        </w:tc>
        <w:tc>
          <w:tcPr>
            <w:tcW w:w="340" w:type="dxa"/>
            <w:vAlign w:val="bottom"/>
          </w:tcPr>
          <w:p>
            <w:pPr>
              <w:spacing w:after="0"/>
              <w:rPr>
                <w:sz w:val="21"/>
                <w:szCs w:val="2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7,801</w:t>
            </w:r>
          </w:p>
        </w:tc>
        <w:tc>
          <w:tcPr>
            <w:tcW w:w="320" w:type="dxa"/>
            <w:vAlign w:val="bottom"/>
          </w:tcPr>
          <w:p>
            <w:pPr>
              <w:spacing w:after="0"/>
              <w:rPr>
                <w:sz w:val="21"/>
                <w:szCs w:val="21"/>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15,243</w:t>
            </w:r>
          </w:p>
        </w:tc>
        <w:tc>
          <w:tcPr>
            <w:tcW w:w="36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27"/>
        </w:trPr>
        <w:tc>
          <w:tcPr>
            <w:tcW w:w="574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Percentages reflect operating income (loss) as a percentage of revenue for each business unit.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Changes in operating income or loss for each business unit for 2020 as compared to 2019 were as follows:</w:t>
      </w:r>
    </w:p>
    <w:p>
      <w:pPr>
        <w:spacing w:after="0" w:line="252" w:lineRule="exact"/>
        <w:rPr>
          <w:sz w:val="20"/>
          <w:szCs w:val="20"/>
          <w:color w:val="auto"/>
        </w:rPr>
      </w:pPr>
    </w:p>
    <w:p>
      <w:pPr>
        <w:ind w:left="660" w:right="180" w:hanging="328"/>
        <w:spacing w:after="0" w:line="250"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CNBU operating income decreased primarily due to declines in DRAM pricing and MTU underutilization costs in 2020 related to 3D XPoint.</w:t>
      </w:r>
    </w:p>
    <w:p>
      <w:pPr>
        <w:ind w:left="660" w:right="300" w:hanging="328"/>
        <w:spacing w:after="0" w:line="250"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MBU operating income decreased primarily due to declines in low-power DRAM and NAND pricing, partially offset by increases in sales of high-value MCP products and manufacturing cost reductions.</w:t>
      </w:r>
    </w:p>
    <w:p>
      <w:pPr>
        <w:ind w:left="660" w:right="120" w:hanging="328"/>
        <w:spacing w:after="0" w:line="250"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SBU operating margin improved primarily due to lower 3D XPoint underutilization costs, manufacturing cost reductions, increases in sales volumes, and improved product mix, partially offset by declines in selling prices.</w:t>
      </w:r>
    </w:p>
    <w:p>
      <w:pPr>
        <w:ind w:left="660" w:right="260" w:hanging="328"/>
        <w:spacing w:after="0" w:line="261"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EBU operating income decreased as a result of declines in pricing, partially offset by increases in sales volumes to the automotive and industrial markets.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Changes in operating income or loss for each business unit for 2019 as compared to 2018 were as follows:</w:t>
      </w:r>
    </w:p>
    <w:p>
      <w:pPr>
        <w:spacing w:after="0" w:line="252" w:lineRule="exact"/>
        <w:rPr>
          <w:sz w:val="20"/>
          <w:szCs w:val="20"/>
          <w:color w:val="auto"/>
        </w:rPr>
      </w:pPr>
    </w:p>
    <w:p>
      <w:pPr>
        <w:ind w:left="660" w:right="180"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CNBU operating income decreased primarily due to declines in pricing and higher R&amp;D costs, partially offset by manufacturing cost reductions.</w:t>
      </w:r>
    </w:p>
    <w:p>
      <w:pPr>
        <w:ind w:left="660" w:right="360"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MBU operating income decreased primarily due to declines in pricing partially offset by increases in sales of high-value managed NAND products and manufacturing cost reductions.</w:t>
      </w:r>
    </w:p>
    <w:p>
      <w:pPr>
        <w:ind w:left="660" w:right="60" w:hanging="328"/>
        <w:spacing w:after="0" w:line="265" w:lineRule="auto"/>
        <w:tabs>
          <w:tab w:leader="none" w:pos="655" w:val="left"/>
        </w:tabs>
        <w:numPr>
          <w:ilvl w:val="0"/>
          <w:numId w:val="19"/>
        </w:numPr>
        <w:rPr>
          <w:rFonts w:ascii="Arial" w:cs="Arial" w:eastAsia="Arial" w:hAnsi="Arial"/>
          <w:sz w:val="17"/>
          <w:szCs w:val="17"/>
          <w:color w:val="auto"/>
        </w:rPr>
      </w:pPr>
      <w:r>
        <w:rPr>
          <w:rFonts w:ascii="Arial" w:cs="Arial" w:eastAsia="Arial" w:hAnsi="Arial"/>
          <w:sz w:val="17"/>
          <w:szCs w:val="17"/>
          <w:color w:val="auto"/>
        </w:rPr>
        <w:t>SBU operating margin declined primarily due to declines in pricing, which were partially offset by manufacturing cost reductions and increases in sales volumes. SBU operating results for 2019 and 2018 were adversely impacted by the underutilization costs at IMFT.</w:t>
      </w:r>
    </w:p>
    <w:p>
      <w:pPr>
        <w:ind w:left="660" w:right="580" w:hanging="328"/>
        <w:spacing w:after="0" w:line="246"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EBU operating income decreased as a result of declines in pricing and higher R&amp;D costs partially offset by manufacturing cost reductions and increases in sales volumes.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Operating Expenses and Other</w:t>
      </w:r>
    </w:p>
    <w:p>
      <w:pPr>
        <w:spacing w:after="0" w:line="24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b w:val="1"/>
          <w:bCs w:val="1"/>
          <w:i w:val="1"/>
          <w:iCs w:val="1"/>
          <w:color w:val="auto"/>
        </w:rPr>
        <w:t>Research and Development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R&amp;D expenses vary primarily with the number of development and pre-qualification wafers processed,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amounts reimbursed under R&amp;D cost-sharing agreements, the cost of advanced equipment dedicated to new product and process development, and personnel costs. Because of the lead times necessary to manufacture our products, we typically begin to process wafers before completion of performance and reliability testing. Development of a product is deemed complete when it is qualified through reviews and tests for performance and reliability. R&amp;D expenses can vary significantly depending on the timing of product qualification.</w:t>
      </w:r>
    </w:p>
    <w:p>
      <w:pPr>
        <w:spacing w:after="0" w:line="228"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R&amp;D expenses for 2020 were 7% higher as compared to 2019 primarily due to increases in volumes of development and pre-qualification wafers, a reduction of R&amp;D reimbursements from our partners, increases in employee compensation, and increases in subcontractor expense, partially offset by lower depreciation expense from the revision of the estimated useful lives of equipment. R&amp;D expenses were reduced by $ 110 million in 2020 due to the revision of the estimated useful lives of equipment. R&amp;D expenses for 2019 were 14% higher as compared to 2018 primarily due to decreases in reimbursements from our R&amp;D cost-sharing arrangements, increases in depreciation expense as a result of increases in capital spending, and increases in employee compensation.</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sz w:val="1"/>
          <w:szCs w:val="1"/>
          <w:color w:val="auto"/>
        </w:rPr>
        <w:drawing>
          <wp:inline distT="0" distB="0" distL="0" distR="0">
            <wp:extent cx="608330" cy="171450"/>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8330" cy="171450"/>
                    </a:xfrm>
                    <a:prstGeom prst="rect">
                      <a:avLst/>
                    </a:prstGeom>
                    <a:noFill/>
                    <a:ln>
                      <a:noFill/>
                    </a:ln>
                  </pic:spPr>
                </pic:pic>
              </a:graphicData>
            </a:graphic>
          </wp:inline>
        </w:drawing>
      </w:r>
      <w:r>
        <w:rPr>
          <w:rFonts w:ascii="Arial" w:cs="Arial" w:eastAsia="Arial" w:hAnsi="Arial"/>
          <w:sz w:val="18"/>
          <w:szCs w:val="18"/>
          <w:color w:val="auto"/>
        </w:rPr>
        <w:t xml:space="preserve">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1" w:name="page42"/>
    <w:bookmarkEnd w:id="41"/>
    <w:p>
      <w:pPr>
        <w:ind w:right="40"/>
        <w:spacing w:after="0" w:line="254" w:lineRule="auto"/>
        <w:rPr>
          <w:sz w:val="20"/>
          <w:szCs w:val="20"/>
          <w:color w:val="auto"/>
        </w:rPr>
      </w:pPr>
      <w:r>
        <w:rPr>
          <w:rFonts w:ascii="Arial" w:cs="Arial" w:eastAsia="Arial" w:hAnsi="Arial"/>
          <w:sz w:val="18"/>
          <w:szCs w:val="18"/>
          <w:color w:val="auto"/>
        </w:rPr>
        <w:t>We shared the cost of certain product and process development activities with development partners, including agreements to jointly develop NAND and 3D XPoint technologies with Intel. We substantially completed our cost-sharing agreements with Intel to develop 3D NAND and 3D XPoint technology in 2019 and 2020, respectively. Our R&amp;D expenses were reduced by $60 million for 2019 and $201 million for 2018 from reimbursements under these arrangements. Reimbursements were not significant in 2020.</w:t>
      </w:r>
    </w:p>
    <w:p>
      <w:pPr>
        <w:spacing w:after="0" w:line="209"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b w:val="1"/>
          <w:bCs w:val="1"/>
          <w:i w:val="1"/>
          <w:iCs w:val="1"/>
          <w:color w:val="auto"/>
        </w:rPr>
        <w:t>Selling, General, and Administrative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SG&amp;A expenses for 2020 were 5% higher as compared to 2019 due to increases in employee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and legal costs, partially offset by a reduction in consulting fees. SG&amp;A expenses for 2019 were 3% higher as compared to 2018 primarily due to increases in legal costs and consulting fees, partially offset by a reduction in employee compensation and sales commissions.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640" w:type="dxa"/>
            <w:vAlign w:val="bottom"/>
          </w:tcPr>
          <w:p>
            <w:pPr>
              <w:spacing w:after="0"/>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income tax (provision) benefit consisted of the following:</w:t>
            </w: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664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For the year ended</w:t>
            </w:r>
          </w:p>
        </w:tc>
        <w:tc>
          <w:tcPr>
            <w:tcW w:w="360" w:type="dxa"/>
            <w:vAlign w:val="bottom"/>
            <w:tcBorders>
              <w:bottom w:val="single" w:sz="8" w:color="0090DA"/>
            </w:tcBorders>
          </w:tcPr>
          <w:p>
            <w:pPr>
              <w:spacing w:after="0"/>
              <w:rPr>
                <w:sz w:val="24"/>
                <w:szCs w:val="24"/>
                <w:color w:val="auto"/>
              </w:rPr>
            </w:pPr>
          </w:p>
        </w:tc>
        <w:tc>
          <w:tcPr>
            <w:tcW w:w="1020" w:type="dxa"/>
            <w:vAlign w:val="bottom"/>
            <w:tcBorders>
              <w:bottom w:val="single" w:sz="8" w:color="0090DA"/>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bottom w:val="single" w:sz="8" w:color="0090DA"/>
            </w:tcBorders>
          </w:tcPr>
          <w:p>
            <w:pPr>
              <w:spacing w:after="0"/>
              <w:rPr>
                <w:sz w:val="24"/>
                <w:szCs w:val="24"/>
                <w:color w:val="auto"/>
              </w:rPr>
            </w:pPr>
          </w:p>
        </w:tc>
        <w:tc>
          <w:tcPr>
            <w:tcW w:w="980" w:type="dxa"/>
            <w:vAlign w:val="bottom"/>
            <w:tcBorders>
              <w:bottom w:val="single" w:sz="8" w:color="0090DA"/>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540" w:type="dxa"/>
            <w:vAlign w:val="bottom"/>
            <w:tcBorders>
              <w:bottom w:val="single" w:sz="8" w:color="0090DA"/>
            </w:tcBorders>
          </w:tcPr>
          <w:p>
            <w:pPr>
              <w:spacing w:after="0"/>
              <w:rPr>
                <w:sz w:val="24"/>
                <w:szCs w:val="24"/>
                <w:color w:val="auto"/>
              </w:rPr>
            </w:pPr>
          </w:p>
        </w:tc>
        <w:tc>
          <w:tcPr>
            <w:tcW w:w="1180" w:type="dxa"/>
            <w:vAlign w:val="bottom"/>
            <w:tcBorders>
              <w:bottom w:val="single" w:sz="8" w:color="0090DA"/>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41"/>
        </w:trPr>
        <w:tc>
          <w:tcPr>
            <w:tcW w:w="6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664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Income tax (provision) benefit, excluding items below</w:t>
            </w:r>
          </w:p>
        </w:tc>
        <w:tc>
          <w:tcPr>
            <w:tcW w:w="36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(117)</w:t>
            </w:r>
          </w:p>
        </w:tc>
        <w:tc>
          <w:tcPr>
            <w:tcW w:w="52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(530)</w:t>
            </w:r>
          </w:p>
        </w:tc>
        <w:tc>
          <w:tcPr>
            <w:tcW w:w="54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188"/>
        </w:trPr>
        <w:tc>
          <w:tcPr>
            <w:tcW w:w="6640" w:type="dxa"/>
            <w:vAlign w:val="bottom"/>
          </w:tcPr>
          <w:p>
            <w:pPr>
              <w:ind w:left="20"/>
              <w:spacing w:after="0" w:line="189" w:lineRule="exact"/>
              <w:rPr>
                <w:sz w:val="20"/>
                <w:szCs w:val="20"/>
                <w:color w:val="auto"/>
              </w:rPr>
            </w:pPr>
            <w:r>
              <w:rPr>
                <w:rFonts w:ascii="Arial" w:cs="Arial" w:eastAsia="Arial" w:hAnsi="Arial"/>
                <w:sz w:val="18"/>
                <w:szCs w:val="18"/>
                <w:color w:val="auto"/>
              </w:rPr>
              <w:t>Utilization of and other changes in net deferred tax assets of MMJ, MMT, and</w:t>
            </w:r>
          </w:p>
        </w:tc>
        <w:tc>
          <w:tcPr>
            <w:tcW w:w="36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(163)</w:t>
            </w:r>
          </w:p>
        </w:tc>
        <w:tc>
          <w:tcPr>
            <w:tcW w:w="52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(173)</w:t>
            </w:r>
          </w:p>
        </w:tc>
        <w:tc>
          <w:tcPr>
            <w:tcW w:w="540" w:type="dxa"/>
            <w:vAlign w:val="bottom"/>
          </w:tcPr>
          <w:p>
            <w:pPr>
              <w:spacing w:after="0"/>
              <w:rPr>
                <w:sz w:val="16"/>
                <w:szCs w:val="16"/>
                <w:color w:val="auto"/>
              </w:rPr>
            </w:pPr>
          </w:p>
        </w:tc>
        <w:tc>
          <w:tcPr>
            <w:tcW w:w="1180" w:type="dxa"/>
            <w:vAlign w:val="bottom"/>
            <w:vMerge w:val="restart"/>
          </w:tcPr>
          <w:p>
            <w:pPr>
              <w:jc w:val="right"/>
              <w:ind w:right="11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7"/>
        </w:trPr>
        <w:tc>
          <w:tcPr>
            <w:tcW w:w="6640" w:type="dxa"/>
            <w:vAlign w:val="bottom"/>
          </w:tcPr>
          <w:p>
            <w:pPr>
              <w:ind w:left="180"/>
              <w:spacing w:after="0"/>
              <w:rPr>
                <w:sz w:val="20"/>
                <w:szCs w:val="20"/>
                <w:color w:val="auto"/>
              </w:rPr>
            </w:pPr>
            <w:r>
              <w:rPr>
                <w:rFonts w:ascii="Arial" w:cs="Arial" w:eastAsia="Arial" w:hAnsi="Arial"/>
                <w:sz w:val="18"/>
                <w:szCs w:val="18"/>
                <w:color w:val="auto"/>
              </w:rPr>
              <w:t>MTTW</w:t>
            </w:r>
          </w:p>
        </w:tc>
        <w:tc>
          <w:tcPr>
            <w:tcW w:w="36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64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Repatriation Tax, net of adjustments related to uncertain tax positions</w:t>
            </w:r>
          </w:p>
        </w:tc>
        <w:tc>
          <w:tcPr>
            <w:tcW w:w="360" w:type="dxa"/>
            <w:vAlign w:val="bottom"/>
            <w:shd w:val="clear" w:color="auto" w:fill="D1D2D4"/>
          </w:tcPr>
          <w:p>
            <w:pPr>
              <w:spacing w:after="0"/>
              <w:rPr>
                <w:sz w:val="22"/>
                <w:szCs w:val="22"/>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D1D2D4"/>
          </w:tcPr>
          <w:p>
            <w:pPr>
              <w:spacing w:after="0"/>
              <w:rPr>
                <w:sz w:val="22"/>
                <w:szCs w:val="22"/>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w:t>
            </w:r>
          </w:p>
        </w:tc>
        <w:tc>
          <w:tcPr>
            <w:tcW w:w="540" w:type="dxa"/>
            <w:vAlign w:val="bottom"/>
            <w:shd w:val="clear" w:color="auto" w:fill="D1D2D4"/>
          </w:tcPr>
          <w:p>
            <w:pPr>
              <w:spacing w:after="0"/>
              <w:rPr>
                <w:sz w:val="22"/>
                <w:szCs w:val="22"/>
                <w:color w:val="auto"/>
              </w:rPr>
            </w:pPr>
          </w:p>
        </w:tc>
        <w:tc>
          <w:tcPr>
            <w:tcW w:w="118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188"/>
        </w:trPr>
        <w:tc>
          <w:tcPr>
            <w:tcW w:w="6640" w:type="dxa"/>
            <w:vAlign w:val="bottom"/>
          </w:tcPr>
          <w:p>
            <w:pPr>
              <w:ind w:left="20"/>
              <w:spacing w:after="0" w:line="189" w:lineRule="exact"/>
              <w:rPr>
                <w:sz w:val="20"/>
                <w:szCs w:val="20"/>
                <w:color w:val="auto"/>
              </w:rPr>
            </w:pPr>
            <w:r>
              <w:rPr>
                <w:rFonts w:ascii="Arial" w:cs="Arial" w:eastAsia="Arial" w:hAnsi="Arial"/>
                <w:sz w:val="18"/>
                <w:szCs w:val="18"/>
                <w:color w:val="auto"/>
              </w:rPr>
              <w:t>Release of the valuation allowance on net deferred tax assets of our U.S.</w:t>
            </w:r>
          </w:p>
        </w:tc>
        <w:tc>
          <w:tcPr>
            <w:tcW w:w="36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6"/>
                <w:szCs w:val="16"/>
                <w:color w:val="auto"/>
              </w:rPr>
            </w:pPr>
          </w:p>
        </w:tc>
        <w:tc>
          <w:tcPr>
            <w:tcW w:w="1180" w:type="dxa"/>
            <w:vAlign w:val="bottom"/>
            <w:vMerge w:val="restart"/>
          </w:tcPr>
          <w:p>
            <w:pPr>
              <w:jc w:val="right"/>
              <w:ind w:right="170"/>
              <w:spacing w:after="0"/>
              <w:rPr>
                <w:sz w:val="20"/>
                <w:szCs w:val="20"/>
                <w:color w:val="auto"/>
              </w:rPr>
            </w:pPr>
            <w:r>
              <w:rPr>
                <w:rFonts w:ascii="Arial" w:cs="Arial" w:eastAsia="Arial" w:hAnsi="Arial"/>
                <w:sz w:val="18"/>
                <w:szCs w:val="18"/>
                <w:color w:val="auto"/>
              </w:rPr>
              <w:t>1,337</w:t>
            </w:r>
          </w:p>
        </w:tc>
        <w:tc>
          <w:tcPr>
            <w:tcW w:w="0" w:type="dxa"/>
            <w:vAlign w:val="bottom"/>
          </w:tcPr>
          <w:p>
            <w:pPr>
              <w:spacing w:after="0"/>
              <w:rPr>
                <w:sz w:val="1"/>
                <w:szCs w:val="1"/>
                <w:color w:val="auto"/>
              </w:rPr>
            </w:pPr>
          </w:p>
        </w:tc>
      </w:tr>
      <w:tr>
        <w:trPr>
          <w:trHeight w:val="217"/>
        </w:trPr>
        <w:tc>
          <w:tcPr>
            <w:tcW w:w="6640" w:type="dxa"/>
            <w:vAlign w:val="bottom"/>
          </w:tcPr>
          <w:p>
            <w:pPr>
              <w:ind w:left="180"/>
              <w:spacing w:after="0"/>
              <w:rPr>
                <w:sz w:val="20"/>
                <w:szCs w:val="20"/>
                <w:color w:val="auto"/>
              </w:rPr>
            </w:pPr>
            <w:r>
              <w:rPr>
                <w:rFonts w:ascii="Arial" w:cs="Arial" w:eastAsia="Arial" w:hAnsi="Arial"/>
                <w:sz w:val="18"/>
                <w:szCs w:val="18"/>
                <w:color w:val="auto"/>
              </w:rPr>
              <w:t>operations</w:t>
            </w:r>
          </w:p>
        </w:tc>
        <w:tc>
          <w:tcPr>
            <w:tcW w:w="36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4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Remeasurement of deferred tax assets and liabilities reflecting lower U.S.</w:t>
            </w:r>
          </w:p>
        </w:tc>
        <w:tc>
          <w:tcPr>
            <w:tcW w:w="360" w:type="dxa"/>
            <w:vAlign w:val="bottom"/>
            <w:shd w:val="clear" w:color="auto" w:fill="D1D2D4"/>
          </w:tcPr>
          <w:p>
            <w:pPr>
              <w:spacing w:after="0"/>
              <w:rPr>
                <w:sz w:val="19"/>
                <w:szCs w:val="19"/>
                <w:color w:val="auto"/>
              </w:rPr>
            </w:pPr>
          </w:p>
        </w:tc>
        <w:tc>
          <w:tcPr>
            <w:tcW w:w="1020" w:type="dxa"/>
            <w:vAlign w:val="bottom"/>
            <w:shd w:val="clear" w:color="auto" w:fill="D1D2D4"/>
          </w:tcPr>
          <w:p>
            <w:pPr>
              <w:spacing w:after="0"/>
              <w:rPr>
                <w:sz w:val="19"/>
                <w:szCs w:val="19"/>
                <w:color w:val="auto"/>
              </w:rPr>
            </w:pPr>
          </w:p>
        </w:tc>
        <w:tc>
          <w:tcPr>
            <w:tcW w:w="520" w:type="dxa"/>
            <w:vAlign w:val="bottom"/>
            <w:shd w:val="clear" w:color="auto" w:fill="D1D2D4"/>
          </w:tcPr>
          <w:p>
            <w:pPr>
              <w:spacing w:after="0"/>
              <w:rPr>
                <w:sz w:val="19"/>
                <w:szCs w:val="19"/>
                <w:color w:val="auto"/>
              </w:rPr>
            </w:pPr>
          </w:p>
        </w:tc>
        <w:tc>
          <w:tcPr>
            <w:tcW w:w="980" w:type="dxa"/>
            <w:vAlign w:val="bottom"/>
            <w:shd w:val="clear" w:color="auto" w:fill="D1D2D4"/>
          </w:tcPr>
          <w:p>
            <w:pPr>
              <w:spacing w:after="0"/>
              <w:rPr>
                <w:sz w:val="19"/>
                <w:szCs w:val="19"/>
                <w:color w:val="auto"/>
              </w:rPr>
            </w:pPr>
          </w:p>
        </w:tc>
        <w:tc>
          <w:tcPr>
            <w:tcW w:w="54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640" w:type="dxa"/>
            <w:vAlign w:val="bottom"/>
            <w:shd w:val="clear" w:color="auto" w:fill="D1D2D4"/>
          </w:tcPr>
          <w:p>
            <w:pPr>
              <w:ind w:left="20"/>
              <w:spacing w:after="0"/>
              <w:rPr>
                <w:sz w:val="20"/>
                <w:szCs w:val="20"/>
                <w:color w:val="auto"/>
              </w:rPr>
            </w:pPr>
            <w:r>
              <w:rPr>
                <w:rFonts w:ascii="Arial" w:cs="Arial" w:eastAsia="Arial" w:hAnsi="Arial"/>
                <w:sz w:val="18"/>
                <w:szCs w:val="18"/>
                <w:color w:val="auto"/>
              </w:rPr>
              <w:t>corporate tax rates</w:t>
            </w:r>
          </w:p>
        </w:tc>
        <w:tc>
          <w:tcPr>
            <w:tcW w:w="360" w:type="dxa"/>
            <w:vAlign w:val="bottom"/>
            <w:tcBorders>
              <w:bottom w:val="single" w:sz="8" w:color="auto"/>
            </w:tcBorders>
            <w:shd w:val="clear" w:color="auto" w:fill="D1D2D4"/>
          </w:tcPr>
          <w:p>
            <w:pPr>
              <w:spacing w:after="0"/>
              <w:rPr>
                <w:sz w:val="19"/>
                <w:szCs w:val="19"/>
                <w:color w:val="auto"/>
              </w:rPr>
            </w:pPr>
          </w:p>
        </w:tc>
        <w:tc>
          <w:tcPr>
            <w:tcW w:w="10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D1D2D4"/>
          </w:tcPr>
          <w:p>
            <w:pPr>
              <w:spacing w:after="0"/>
              <w:rPr>
                <w:sz w:val="19"/>
                <w:szCs w:val="19"/>
                <w:color w:val="auto"/>
              </w:rPr>
            </w:pPr>
          </w:p>
        </w:tc>
        <w:tc>
          <w:tcPr>
            <w:tcW w:w="9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ind w:right="11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50"/>
        </w:trPr>
        <w:tc>
          <w:tcPr>
            <w:tcW w:w="664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5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w:t>
            </w:r>
          </w:p>
        </w:tc>
        <w:tc>
          <w:tcPr>
            <w:tcW w:w="5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
        </w:trPr>
        <w:tc>
          <w:tcPr>
            <w:tcW w:w="6640" w:type="dxa"/>
            <w:vAlign w:val="bottom"/>
            <w:tcBorders>
              <w:bottom w:val="single" w:sz="8" w:color="D1D2D4"/>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6640" w:type="dxa"/>
            <w:vAlign w:val="bottom"/>
            <w:shd w:val="clear" w:color="auto" w:fill="D1D2D4"/>
          </w:tcPr>
          <w:p>
            <w:pPr>
              <w:spacing w:after="0"/>
              <w:rPr>
                <w:sz w:val="19"/>
                <w:szCs w:val="19"/>
                <w:color w:val="auto"/>
              </w:rPr>
            </w:pPr>
          </w:p>
        </w:tc>
        <w:tc>
          <w:tcPr>
            <w:tcW w:w="360" w:type="dxa"/>
            <w:vAlign w:val="bottom"/>
            <w:shd w:val="clear" w:color="auto" w:fill="D1D2D4"/>
          </w:tcPr>
          <w:p>
            <w:pPr>
              <w:spacing w:after="0"/>
              <w:rPr>
                <w:sz w:val="19"/>
                <w:szCs w:val="19"/>
                <w:color w:val="auto"/>
              </w:rPr>
            </w:pPr>
          </w:p>
        </w:tc>
        <w:tc>
          <w:tcPr>
            <w:tcW w:w="1020" w:type="dxa"/>
            <w:vAlign w:val="bottom"/>
            <w:shd w:val="clear" w:color="auto" w:fill="D1D2D4"/>
          </w:tcPr>
          <w:p>
            <w:pPr>
              <w:spacing w:after="0"/>
              <w:rPr>
                <w:sz w:val="19"/>
                <w:szCs w:val="19"/>
                <w:color w:val="auto"/>
              </w:rPr>
            </w:pPr>
          </w:p>
        </w:tc>
        <w:tc>
          <w:tcPr>
            <w:tcW w:w="520" w:type="dxa"/>
            <w:vAlign w:val="bottom"/>
            <w:shd w:val="clear" w:color="auto" w:fill="D1D2D4"/>
          </w:tcPr>
          <w:p>
            <w:pPr>
              <w:spacing w:after="0"/>
              <w:rPr>
                <w:sz w:val="19"/>
                <w:szCs w:val="19"/>
                <w:color w:val="auto"/>
              </w:rPr>
            </w:pPr>
          </w:p>
        </w:tc>
        <w:tc>
          <w:tcPr>
            <w:tcW w:w="980" w:type="dxa"/>
            <w:vAlign w:val="bottom"/>
            <w:shd w:val="clear" w:color="auto" w:fill="D1D2D4"/>
          </w:tcPr>
          <w:p>
            <w:pPr>
              <w:spacing w:after="0"/>
              <w:rPr>
                <w:sz w:val="19"/>
                <w:szCs w:val="19"/>
                <w:color w:val="auto"/>
              </w:rPr>
            </w:pPr>
          </w:p>
        </w:tc>
        <w:tc>
          <w:tcPr>
            <w:tcW w:w="54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64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3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w:t>
            </w:r>
          </w:p>
        </w:tc>
        <w:tc>
          <w:tcPr>
            <w:tcW w:w="520" w:type="dxa"/>
            <w:vAlign w:val="bottom"/>
          </w:tcPr>
          <w:p>
            <w:pPr>
              <w:jc w:val="right"/>
              <w:ind w:right="270"/>
              <w:spacing w:after="0"/>
              <w:rPr>
                <w:sz w:val="20"/>
                <w:szCs w:val="20"/>
                <w:color w:val="auto"/>
              </w:rPr>
            </w:pPr>
            <w:r>
              <w:rPr>
                <w:rFonts w:ascii="Arial" w:cs="Arial" w:eastAsia="Arial" w:hAnsi="Arial"/>
                <w:sz w:val="18"/>
                <w:szCs w:val="18"/>
                <w:color w:val="auto"/>
                <w:w w:val="87"/>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9.8</w:t>
            </w:r>
          </w:p>
        </w:tc>
        <w:tc>
          <w:tcPr>
            <w:tcW w:w="54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bl>
    <w:p>
      <w:pPr>
        <w:spacing w:after="0" w:line="350"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Our income tax provision decreased in 2020 as compared to 2019 primarily as a result of reductions in our profit before tax. Our effective tax rate increased in 2019 as compared to 2018 primarily as a result of the Foreign Minimum Tax. In December 2017, the United States enacted the Tax Cuts and Jobs Act (the “Tax Act”), which imposed a one-time transition tax in 2018 (the “Repatriation Tax”) and, beginning in 2019, created a new minimum tax on certain foreign earnings (the “Foreign Minimum Tax”). We recognize the Foreign Minimum Tax in the period the tax is incurred.</w:t>
      </w:r>
    </w:p>
    <w:p>
      <w:pPr>
        <w:spacing w:after="0" w:line="232"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We operate in a number of jurisdictions outside the United States, including Singapore, where we have tax incentive arrangements. These incentives expire, in whole or in part, at various dates through 2034 and are conditional, in part, upon meeting certain business operations and employment thresholds. The effect of tax incentive arrangements reduced our tax provision by $215 million (benefiting our diluted earnings per share by $0.19) for 2020, by $756 million ($0.66 per diluted share) for 2019, and by $1.96 billion ($1.59 per diluted share) for 2018.</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(See “Item 8. Financial Statements and Supplementary Data – Notes to Consolidated Financial Statements – Income Taxes.”)</w:t>
      </w:r>
    </w:p>
    <w:p>
      <w:pPr>
        <w:spacing w:after="0" w:line="230"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b w:val="1"/>
          <w:bCs w:val="1"/>
          <w:i w:val="1"/>
          <w:iCs w:val="1"/>
          <w:color w:val="auto"/>
        </w:rPr>
        <w:t>Other</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expense for 2020 increased 52% as compared to 2019 primarily due to an increase in the average level of outstanding debt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obligations in 2020 as compared to 2019 and to a reduction in the amount of interest expense capitalized in 2020 as compared to 2019 resulting from lower levels of capital projects in process. Interest income for 2020 decreased 44% as compared to 2019 as a result of decreases in interest rates, partially offset by higher average levels of cash and investment balances.</w:t>
      </w:r>
    </w:p>
    <w:p>
      <w:pPr>
        <w:spacing w:after="0" w:line="22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Interest expense for 2019 decreased 63% as compared to 2018 primarily due to prepayments, repurchases, and conversions of debt and to an increase in the amount of interest expense capitalized from higher levels of capital spending, partially offset by increases in debt obligations. Interest income for 2019 increased 71% as compared to 2018 primarily due to increases in interest rates.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39 </w:t>
      </w:r>
      <w:r>
        <w:rPr>
          <w:rFonts w:ascii="Arial" w:cs="Arial" w:eastAsia="Arial" w:hAnsi="Arial"/>
          <w:sz w:val="21"/>
          <w:szCs w:val="21"/>
          <w:b w:val="1"/>
          <w:bCs w:val="1"/>
          <w:color w:val="0090DA"/>
        </w:rPr>
        <w:t>|</w:t>
      </w:r>
      <w:r>
        <w:rPr>
          <w:rFonts w:ascii="Arial" w:cs="Arial" w:eastAsia="Arial" w:hAnsi="Arial"/>
          <w:sz w:val="18"/>
          <w:szCs w:val="18"/>
          <w:color w:val="auto"/>
        </w:rPr>
        <w:t xml:space="preserve"> 2020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Further discussion of other operating and non-operating income and expenses can be found in the following notes contained in “Item 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Statements and Supplementary Data – Notes to Consolidated Financial Statements”:</w:t>
      </w:r>
    </w:p>
    <w:p>
      <w:pPr>
        <w:spacing w:after="0" w:line="252"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Equity Plans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Research and Development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Operating Income (Expense), Net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Non-Operating Income (Expense), Net</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Liquidity and Capital Resources</w:t>
      </w:r>
    </w:p>
    <w:p>
      <w:pPr>
        <w:spacing w:after="0" w:line="26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primary sources of liquidity are cash generated from operations and financing obtained from capital markets and financial institutions. Cash generated from operations is highly dependent on selling prices for our products, which can vary significantly from period to period. We are continuously evaluating alternatives for efficiently funding our capital expenditures and ongoing operations. We expect, from time to time, to engage in a variety of financing transactions for such purposes, including the issuance of securities. As of September 3, 2020, $2.50 billion was available to draw under our Revolving Credit Facility. We expect that our cash and investments, cash flows from operations, and available financing will be sufficient to meet our requirements at least through the next 12 months.</w:t>
      </w:r>
    </w:p>
    <w:p>
      <w:pPr>
        <w:spacing w:after="0" w:line="23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To develop new product and process technology, support future growth, achieve operating efficiencies, and maintain product quality, we must continue to invest in manufacturing technologies, facilities and equipment, and R&amp;D. We estimate capital expenditures in 2021 for property, plant, and equipment, net of partner contributions, to be approximately $9 billion, focused on technology transitions and product enablement, and expect the timing of our capital expenditures to be more heavily weighted toward the first half of 2021. Actual amounts for 2021 will vary depending on market conditions. As of September 3, 2020, we had purchase obligations of approximately $2.95 billion for the acquisition of property, plant, and equipment, of which approximately $2.76 billion is expected to be paid within one year.</w:t>
      </w:r>
    </w:p>
    <w:p>
      <w:pPr>
        <w:spacing w:after="0" w:line="23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Board of Directors has authorized the discretionary repurchase of up to $10 billion of our outstanding common stock through open-market purchases, block trades, privately-negotiated transactions, derivative transactions, and/or pursuant to a Rule 10b5-1 trading plan. The repurchase authorization has no expiration date, does not obligate us to acquire any common stock, and is subject to market conditions and our ongoing determination of the best use of available cash. Through September 3, 2020, we had repurchased an aggregate of $2.84 billion of the authorized amount. See “Item 8. Financial Statements and Supplementary Data – Notes to Consolidated Financial Statements – Equity.”</w:t>
      </w:r>
    </w:p>
    <w:p>
      <w:pPr>
        <w:spacing w:after="0" w:line="23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Cash and marketable investments totaled $9.19 billion as of September 3, 2020 and $9.12 billion as of August 29, 2019. Our investments consist primarily of bank deposits, money market funds, and liquid investment-grade, fixed-income securities, which are diversified among industries and individual issuers. To mitigate credit risk, we invest through high-credit-quality financial institutions and by policy generally limit the concentration of credit exposure by restricting the amount of investments with any single obligor. As of September 3, 2020, $3.30 billion of our cash and marketable investments was held by our foreign subsidiaries.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840" w:type="dxa"/>
            <w:vAlign w:val="bottom"/>
          </w:tcPr>
          <w:p>
            <w:pPr>
              <w:spacing w:after="0"/>
              <w:rPr>
                <w:sz w:val="20"/>
                <w:szCs w:val="20"/>
                <w:color w:val="auto"/>
              </w:rPr>
            </w:pPr>
            <w:r>
              <w:rPr>
                <w:rFonts w:ascii="Arial" w:cs="Arial" w:eastAsia="Arial" w:hAnsi="Arial"/>
                <w:sz w:val="18"/>
                <w:szCs w:val="18"/>
                <w:b w:val="1"/>
                <w:bCs w:val="1"/>
                <w:i w:val="1"/>
                <w:iCs w:val="1"/>
                <w:color w:val="auto"/>
              </w:rPr>
              <w:t>Cash Flows</w:t>
            </w:r>
            <w:r>
              <w:rPr>
                <w:rFonts w:ascii="Arial" w:cs="Arial" w:eastAsia="Arial" w:hAnsi="Arial"/>
                <w:sz w:val="18"/>
                <w:szCs w:val="18"/>
                <w:b w:val="1"/>
                <w:bCs w:val="1"/>
                <w:color w:val="auto"/>
              </w:rPr>
              <w:t>:</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7"/>
        </w:trPr>
        <w:tc>
          <w:tcPr>
            <w:tcW w:w="684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For the year ended</w:t>
            </w:r>
          </w:p>
        </w:tc>
        <w:tc>
          <w:tcPr>
            <w:tcW w:w="320" w:type="dxa"/>
            <w:vAlign w:val="bottom"/>
            <w:tcBorders>
              <w:bottom w:val="single" w:sz="8" w:color="0090DA"/>
            </w:tcBorders>
          </w:tcPr>
          <w:p>
            <w:pPr>
              <w:spacing w:after="0"/>
              <w:rPr>
                <w:sz w:val="24"/>
                <w:szCs w:val="24"/>
                <w:color w:val="auto"/>
              </w:rPr>
            </w:pPr>
          </w:p>
        </w:tc>
        <w:tc>
          <w:tcPr>
            <w:tcW w:w="11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bottom w:val="single" w:sz="8" w:color="0090DA"/>
            </w:tcBorders>
          </w:tcPr>
          <w:p>
            <w:pPr>
              <w:spacing w:after="0"/>
              <w:rPr>
                <w:sz w:val="24"/>
                <w:szCs w:val="24"/>
                <w:color w:val="auto"/>
              </w:rPr>
            </w:pPr>
          </w:p>
        </w:tc>
        <w:tc>
          <w:tcPr>
            <w:tcW w:w="114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340" w:type="dxa"/>
            <w:vAlign w:val="bottom"/>
            <w:tcBorders>
              <w:bottom w:val="single" w:sz="8" w:color="0090DA"/>
            </w:tcBorders>
          </w:tcPr>
          <w:p>
            <w:pPr>
              <w:spacing w:after="0"/>
              <w:rPr>
                <w:sz w:val="24"/>
                <w:szCs w:val="24"/>
                <w:color w:val="auto"/>
              </w:rPr>
            </w:pPr>
          </w:p>
        </w:tc>
        <w:tc>
          <w:tcPr>
            <w:tcW w:w="1140" w:type="dxa"/>
            <w:vAlign w:val="bottom"/>
            <w:tcBorders>
              <w:bottom w:val="single" w:sz="8" w:color="0090DA"/>
            </w:tcBorders>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40"/>
        </w:trPr>
        <w:tc>
          <w:tcPr>
            <w:tcW w:w="6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57"/>
        </w:trPr>
        <w:tc>
          <w:tcPr>
            <w:tcW w:w="684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8,306</w:t>
            </w:r>
          </w:p>
        </w:tc>
        <w:tc>
          <w:tcPr>
            <w:tcW w:w="34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13,189</w:t>
            </w:r>
          </w:p>
        </w:tc>
        <w:tc>
          <w:tcPr>
            <w:tcW w:w="34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17,400</w:t>
            </w:r>
          </w:p>
        </w:tc>
      </w:tr>
      <w:tr>
        <w:trPr>
          <w:trHeight w:val="250"/>
        </w:trPr>
        <w:tc>
          <w:tcPr>
            <w:tcW w:w="6840" w:type="dxa"/>
            <w:vAlign w:val="bottom"/>
          </w:tcPr>
          <w:p>
            <w:pPr>
              <w:ind w:left="20"/>
              <w:spacing w:after="0"/>
              <w:rPr>
                <w:sz w:val="20"/>
                <w:szCs w:val="20"/>
                <w:color w:val="auto"/>
              </w:rPr>
            </w:pPr>
            <w:r>
              <w:rPr>
                <w:rFonts w:ascii="Arial" w:cs="Arial" w:eastAsia="Arial" w:hAnsi="Arial"/>
                <w:sz w:val="18"/>
                <w:szCs w:val="18"/>
                <w:color w:val="auto"/>
              </w:rPr>
              <w:t>Net cash provided by (used for) investing activities</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(7,589)</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(10,085)</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(8,216)</w:t>
            </w:r>
          </w:p>
        </w:tc>
      </w:tr>
      <w:tr>
        <w:trPr>
          <w:trHeight w:val="263"/>
        </w:trPr>
        <w:tc>
          <w:tcPr>
            <w:tcW w:w="684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cash provided by (used for) financing activities</w:t>
            </w:r>
          </w:p>
        </w:tc>
        <w:tc>
          <w:tcPr>
            <w:tcW w:w="320" w:type="dxa"/>
            <w:vAlign w:val="bottom"/>
            <w:shd w:val="clear" w:color="auto" w:fill="D1D2D4"/>
          </w:tcPr>
          <w:p>
            <w:pPr>
              <w:spacing w:after="0"/>
              <w:rPr>
                <w:sz w:val="22"/>
                <w:szCs w:val="22"/>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(317)</w:t>
            </w:r>
          </w:p>
        </w:tc>
        <w:tc>
          <w:tcPr>
            <w:tcW w:w="340" w:type="dxa"/>
            <w:vAlign w:val="bottom"/>
            <w:shd w:val="clear" w:color="auto" w:fill="D1D2D4"/>
          </w:tcPr>
          <w:p>
            <w:pPr>
              <w:spacing w:after="0"/>
              <w:rPr>
                <w:sz w:val="22"/>
                <w:szCs w:val="22"/>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(2,438)</w:t>
            </w:r>
          </w:p>
        </w:tc>
        <w:tc>
          <w:tcPr>
            <w:tcW w:w="340" w:type="dxa"/>
            <w:vAlign w:val="bottom"/>
            <w:shd w:val="clear" w:color="auto" w:fill="D1D2D4"/>
          </w:tcPr>
          <w:p>
            <w:pPr>
              <w:spacing w:after="0"/>
              <w:rPr>
                <w:sz w:val="22"/>
                <w:szCs w:val="22"/>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(7,776)</w:t>
            </w:r>
          </w:p>
        </w:tc>
      </w:tr>
      <w:tr>
        <w:trPr>
          <w:trHeight w:val="229"/>
        </w:trPr>
        <w:tc>
          <w:tcPr>
            <w:tcW w:w="6840" w:type="dxa"/>
            <w:vAlign w:val="bottom"/>
          </w:tcPr>
          <w:p>
            <w:pPr>
              <w:ind w:left="20"/>
              <w:spacing w:after="0"/>
              <w:rPr>
                <w:sz w:val="20"/>
                <w:szCs w:val="20"/>
                <w:color w:val="auto"/>
              </w:rPr>
            </w:pPr>
            <w:r>
              <w:rPr>
                <w:rFonts w:ascii="Arial" w:cs="Arial" w:eastAsia="Arial" w:hAnsi="Arial"/>
                <w:sz w:val="18"/>
                <w:szCs w:val="18"/>
                <w:color w:val="auto"/>
              </w:rPr>
              <w:t>Effect of changes in currency exchange rates on cash, cash equivalents, and</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4"/>
        </w:trPr>
        <w:tc>
          <w:tcPr>
            <w:tcW w:w="684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restricted cash</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r>
      <w:tr>
        <w:trPr>
          <w:trHeight w:val="281"/>
        </w:trPr>
        <w:tc>
          <w:tcPr>
            <w:tcW w:w="684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Net increase in cash, cash equivalents, and restricted cash</w:t>
            </w:r>
          </w:p>
        </w:tc>
        <w:tc>
          <w:tcPr>
            <w:tcW w:w="320" w:type="dxa"/>
            <w:vAlign w:val="bottom"/>
            <w:tcBorders>
              <w:bottom w:val="single" w:sz="8" w:color="auto"/>
            </w:tcBorders>
            <w:shd w:val="clear" w:color="auto" w:fill="D1D2D4"/>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411</w:t>
            </w:r>
          </w:p>
        </w:tc>
        <w:tc>
          <w:tcPr>
            <w:tcW w:w="340" w:type="dxa"/>
            <w:vAlign w:val="bottom"/>
            <w:tcBorders>
              <w:bottom w:val="single" w:sz="8" w:color="auto"/>
            </w:tcBorders>
            <w:shd w:val="clear" w:color="auto" w:fill="D1D2D4"/>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692</w:t>
            </w:r>
          </w:p>
        </w:tc>
        <w:tc>
          <w:tcPr>
            <w:tcW w:w="340" w:type="dxa"/>
            <w:vAlign w:val="bottom"/>
            <w:tcBorders>
              <w:bottom w:val="single" w:sz="8" w:color="auto"/>
            </w:tcBorders>
            <w:shd w:val="clear" w:color="auto" w:fill="D1D2D4"/>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1,371</w:t>
            </w:r>
          </w:p>
        </w:tc>
      </w:tr>
      <w:tr>
        <w:trPr>
          <w:trHeight w:val="20"/>
        </w:trPr>
        <w:tc>
          <w:tcPr>
            <w:tcW w:w="6840" w:type="dxa"/>
            <w:vAlign w:val="bottom"/>
            <w:tcBorders>
              <w:top w:val="single" w:sz="8" w:color="D1D2D4"/>
            </w:tcBorders>
          </w:tcPr>
          <w:p>
            <w:pPr>
              <w:spacing w:after="0" w:line="20" w:lineRule="exact"/>
              <w:rPr>
                <w:sz w:val="1"/>
                <w:szCs w:val="1"/>
                <w:color w:val="auto"/>
              </w:rPr>
            </w:pPr>
          </w:p>
        </w:tc>
        <w:tc>
          <w:tcPr>
            <w:tcW w:w="32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c>
          <w:tcPr>
            <w:tcW w:w="340" w:type="dxa"/>
            <w:vAlign w:val="bottom"/>
            <w:tcBorders>
              <w:top w:val="single" w:sz="8" w:color="D1D2D4"/>
              <w:bottom w:val="single" w:sz="8" w:color="auto"/>
            </w:tcBorders>
          </w:tcPr>
          <w:p>
            <w:pPr>
              <w:spacing w:after="0" w:line="20" w:lineRule="exact"/>
              <w:rPr>
                <w:sz w:val="1"/>
                <w:szCs w:val="1"/>
                <w:color w:val="auto"/>
              </w:rPr>
            </w:pPr>
          </w:p>
        </w:tc>
        <w:tc>
          <w:tcPr>
            <w:tcW w:w="1140" w:type="dxa"/>
            <w:vAlign w:val="bottom"/>
            <w:tcBorders>
              <w:top w:val="single" w:sz="8" w:color="D1D2D4"/>
              <w:bottom w:val="single" w:sz="8" w:color="auto"/>
            </w:tcBorders>
          </w:tcPr>
          <w:p>
            <w:pPr>
              <w:spacing w:after="0" w:line="20" w:lineRule="exact"/>
              <w:rPr>
                <w:sz w:val="1"/>
                <w:szCs w:val="1"/>
                <w:color w:val="auto"/>
              </w:rPr>
            </w:pPr>
          </w:p>
        </w:tc>
        <w:tc>
          <w:tcPr>
            <w:tcW w:w="340" w:type="dxa"/>
            <w:vAlign w:val="bottom"/>
            <w:tcBorders>
              <w:top w:val="single" w:sz="8" w:color="D1D2D4"/>
              <w:bottom w:val="single" w:sz="8" w:color="auto"/>
            </w:tcBorders>
          </w:tcPr>
          <w:p>
            <w:pPr>
              <w:spacing w:after="0" w:line="20" w:lineRule="exact"/>
              <w:rPr>
                <w:sz w:val="1"/>
                <w:szCs w:val="1"/>
                <w:color w:val="auto"/>
              </w:rPr>
            </w:pPr>
          </w:p>
        </w:tc>
        <w:tc>
          <w:tcPr>
            <w:tcW w:w="1140" w:type="dxa"/>
            <w:vAlign w:val="bottom"/>
            <w:tcBorders>
              <w:top w:val="single" w:sz="8" w:color="D1D2D4"/>
              <w:bottom w:val="single" w:sz="8" w:color="auto"/>
            </w:tcBorders>
          </w:tcPr>
          <w:p>
            <w:pPr>
              <w:spacing w:after="0" w:line="20" w:lineRule="exact"/>
              <w:rPr>
                <w:sz w:val="1"/>
                <w:szCs w:val="1"/>
                <w:color w:val="auto"/>
              </w:rPr>
            </w:pPr>
          </w:p>
        </w:tc>
      </w:tr>
    </w:tbl>
    <w:p>
      <w:pPr>
        <w:spacing w:after="0" w:line="332"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i w:val="1"/>
          <w:iCs w:val="1"/>
          <w:u w:val="single" w:color="auto"/>
          <w:color w:val="auto"/>
        </w:rPr>
        <w:t>Operating Activities</w:t>
      </w:r>
      <w:r>
        <w:rPr>
          <w:rFonts w:ascii="Arial" w:cs="Arial" w:eastAsia="Arial" w:hAnsi="Arial"/>
          <w:sz w:val="18"/>
          <w:szCs w:val="18"/>
          <w:color w:val="auto"/>
        </w:rPr>
        <w:t>: Cash provided by operating activities reflects net income adjusted for certain non-cash items, including depreciation</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amortization of intangible assets, and stock-based compensation, and the effects of changes in operating assets and liabilities. The decrease in cash provided by operating activities for 2020 and 2019 was primarily due to lower net income compared with the prior period and changes in working capital.</w:t>
      </w:r>
    </w:p>
    <w:p>
      <w:pPr>
        <w:sectPr>
          <w:pgSz w:w="11900" w:h="16838" w:orient="portrait"/>
          <w:cols w:equalWidth="0" w:num="1">
            <w:col w:w="11240"/>
          </w:cols>
          <w:pgMar w:left="320" w:top="949" w:right="3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10040"/>
        <w:spacing w:after="0"/>
        <w:rPr>
          <w:sz w:val="20"/>
          <w:szCs w:val="20"/>
          <w:color w:val="auto"/>
        </w:rPr>
      </w:pPr>
      <w:r>
        <w:rPr>
          <w:sz w:val="1"/>
          <w:szCs w:val="1"/>
          <w:color w:val="auto"/>
        </w:rPr>
        <w:drawing>
          <wp:inline distT="0" distB="0" distL="0" distR="0">
            <wp:extent cx="608330" cy="171450"/>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8330" cy="171450"/>
                    </a:xfrm>
                    <a:prstGeom prst="rect">
                      <a:avLst/>
                    </a:prstGeom>
                    <a:noFill/>
                    <a:ln>
                      <a:noFill/>
                    </a:ln>
                  </pic:spPr>
                </pic:pic>
              </a:graphicData>
            </a:graphic>
          </wp:inline>
        </w:drawing>
      </w:r>
      <w:r>
        <w:rPr>
          <w:rFonts w:ascii="Arial" w:cs="Arial" w:eastAsia="Arial" w:hAnsi="Arial"/>
          <w:sz w:val="13"/>
          <w:szCs w:val="13"/>
          <w:color w:val="auto"/>
        </w:rPr>
        <w:t xml:space="preserve">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type w:val="continuous"/>
        </w:sectPr>
      </w:pPr>
    </w:p>
    <w:bookmarkStart w:id="43" w:name="page44"/>
    <w:bookmarkEnd w:id="43"/>
    <w:p>
      <w:pPr>
        <w:ind w:right="20"/>
        <w:spacing w:after="0" w:line="266" w:lineRule="auto"/>
        <w:rPr>
          <w:sz w:val="20"/>
          <w:szCs w:val="20"/>
          <w:color w:val="auto"/>
        </w:rPr>
      </w:pPr>
      <w:r>
        <w:rPr>
          <w:rFonts w:ascii="Arial" w:cs="Arial" w:eastAsia="Arial" w:hAnsi="Arial"/>
          <w:sz w:val="18"/>
          <w:szCs w:val="18"/>
          <w:i w:val="1"/>
          <w:iCs w:val="1"/>
          <w:u w:val="single" w:color="auto"/>
          <w:color w:val="auto"/>
        </w:rPr>
        <w:t>Investing Activities</w:t>
      </w:r>
      <w:r>
        <w:rPr>
          <w:rFonts w:ascii="Arial" w:cs="Arial" w:eastAsia="Arial" w:hAnsi="Arial"/>
          <w:sz w:val="18"/>
          <w:szCs w:val="18"/>
          <w:color w:val="auto"/>
        </w:rPr>
        <w:t>: For 2020, net cash used for investing activities consisted primarily of $7.91 billion of expenditures for property, plant, and</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 (net of partner contributions), partially offset by $415 million of net inflows from sales, maturities, and purchases of available-for-sale securities.</w:t>
      </w:r>
    </w:p>
    <w:p>
      <w:pPr>
        <w:spacing w:after="0" w:line="221"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For 2019, net cash used for investing activities consisted primarily of $9.03 billion of expenditures for property, plant, and equipment (net of partner contributions) and $1.17 billion of net outflows from sales, maturities, and purchases of available-for-sale securities.</w:t>
      </w:r>
    </w:p>
    <w:p>
      <w:pPr>
        <w:spacing w:after="0" w:line="225"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For 2018, net cash used for investing activities consisted primarily of $7.99 billion of expenditures for property, plant, and equipment (net of partner contributions), partially offset by $164 million of net inflows from sales, maturities, and purchases of available-for-sale securities.</w:t>
      </w:r>
    </w:p>
    <w:p>
      <w:pPr>
        <w:spacing w:after="0" w:line="207"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i w:val="1"/>
          <w:iCs w:val="1"/>
          <w:u w:val="single" w:color="auto"/>
          <w:color w:val="auto"/>
        </w:rPr>
        <w:t>Financing Activities</w:t>
      </w:r>
      <w:r>
        <w:rPr>
          <w:rFonts w:ascii="Arial" w:cs="Arial" w:eastAsia="Arial" w:hAnsi="Arial"/>
          <w:sz w:val="18"/>
          <w:szCs w:val="18"/>
          <w:color w:val="auto"/>
        </w:rPr>
        <w:t>: For 2020, net cash used for financing activities consisted primarily of $4.37 billion of cash payments to reduce our debt,</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$2.50 billion to pay down borrowings under our Revolving Credit Facility, $621 million for IMFT Member Debt repayments,</w:t>
      </w:r>
    </w:p>
    <w:p>
      <w:pPr>
        <w:spacing w:after="0" w:line="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$534 million to prepay our 2025 Notes, $ 266 million to settle conversions of notes, and $248 million for scheduled repayment of finance leases; $744 million for the acquisition of Intel’s noncontrolling interest in IMFT; and $176 million for the acquisition of 3.6 million shares of our common stock under our $10 billion share repurchase authorization. Cash used for financing activities was partially offset by proceeds of $2.50 billion from our Revolving Credit Facility, $1.25 billion from the 2023 Notes, and $1.25 billion from the 2024 Term Loan A.</w:t>
      </w:r>
    </w:p>
    <w:p>
      <w:pPr>
        <w:spacing w:after="0" w:line="231"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For 2019, net cash used for financing activities consisted primarily of $2.66 billion for the acquisition of 67 million shares of treasury stock under our $10 billion share repurchase authorization and cash payments to reduce our debt, including $1.65 billion to settle conversions of notes, $728 million to prepay the 2022 Term Loan B, $316 million for IMFT Member Debt repayments, and $643 million for scheduled repayment of other notes and capital leases. Cash used for financing activities was partially offset by net proceeds of $3.53 billion from the aggregate issuance of the 2024 Notes, 2026 Notes, 2027 Notes, 2029 Notes, and 2030 Notes.</w:t>
      </w:r>
    </w:p>
    <w:p>
      <w:pPr>
        <w:spacing w:after="0" w:line="23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2018, net cash used for financing activities consisted primarily of cash payments to reduce our debt, including $9.42 billion to prepay or repurchase debt and settle conversions of notes and $ 774 million for scheduled repayment of other notes and capital leases. Cash used for financing activities was partially offset by net proceeds of $ 1.36 billion from the issuance of 34 million shares of our common stock for $41.00 per share in a public offering and $1.01 billion of proceeds from IMFT Member Debt.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See “Item 8. Financial Statements and Supplementary Data – Notes to Consolidated Financial Statements – Debt.”</w:t>
      </w:r>
    </w:p>
    <w:p>
      <w:pPr>
        <w:spacing w:after="0" w:line="230" w:lineRule="exact"/>
        <w:rPr>
          <w:sz w:val="20"/>
          <w:szCs w:val="20"/>
          <w:color w:val="auto"/>
        </w:rPr>
      </w:pPr>
    </w:p>
    <w:p>
      <w:pPr>
        <w:ind w:right="860"/>
        <w:spacing w:after="0" w:line="287" w:lineRule="auto"/>
        <w:rPr>
          <w:sz w:val="20"/>
          <w:szCs w:val="20"/>
          <w:color w:val="auto"/>
        </w:rPr>
      </w:pPr>
      <w:r>
        <w:rPr>
          <w:rFonts w:ascii="Arial" w:cs="Arial" w:eastAsia="Arial" w:hAnsi="Arial"/>
          <w:sz w:val="18"/>
          <w:szCs w:val="18"/>
          <w:b w:val="1"/>
          <w:bCs w:val="1"/>
          <w:i w:val="1"/>
          <w:iCs w:val="1"/>
          <w:color w:val="auto"/>
        </w:rPr>
        <w:t>Potential Settlement Obligations of Convertible Notes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See “Item 8. Financial Statements and Supplementary Data – Notes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Consolidated Financial Statements – Debt – 2032D Convertible Senior Notes.”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21"/>
          <w:szCs w:val="21"/>
          <w:b w:val="1"/>
          <w:bCs w:val="1"/>
          <w:color w:val="0090DA"/>
        </w:rPr>
        <w:t>|</w:t>
      </w:r>
      <w:r>
        <w:rPr>
          <w:rFonts w:ascii="Arial" w:cs="Arial" w:eastAsia="Arial" w:hAnsi="Arial"/>
          <w:sz w:val="18"/>
          <w:szCs w:val="18"/>
          <w:color w:val="auto"/>
        </w:rPr>
        <w:t xml:space="preserve"> 2020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74" w:right="39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39"/>
        </w:trPr>
        <w:tc>
          <w:tcPr>
            <w:tcW w:w="5360" w:type="dxa"/>
            <w:vAlign w:val="bottom"/>
          </w:tcPr>
          <w:p>
            <w:pPr>
              <w:spacing w:after="0"/>
              <w:rPr>
                <w:sz w:val="20"/>
                <w:szCs w:val="20"/>
                <w:color w:val="auto"/>
              </w:rPr>
            </w:pPr>
            <w:r>
              <w:rPr>
                <w:rFonts w:ascii="Arial" w:cs="Arial" w:eastAsia="Arial" w:hAnsi="Arial"/>
                <w:sz w:val="18"/>
                <w:szCs w:val="18"/>
                <w:b w:val="1"/>
                <w:bCs w:val="1"/>
                <w:i w:val="1"/>
                <w:iCs w:val="1"/>
                <w:color w:val="auto"/>
              </w:rPr>
              <w:t>Contractual Obligations</w:t>
            </w:r>
            <w:r>
              <w:rPr>
                <w:rFonts w:ascii="Arial" w:cs="Arial" w:eastAsia="Arial" w:hAnsi="Arial"/>
                <w:sz w:val="18"/>
                <w:szCs w:val="18"/>
                <w:b w:val="1"/>
                <w:bCs w:val="1"/>
                <w:color w:val="auto"/>
              </w:rPr>
              <w:t>:</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7"/>
        </w:trPr>
        <w:tc>
          <w:tcPr>
            <w:tcW w:w="5360" w:type="dxa"/>
            <w:vAlign w:val="bottom"/>
          </w:tcPr>
          <w:p>
            <w:pPr>
              <w:spacing w:after="0"/>
              <w:rPr>
                <w:sz w:val="24"/>
                <w:szCs w:val="24"/>
                <w:color w:val="auto"/>
              </w:rPr>
            </w:pPr>
          </w:p>
        </w:tc>
        <w:tc>
          <w:tcPr>
            <w:tcW w:w="260" w:type="dxa"/>
            <w:vAlign w:val="bottom"/>
            <w:tcBorders>
              <w:bottom w:val="single" w:sz="8" w:color="0090DA"/>
            </w:tcBorders>
          </w:tcPr>
          <w:p>
            <w:pPr>
              <w:spacing w:after="0"/>
              <w:rPr>
                <w:sz w:val="24"/>
                <w:szCs w:val="24"/>
                <w:color w:val="auto"/>
              </w:rPr>
            </w:pPr>
          </w:p>
        </w:tc>
        <w:tc>
          <w:tcPr>
            <w:tcW w:w="880" w:type="dxa"/>
            <w:vAlign w:val="bottom"/>
            <w:tcBorders>
              <w:bottom w:val="single" w:sz="8" w:color="0090DA"/>
            </w:tcBorders>
          </w:tcPr>
          <w:p>
            <w:pPr>
              <w:spacing w:after="0"/>
              <w:rPr>
                <w:sz w:val="24"/>
                <w:szCs w:val="24"/>
                <w:color w:val="auto"/>
              </w:rPr>
            </w:pPr>
          </w:p>
        </w:tc>
        <w:tc>
          <w:tcPr>
            <w:tcW w:w="320" w:type="dxa"/>
            <w:vAlign w:val="bottom"/>
            <w:tcBorders>
              <w:bottom w:val="single" w:sz="8" w:color="0090DA"/>
            </w:tcBorders>
          </w:tcPr>
          <w:p>
            <w:pPr>
              <w:spacing w:after="0"/>
              <w:rPr>
                <w:sz w:val="24"/>
                <w:szCs w:val="24"/>
                <w:color w:val="auto"/>
              </w:rPr>
            </w:pPr>
          </w:p>
        </w:tc>
        <w:tc>
          <w:tcPr>
            <w:tcW w:w="3260" w:type="dxa"/>
            <w:vAlign w:val="bottom"/>
            <w:tcBorders>
              <w:bottom w:val="single" w:sz="8" w:color="0090DA"/>
            </w:tcBorders>
            <w:gridSpan w:val="5"/>
          </w:tcPr>
          <w:p>
            <w:pPr>
              <w:jc w:val="right"/>
              <w:ind w:right="630"/>
              <w:spacing w:after="0"/>
              <w:rPr>
                <w:sz w:val="20"/>
                <w:szCs w:val="20"/>
                <w:color w:val="auto"/>
              </w:rPr>
            </w:pPr>
            <w:r>
              <w:rPr>
                <w:rFonts w:ascii="Arial" w:cs="Arial" w:eastAsia="Arial" w:hAnsi="Arial"/>
                <w:sz w:val="18"/>
                <w:szCs w:val="18"/>
                <w:b w:val="1"/>
                <w:bCs w:val="1"/>
                <w:color w:val="auto"/>
              </w:rPr>
              <w:t>Payments Due by Period</w:t>
            </w:r>
          </w:p>
        </w:tc>
        <w:tc>
          <w:tcPr>
            <w:tcW w:w="240" w:type="dxa"/>
            <w:vAlign w:val="bottom"/>
            <w:tcBorders>
              <w:bottom w:val="single" w:sz="8" w:color="0090DA"/>
            </w:tcBorders>
          </w:tcPr>
          <w:p>
            <w:pPr>
              <w:spacing w:after="0"/>
              <w:rPr>
                <w:sz w:val="24"/>
                <w:szCs w:val="24"/>
                <w:color w:val="auto"/>
              </w:rPr>
            </w:pPr>
          </w:p>
        </w:tc>
        <w:tc>
          <w:tcPr>
            <w:tcW w:w="920" w:type="dxa"/>
            <w:vAlign w:val="bottom"/>
            <w:tcBorders>
              <w:bottom w:val="single" w:sz="8" w:color="0090DA"/>
            </w:tcBorders>
          </w:tcPr>
          <w:p>
            <w:pPr>
              <w:spacing w:after="0"/>
              <w:rPr>
                <w:sz w:val="24"/>
                <w:szCs w:val="24"/>
                <w:color w:val="auto"/>
              </w:rPr>
            </w:pPr>
          </w:p>
        </w:tc>
      </w:tr>
      <w:tr>
        <w:trPr>
          <w:trHeight w:val="207"/>
        </w:trPr>
        <w:tc>
          <w:tcPr>
            <w:tcW w:w="5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b w:val="1"/>
                <w:bCs w:val="1"/>
                <w:color w:val="auto"/>
              </w:rPr>
              <w:t>Less than 1</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More than 5</w:t>
            </w:r>
          </w:p>
        </w:tc>
      </w:tr>
      <w:tr>
        <w:trPr>
          <w:trHeight w:val="246"/>
        </w:trPr>
        <w:tc>
          <w:tcPr>
            <w:tcW w:w="536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As of September 3, 2020</w:t>
            </w:r>
          </w:p>
        </w:tc>
        <w:tc>
          <w:tcPr>
            <w:tcW w:w="260" w:type="dxa"/>
            <w:vAlign w:val="bottom"/>
            <w:tcBorders>
              <w:bottom w:val="single" w:sz="8" w:color="0090DA"/>
            </w:tcBorders>
          </w:tcPr>
          <w:p>
            <w:pPr>
              <w:spacing w:after="0"/>
              <w:rPr>
                <w:sz w:val="21"/>
                <w:szCs w:val="21"/>
                <w:color w:val="auto"/>
              </w:rPr>
            </w:pPr>
          </w:p>
        </w:tc>
        <w:tc>
          <w:tcPr>
            <w:tcW w:w="880" w:type="dxa"/>
            <w:vAlign w:val="bottom"/>
            <w:tcBorders>
              <w:bottom w:val="single" w:sz="8" w:color="0090DA"/>
            </w:tcBorders>
          </w:tcPr>
          <w:p>
            <w:pPr>
              <w:jc w:val="right"/>
              <w:ind w:right="250"/>
              <w:spacing w:after="0"/>
              <w:rPr>
                <w:sz w:val="20"/>
                <w:szCs w:val="20"/>
                <w:color w:val="auto"/>
              </w:rPr>
            </w:pPr>
            <w:r>
              <w:rPr>
                <w:rFonts w:ascii="Arial" w:cs="Arial" w:eastAsia="Arial" w:hAnsi="Arial"/>
                <w:sz w:val="18"/>
                <w:szCs w:val="18"/>
                <w:b w:val="1"/>
                <w:bCs w:val="1"/>
                <w:color w:val="auto"/>
              </w:rPr>
              <w:t>Total</w:t>
            </w:r>
          </w:p>
        </w:tc>
        <w:tc>
          <w:tcPr>
            <w:tcW w:w="320" w:type="dxa"/>
            <w:vAlign w:val="bottom"/>
            <w:tcBorders>
              <w:bottom w:val="single" w:sz="8" w:color="0090DA"/>
            </w:tcBorders>
          </w:tcPr>
          <w:p>
            <w:pPr>
              <w:spacing w:after="0"/>
              <w:rPr>
                <w:sz w:val="21"/>
                <w:szCs w:val="21"/>
                <w:color w:val="auto"/>
              </w:rPr>
            </w:pPr>
          </w:p>
        </w:tc>
        <w:tc>
          <w:tcPr>
            <w:tcW w:w="900" w:type="dxa"/>
            <w:vAlign w:val="bottom"/>
            <w:tcBorders>
              <w:bottom w:val="single" w:sz="8" w:color="0090DA"/>
            </w:tcBorders>
          </w:tcPr>
          <w:p>
            <w:pPr>
              <w:jc w:val="right"/>
              <w:ind w:right="290"/>
              <w:spacing w:after="0"/>
              <w:rPr>
                <w:sz w:val="20"/>
                <w:szCs w:val="20"/>
                <w:color w:val="auto"/>
              </w:rPr>
            </w:pPr>
            <w:r>
              <w:rPr>
                <w:rFonts w:ascii="Arial" w:cs="Arial" w:eastAsia="Arial" w:hAnsi="Arial"/>
                <w:sz w:val="18"/>
                <w:szCs w:val="18"/>
                <w:b w:val="1"/>
                <w:bCs w:val="1"/>
                <w:color w:val="auto"/>
              </w:rPr>
              <w:t>year</w:t>
            </w:r>
          </w:p>
        </w:tc>
        <w:tc>
          <w:tcPr>
            <w:tcW w:w="280" w:type="dxa"/>
            <w:vAlign w:val="bottom"/>
            <w:tcBorders>
              <w:bottom w:val="single" w:sz="8" w:color="0090DA"/>
            </w:tcBorders>
          </w:tcPr>
          <w:p>
            <w:pPr>
              <w:spacing w:after="0"/>
              <w:rPr>
                <w:sz w:val="21"/>
                <w:szCs w:val="21"/>
                <w:color w:val="auto"/>
              </w:rPr>
            </w:pPr>
          </w:p>
        </w:tc>
        <w:tc>
          <w:tcPr>
            <w:tcW w:w="920" w:type="dxa"/>
            <w:vAlign w:val="bottom"/>
            <w:tcBorders>
              <w:bottom w:val="single" w:sz="8" w:color="0090DA"/>
            </w:tcBorders>
          </w:tcPr>
          <w:p>
            <w:pPr>
              <w:jc w:val="right"/>
              <w:spacing w:after="0"/>
              <w:rPr>
                <w:sz w:val="20"/>
                <w:szCs w:val="20"/>
                <w:color w:val="auto"/>
              </w:rPr>
            </w:pPr>
            <w:r>
              <w:rPr>
                <w:rFonts w:ascii="Arial" w:cs="Arial" w:eastAsia="Arial" w:hAnsi="Arial"/>
                <w:sz w:val="18"/>
                <w:szCs w:val="18"/>
                <w:b w:val="1"/>
                <w:bCs w:val="1"/>
                <w:color w:val="auto"/>
              </w:rPr>
              <w:t>1-3 years</w:t>
            </w:r>
          </w:p>
        </w:tc>
        <w:tc>
          <w:tcPr>
            <w:tcW w:w="240" w:type="dxa"/>
            <w:vAlign w:val="bottom"/>
            <w:tcBorders>
              <w:bottom w:val="single" w:sz="8" w:color="0090DA"/>
            </w:tcBorders>
          </w:tcPr>
          <w:p>
            <w:pPr>
              <w:spacing w:after="0"/>
              <w:rPr>
                <w:sz w:val="21"/>
                <w:szCs w:val="21"/>
                <w:color w:val="auto"/>
              </w:rPr>
            </w:pPr>
          </w:p>
        </w:tc>
        <w:tc>
          <w:tcPr>
            <w:tcW w:w="920" w:type="dxa"/>
            <w:vAlign w:val="bottom"/>
            <w:tcBorders>
              <w:bottom w:val="single" w:sz="8" w:color="0090DA"/>
            </w:tcBorders>
          </w:tcPr>
          <w:p>
            <w:pPr>
              <w:jc w:val="right"/>
              <w:spacing w:after="0"/>
              <w:rPr>
                <w:sz w:val="20"/>
                <w:szCs w:val="20"/>
                <w:color w:val="auto"/>
              </w:rPr>
            </w:pPr>
            <w:r>
              <w:rPr>
                <w:rFonts w:ascii="Arial" w:cs="Arial" w:eastAsia="Arial" w:hAnsi="Arial"/>
                <w:sz w:val="18"/>
                <w:szCs w:val="18"/>
                <w:b w:val="1"/>
                <w:bCs w:val="1"/>
                <w:color w:val="auto"/>
              </w:rPr>
              <w:t>3-5 years</w:t>
            </w:r>
          </w:p>
        </w:tc>
        <w:tc>
          <w:tcPr>
            <w:tcW w:w="240" w:type="dxa"/>
            <w:vAlign w:val="bottom"/>
            <w:tcBorders>
              <w:bottom w:val="single" w:sz="8" w:color="0090DA"/>
            </w:tcBorders>
          </w:tcPr>
          <w:p>
            <w:pPr>
              <w:spacing w:after="0"/>
              <w:rPr>
                <w:sz w:val="21"/>
                <w:szCs w:val="21"/>
                <w:color w:val="auto"/>
              </w:rPr>
            </w:pPr>
          </w:p>
        </w:tc>
        <w:tc>
          <w:tcPr>
            <w:tcW w:w="920" w:type="dxa"/>
            <w:vAlign w:val="bottom"/>
            <w:tcBorders>
              <w:bottom w:val="single" w:sz="8" w:color="0090DA"/>
            </w:tcBorders>
          </w:tcPr>
          <w:p>
            <w:pPr>
              <w:jc w:val="right"/>
              <w:ind w:right="250"/>
              <w:spacing w:after="0"/>
              <w:rPr>
                <w:sz w:val="20"/>
                <w:szCs w:val="20"/>
                <w:color w:val="auto"/>
              </w:rPr>
            </w:pPr>
            <w:r>
              <w:rPr>
                <w:rFonts w:ascii="Arial" w:cs="Arial" w:eastAsia="Arial" w:hAnsi="Arial"/>
                <w:sz w:val="18"/>
                <w:szCs w:val="18"/>
                <w:b w:val="1"/>
                <w:bCs w:val="1"/>
                <w:color w:val="auto"/>
              </w:rPr>
              <w:t>years</w:t>
            </w:r>
          </w:p>
        </w:tc>
      </w:tr>
      <w:tr>
        <w:trPr>
          <w:trHeight w:val="41"/>
        </w:trPr>
        <w:tc>
          <w:tcPr>
            <w:tcW w:w="5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3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56"/>
        </w:trPr>
        <w:tc>
          <w:tcPr>
            <w:tcW w:w="5360" w:type="dxa"/>
            <w:vAlign w:val="bottom"/>
            <w:shd w:val="clear" w:color="auto" w:fill="D1D2D4"/>
          </w:tcPr>
          <w:p>
            <w:pPr>
              <w:ind w:left="20"/>
              <w:spacing w:after="0" w:line="256" w:lineRule="exact"/>
              <w:rPr>
                <w:sz w:val="20"/>
                <w:szCs w:val="20"/>
                <w:color w:val="auto"/>
              </w:rPr>
            </w:pPr>
            <w:r>
              <w:rPr>
                <w:rFonts w:ascii="Arial" w:cs="Arial" w:eastAsia="Arial" w:hAnsi="Arial"/>
                <w:sz w:val="18"/>
                <w:szCs w:val="18"/>
                <w:color w:val="auto"/>
              </w:rPr>
              <w:t>Notes payable</w:t>
            </w:r>
            <w:r>
              <w:rPr>
                <w:rFonts w:ascii="Arial" w:cs="Arial" w:eastAsia="Arial" w:hAnsi="Arial"/>
                <w:sz w:val="23"/>
                <w:szCs w:val="23"/>
                <w:i w:val="1"/>
                <w:iCs w:val="1"/>
                <w:color w:val="auto"/>
                <w:vertAlign w:val="superscript"/>
              </w:rPr>
              <w:t>(1)</w:t>
            </w:r>
          </w:p>
        </w:tc>
        <w:tc>
          <w:tcPr>
            <w:tcW w:w="26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7,522</w:t>
            </w:r>
          </w:p>
        </w:tc>
        <w:tc>
          <w:tcPr>
            <w:tcW w:w="32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417</w:t>
            </w:r>
          </w:p>
        </w:tc>
        <w:tc>
          <w:tcPr>
            <w:tcW w:w="28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1,805</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1,972</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3,328</w:t>
            </w:r>
          </w:p>
        </w:tc>
      </w:tr>
      <w:tr>
        <w:trPr>
          <w:trHeight w:val="257"/>
        </w:trPr>
        <w:tc>
          <w:tcPr>
            <w:tcW w:w="5360" w:type="dxa"/>
            <w:vAlign w:val="bottom"/>
          </w:tcPr>
          <w:p>
            <w:pPr>
              <w:ind w:left="20"/>
              <w:spacing w:after="0" w:line="256" w:lineRule="exact"/>
              <w:rPr>
                <w:sz w:val="20"/>
                <w:szCs w:val="20"/>
                <w:color w:val="auto"/>
              </w:rPr>
            </w:pPr>
            <w:r>
              <w:rPr>
                <w:rFonts w:ascii="Arial" w:cs="Arial" w:eastAsia="Arial" w:hAnsi="Arial"/>
                <w:sz w:val="18"/>
                <w:szCs w:val="18"/>
                <w:color w:val="auto"/>
              </w:rPr>
              <w:t>Finance lease obligations</w:t>
            </w:r>
            <w:r>
              <w:rPr>
                <w:rFonts w:ascii="Arial" w:cs="Arial" w:eastAsia="Arial" w:hAnsi="Arial"/>
                <w:sz w:val="23"/>
                <w:szCs w:val="23"/>
                <w:i w:val="1"/>
                <w:iCs w:val="1"/>
                <w:color w:val="auto"/>
                <w:vertAlign w:val="superscript"/>
              </w:rPr>
              <w:t>(1)</w:t>
            </w: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589</w:t>
            </w:r>
          </w:p>
        </w:tc>
        <w:tc>
          <w:tcPr>
            <w:tcW w:w="3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w:t>
            </w:r>
          </w:p>
        </w:tc>
        <w:tc>
          <w:tcPr>
            <w:tcW w:w="280" w:type="dxa"/>
            <w:vAlign w:val="bottom"/>
          </w:tcPr>
          <w:p>
            <w:pPr>
              <w:spacing w:after="0"/>
              <w:rPr>
                <w:sz w:val="22"/>
                <w:szCs w:val="22"/>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160</w:t>
            </w:r>
          </w:p>
        </w:tc>
        <w:tc>
          <w:tcPr>
            <w:tcW w:w="240" w:type="dxa"/>
            <w:vAlign w:val="bottom"/>
          </w:tcPr>
          <w:p>
            <w:pPr>
              <w:spacing w:after="0"/>
              <w:rPr>
                <w:sz w:val="22"/>
                <w:szCs w:val="22"/>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91</w:t>
            </w:r>
          </w:p>
        </w:tc>
        <w:tc>
          <w:tcPr>
            <w:tcW w:w="240" w:type="dxa"/>
            <w:vAlign w:val="bottom"/>
          </w:tcPr>
          <w:p>
            <w:pPr>
              <w:spacing w:after="0"/>
              <w:rPr>
                <w:sz w:val="22"/>
                <w:szCs w:val="22"/>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248</w:t>
            </w:r>
          </w:p>
        </w:tc>
      </w:tr>
      <w:tr>
        <w:trPr>
          <w:trHeight w:val="257"/>
        </w:trPr>
        <w:tc>
          <w:tcPr>
            <w:tcW w:w="5360" w:type="dxa"/>
            <w:vAlign w:val="bottom"/>
            <w:shd w:val="clear" w:color="auto" w:fill="D1D2D4"/>
          </w:tcPr>
          <w:p>
            <w:pPr>
              <w:ind w:left="20"/>
              <w:spacing w:after="0" w:line="256" w:lineRule="exact"/>
              <w:rPr>
                <w:sz w:val="20"/>
                <w:szCs w:val="20"/>
                <w:color w:val="auto"/>
              </w:rPr>
            </w:pPr>
            <w:r>
              <w:rPr>
                <w:rFonts w:ascii="Arial" w:cs="Arial" w:eastAsia="Arial" w:hAnsi="Arial"/>
                <w:sz w:val="18"/>
                <w:szCs w:val="18"/>
                <w:color w:val="auto"/>
              </w:rPr>
              <w:t>Operating lease obligations</w:t>
            </w:r>
            <w:r>
              <w:rPr>
                <w:rFonts w:ascii="Arial" w:cs="Arial" w:eastAsia="Arial" w:hAnsi="Arial"/>
                <w:sz w:val="23"/>
                <w:szCs w:val="23"/>
                <w:color w:val="auto"/>
                <w:vertAlign w:val="superscript"/>
              </w:rPr>
              <w:t>(2)</w:t>
            </w:r>
          </w:p>
        </w:tc>
        <w:tc>
          <w:tcPr>
            <w:tcW w:w="260" w:type="dxa"/>
            <w:vAlign w:val="bottom"/>
            <w:shd w:val="clear" w:color="auto" w:fill="D1D2D4"/>
          </w:tcPr>
          <w:p>
            <w:pPr>
              <w:spacing w:after="0"/>
              <w:rPr>
                <w:sz w:val="22"/>
                <w:szCs w:val="22"/>
                <w:color w:val="auto"/>
              </w:rPr>
            </w:pPr>
          </w:p>
        </w:tc>
        <w:tc>
          <w:tcPr>
            <w:tcW w:w="8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707</w:t>
            </w:r>
          </w:p>
        </w:tc>
        <w:tc>
          <w:tcPr>
            <w:tcW w:w="320" w:type="dxa"/>
            <w:vAlign w:val="bottom"/>
            <w:shd w:val="clear" w:color="auto" w:fill="D1D2D4"/>
          </w:tcPr>
          <w:p>
            <w:pPr>
              <w:spacing w:after="0"/>
              <w:rPr>
                <w:sz w:val="22"/>
                <w:szCs w:val="22"/>
                <w:color w:val="auto"/>
              </w:rPr>
            </w:pPr>
          </w:p>
        </w:tc>
        <w:tc>
          <w:tcPr>
            <w:tcW w:w="9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70</w:t>
            </w:r>
          </w:p>
        </w:tc>
        <w:tc>
          <w:tcPr>
            <w:tcW w:w="280" w:type="dxa"/>
            <w:vAlign w:val="bottom"/>
            <w:shd w:val="clear" w:color="auto" w:fill="D1D2D4"/>
          </w:tcPr>
          <w:p>
            <w:pPr>
              <w:spacing w:after="0"/>
              <w:rPr>
                <w:sz w:val="22"/>
                <w:szCs w:val="22"/>
                <w:color w:val="auto"/>
              </w:rPr>
            </w:pPr>
          </w:p>
        </w:tc>
        <w:tc>
          <w:tcPr>
            <w:tcW w:w="9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134</w:t>
            </w:r>
          </w:p>
        </w:tc>
        <w:tc>
          <w:tcPr>
            <w:tcW w:w="240" w:type="dxa"/>
            <w:vAlign w:val="bottom"/>
            <w:shd w:val="clear" w:color="auto" w:fill="D1D2D4"/>
          </w:tcPr>
          <w:p>
            <w:pPr>
              <w:spacing w:after="0"/>
              <w:rPr>
                <w:sz w:val="22"/>
                <w:szCs w:val="22"/>
                <w:color w:val="auto"/>
              </w:rPr>
            </w:pPr>
          </w:p>
        </w:tc>
        <w:tc>
          <w:tcPr>
            <w:tcW w:w="9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102</w:t>
            </w:r>
          </w:p>
        </w:tc>
        <w:tc>
          <w:tcPr>
            <w:tcW w:w="240" w:type="dxa"/>
            <w:vAlign w:val="bottom"/>
            <w:shd w:val="clear" w:color="auto" w:fill="D1D2D4"/>
          </w:tcPr>
          <w:p>
            <w:pPr>
              <w:spacing w:after="0"/>
              <w:rPr>
                <w:sz w:val="22"/>
                <w:szCs w:val="22"/>
                <w:color w:val="auto"/>
              </w:rPr>
            </w:pPr>
          </w:p>
        </w:tc>
        <w:tc>
          <w:tcPr>
            <w:tcW w:w="9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401</w:t>
            </w:r>
          </w:p>
        </w:tc>
      </w:tr>
      <w:tr>
        <w:trPr>
          <w:trHeight w:val="257"/>
        </w:trPr>
        <w:tc>
          <w:tcPr>
            <w:tcW w:w="5360" w:type="dxa"/>
            <w:vAlign w:val="bottom"/>
          </w:tcPr>
          <w:p>
            <w:pPr>
              <w:ind w:left="20"/>
              <w:spacing w:after="0" w:line="256" w:lineRule="exact"/>
              <w:rPr>
                <w:sz w:val="20"/>
                <w:szCs w:val="20"/>
                <w:color w:val="auto"/>
              </w:rPr>
            </w:pPr>
            <w:r>
              <w:rPr>
                <w:rFonts w:ascii="Arial" w:cs="Arial" w:eastAsia="Arial" w:hAnsi="Arial"/>
                <w:sz w:val="18"/>
                <w:szCs w:val="18"/>
                <w:color w:val="auto"/>
              </w:rPr>
              <w:t>Purchase obligations</w:t>
            </w:r>
            <w:r>
              <w:rPr>
                <w:rFonts w:ascii="Arial" w:cs="Arial" w:eastAsia="Arial" w:hAnsi="Arial"/>
                <w:sz w:val="23"/>
                <w:szCs w:val="23"/>
                <w:color w:val="auto"/>
                <w:vertAlign w:val="superscript"/>
              </w:rPr>
              <w:t>(3)</w:t>
            </w: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5,987</w:t>
            </w:r>
          </w:p>
        </w:tc>
        <w:tc>
          <w:tcPr>
            <w:tcW w:w="3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4,398</w:t>
            </w:r>
          </w:p>
        </w:tc>
        <w:tc>
          <w:tcPr>
            <w:tcW w:w="280" w:type="dxa"/>
            <w:vAlign w:val="bottom"/>
          </w:tcPr>
          <w:p>
            <w:pPr>
              <w:spacing w:after="0"/>
              <w:rPr>
                <w:sz w:val="22"/>
                <w:szCs w:val="22"/>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871</w:t>
            </w:r>
          </w:p>
        </w:tc>
        <w:tc>
          <w:tcPr>
            <w:tcW w:w="240" w:type="dxa"/>
            <w:vAlign w:val="bottom"/>
          </w:tcPr>
          <w:p>
            <w:pPr>
              <w:spacing w:after="0"/>
              <w:rPr>
                <w:sz w:val="22"/>
                <w:szCs w:val="22"/>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128</w:t>
            </w:r>
          </w:p>
        </w:tc>
        <w:tc>
          <w:tcPr>
            <w:tcW w:w="240" w:type="dxa"/>
            <w:vAlign w:val="bottom"/>
          </w:tcPr>
          <w:p>
            <w:pPr>
              <w:spacing w:after="0"/>
              <w:rPr>
                <w:sz w:val="22"/>
                <w:szCs w:val="22"/>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590</w:t>
            </w:r>
          </w:p>
        </w:tc>
      </w:tr>
      <w:tr>
        <w:trPr>
          <w:trHeight w:val="256"/>
        </w:trPr>
        <w:tc>
          <w:tcPr>
            <w:tcW w:w="5360" w:type="dxa"/>
            <w:vAlign w:val="bottom"/>
            <w:shd w:val="clear" w:color="auto" w:fill="D1D2D4"/>
          </w:tcPr>
          <w:p>
            <w:pPr>
              <w:ind w:left="20"/>
              <w:spacing w:after="0" w:line="256" w:lineRule="exact"/>
              <w:rPr>
                <w:sz w:val="20"/>
                <w:szCs w:val="20"/>
                <w:color w:val="auto"/>
              </w:rPr>
            </w:pPr>
            <w:r>
              <w:rPr>
                <w:rFonts w:ascii="Arial" w:cs="Arial" w:eastAsia="Arial" w:hAnsi="Arial"/>
                <w:sz w:val="18"/>
                <w:szCs w:val="18"/>
                <w:color w:val="auto"/>
              </w:rPr>
              <w:t>Other long-term liabilities</w:t>
            </w:r>
            <w:r>
              <w:rPr>
                <w:rFonts w:ascii="Arial" w:cs="Arial" w:eastAsia="Arial" w:hAnsi="Arial"/>
                <w:sz w:val="23"/>
                <w:szCs w:val="23"/>
                <w:i w:val="1"/>
                <w:iCs w:val="1"/>
                <w:color w:val="auto"/>
                <w:vertAlign w:val="superscript"/>
              </w:rPr>
              <w:t>(4)</w:t>
            </w:r>
          </w:p>
        </w:tc>
        <w:tc>
          <w:tcPr>
            <w:tcW w:w="260" w:type="dxa"/>
            <w:vAlign w:val="bottom"/>
            <w:tcBorders>
              <w:bottom w:val="single" w:sz="8" w:color="auto"/>
            </w:tcBorders>
            <w:shd w:val="clear" w:color="auto" w:fill="D1D2D4"/>
          </w:tcPr>
          <w:p>
            <w:pPr>
              <w:spacing w:after="0"/>
              <w:rPr>
                <w:sz w:val="22"/>
                <w:szCs w:val="22"/>
                <w:color w:val="auto"/>
              </w:rPr>
            </w:pPr>
          </w:p>
        </w:tc>
        <w:tc>
          <w:tcPr>
            <w:tcW w:w="8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358</w:t>
            </w:r>
          </w:p>
        </w:tc>
        <w:tc>
          <w:tcPr>
            <w:tcW w:w="320" w:type="dxa"/>
            <w:vAlign w:val="bottom"/>
            <w:tcBorders>
              <w:bottom w:val="single" w:sz="8" w:color="auto"/>
            </w:tcBorders>
            <w:shd w:val="clear" w:color="auto" w:fill="D1D2D4"/>
          </w:tcPr>
          <w:p>
            <w:pPr>
              <w:spacing w:after="0"/>
              <w:rPr>
                <w:sz w:val="22"/>
                <w:szCs w:val="22"/>
                <w:color w:val="auto"/>
              </w:rPr>
            </w:pPr>
          </w:p>
        </w:tc>
        <w:tc>
          <w:tcPr>
            <w:tcW w:w="9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168</w:t>
            </w:r>
          </w:p>
        </w:tc>
        <w:tc>
          <w:tcPr>
            <w:tcW w:w="280" w:type="dxa"/>
            <w:vAlign w:val="bottom"/>
            <w:tcBorders>
              <w:bottom w:val="single" w:sz="8" w:color="auto"/>
            </w:tcBorders>
            <w:shd w:val="clear" w:color="auto" w:fill="D1D2D4"/>
          </w:tcPr>
          <w:p>
            <w:pPr>
              <w:spacing w:after="0"/>
              <w:rPr>
                <w:sz w:val="22"/>
                <w:szCs w:val="22"/>
                <w:color w:val="auto"/>
              </w:rPr>
            </w:pPr>
          </w:p>
        </w:tc>
        <w:tc>
          <w:tcPr>
            <w:tcW w:w="92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161</w:t>
            </w:r>
          </w:p>
        </w:tc>
        <w:tc>
          <w:tcPr>
            <w:tcW w:w="240" w:type="dxa"/>
            <w:vAlign w:val="bottom"/>
            <w:tcBorders>
              <w:bottom w:val="single" w:sz="8" w:color="auto"/>
            </w:tcBorders>
            <w:shd w:val="clear" w:color="auto" w:fill="D1D2D4"/>
          </w:tcPr>
          <w:p>
            <w:pPr>
              <w:spacing w:after="0"/>
              <w:rPr>
                <w:sz w:val="22"/>
                <w:szCs w:val="22"/>
                <w:color w:val="auto"/>
              </w:rPr>
            </w:pPr>
          </w:p>
        </w:tc>
        <w:tc>
          <w:tcPr>
            <w:tcW w:w="92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12</w:t>
            </w:r>
          </w:p>
        </w:tc>
        <w:tc>
          <w:tcPr>
            <w:tcW w:w="240" w:type="dxa"/>
            <w:vAlign w:val="bottom"/>
            <w:tcBorders>
              <w:bottom w:val="single" w:sz="8" w:color="auto"/>
            </w:tcBorders>
            <w:shd w:val="clear" w:color="auto" w:fill="D1D2D4"/>
          </w:tcPr>
          <w:p>
            <w:pPr>
              <w:spacing w:after="0"/>
              <w:rPr>
                <w:sz w:val="22"/>
                <w:szCs w:val="22"/>
                <w:color w:val="auto"/>
              </w:rPr>
            </w:pPr>
          </w:p>
        </w:tc>
        <w:tc>
          <w:tcPr>
            <w:tcW w:w="92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17</w:t>
            </w:r>
          </w:p>
        </w:tc>
      </w:tr>
      <w:tr>
        <w:trPr>
          <w:trHeight w:val="250"/>
        </w:trPr>
        <w:tc>
          <w:tcPr>
            <w:tcW w:w="5360" w:type="dxa"/>
            <w:vAlign w:val="bottom"/>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15,163</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5,143</w:t>
            </w: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3,131</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2,305</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4,584</w:t>
            </w:r>
          </w:p>
        </w:tc>
      </w:tr>
      <w:tr>
        <w:trPr>
          <w:trHeight w:val="21"/>
        </w:trPr>
        <w:tc>
          <w:tcPr>
            <w:tcW w:w="5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ind w:left="320" w:hanging="312"/>
        <w:spacing w:after="0"/>
        <w:tabs>
          <w:tab w:leader="none" w:pos="320" w:val="left"/>
        </w:tabs>
        <w:numPr>
          <w:ilvl w:val="0"/>
          <w:numId w:val="21"/>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Amounts include principal and interest.</w:t>
      </w:r>
    </w:p>
    <w:p>
      <w:pPr>
        <w:ind w:left="340" w:right="120" w:hanging="332"/>
        <w:spacing w:after="0" w:line="219" w:lineRule="auto"/>
        <w:tabs>
          <w:tab w:leader="none" w:pos="334" w:val="left"/>
        </w:tabs>
        <w:numPr>
          <w:ilvl w:val="0"/>
          <w:numId w:val="21"/>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Amounts include contractually obligated minimum lease payments for operating leases having an initial noncancelable term in excess of one year.</w:t>
      </w:r>
    </w:p>
    <w:p>
      <w:pPr>
        <w:spacing w:after="0" w:line="1" w:lineRule="exact"/>
        <w:rPr>
          <w:rFonts w:ascii="Arial" w:cs="Arial" w:eastAsia="Arial" w:hAnsi="Arial"/>
          <w:sz w:val="23"/>
          <w:szCs w:val="23"/>
          <w:i w:val="1"/>
          <w:iCs w:val="1"/>
          <w:color w:val="auto"/>
          <w:vertAlign w:val="superscript"/>
        </w:rPr>
      </w:pPr>
    </w:p>
    <w:p>
      <w:pPr>
        <w:ind w:left="340" w:right="60" w:hanging="332"/>
        <w:spacing w:after="0" w:line="222" w:lineRule="auto"/>
        <w:tabs>
          <w:tab w:leader="none" w:pos="348" w:val="left"/>
        </w:tabs>
        <w:numPr>
          <w:ilvl w:val="0"/>
          <w:numId w:val="21"/>
        </w:numPr>
        <w:rPr>
          <w:rFonts w:ascii="Arial" w:cs="Arial" w:eastAsia="Arial" w:hAnsi="Arial"/>
          <w:sz w:val="26"/>
          <w:szCs w:val="26"/>
          <w:i w:val="1"/>
          <w:iCs w:val="1"/>
          <w:color w:val="auto"/>
          <w:vertAlign w:val="superscript"/>
        </w:rPr>
      </w:pPr>
      <w:r>
        <w:rPr>
          <w:rFonts w:ascii="Arial" w:cs="Arial" w:eastAsia="Arial" w:hAnsi="Arial"/>
          <w:sz w:val="18"/>
          <w:szCs w:val="18"/>
          <w:i w:val="1"/>
          <w:iCs w:val="1"/>
          <w:color w:val="auto"/>
        </w:rPr>
        <w:t>Purchase obligations include all commitments to purchase goods or services of either a fixed or minimum quantity that meet any of the following criteria: (1) they are noncancelable, (2) we would incur a penalty if the agreement was canceled, or (3) we must make specified minimum payments even if we do not take delivery of the contracted products or services. If the obligation to purchase goods or services is noncancelable, the entire value of the contract was included in the above table. If the obligation is cancelable, but we would incur a penalty if canceled, only the dollar amount of the penalty was included as a purchase obligation. Contracted minimum amounts specified in any take-or-pay contracts were included in the above table as they represent the portion of each contract that is a firm commitment. Purchase obligations also included $838 million for leases that have been executed but have not yet commenced. Such amounts will be reclassified as lease obligations in the table above at the time such assets become available for our use.</w:t>
      </w:r>
    </w:p>
    <w:p>
      <w:pPr>
        <w:spacing w:after="0" w:line="3" w:lineRule="exact"/>
        <w:rPr>
          <w:rFonts w:ascii="Arial" w:cs="Arial" w:eastAsia="Arial" w:hAnsi="Arial"/>
          <w:sz w:val="26"/>
          <w:szCs w:val="26"/>
          <w:i w:val="1"/>
          <w:iCs w:val="1"/>
          <w:color w:val="auto"/>
          <w:vertAlign w:val="superscript"/>
        </w:rPr>
      </w:pPr>
    </w:p>
    <w:p>
      <w:pPr>
        <w:ind w:left="340" w:right="20" w:hanging="332"/>
        <w:spacing w:after="0" w:line="249" w:lineRule="auto"/>
        <w:tabs>
          <w:tab w:leader="none" w:pos="334" w:val="left"/>
        </w:tabs>
        <w:numPr>
          <w:ilvl w:val="0"/>
          <w:numId w:val="21"/>
        </w:numPr>
        <w:rPr>
          <w:rFonts w:ascii="Arial" w:cs="Arial" w:eastAsia="Arial" w:hAnsi="Arial"/>
          <w:sz w:val="22"/>
          <w:szCs w:val="22"/>
          <w:i w:val="1"/>
          <w:iCs w:val="1"/>
          <w:color w:val="auto"/>
          <w:vertAlign w:val="superscript"/>
        </w:rPr>
      </w:pPr>
      <w:r>
        <w:rPr>
          <w:rFonts w:ascii="Arial" w:cs="Arial" w:eastAsia="Arial" w:hAnsi="Arial"/>
          <w:sz w:val="17"/>
          <w:szCs w:val="17"/>
          <w:i w:val="1"/>
          <w:iCs w:val="1"/>
          <w:color w:val="auto"/>
        </w:rPr>
        <w:t>Amounts represent future cash payments to satisfy other long-term liabilities recorded on our consolidated balance sheet, including $168 million for the current portion of these long-term liabilities. We are unable to reliably estimate the timing of future certain payments related to uncertain tax positions and deferred tax liabilities; therefore, the amount has been excluded from the preceding table. However, other noncurrent liabilities recorded on our consolidated balance sheet included these uncertain tax positions and deferred tax liabilities.</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Critical Accounting Estimates</w:t>
      </w:r>
    </w:p>
    <w:p>
      <w:pPr>
        <w:spacing w:after="0" w:line="26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preparation of financial statements and related disclosures in conformity with U.S. GAAP requires management to make estimates and judgments that affect the reported amounts of assets, liabilities, revenues, expenses, and related disclosures. Estimates and judgments are based on historical experience, forecasted events, and various other assumptions that we believe to be reasonable under the circumstances. Estimates and judgments may vary under different assumptions or conditions. We evaluate our estimates and judgments on an ongoing basis. Our management believes the accounting policies below are critical in the portrayal of our financial condition and results of operations and require management’s most difficult, subjective, or complex judgments.</w:t>
      </w:r>
    </w:p>
    <w:p>
      <w:pPr>
        <w:spacing w:after="0" w:line="21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b w:val="1"/>
          <w:bCs w:val="1"/>
          <w:i w:val="1"/>
          <w:iCs w:val="1"/>
          <w:color w:val="auto"/>
        </w:rPr>
        <w:t>Business acquisitions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Accounting for acquisitions requires us to estimate the fair value of consideration paid and the individual assets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liabilities acquired, which involves a number of judgments, assumptions, and estimates that could materially affect the amount and timing of costs recognized in subsequent periods. Accounting for acquisitions can also involve significant judgment to determine when control of the acquired entity is transferred. We typically obtain independent third-party valuation studies to assist in determining fair values, including assistance in determining future cash flows, discount rates, and comparable market values. Items involving significant assumptions, estimates, and judgments include the following:</w:t>
      </w:r>
    </w:p>
    <w:p>
      <w:pPr>
        <w:spacing w:after="0" w:line="231"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Debt, including discount rate and timing of payments;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Deferred tax assets, including projections of future taxable income and tax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Fair value of consideration paid or transferred;</w:t>
      </w:r>
    </w:p>
    <w:p>
      <w:pPr>
        <w:spacing w:after="0" w:line="9" w:lineRule="exact"/>
        <w:rPr>
          <w:rFonts w:ascii="Arial" w:cs="Arial" w:eastAsia="Arial" w:hAnsi="Arial"/>
          <w:sz w:val="18"/>
          <w:szCs w:val="18"/>
          <w:color w:val="auto"/>
        </w:rPr>
      </w:pPr>
    </w:p>
    <w:p>
      <w:pPr>
        <w:ind w:left="660" w:right="140" w:hanging="328"/>
        <w:spacing w:after="0" w:line="261"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Intangible assets, including valuation methodology, estimations of future revenue and costs, profit allocation rates attributable to the acquired technology, and discount rates;</w:t>
      </w:r>
    </w:p>
    <w:p>
      <w:pPr>
        <w:spacing w:after="0" w:line="200" w:lineRule="exact"/>
        <w:rPr>
          <w:sz w:val="20"/>
          <w:szCs w:val="20"/>
          <w:color w:val="auto"/>
        </w:rPr>
      </w:pPr>
    </w:p>
    <w:p>
      <w:pPr>
        <w:spacing w:after="0" w:line="269" w:lineRule="exact"/>
        <w:rPr>
          <w:sz w:val="20"/>
          <w:szCs w:val="20"/>
          <w:color w:val="auto"/>
        </w:rPr>
      </w:pPr>
    </w:p>
    <w:p>
      <w:pPr>
        <w:jc w:val="right"/>
        <w:spacing w:after="0"/>
        <w:rPr>
          <w:sz w:val="20"/>
          <w:szCs w:val="20"/>
          <w:color w:val="auto"/>
        </w:rPr>
      </w:pPr>
      <w:r>
        <w:rPr>
          <w:sz w:val="1"/>
          <w:szCs w:val="1"/>
          <w:color w:val="auto"/>
        </w:rPr>
        <w:drawing>
          <wp:inline distT="0" distB="0" distL="0" distR="0">
            <wp:extent cx="608330" cy="171450"/>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8330" cy="171450"/>
                    </a:xfrm>
                    <a:prstGeom prst="rect">
                      <a:avLst/>
                    </a:prstGeom>
                    <a:noFill/>
                    <a:ln>
                      <a:noFill/>
                    </a:ln>
                  </pic:spPr>
                </pic:pic>
              </a:graphicData>
            </a:graphic>
          </wp:inline>
        </w:drawing>
      </w:r>
      <w:r>
        <w:rPr>
          <w:rFonts w:ascii="Arial" w:cs="Arial" w:eastAsia="Arial" w:hAnsi="Arial"/>
          <w:sz w:val="18"/>
          <w:szCs w:val="18"/>
          <w:color w:val="auto"/>
        </w:rPr>
        <w:t xml:space="preserve">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5" w:name="page46"/>
    <w:bookmarkEnd w:id="45"/>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Inventory, including estimated future selling prices, timing of product sales, and completion costs for work in process;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Property, plant, and equipment, including determination of values in a continued-use model.</w:t>
      </w:r>
    </w:p>
    <w:p>
      <w:pPr>
        <w:spacing w:after="0" w:line="230"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Consolidation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interests in entities that are Variable Interest Entities (“VIEs”). Determining whether to consolidate a VIE requires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judgment in assessing whether an entity is a VIE and if we are the entity’s primary beneficiary. If we are the primary beneficiary of a VIE, we are required to consolidate it. To determine if we are the primary beneficiary, we evaluate whether we have the power to direct the activities that most significantly impact the VIE’s economic performance and the obligation to absorb losses or the right to receive benefits of the VIE that could potentially be significant to the VIE. Our evaluation includes identification of significant activities and an assessment of our ability to direct those activities based on governance provisions and arrangements to provide or receive product and process technology, product supply, operations services, equity funding, financing, and other applicable agreements and circumstances. Our assessments of whether we are the primary beneficiary of our VIEs require significant assumptions and judgments.</w:t>
      </w:r>
    </w:p>
    <w:p>
      <w:pPr>
        <w:spacing w:after="0" w:line="21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Contingencies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are subject to the possibility of losses from various contingencies. Significant judgment is necessary to estimate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probability and amount of a loss, if any, from such contingencies. An accrual is made when it is probable that a liability has been incurred or an asset has been impaired and the amount of loss can be reasonably estimated. In accounting for the resolution of contingencies, significant judgment may be necessary to estimate amounts pertaining to periods prior to the resolution that are charged to operations in the period of resolution and amounts related to future periods.</w:t>
      </w:r>
    </w:p>
    <w:p>
      <w:pPr>
        <w:spacing w:after="0" w:line="20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b w:val="1"/>
          <w:bCs w:val="1"/>
          <w:i w:val="1"/>
          <w:iCs w:val="1"/>
          <w:color w:val="auto"/>
        </w:rPr>
        <w:t>Goodwill and intangible assets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test goodwill for impairment in our fourth quarter each year, or more frequently if indicators of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impairment exist, to determine whether it is more likely than not that the fair value of the reporting unit with goodwill is less than its carrying value. For reporting units for which this assessment concludes that it is more likely than not that the fair value is more than its carrying value, goodwill is considered not impaired and we are not required to perform the goodwill impairment test. Qualitative factors considered in this assessment include industry and market considerations, overall financial performance, and other relevant events and factors affecting the fair value of the reporting unit. For reporting units for which this assessment concludes that it is more likely than not that the fair value is below the carrying value, goodwill is tested for impairment by determining the fair value of each reporting unit and comparing it to the carrying value of the net assets assigned to the reporting unit. If the fair value of the reporting unit exceeds its carrying value, goodwill is considered not impaired. If the carrying value of the reporting unit exceeds its fair value, we would record an impairment loss up to the difference between the carrying value and implied fair value.</w:t>
      </w:r>
    </w:p>
    <w:p>
      <w:pPr>
        <w:spacing w:after="0" w:line="234"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Determining when to test for impairment, the reporting units, the assets and liabilities of the reporting unit, and the fair value of the reporting unit requires significant judgment and involves the use of significant estimates and assumptions. These estimates and assumptions include revenue growth rates, forecasted manufacturing costs, and other expenses and are developed as part of our long-range planning process. The same estimates are used in business planning, forecasting, and capital budgeting as part of our long-term manufacturing capacity analysis. We test the reasonableness of the output of our long-range planning process by calculating an implied value per share and comparing that to current stock prices, analysts’ consensus pricing, and management’s expectations. These estimates and assumptions are used to calculate projected future cash flows for the reporting unit, which are discounted using a risk-adjusted rate to estimate a fair value. The discount rate requires determination of appropriate market comparables. We base fair value estimates on assumptions we believe to be reasonable but that are unpredictable and inherently uncertain. Actual future results may differ from those estimates.</w:t>
      </w:r>
    </w:p>
    <w:p>
      <w:pPr>
        <w:spacing w:after="0" w:line="23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test other identified intangible assets with definite useful lives when events and circumstances indicate the carrying value may not be recoverable by comparing the carrying amount to the sum of undiscounted cash flows expected to be generated by the asset. We test intangible assets with indefinite lives annually for impairment using a fair value method such as discounted cash flows. Estimating fair values involves significant assumptions, including future sales prices, sales volumes, costs, and discount rates.</w:t>
      </w:r>
    </w:p>
    <w:p>
      <w:pPr>
        <w:spacing w:after="0" w:line="209"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are required to estimate our provision for income taxes and amounts ultimately payable or recoverable in numerous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jurisdictions around the world. These estimates involve significant judgment and interpretations of regulations and are inherently complex. Resolution of income tax treatments in individual jurisdictions may not be known for many years after completion of the applicable year. We are also required to evaluate the realizability of our deferred tax assets on an ongoing basis in accordance with U.S. GAAP, which</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21"/>
          <w:szCs w:val="21"/>
          <w:b w:val="1"/>
          <w:bCs w:val="1"/>
          <w:color w:val="0090DA"/>
        </w:rPr>
        <w:t>|</w:t>
      </w:r>
      <w:r>
        <w:rPr>
          <w:rFonts w:ascii="Arial" w:cs="Arial" w:eastAsia="Arial" w:hAnsi="Arial"/>
          <w:sz w:val="18"/>
          <w:szCs w:val="18"/>
          <w:color w:val="auto"/>
        </w:rPr>
        <w:t xml:space="preserve"> 2020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46" w:name="page47"/>
    <w:bookmarkEnd w:id="46"/>
    <w:p>
      <w:pPr>
        <w:spacing w:after="0" w:line="252" w:lineRule="auto"/>
        <w:rPr>
          <w:sz w:val="20"/>
          <w:szCs w:val="20"/>
          <w:color w:val="auto"/>
        </w:rPr>
      </w:pPr>
      <w:r>
        <w:rPr>
          <w:rFonts w:ascii="Arial" w:cs="Arial" w:eastAsia="Arial" w:hAnsi="Arial"/>
          <w:sz w:val="18"/>
          <w:szCs w:val="18"/>
          <w:color w:val="auto"/>
        </w:rPr>
        <w:t>requires the assessment of our performance and other relevant factors. Realization of deferred tax assets is dependent on our ability to generate future taxable income. In recent periods, our results of operations have benefited from increases in the amount of deferred taxes we expect to realize, primarily from the levels of capital spending and increases in the amount of taxable income we expect to realize in Japan and the United States. Our income tax provision or benefit is dependent, in part, on our ability to forecast future taxable income in these and other jurisdictions. Such forecasts are inherently difficult and involve significant judgments including, among others, projecting future average selling prices and sales volumes, manufacturing and overhead costs, levels of capital spending, and other factors that significantly impact our analyses of the amount of net deferred tax assets that are more likely than not to be realized.</w:t>
      </w:r>
    </w:p>
    <w:p>
      <w:pPr>
        <w:spacing w:after="0" w:line="21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b w:val="1"/>
          <w:bCs w:val="1"/>
          <w:i w:val="1"/>
          <w:iCs w:val="1"/>
          <w:color w:val="auto"/>
        </w:rPr>
        <w:t>Inventories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Inventories are stated at the lower of average cost or net realizable value. Cost includes depreciation, labor, material,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overhead costs, including product and process technology costs. Determining net realizable value of inventories involves significant judgments, including projecting future average selling prices and future sales volumes. To project average selling prices and sales volumes, we review recent sales volumes, existing customer orders, current contract prices, industry analyses of supply and demand, seasonal factors, general economic trends, and other information. When these analyses reflect estimated net realizable values below our manufacturing costs, we record a charge to cost of goods sold in advance of when inventories are actually sold. Differences in forecasted average selling prices used in calculating lower of cost or net realizable value adjustments can result in significant changes in the estimated net realizable value of product inventories and accordingly the amount of write-down recorded. For example, a 5% variance in the estimated selling prices would have changed the estimated net realizable value of our inventory by approximately $ 525 million as of September 3, 2020. Due to the volatile nature of the semiconductor memory and storage markets, actual selling prices and volumes often vary significantly from projected prices and volumes; as a result, the timing of when product costs are charged to operations can vary significantly.</w:t>
      </w:r>
    </w:p>
    <w:p>
      <w:pPr>
        <w:spacing w:after="0" w:line="231"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U.S. GAAP provides for products to be grouped into categories in order to compare costs to net realizable values. The amount of any inventory write-down can vary significantly depending on the determination of inventory categories. We review the major characteristics of product type and markets in determining the unit of account for which we perform the lower of average cost or net realizable value analysis and categorize all inventories (including DRAM, NAND, and other memory) as a single group.</w:t>
      </w:r>
    </w:p>
    <w:p>
      <w:pPr>
        <w:spacing w:after="0" w:line="20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b w:val="1"/>
          <w:bCs w:val="1"/>
          <w:i w:val="1"/>
          <w:iCs w:val="1"/>
          <w:color w:val="auto"/>
        </w:rPr>
        <w:t>Property, plant, and equipment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periodically assess the estimated useful lives of our property, plant, and equipment based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technology node transitions, capital spending, and equipment re-use rates. Based on our assessment of planned technology node transitions, capital spending, and re-use rates, we revised the estimated useful lives of the existing equipment in our NAND wafer fabrication facilities and our research and development (“R&amp;D”) facilities from five years to seven years as of the beginning of the first quarter of 2020. See “Item 8. Financial Statements and Supplementary Data – Notes to Consolidated Financial Statements – Property, Plant, and Equipment.”</w:t>
      </w:r>
    </w:p>
    <w:p>
      <w:pPr>
        <w:spacing w:after="0" w:line="23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also review the carrying value of property, plant, and equipment for impairment when events and circumstances indicate that the carrying value of an asset or group of assets may not be recoverable from the estimated future cash flows expected to result from its use and/or disposition. In cases where undiscounted expected future cash flows are less than the carrying value, an impairment loss is recognized equal to the amount by which the carrying value exceeds the estimated fair value of the assets. The estimate of future cash flows involves numerous assumptions which require significant judgment by us, including, but not limited to, future use of the assets for our operations versus sale or disposal of the assets, future selling prices for our products, and future production and sales volumes. In addition, significant judgment is required in determining the groups of assets for which impairment tests are separately performed.</w:t>
      </w:r>
    </w:p>
    <w:p>
      <w:pPr>
        <w:spacing w:after="0" w:line="212"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b w:val="1"/>
          <w:bCs w:val="1"/>
          <w:i w:val="1"/>
          <w:iCs w:val="1"/>
          <w:color w:val="auto"/>
        </w:rPr>
        <w:t>Research and development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Costs related to the conceptual formulation and design of products and processes are expensed as R&amp;D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incurred. Determining when product development is complete requires significant judgment. We deem development of a product complete once the product has been thoroughly reviewed and tested for performance and reliability. Subsequent to product qualification, product costs are included in cost of goods sold.</w:t>
      </w:r>
    </w:p>
    <w:p>
      <w:pPr>
        <w:spacing w:after="0" w:line="203"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i w:val="1"/>
          <w:iCs w:val="1"/>
          <w:color w:val="auto"/>
        </w:rPr>
        <w:t>Revenue recognition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is primarily recognized at a point in time when control of the promised goods is transferred to our customers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an amount that reflects the consideration we expect to be entitled to in exchange for those goods. Contracts with our customers are generally short-term in duration at fixed, negotiated prices with payment generally due shortly after delivery. We estimate a liability for returns using the expected value method</w:t>
      </w:r>
    </w:p>
    <w:p>
      <w:pPr>
        <w:spacing w:after="0" w:line="200" w:lineRule="exact"/>
        <w:rPr>
          <w:sz w:val="20"/>
          <w:szCs w:val="20"/>
          <w:color w:val="auto"/>
        </w:rPr>
      </w:pPr>
    </w:p>
    <w:p>
      <w:pPr>
        <w:spacing w:after="0" w:line="269" w:lineRule="exact"/>
        <w:rPr>
          <w:sz w:val="20"/>
          <w:szCs w:val="20"/>
          <w:color w:val="auto"/>
        </w:rPr>
      </w:pPr>
    </w:p>
    <w:p>
      <w:pPr>
        <w:jc w:val="right"/>
        <w:spacing w:after="0"/>
        <w:rPr>
          <w:sz w:val="20"/>
          <w:szCs w:val="20"/>
          <w:color w:val="auto"/>
        </w:rPr>
      </w:pPr>
      <w:r>
        <w:rPr>
          <w:sz w:val="1"/>
          <w:szCs w:val="1"/>
          <w:color w:val="auto"/>
        </w:rPr>
        <w:drawing>
          <wp:inline distT="0" distB="0" distL="0" distR="0">
            <wp:extent cx="608330" cy="171450"/>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8330" cy="171450"/>
                    </a:xfrm>
                    <a:prstGeom prst="rect">
                      <a:avLst/>
                    </a:prstGeom>
                    <a:noFill/>
                    <a:ln>
                      <a:noFill/>
                    </a:ln>
                  </pic:spPr>
                </pic:pic>
              </a:graphicData>
            </a:graphic>
          </wp:inline>
        </w:drawing>
      </w:r>
      <w:r>
        <w:rPr>
          <w:rFonts w:ascii="Arial" w:cs="Arial" w:eastAsia="Arial" w:hAnsi="Arial"/>
          <w:sz w:val="18"/>
          <w:szCs w:val="18"/>
          <w:color w:val="auto"/>
        </w:rPr>
        <w:t xml:space="preserve">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47" w:name="page48"/>
    <w:bookmarkEnd w:id="47"/>
    <w:p>
      <w:pPr>
        <w:jc w:val="both"/>
        <w:ind w:right="40"/>
        <w:spacing w:after="0" w:line="254" w:lineRule="auto"/>
        <w:rPr>
          <w:sz w:val="20"/>
          <w:szCs w:val="20"/>
          <w:color w:val="auto"/>
        </w:rPr>
      </w:pPr>
      <w:r>
        <w:rPr>
          <w:rFonts w:ascii="Arial" w:cs="Arial" w:eastAsia="Arial" w:hAnsi="Arial"/>
          <w:sz w:val="18"/>
          <w:szCs w:val="18"/>
          <w:color w:val="auto"/>
        </w:rPr>
        <w:t>based on historical rates of return. In addition, we generally offer price protection to our distributors, which is a form of variable consideration that decreases the transaction price. We use the expected value method, based on historical price adjustments and current pricing trends, to estimate the amount of revenue recognized from sales to distributors. Differences between the estimated and actual amounts are recognized as adjustments to revenue.</w:t>
      </w:r>
    </w:p>
    <w:p>
      <w:pPr>
        <w:spacing w:after="0" w:line="209"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b w:val="1"/>
          <w:bCs w:val="1"/>
          <w:i w:val="1"/>
          <w:iCs w:val="1"/>
          <w:color w:val="auto"/>
        </w:rPr>
        <w:t>Stock-based compensation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Stock-based compensation is estimated at the grant date based on the fair value of the award and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recognized as expense using the straight-line amortization method over the requisite service period. For performance-based stock awards, the expense recognized is dependent on our assessment of the likelihood of the performance measure being achieved. We utilize forecasts of future performance to assess these probabilities and this assessment requires significant judgment.</w:t>
      </w:r>
    </w:p>
    <w:p>
      <w:pPr>
        <w:spacing w:after="0" w:line="22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Determining the appropriate fair-value model and calculating the fair value of stock-based awards at the grant date requires significant judgment, including estimating stock price volatility and expected option life. We develop these estimates based on historical data and market information which can change significantly over time. A small change in the estimates used can result in a relatively large change in the estimated valuation. We use the Black-Scholes option valuation model to value employee stock options and awards granted under our employee stock purchase plan. We estimate stock price volatility based on an average of historical volatility and the implied volatility derived from traded options on our stock.</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Recently Adopted Accounting Standards</w:t>
      </w:r>
    </w:p>
    <w:p>
      <w:pPr>
        <w:spacing w:after="0" w:line="265"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See “Item 8. Financial Statements and Supplementary Data – Notes to Consolidated Financial Statements – Recently Adopted Accounting Standards.”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Recently Issued Accounting Standards</w:t>
      </w:r>
    </w:p>
    <w:p>
      <w:pPr>
        <w:spacing w:after="0" w:line="265"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See “Item 8. Financial Statements and Supplementary Data – Notes to Consolidated Financial Statements – Recently Issued Accounting Standards.”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7A. QUANTITATIVE AND QUALITATIVE DISCLOSURES ABOUT MARKET RISK</w:t>
      </w:r>
    </w:p>
    <w:p>
      <w:pPr>
        <w:spacing w:after="0" w:line="264"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Interest Rate Risk</w:t>
      </w:r>
    </w:p>
    <w:p>
      <w:pPr>
        <w:spacing w:after="0" w:line="26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are exposed to interest rate risk related to our indebtedness and our investment portfolio. As of September 3, 2020 and August 29, 2019, we had fixed-rate debt of $4.9 billion and $5.3 billion, respectively, and as a result, the fair value of our debt fluctuates with changes in market interest rates. We estimate that, as of September 3, 2020 and August 29, 2019, a decrease in market interest rates of 1% would increase the fair value of our fixed-rate debt by nearly $300 million. As of September 3, 2020, we had variable-rate debt of $1.25 billion and, therefore, a 1% increase in the interest rates of our variable-rate debt would result in an increase in annual interest expense of approximately $13 million. As of August 29, 2019, we had no variable rate debt.</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Foreign Currency Exchange Rate Risk</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in this section should be read in conjunction with the information related to changes in the currency exchange rates in “Part I</w:t>
      </w:r>
    </w:p>
    <w:p>
      <w:pPr>
        <w:spacing w:after="0" w:line="9"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color w:val="auto"/>
        </w:rPr>
        <w:t>– Item 1A. Risk Factors.” Changes in currency exchange rates could materially adversely affect our results of operations or financial condition.</w:t>
      </w:r>
    </w:p>
    <w:p>
      <w:pPr>
        <w:spacing w:after="0" w:line="225" w:lineRule="exact"/>
        <w:rPr>
          <w:sz w:val="20"/>
          <w:szCs w:val="20"/>
          <w:color w:val="auto"/>
        </w:rPr>
      </w:pPr>
    </w:p>
    <w:p>
      <w:pPr>
        <w:ind w:right="340"/>
        <w:spacing w:after="0" w:line="252" w:lineRule="auto"/>
        <w:rPr>
          <w:sz w:val="20"/>
          <w:szCs w:val="20"/>
          <w:color w:val="auto"/>
        </w:rPr>
      </w:pPr>
      <w:r>
        <w:rPr>
          <w:rFonts w:ascii="Arial" w:cs="Arial" w:eastAsia="Arial" w:hAnsi="Arial"/>
          <w:sz w:val="18"/>
          <w:szCs w:val="18"/>
          <w:color w:val="auto"/>
        </w:rPr>
        <w:t>The functional currency for all of our operations is the U.S. dollar. The substantial majority of our sales are transacted in the U.S. dollar; however, significant amounts of our operating expenditures and capital purchases, and certain assets and liabilities, are incurred in or exposed to other currencies, primarily the euro, New Taiwan dollar, Singapore dollar, and yen. We have established currency risk management programs for our monetary assets and liabilities denominated in foreign currencies to hedge against fluctuations in the fair value and volatility of future cash flows caused by changes in currency exchange rates. We generally utilize currency forward contracts in these</w:t>
      </w:r>
    </w:p>
    <w:p>
      <w:pPr>
        <w:sectPr>
          <w:pgSz w:w="11900" w:h="16838" w:orient="portrait"/>
          <w:cols w:equalWidth="0" w:num="1">
            <w:col w:w="11240"/>
          </w:cols>
          <w:pgMar w:left="320" w:top="949" w:right="339" w:bottom="1440" w:gutter="0" w:footer="0" w:header="0"/>
        </w:sect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45 </w:t>
      </w:r>
      <w:r>
        <w:rPr>
          <w:rFonts w:ascii="Arial" w:cs="Arial" w:eastAsia="Arial" w:hAnsi="Arial"/>
          <w:sz w:val="21"/>
          <w:szCs w:val="21"/>
          <w:b w:val="1"/>
          <w:bCs w:val="1"/>
          <w:color w:val="0090DA"/>
        </w:rPr>
        <w:t>|</w:t>
      </w:r>
      <w:r>
        <w:rPr>
          <w:rFonts w:ascii="Arial" w:cs="Arial" w:eastAsia="Arial" w:hAnsi="Arial"/>
          <w:sz w:val="18"/>
          <w:szCs w:val="18"/>
          <w:color w:val="auto"/>
        </w:rPr>
        <w:t xml:space="preserve"> 2020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type w:val="continuous"/>
        </w:sectPr>
      </w:pPr>
    </w:p>
    <w:bookmarkStart w:id="48" w:name="page49"/>
    <w:bookmarkEnd w:id="48"/>
    <w:p>
      <w:pPr>
        <w:ind w:right="420"/>
        <w:spacing w:after="0" w:line="261" w:lineRule="auto"/>
        <w:rPr>
          <w:sz w:val="20"/>
          <w:szCs w:val="20"/>
          <w:color w:val="auto"/>
        </w:rPr>
      </w:pPr>
      <w:r>
        <w:rPr>
          <w:rFonts w:ascii="Arial" w:cs="Arial" w:eastAsia="Arial" w:hAnsi="Arial"/>
          <w:sz w:val="18"/>
          <w:szCs w:val="18"/>
          <w:color w:val="auto"/>
        </w:rPr>
        <w:t>hedging programs, which reduce, but do not always entirely eliminate, the impact of currency exchange rate movements. We do not use derivative financial instruments for trading or speculative purposes.</w:t>
      </w:r>
    </w:p>
    <w:p>
      <w:pPr>
        <w:spacing w:after="0" w:line="225"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Based on monetary assets and liabilities denominated in foreign currencies, we estimate that a 10% adverse change in exchange rates versus the U.S. dollar would result in losses of approximately $98 million as of September 3, 2020 and $149 million as of August 29, 2019. We hedge our exposure to changes in currency exchange rates by utilizing a rolling hedge strategy for our primary currency exposures with currency forward contracts that generally mature within three months. The effectiveness of our hedges is dependent, among other factors, upon our ability to accurately measure exposures on a timely basis. To hedge the exposure of changes in cash flows from changes in currency exchange rates for certain capital expenditures and manufacturing costs, we may utilize currency forward contracts that generally mature within two years. (See “Item 8. Financial Statements and Supplementary Data – Notes to Consolidated Financial Statements – Derivative Instruments.”)</w:t>
      </w: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sz w:val="1"/>
          <w:szCs w:val="1"/>
          <w:color w:val="auto"/>
        </w:rPr>
        <w:drawing>
          <wp:inline distT="0" distB="0" distL="0" distR="0">
            <wp:extent cx="608330" cy="171450"/>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8330" cy="171450"/>
                    </a:xfrm>
                    <a:prstGeom prst="rect">
                      <a:avLst/>
                    </a:prstGeom>
                    <a:noFill/>
                    <a:ln>
                      <a:noFill/>
                    </a:ln>
                  </pic:spPr>
                </pic:pic>
              </a:graphicData>
            </a:graphic>
          </wp:inline>
        </w:drawing>
      </w:r>
      <w:r>
        <w:rPr>
          <w:rFonts w:ascii="Arial" w:cs="Arial" w:eastAsia="Arial" w:hAnsi="Arial"/>
          <w:sz w:val="18"/>
          <w:szCs w:val="18"/>
          <w:color w:val="auto"/>
        </w:rPr>
        <w:t xml:space="preserve">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49" w:name="page50"/>
    <w:bookmarkEnd w:id="49"/>
    <w:p>
      <w:pPr>
        <w:spacing w:after="0"/>
        <w:rPr>
          <w:sz w:val="20"/>
          <w:szCs w:val="20"/>
          <w:color w:val="auto"/>
        </w:rPr>
      </w:pPr>
      <w:r>
        <w:rPr>
          <w:rFonts w:ascii="Arial" w:cs="Arial" w:eastAsia="Arial" w:hAnsi="Arial"/>
          <w:sz w:val="25"/>
          <w:szCs w:val="25"/>
          <w:b w:val="1"/>
          <w:bCs w:val="1"/>
          <w:color w:val="auto"/>
        </w:rPr>
        <w:t>ITEM 8. FINANCIAL STATEMENTS AND SUPPLEMENTARY DATA</w:t>
      </w:r>
    </w:p>
    <w:p>
      <w:pPr>
        <w:spacing w:after="0" w:line="253"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Micron Technology, Inc.</w:t>
      </w:r>
    </w:p>
    <w:p>
      <w:pPr>
        <w:spacing w:after="0" w:line="5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Consolidated Statements of Operations</w:t>
      </w:r>
    </w:p>
    <w:p>
      <w:pPr>
        <w:spacing w:after="0"/>
        <w:rPr>
          <w:sz w:val="20"/>
          <w:szCs w:val="20"/>
          <w:color w:val="auto"/>
        </w:rPr>
      </w:pPr>
      <w:r>
        <w:rPr>
          <w:rFonts w:ascii="Arial" w:cs="Arial" w:eastAsia="Arial" w:hAnsi="Arial"/>
          <w:sz w:val="18"/>
          <w:szCs w:val="18"/>
          <w:color w:val="auto"/>
        </w:rPr>
        <w:t>(in millions, except per share amounts)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b w:val="1"/>
                <w:bCs w:val="1"/>
                <w:color w:val="auto"/>
              </w:rPr>
              <w:t>September 3,</w:t>
            </w:r>
          </w:p>
        </w:tc>
        <w:tc>
          <w:tcPr>
            <w:tcW w:w="220" w:type="dxa"/>
            <w:vAlign w:val="bottom"/>
          </w:tcPr>
          <w:p>
            <w:pPr>
              <w:spacing w:after="0"/>
              <w:rPr>
                <w:sz w:val="17"/>
                <w:szCs w:val="17"/>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b w:val="1"/>
                <w:bCs w:val="1"/>
                <w:color w:val="auto"/>
              </w:rPr>
              <w:t>August 29,</w:t>
            </w:r>
          </w:p>
        </w:tc>
        <w:tc>
          <w:tcPr>
            <w:tcW w:w="200" w:type="dxa"/>
            <w:vAlign w:val="bottom"/>
          </w:tcPr>
          <w:p>
            <w:pPr>
              <w:spacing w:after="0"/>
              <w:rPr>
                <w:sz w:val="17"/>
                <w:szCs w:val="17"/>
                <w:color w:val="auto"/>
              </w:rPr>
            </w:pPr>
          </w:p>
        </w:tc>
        <w:tc>
          <w:tcPr>
            <w:tcW w:w="1280" w:type="dxa"/>
            <w:vAlign w:val="bottom"/>
          </w:tcPr>
          <w:p>
            <w:pPr>
              <w:jc w:val="right"/>
              <w:ind w:right="190"/>
              <w:spacing w:after="0"/>
              <w:rPr>
                <w:sz w:val="20"/>
                <w:szCs w:val="20"/>
                <w:color w:val="auto"/>
              </w:rPr>
            </w:pPr>
            <w:r>
              <w:rPr>
                <w:rFonts w:ascii="Arial" w:cs="Arial" w:eastAsia="Arial" w:hAnsi="Arial"/>
                <w:sz w:val="18"/>
                <w:szCs w:val="18"/>
                <w:b w:val="1"/>
                <w:bCs w:val="1"/>
                <w:color w:val="auto"/>
              </w:rPr>
              <w:t>August 30,</w:t>
            </w:r>
          </w:p>
        </w:tc>
      </w:tr>
      <w:tr>
        <w:trPr>
          <w:trHeight w:val="246"/>
        </w:trPr>
        <w:tc>
          <w:tcPr>
            <w:tcW w:w="682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For the year ended</w:t>
            </w:r>
          </w:p>
        </w:tc>
        <w:tc>
          <w:tcPr>
            <w:tcW w:w="140" w:type="dxa"/>
            <w:vAlign w:val="bottom"/>
            <w:tcBorders>
              <w:bottom w:val="single" w:sz="8" w:color="0090DA"/>
            </w:tcBorders>
          </w:tcPr>
          <w:p>
            <w:pPr>
              <w:spacing w:after="0"/>
              <w:rPr>
                <w:sz w:val="21"/>
                <w:szCs w:val="21"/>
                <w:color w:val="auto"/>
              </w:rPr>
            </w:pPr>
          </w:p>
        </w:tc>
        <w:tc>
          <w:tcPr>
            <w:tcW w:w="13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0090DA"/>
            </w:tcBorders>
          </w:tcPr>
          <w:p>
            <w:pPr>
              <w:spacing w:after="0"/>
              <w:rPr>
                <w:sz w:val="21"/>
                <w:szCs w:val="21"/>
                <w:color w:val="auto"/>
              </w:rPr>
            </w:pPr>
          </w:p>
        </w:tc>
        <w:tc>
          <w:tcPr>
            <w:tcW w:w="126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bottom w:val="single" w:sz="8" w:color="0090DA"/>
            </w:tcBorders>
          </w:tcPr>
          <w:p>
            <w:pPr>
              <w:spacing w:after="0"/>
              <w:rPr>
                <w:sz w:val="21"/>
                <w:szCs w:val="21"/>
                <w:color w:val="auto"/>
              </w:rPr>
            </w:pPr>
          </w:p>
        </w:tc>
        <w:tc>
          <w:tcPr>
            <w:tcW w:w="1280" w:type="dxa"/>
            <w:vAlign w:val="bottom"/>
            <w:tcBorders>
              <w:bottom w:val="single" w:sz="8" w:color="0090DA"/>
            </w:tcBorders>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41"/>
        </w:trPr>
        <w:tc>
          <w:tcPr>
            <w:tcW w:w="6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57"/>
        </w:trPr>
        <w:tc>
          <w:tcPr>
            <w:tcW w:w="682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21,435</w:t>
            </w:r>
          </w:p>
        </w:tc>
        <w:tc>
          <w:tcPr>
            <w:tcW w:w="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23,406</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30,391</w:t>
            </w:r>
          </w:p>
        </w:tc>
      </w:tr>
      <w:tr>
        <w:trPr>
          <w:trHeight w:val="250"/>
        </w:trPr>
        <w:tc>
          <w:tcPr>
            <w:tcW w:w="682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Cost of goods sold</w:t>
            </w: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14,883</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12,704</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12,500</w:t>
            </w:r>
          </w:p>
        </w:tc>
      </w:tr>
      <w:tr>
        <w:trPr>
          <w:trHeight w:val="256"/>
        </w:trPr>
        <w:tc>
          <w:tcPr>
            <w:tcW w:w="6820" w:type="dxa"/>
            <w:vAlign w:val="bottom"/>
            <w:shd w:val="clear" w:color="auto" w:fill="D1D2D4"/>
          </w:tcPr>
          <w:p>
            <w:pPr>
              <w:ind w:left="220"/>
              <w:spacing w:after="0"/>
              <w:rPr>
                <w:sz w:val="20"/>
                <w:szCs w:val="20"/>
                <w:color w:val="auto"/>
              </w:rPr>
            </w:pPr>
            <w:r>
              <w:rPr>
                <w:rFonts w:ascii="Arial" w:cs="Arial" w:eastAsia="Arial" w:hAnsi="Arial"/>
                <w:sz w:val="18"/>
                <w:szCs w:val="18"/>
                <w:color w:val="auto"/>
              </w:rPr>
              <w:t>Gross margin</w:t>
            </w:r>
          </w:p>
        </w:tc>
        <w:tc>
          <w:tcPr>
            <w:tcW w:w="140" w:type="dxa"/>
            <w:vAlign w:val="bottom"/>
            <w:shd w:val="clear" w:color="auto" w:fill="D1D2D4"/>
          </w:tcPr>
          <w:p>
            <w:pPr>
              <w:spacing w:after="0"/>
              <w:rPr>
                <w:sz w:val="22"/>
                <w:szCs w:val="22"/>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6,552</w:t>
            </w:r>
          </w:p>
        </w:tc>
        <w:tc>
          <w:tcPr>
            <w:tcW w:w="220" w:type="dxa"/>
            <w:vAlign w:val="bottom"/>
            <w:shd w:val="clear" w:color="auto" w:fill="D1D2D4"/>
          </w:tcPr>
          <w:p>
            <w:pPr>
              <w:spacing w:after="0"/>
              <w:rPr>
                <w:sz w:val="22"/>
                <w:szCs w:val="22"/>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10,702</w:t>
            </w:r>
          </w:p>
        </w:tc>
        <w:tc>
          <w:tcPr>
            <w:tcW w:w="200" w:type="dxa"/>
            <w:vAlign w:val="bottom"/>
            <w:shd w:val="clear" w:color="auto" w:fill="D1D2D4"/>
          </w:tcPr>
          <w:p>
            <w:pPr>
              <w:spacing w:after="0"/>
              <w:rPr>
                <w:sz w:val="22"/>
                <w:szCs w:val="22"/>
                <w:color w:val="auto"/>
              </w:rPr>
            </w:pPr>
          </w:p>
        </w:tc>
        <w:tc>
          <w:tcPr>
            <w:tcW w:w="128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17,891</w:t>
            </w:r>
          </w:p>
        </w:tc>
      </w:tr>
      <w:tr>
        <w:trPr>
          <w:trHeight w:val="257"/>
        </w:trPr>
        <w:tc>
          <w:tcPr>
            <w:tcW w:w="6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57"/>
        </w:trPr>
        <w:tc>
          <w:tcPr>
            <w:tcW w:w="682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D1D2D4"/>
          </w:tcPr>
          <w:p>
            <w:pPr>
              <w:spacing w:after="0"/>
              <w:rPr>
                <w:sz w:val="22"/>
                <w:szCs w:val="22"/>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2,600</w:t>
            </w:r>
          </w:p>
        </w:tc>
        <w:tc>
          <w:tcPr>
            <w:tcW w:w="220" w:type="dxa"/>
            <w:vAlign w:val="bottom"/>
            <w:shd w:val="clear" w:color="auto" w:fill="D1D2D4"/>
          </w:tcPr>
          <w:p>
            <w:pPr>
              <w:spacing w:after="0"/>
              <w:rPr>
                <w:sz w:val="22"/>
                <w:szCs w:val="22"/>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2,441</w:t>
            </w:r>
          </w:p>
        </w:tc>
        <w:tc>
          <w:tcPr>
            <w:tcW w:w="200" w:type="dxa"/>
            <w:vAlign w:val="bottom"/>
            <w:shd w:val="clear" w:color="auto" w:fill="D1D2D4"/>
          </w:tcPr>
          <w:p>
            <w:pPr>
              <w:spacing w:after="0"/>
              <w:rPr>
                <w:sz w:val="22"/>
                <w:szCs w:val="22"/>
                <w:color w:val="auto"/>
              </w:rPr>
            </w:pPr>
          </w:p>
        </w:tc>
        <w:tc>
          <w:tcPr>
            <w:tcW w:w="128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2,141</w:t>
            </w:r>
          </w:p>
        </w:tc>
      </w:tr>
      <w:tr>
        <w:trPr>
          <w:trHeight w:val="250"/>
        </w:trPr>
        <w:tc>
          <w:tcPr>
            <w:tcW w:w="682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881</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836</w:t>
            </w: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813</w:t>
            </w:r>
          </w:p>
        </w:tc>
      </w:tr>
      <w:tr>
        <w:trPr>
          <w:trHeight w:val="257"/>
        </w:trPr>
        <w:tc>
          <w:tcPr>
            <w:tcW w:w="682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operating (income) expense, net</w:t>
            </w:r>
          </w:p>
        </w:tc>
        <w:tc>
          <w:tcPr>
            <w:tcW w:w="140" w:type="dxa"/>
            <w:vAlign w:val="bottom"/>
            <w:tcBorders>
              <w:bottom w:val="single" w:sz="8" w:color="auto"/>
            </w:tcBorders>
            <w:shd w:val="clear" w:color="auto" w:fill="D1D2D4"/>
          </w:tcPr>
          <w:p>
            <w:pPr>
              <w:spacing w:after="0"/>
              <w:rPr>
                <w:sz w:val="22"/>
                <w:szCs w:val="22"/>
                <w:color w:val="auto"/>
              </w:rPr>
            </w:pP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68</w:t>
            </w:r>
          </w:p>
        </w:tc>
        <w:tc>
          <w:tcPr>
            <w:tcW w:w="220" w:type="dxa"/>
            <w:vAlign w:val="bottom"/>
            <w:tcBorders>
              <w:bottom w:val="single" w:sz="8" w:color="auto"/>
            </w:tcBorders>
            <w:shd w:val="clear" w:color="auto" w:fill="D1D2D4"/>
          </w:tcPr>
          <w:p>
            <w:pPr>
              <w:spacing w:after="0"/>
              <w:rPr>
                <w:sz w:val="22"/>
                <w:szCs w:val="22"/>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49</w:t>
            </w:r>
          </w:p>
        </w:tc>
        <w:tc>
          <w:tcPr>
            <w:tcW w:w="200" w:type="dxa"/>
            <w:vAlign w:val="bottom"/>
            <w:tcBorders>
              <w:bottom w:val="single" w:sz="8" w:color="auto"/>
            </w:tcBorders>
            <w:shd w:val="clear" w:color="auto" w:fill="D1D2D4"/>
          </w:tcPr>
          <w:p>
            <w:pPr>
              <w:spacing w:after="0"/>
              <w:rPr>
                <w:sz w:val="22"/>
                <w:szCs w:val="22"/>
                <w:color w:val="auto"/>
              </w:rPr>
            </w:pPr>
          </w:p>
        </w:tc>
        <w:tc>
          <w:tcPr>
            <w:tcW w:w="12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(57)</w:t>
            </w:r>
          </w:p>
        </w:tc>
      </w:tr>
      <w:tr>
        <w:trPr>
          <w:trHeight w:val="250"/>
        </w:trPr>
        <w:tc>
          <w:tcPr>
            <w:tcW w:w="6820" w:type="dxa"/>
            <w:vAlign w:val="bottom"/>
          </w:tcPr>
          <w:p>
            <w:pPr>
              <w:ind w:left="220"/>
              <w:spacing w:after="0"/>
              <w:rPr>
                <w:sz w:val="20"/>
                <w:szCs w:val="20"/>
                <w:color w:val="auto"/>
              </w:rPr>
            </w:pPr>
            <w:r>
              <w:rPr>
                <w:rFonts w:ascii="Arial" w:cs="Arial" w:eastAsia="Arial" w:hAnsi="Arial"/>
                <w:sz w:val="18"/>
                <w:szCs w:val="18"/>
                <w:color w:val="auto"/>
              </w:rPr>
              <w:t>Operating income</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3,003</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7,376</w:t>
            </w: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14,994</w:t>
            </w:r>
          </w:p>
        </w:tc>
      </w:tr>
      <w:tr>
        <w:trPr>
          <w:trHeight w:val="263"/>
        </w:trPr>
        <w:tc>
          <w:tcPr>
            <w:tcW w:w="6820" w:type="dxa"/>
            <w:vAlign w:val="bottom"/>
            <w:shd w:val="clear" w:color="auto" w:fill="D1D2D4"/>
          </w:tcPr>
          <w:p>
            <w:pPr>
              <w:spacing w:after="0"/>
              <w:rPr>
                <w:sz w:val="22"/>
                <w:szCs w:val="22"/>
                <w:color w:val="auto"/>
              </w:rPr>
            </w:pPr>
          </w:p>
        </w:tc>
        <w:tc>
          <w:tcPr>
            <w:tcW w:w="140" w:type="dxa"/>
            <w:vAlign w:val="bottom"/>
            <w:shd w:val="clear" w:color="auto" w:fill="D1D2D4"/>
          </w:tcPr>
          <w:p>
            <w:pPr>
              <w:spacing w:after="0"/>
              <w:rPr>
                <w:sz w:val="22"/>
                <w:szCs w:val="22"/>
                <w:color w:val="auto"/>
              </w:rPr>
            </w:pPr>
          </w:p>
        </w:tc>
        <w:tc>
          <w:tcPr>
            <w:tcW w:w="1320" w:type="dxa"/>
            <w:vAlign w:val="bottom"/>
            <w:shd w:val="clear" w:color="auto" w:fill="D1D2D4"/>
          </w:tcPr>
          <w:p>
            <w:pPr>
              <w:spacing w:after="0"/>
              <w:rPr>
                <w:sz w:val="22"/>
                <w:szCs w:val="22"/>
                <w:color w:val="auto"/>
              </w:rPr>
            </w:pPr>
          </w:p>
        </w:tc>
        <w:tc>
          <w:tcPr>
            <w:tcW w:w="220" w:type="dxa"/>
            <w:vAlign w:val="bottom"/>
            <w:shd w:val="clear" w:color="auto" w:fill="D1D2D4"/>
          </w:tcPr>
          <w:p>
            <w:pPr>
              <w:spacing w:after="0"/>
              <w:rPr>
                <w:sz w:val="22"/>
                <w:szCs w:val="22"/>
                <w:color w:val="auto"/>
              </w:rPr>
            </w:pPr>
          </w:p>
        </w:tc>
        <w:tc>
          <w:tcPr>
            <w:tcW w:w="1260" w:type="dxa"/>
            <w:vAlign w:val="bottom"/>
            <w:shd w:val="clear" w:color="auto" w:fill="D1D2D4"/>
          </w:tcPr>
          <w:p>
            <w:pPr>
              <w:spacing w:after="0"/>
              <w:rPr>
                <w:sz w:val="22"/>
                <w:szCs w:val="22"/>
                <w:color w:val="auto"/>
              </w:rPr>
            </w:pPr>
          </w:p>
        </w:tc>
        <w:tc>
          <w:tcPr>
            <w:tcW w:w="200" w:type="dxa"/>
            <w:vAlign w:val="bottom"/>
            <w:shd w:val="clear" w:color="auto" w:fill="D1D2D4"/>
          </w:tcPr>
          <w:p>
            <w:pPr>
              <w:spacing w:after="0"/>
              <w:rPr>
                <w:sz w:val="22"/>
                <w:szCs w:val="22"/>
                <w:color w:val="auto"/>
              </w:rPr>
            </w:pPr>
          </w:p>
        </w:tc>
        <w:tc>
          <w:tcPr>
            <w:tcW w:w="1280" w:type="dxa"/>
            <w:vAlign w:val="bottom"/>
            <w:shd w:val="clear" w:color="auto" w:fill="D1D2D4"/>
          </w:tcPr>
          <w:p>
            <w:pPr>
              <w:spacing w:after="0"/>
              <w:rPr>
                <w:sz w:val="22"/>
                <w:szCs w:val="22"/>
                <w:color w:val="auto"/>
              </w:rPr>
            </w:pPr>
          </w:p>
        </w:tc>
      </w:tr>
      <w:tr>
        <w:trPr>
          <w:trHeight w:val="250"/>
        </w:trPr>
        <w:tc>
          <w:tcPr>
            <w:tcW w:w="682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114</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205</w:t>
            </w: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120</w:t>
            </w:r>
          </w:p>
        </w:tc>
      </w:tr>
      <w:tr>
        <w:trPr>
          <w:trHeight w:val="263"/>
        </w:trPr>
        <w:tc>
          <w:tcPr>
            <w:tcW w:w="682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D1D2D4"/>
          </w:tcPr>
          <w:p>
            <w:pPr>
              <w:spacing w:after="0"/>
              <w:rPr>
                <w:sz w:val="22"/>
                <w:szCs w:val="22"/>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(194)</w:t>
            </w:r>
          </w:p>
        </w:tc>
        <w:tc>
          <w:tcPr>
            <w:tcW w:w="220" w:type="dxa"/>
            <w:vAlign w:val="bottom"/>
            <w:shd w:val="clear" w:color="auto" w:fill="D1D2D4"/>
          </w:tcPr>
          <w:p>
            <w:pPr>
              <w:spacing w:after="0"/>
              <w:rPr>
                <w:sz w:val="22"/>
                <w:szCs w:val="22"/>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(128)</w:t>
            </w:r>
          </w:p>
        </w:tc>
        <w:tc>
          <w:tcPr>
            <w:tcW w:w="200" w:type="dxa"/>
            <w:vAlign w:val="bottom"/>
            <w:shd w:val="clear" w:color="auto" w:fill="D1D2D4"/>
          </w:tcPr>
          <w:p>
            <w:pPr>
              <w:spacing w:after="0"/>
              <w:rPr>
                <w:sz w:val="22"/>
                <w:szCs w:val="22"/>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(342)</w:t>
            </w:r>
          </w:p>
        </w:tc>
      </w:tr>
      <w:tr>
        <w:trPr>
          <w:trHeight w:val="250"/>
        </w:trPr>
        <w:tc>
          <w:tcPr>
            <w:tcW w:w="682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non-operating income (expense), net</w:t>
            </w: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w:t>
            </w:r>
          </w:p>
        </w:tc>
      </w:tr>
      <w:tr>
        <w:trPr>
          <w:trHeight w:val="256"/>
        </w:trPr>
        <w:tc>
          <w:tcPr>
            <w:tcW w:w="6820" w:type="dxa"/>
            <w:vAlign w:val="bottom"/>
            <w:shd w:val="clear" w:color="auto" w:fill="D1D2D4"/>
          </w:tcPr>
          <w:p>
            <w:pPr>
              <w:spacing w:after="0"/>
              <w:rPr>
                <w:sz w:val="22"/>
                <w:szCs w:val="22"/>
                <w:color w:val="auto"/>
              </w:rPr>
            </w:pPr>
          </w:p>
        </w:tc>
        <w:tc>
          <w:tcPr>
            <w:tcW w:w="140" w:type="dxa"/>
            <w:vAlign w:val="bottom"/>
            <w:shd w:val="clear" w:color="auto" w:fill="D1D2D4"/>
          </w:tcPr>
          <w:p>
            <w:pPr>
              <w:spacing w:after="0"/>
              <w:rPr>
                <w:sz w:val="22"/>
                <w:szCs w:val="22"/>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2,983</w:t>
            </w:r>
          </w:p>
        </w:tc>
        <w:tc>
          <w:tcPr>
            <w:tcW w:w="220" w:type="dxa"/>
            <w:vAlign w:val="bottom"/>
            <w:shd w:val="clear" w:color="auto" w:fill="D1D2D4"/>
          </w:tcPr>
          <w:p>
            <w:pPr>
              <w:spacing w:after="0"/>
              <w:rPr>
                <w:sz w:val="22"/>
                <w:szCs w:val="22"/>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7,048</w:t>
            </w:r>
          </w:p>
        </w:tc>
        <w:tc>
          <w:tcPr>
            <w:tcW w:w="200" w:type="dxa"/>
            <w:vAlign w:val="bottom"/>
            <w:shd w:val="clear" w:color="auto" w:fill="D1D2D4"/>
          </w:tcPr>
          <w:p>
            <w:pPr>
              <w:spacing w:after="0"/>
              <w:rPr>
                <w:sz w:val="22"/>
                <w:szCs w:val="22"/>
                <w:color w:val="auto"/>
              </w:rPr>
            </w:pPr>
          </w:p>
        </w:tc>
        <w:tc>
          <w:tcPr>
            <w:tcW w:w="128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14,307</w:t>
            </w:r>
          </w:p>
        </w:tc>
      </w:tr>
      <w:tr>
        <w:trPr>
          <w:trHeight w:val="257"/>
        </w:trPr>
        <w:tc>
          <w:tcPr>
            <w:tcW w:w="6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56"/>
        </w:trPr>
        <w:tc>
          <w:tcPr>
            <w:tcW w:w="682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Income tax (provision) benefit</w:t>
            </w:r>
          </w:p>
        </w:tc>
        <w:tc>
          <w:tcPr>
            <w:tcW w:w="140" w:type="dxa"/>
            <w:vAlign w:val="bottom"/>
            <w:shd w:val="clear" w:color="auto" w:fill="D1D2D4"/>
          </w:tcPr>
          <w:p>
            <w:pPr>
              <w:spacing w:after="0"/>
              <w:rPr>
                <w:sz w:val="22"/>
                <w:szCs w:val="22"/>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(280)</w:t>
            </w:r>
          </w:p>
        </w:tc>
        <w:tc>
          <w:tcPr>
            <w:tcW w:w="220" w:type="dxa"/>
            <w:vAlign w:val="bottom"/>
            <w:shd w:val="clear" w:color="auto" w:fill="D1D2D4"/>
          </w:tcPr>
          <w:p>
            <w:pPr>
              <w:spacing w:after="0"/>
              <w:rPr>
                <w:sz w:val="22"/>
                <w:szCs w:val="22"/>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(693)</w:t>
            </w:r>
          </w:p>
        </w:tc>
        <w:tc>
          <w:tcPr>
            <w:tcW w:w="200" w:type="dxa"/>
            <w:vAlign w:val="bottom"/>
            <w:shd w:val="clear" w:color="auto" w:fill="D1D2D4"/>
          </w:tcPr>
          <w:p>
            <w:pPr>
              <w:spacing w:after="0"/>
              <w:rPr>
                <w:sz w:val="22"/>
                <w:szCs w:val="22"/>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(168)</w:t>
            </w:r>
          </w:p>
        </w:tc>
      </w:tr>
      <w:tr>
        <w:trPr>
          <w:trHeight w:val="257"/>
        </w:trPr>
        <w:tc>
          <w:tcPr>
            <w:tcW w:w="682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Equity in net income (loss) of equity method investees</w:t>
            </w: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50"/>
        </w:trPr>
        <w:tc>
          <w:tcPr>
            <w:tcW w:w="6820" w:type="dxa"/>
            <w:vAlign w:val="bottom"/>
            <w:shd w:val="clear" w:color="auto" w:fill="D1D2D4"/>
          </w:tcPr>
          <w:p>
            <w:pPr>
              <w:ind w:left="22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D1D2D4"/>
          </w:tcPr>
          <w:p>
            <w:pPr>
              <w:spacing w:after="0"/>
              <w:rPr>
                <w:sz w:val="21"/>
                <w:szCs w:val="21"/>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2,710</w:t>
            </w:r>
          </w:p>
        </w:tc>
        <w:tc>
          <w:tcPr>
            <w:tcW w:w="220" w:type="dxa"/>
            <w:vAlign w:val="bottom"/>
            <w:shd w:val="clear" w:color="auto" w:fill="D1D2D4"/>
          </w:tcPr>
          <w:p>
            <w:pPr>
              <w:spacing w:after="0"/>
              <w:rPr>
                <w:sz w:val="21"/>
                <w:szCs w:val="21"/>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6,358</w:t>
            </w:r>
          </w:p>
        </w:tc>
        <w:tc>
          <w:tcPr>
            <w:tcW w:w="200" w:type="dxa"/>
            <w:vAlign w:val="bottom"/>
            <w:shd w:val="clear" w:color="auto" w:fill="D1D2D4"/>
          </w:tcPr>
          <w:p>
            <w:pPr>
              <w:spacing w:after="0"/>
              <w:rPr>
                <w:sz w:val="21"/>
                <w:szCs w:val="21"/>
                <w:color w:val="auto"/>
              </w:rPr>
            </w:pPr>
          </w:p>
        </w:tc>
        <w:tc>
          <w:tcPr>
            <w:tcW w:w="128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14,138</w:t>
            </w:r>
          </w:p>
        </w:tc>
      </w:tr>
      <w:tr>
        <w:trPr>
          <w:trHeight w:val="256"/>
        </w:trPr>
        <w:tc>
          <w:tcPr>
            <w:tcW w:w="6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50"/>
        </w:trPr>
        <w:tc>
          <w:tcPr>
            <w:tcW w:w="682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140" w:type="dxa"/>
            <w:vAlign w:val="bottom"/>
            <w:tcBorders>
              <w:bottom w:val="single" w:sz="8" w:color="auto"/>
            </w:tcBorders>
            <w:shd w:val="clear" w:color="auto" w:fill="D1D2D4"/>
          </w:tcPr>
          <w:p>
            <w:pPr>
              <w:spacing w:after="0"/>
              <w:rPr>
                <w:sz w:val="21"/>
                <w:szCs w:val="21"/>
                <w:color w:val="auto"/>
              </w:rPr>
            </w:pP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(23)</w:t>
            </w:r>
          </w:p>
        </w:tc>
        <w:tc>
          <w:tcPr>
            <w:tcW w:w="220" w:type="dxa"/>
            <w:vAlign w:val="bottom"/>
            <w:tcBorders>
              <w:bottom w:val="single" w:sz="8" w:color="auto"/>
            </w:tcBorders>
            <w:shd w:val="clear" w:color="auto" w:fill="D1D2D4"/>
          </w:tcPr>
          <w:p>
            <w:pPr>
              <w:spacing w:after="0"/>
              <w:rPr>
                <w:sz w:val="21"/>
                <w:szCs w:val="21"/>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(45)</w:t>
            </w:r>
          </w:p>
        </w:tc>
        <w:tc>
          <w:tcPr>
            <w:tcW w:w="200" w:type="dxa"/>
            <w:vAlign w:val="bottom"/>
            <w:tcBorders>
              <w:bottom w:val="single" w:sz="8" w:color="auto"/>
            </w:tcBorders>
            <w:shd w:val="clear" w:color="auto" w:fill="D1D2D4"/>
          </w:tcPr>
          <w:p>
            <w:pPr>
              <w:spacing w:after="0"/>
              <w:rPr>
                <w:sz w:val="21"/>
                <w:szCs w:val="21"/>
                <w:color w:val="auto"/>
              </w:rPr>
            </w:pPr>
          </w:p>
        </w:tc>
        <w:tc>
          <w:tcPr>
            <w:tcW w:w="12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w:t>
            </w:r>
          </w:p>
        </w:tc>
      </w:tr>
      <w:tr>
        <w:trPr>
          <w:trHeight w:val="257"/>
        </w:trPr>
        <w:tc>
          <w:tcPr>
            <w:tcW w:w="6820" w:type="dxa"/>
            <w:vAlign w:val="bottom"/>
          </w:tcPr>
          <w:p>
            <w:pPr>
              <w:ind w:left="220"/>
              <w:spacing w:after="0"/>
              <w:rPr>
                <w:sz w:val="20"/>
                <w:szCs w:val="20"/>
                <w:color w:val="auto"/>
              </w:rPr>
            </w:pPr>
            <w:r>
              <w:rPr>
                <w:rFonts w:ascii="Arial" w:cs="Arial" w:eastAsia="Arial" w:hAnsi="Arial"/>
                <w:sz w:val="18"/>
                <w:szCs w:val="18"/>
                <w:color w:val="auto"/>
              </w:rPr>
              <w:t>Net income attributable to Micron</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14,135</w:t>
            </w:r>
          </w:p>
        </w:tc>
      </w:tr>
      <w:tr>
        <w:trPr>
          <w:trHeight w:val="20"/>
        </w:trPr>
        <w:tc>
          <w:tcPr>
            <w:tcW w:w="6820" w:type="dxa"/>
            <w:vAlign w:val="bottom"/>
            <w:tcBorders>
              <w:bottom w:val="single" w:sz="8" w:color="D1D2D4"/>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3"/>
        </w:trPr>
        <w:tc>
          <w:tcPr>
            <w:tcW w:w="682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2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c>
          <w:tcPr>
            <w:tcW w:w="200" w:type="dxa"/>
            <w:vAlign w:val="bottom"/>
            <w:shd w:val="clear" w:color="auto" w:fill="D1D2D4"/>
          </w:tcPr>
          <w:p>
            <w:pPr>
              <w:spacing w:after="0"/>
              <w:rPr>
                <w:sz w:val="19"/>
                <w:szCs w:val="19"/>
                <w:color w:val="auto"/>
              </w:rPr>
            </w:pPr>
          </w:p>
        </w:tc>
        <w:tc>
          <w:tcPr>
            <w:tcW w:w="1280" w:type="dxa"/>
            <w:vAlign w:val="bottom"/>
            <w:shd w:val="clear" w:color="auto" w:fill="D1D2D4"/>
          </w:tcPr>
          <w:p>
            <w:pPr>
              <w:spacing w:after="0"/>
              <w:rPr>
                <w:sz w:val="19"/>
                <w:szCs w:val="19"/>
                <w:color w:val="auto"/>
              </w:rPr>
            </w:pPr>
          </w:p>
        </w:tc>
      </w:tr>
      <w:tr>
        <w:trPr>
          <w:trHeight w:val="250"/>
        </w:trPr>
        <w:tc>
          <w:tcPr>
            <w:tcW w:w="6820" w:type="dxa"/>
            <w:vAlign w:val="bottom"/>
          </w:tcPr>
          <w:p>
            <w:pPr>
              <w:ind w:left="20"/>
              <w:spacing w:after="0"/>
              <w:rPr>
                <w:sz w:val="20"/>
                <w:szCs w:val="20"/>
                <w:color w:val="auto"/>
              </w:rPr>
            </w:pPr>
            <w:r>
              <w:rPr>
                <w:rFonts w:ascii="Arial" w:cs="Arial" w:eastAsia="Arial" w:hAnsi="Arial"/>
                <w:sz w:val="18"/>
                <w:szCs w:val="18"/>
                <w:color w:val="auto"/>
              </w:rPr>
              <w:t>Earnings per share</w:t>
            </w: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63"/>
        </w:trPr>
        <w:tc>
          <w:tcPr>
            <w:tcW w:w="6820" w:type="dxa"/>
            <w:vAlign w:val="bottom"/>
            <w:shd w:val="clear" w:color="auto" w:fill="D1D2D4"/>
          </w:tcPr>
          <w:p>
            <w:pPr>
              <w:ind w:left="22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2.42</w:t>
            </w:r>
          </w:p>
        </w:tc>
        <w:tc>
          <w:tcPr>
            <w:tcW w:w="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5.67</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12.27</w:t>
            </w:r>
          </w:p>
        </w:tc>
      </w:tr>
      <w:tr>
        <w:trPr>
          <w:trHeight w:val="250"/>
        </w:trPr>
        <w:tc>
          <w:tcPr>
            <w:tcW w:w="6820" w:type="dxa"/>
            <w:vAlign w:val="bottom"/>
          </w:tcPr>
          <w:p>
            <w:pPr>
              <w:ind w:left="220"/>
              <w:spacing w:after="0"/>
              <w:rPr>
                <w:sz w:val="20"/>
                <w:szCs w:val="20"/>
                <w:color w:val="auto"/>
              </w:rPr>
            </w:pPr>
            <w:r>
              <w:rPr>
                <w:rFonts w:ascii="Arial" w:cs="Arial" w:eastAsia="Arial" w:hAnsi="Arial"/>
                <w:sz w:val="18"/>
                <w:szCs w:val="18"/>
                <w:color w:val="auto"/>
              </w:rPr>
              <w:t>Diluted</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2.37</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5.51</w:t>
            </w: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11.51</w:t>
            </w:r>
          </w:p>
        </w:tc>
      </w:tr>
      <w:tr>
        <w:trPr>
          <w:trHeight w:val="263"/>
        </w:trPr>
        <w:tc>
          <w:tcPr>
            <w:tcW w:w="6820" w:type="dxa"/>
            <w:vAlign w:val="bottom"/>
            <w:shd w:val="clear" w:color="auto" w:fill="D1D2D4"/>
          </w:tcPr>
          <w:p>
            <w:pPr>
              <w:spacing w:after="0"/>
              <w:rPr>
                <w:sz w:val="22"/>
                <w:szCs w:val="22"/>
                <w:color w:val="auto"/>
              </w:rPr>
            </w:pPr>
          </w:p>
        </w:tc>
        <w:tc>
          <w:tcPr>
            <w:tcW w:w="140" w:type="dxa"/>
            <w:vAlign w:val="bottom"/>
            <w:shd w:val="clear" w:color="auto" w:fill="D1D2D4"/>
          </w:tcPr>
          <w:p>
            <w:pPr>
              <w:spacing w:after="0"/>
              <w:rPr>
                <w:sz w:val="22"/>
                <w:szCs w:val="22"/>
                <w:color w:val="auto"/>
              </w:rPr>
            </w:pPr>
          </w:p>
        </w:tc>
        <w:tc>
          <w:tcPr>
            <w:tcW w:w="1320" w:type="dxa"/>
            <w:vAlign w:val="bottom"/>
            <w:shd w:val="clear" w:color="auto" w:fill="D1D2D4"/>
          </w:tcPr>
          <w:p>
            <w:pPr>
              <w:spacing w:after="0"/>
              <w:rPr>
                <w:sz w:val="22"/>
                <w:szCs w:val="22"/>
                <w:color w:val="auto"/>
              </w:rPr>
            </w:pPr>
          </w:p>
        </w:tc>
        <w:tc>
          <w:tcPr>
            <w:tcW w:w="220" w:type="dxa"/>
            <w:vAlign w:val="bottom"/>
            <w:shd w:val="clear" w:color="auto" w:fill="D1D2D4"/>
          </w:tcPr>
          <w:p>
            <w:pPr>
              <w:spacing w:after="0"/>
              <w:rPr>
                <w:sz w:val="22"/>
                <w:szCs w:val="22"/>
                <w:color w:val="auto"/>
              </w:rPr>
            </w:pPr>
          </w:p>
        </w:tc>
        <w:tc>
          <w:tcPr>
            <w:tcW w:w="1260" w:type="dxa"/>
            <w:vAlign w:val="bottom"/>
            <w:shd w:val="clear" w:color="auto" w:fill="D1D2D4"/>
          </w:tcPr>
          <w:p>
            <w:pPr>
              <w:spacing w:after="0"/>
              <w:rPr>
                <w:sz w:val="22"/>
                <w:szCs w:val="22"/>
                <w:color w:val="auto"/>
              </w:rPr>
            </w:pPr>
          </w:p>
        </w:tc>
        <w:tc>
          <w:tcPr>
            <w:tcW w:w="200" w:type="dxa"/>
            <w:vAlign w:val="bottom"/>
            <w:shd w:val="clear" w:color="auto" w:fill="D1D2D4"/>
          </w:tcPr>
          <w:p>
            <w:pPr>
              <w:spacing w:after="0"/>
              <w:rPr>
                <w:sz w:val="22"/>
                <w:szCs w:val="22"/>
                <w:color w:val="auto"/>
              </w:rPr>
            </w:pPr>
          </w:p>
        </w:tc>
        <w:tc>
          <w:tcPr>
            <w:tcW w:w="1280" w:type="dxa"/>
            <w:vAlign w:val="bottom"/>
            <w:shd w:val="clear" w:color="auto" w:fill="D1D2D4"/>
          </w:tcPr>
          <w:p>
            <w:pPr>
              <w:spacing w:after="0"/>
              <w:rPr>
                <w:sz w:val="22"/>
                <w:szCs w:val="22"/>
                <w:color w:val="auto"/>
              </w:rPr>
            </w:pPr>
          </w:p>
        </w:tc>
      </w:tr>
      <w:tr>
        <w:trPr>
          <w:trHeight w:val="250"/>
        </w:trPr>
        <w:tc>
          <w:tcPr>
            <w:tcW w:w="6820" w:type="dxa"/>
            <w:vAlign w:val="bottom"/>
          </w:tcPr>
          <w:p>
            <w:pPr>
              <w:ind w:left="20"/>
              <w:spacing w:after="0"/>
              <w:rPr>
                <w:sz w:val="20"/>
                <w:szCs w:val="20"/>
                <w:color w:val="auto"/>
              </w:rPr>
            </w:pPr>
            <w:r>
              <w:rPr>
                <w:rFonts w:ascii="Arial" w:cs="Arial" w:eastAsia="Arial" w:hAnsi="Arial"/>
                <w:sz w:val="18"/>
                <w:szCs w:val="18"/>
                <w:color w:val="auto"/>
              </w:rPr>
              <w:t>Number of shares used in per share calculations</w:t>
            </w: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63"/>
        </w:trPr>
        <w:tc>
          <w:tcPr>
            <w:tcW w:w="6820" w:type="dxa"/>
            <w:vAlign w:val="bottom"/>
            <w:shd w:val="clear" w:color="auto" w:fill="D1D2D4"/>
          </w:tcPr>
          <w:p>
            <w:pPr>
              <w:ind w:left="22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D1D2D4"/>
          </w:tcPr>
          <w:p>
            <w:pPr>
              <w:spacing w:after="0"/>
              <w:rPr>
                <w:sz w:val="22"/>
                <w:szCs w:val="22"/>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1,110</w:t>
            </w:r>
          </w:p>
        </w:tc>
        <w:tc>
          <w:tcPr>
            <w:tcW w:w="220" w:type="dxa"/>
            <w:vAlign w:val="bottom"/>
            <w:shd w:val="clear" w:color="auto" w:fill="D1D2D4"/>
          </w:tcPr>
          <w:p>
            <w:pPr>
              <w:spacing w:after="0"/>
              <w:rPr>
                <w:sz w:val="22"/>
                <w:szCs w:val="22"/>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1,114</w:t>
            </w:r>
          </w:p>
        </w:tc>
        <w:tc>
          <w:tcPr>
            <w:tcW w:w="200" w:type="dxa"/>
            <w:vAlign w:val="bottom"/>
            <w:shd w:val="clear" w:color="auto" w:fill="D1D2D4"/>
          </w:tcPr>
          <w:p>
            <w:pPr>
              <w:spacing w:after="0"/>
              <w:rPr>
                <w:sz w:val="22"/>
                <w:szCs w:val="22"/>
                <w:color w:val="auto"/>
              </w:rPr>
            </w:pPr>
          </w:p>
        </w:tc>
        <w:tc>
          <w:tcPr>
            <w:tcW w:w="128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1,152</w:t>
            </w:r>
          </w:p>
        </w:tc>
      </w:tr>
      <w:tr>
        <w:trPr>
          <w:trHeight w:val="243"/>
        </w:trPr>
        <w:tc>
          <w:tcPr>
            <w:tcW w:w="6820" w:type="dxa"/>
            <w:vAlign w:val="bottom"/>
          </w:tcPr>
          <w:p>
            <w:pPr>
              <w:ind w:left="220"/>
              <w:spacing w:after="0"/>
              <w:rPr>
                <w:sz w:val="20"/>
                <w:szCs w:val="20"/>
                <w:color w:val="auto"/>
              </w:rPr>
            </w:pPr>
            <w:r>
              <w:rPr>
                <w:rFonts w:ascii="Arial" w:cs="Arial" w:eastAsia="Arial" w:hAnsi="Arial"/>
                <w:sz w:val="18"/>
                <w:szCs w:val="18"/>
                <w:color w:val="auto"/>
              </w:rPr>
              <w:t>Diluted</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1,131</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1,143</w:t>
            </w: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1,229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240"/>
          </w:cols>
          <w:pgMar w:left="320" w:top="919"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47 </w:t>
      </w:r>
      <w:r>
        <w:rPr>
          <w:rFonts w:ascii="Arial" w:cs="Arial" w:eastAsia="Arial" w:hAnsi="Arial"/>
          <w:sz w:val="21"/>
          <w:szCs w:val="21"/>
          <w:b w:val="1"/>
          <w:bCs w:val="1"/>
          <w:color w:val="0090DA"/>
        </w:rPr>
        <w:t>|</w:t>
      </w:r>
      <w:r>
        <w:rPr>
          <w:rFonts w:ascii="Arial" w:cs="Arial" w:eastAsia="Arial" w:hAnsi="Arial"/>
          <w:sz w:val="18"/>
          <w:szCs w:val="18"/>
          <w:color w:val="auto"/>
        </w:rPr>
        <w:t xml:space="preserve"> 2020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40"/>
          <w:szCs w:val="40"/>
          <w:b w:val="1"/>
          <w:bCs w:val="1"/>
          <w:color w:val="auto"/>
        </w:rPr>
        <w:t>Micron Technology, Inc.</w:t>
      </w:r>
    </w:p>
    <w:p>
      <w:pPr>
        <w:spacing w:after="0" w:line="5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Consolidated Statements of Comprehensive Income</w:t>
      </w:r>
    </w:p>
    <w:p>
      <w:pPr>
        <w:spacing w:after="0"/>
        <w:rPr>
          <w:sz w:val="20"/>
          <w:szCs w:val="20"/>
          <w:color w:val="auto"/>
        </w:rPr>
      </w:pPr>
      <w:r>
        <w:rPr>
          <w:rFonts w:ascii="Arial" w:cs="Arial" w:eastAsia="Arial" w:hAnsi="Arial"/>
          <w:sz w:val="18"/>
          <w:szCs w:val="18"/>
          <w:color w:val="auto"/>
        </w:rPr>
        <w:t>(in millions)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September 3,</w:t>
            </w:r>
          </w:p>
        </w:tc>
        <w:tc>
          <w:tcPr>
            <w:tcW w:w="200" w:type="dxa"/>
            <w:vAlign w:val="bottom"/>
          </w:tcPr>
          <w:p>
            <w:pPr>
              <w:spacing w:after="0"/>
              <w:rPr>
                <w:sz w:val="17"/>
                <w:szCs w:val="17"/>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b w:val="1"/>
                <w:bCs w:val="1"/>
                <w:color w:val="auto"/>
              </w:rPr>
              <w:t>August 29,</w:t>
            </w:r>
          </w:p>
        </w:tc>
        <w:tc>
          <w:tcPr>
            <w:tcW w:w="200" w:type="dxa"/>
            <w:vAlign w:val="bottom"/>
          </w:tcPr>
          <w:p>
            <w:pPr>
              <w:spacing w:after="0"/>
              <w:rPr>
                <w:sz w:val="17"/>
                <w:szCs w:val="17"/>
                <w:color w:val="auto"/>
              </w:rPr>
            </w:pPr>
          </w:p>
        </w:tc>
        <w:tc>
          <w:tcPr>
            <w:tcW w:w="1280" w:type="dxa"/>
            <w:vAlign w:val="bottom"/>
          </w:tcPr>
          <w:p>
            <w:pPr>
              <w:jc w:val="right"/>
              <w:ind w:right="190"/>
              <w:spacing w:after="0"/>
              <w:rPr>
                <w:sz w:val="20"/>
                <w:szCs w:val="20"/>
                <w:color w:val="auto"/>
              </w:rPr>
            </w:pPr>
            <w:r>
              <w:rPr>
                <w:rFonts w:ascii="Arial" w:cs="Arial" w:eastAsia="Arial" w:hAnsi="Arial"/>
                <w:sz w:val="18"/>
                <w:szCs w:val="18"/>
                <w:b w:val="1"/>
                <w:bCs w:val="1"/>
                <w:color w:val="auto"/>
              </w:rPr>
              <w:t>August 30,</w:t>
            </w:r>
          </w:p>
        </w:tc>
      </w:tr>
      <w:tr>
        <w:trPr>
          <w:trHeight w:val="246"/>
        </w:trPr>
        <w:tc>
          <w:tcPr>
            <w:tcW w:w="686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For the year ended</w:t>
            </w:r>
          </w:p>
        </w:tc>
        <w:tc>
          <w:tcPr>
            <w:tcW w:w="160" w:type="dxa"/>
            <w:vAlign w:val="bottom"/>
            <w:tcBorders>
              <w:bottom w:val="single" w:sz="8" w:color="0090DA"/>
            </w:tcBorders>
          </w:tcPr>
          <w:p>
            <w:pPr>
              <w:spacing w:after="0"/>
              <w:rPr>
                <w:sz w:val="21"/>
                <w:szCs w:val="21"/>
                <w:color w:val="auto"/>
              </w:rPr>
            </w:pPr>
          </w:p>
        </w:tc>
        <w:tc>
          <w:tcPr>
            <w:tcW w:w="13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0090DA"/>
            </w:tcBorders>
          </w:tcPr>
          <w:p>
            <w:pPr>
              <w:spacing w:after="0"/>
              <w:rPr>
                <w:sz w:val="21"/>
                <w:szCs w:val="21"/>
                <w:color w:val="auto"/>
              </w:rPr>
            </w:pPr>
          </w:p>
        </w:tc>
        <w:tc>
          <w:tcPr>
            <w:tcW w:w="1240" w:type="dxa"/>
            <w:vAlign w:val="bottom"/>
            <w:tcBorders>
              <w:bottom w:val="single" w:sz="8" w:color="0090DA"/>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bottom w:val="single" w:sz="8" w:color="0090DA"/>
            </w:tcBorders>
          </w:tcPr>
          <w:p>
            <w:pPr>
              <w:spacing w:after="0"/>
              <w:rPr>
                <w:sz w:val="21"/>
                <w:szCs w:val="21"/>
                <w:color w:val="auto"/>
              </w:rPr>
            </w:pPr>
          </w:p>
        </w:tc>
        <w:tc>
          <w:tcPr>
            <w:tcW w:w="1280" w:type="dxa"/>
            <w:vAlign w:val="bottom"/>
            <w:tcBorders>
              <w:bottom w:val="single" w:sz="8" w:color="0090DA"/>
            </w:tcBorders>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41"/>
        </w:trPr>
        <w:tc>
          <w:tcPr>
            <w:tcW w:w="6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57"/>
        </w:trPr>
        <w:tc>
          <w:tcPr>
            <w:tcW w:w="686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2,710</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6,358</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14,138</w:t>
            </w:r>
          </w:p>
        </w:tc>
      </w:tr>
      <w:tr>
        <w:trPr>
          <w:trHeight w:val="257"/>
        </w:trPr>
        <w:tc>
          <w:tcPr>
            <w:tcW w:w="68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56"/>
        </w:trPr>
        <w:tc>
          <w:tcPr>
            <w:tcW w:w="68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160" w:type="dxa"/>
            <w:vAlign w:val="bottom"/>
            <w:shd w:val="clear" w:color="auto" w:fill="D1D2D4"/>
          </w:tcPr>
          <w:p>
            <w:pPr>
              <w:spacing w:after="0"/>
              <w:rPr>
                <w:sz w:val="22"/>
                <w:szCs w:val="22"/>
                <w:color w:val="auto"/>
              </w:rPr>
            </w:pPr>
          </w:p>
        </w:tc>
        <w:tc>
          <w:tcPr>
            <w:tcW w:w="1300" w:type="dxa"/>
            <w:vAlign w:val="bottom"/>
            <w:shd w:val="clear" w:color="auto" w:fill="D1D2D4"/>
          </w:tcPr>
          <w:p>
            <w:pPr>
              <w:spacing w:after="0"/>
              <w:rPr>
                <w:sz w:val="22"/>
                <w:szCs w:val="22"/>
                <w:color w:val="auto"/>
              </w:rPr>
            </w:pPr>
          </w:p>
        </w:tc>
        <w:tc>
          <w:tcPr>
            <w:tcW w:w="200" w:type="dxa"/>
            <w:vAlign w:val="bottom"/>
            <w:shd w:val="clear" w:color="auto" w:fill="D1D2D4"/>
          </w:tcPr>
          <w:p>
            <w:pPr>
              <w:spacing w:after="0"/>
              <w:rPr>
                <w:sz w:val="22"/>
                <w:szCs w:val="22"/>
                <w:color w:val="auto"/>
              </w:rPr>
            </w:pPr>
          </w:p>
        </w:tc>
        <w:tc>
          <w:tcPr>
            <w:tcW w:w="1240" w:type="dxa"/>
            <w:vAlign w:val="bottom"/>
            <w:shd w:val="clear" w:color="auto" w:fill="D1D2D4"/>
          </w:tcPr>
          <w:p>
            <w:pPr>
              <w:spacing w:after="0"/>
              <w:rPr>
                <w:sz w:val="22"/>
                <w:szCs w:val="22"/>
                <w:color w:val="auto"/>
              </w:rPr>
            </w:pPr>
          </w:p>
        </w:tc>
        <w:tc>
          <w:tcPr>
            <w:tcW w:w="200" w:type="dxa"/>
            <w:vAlign w:val="bottom"/>
            <w:shd w:val="clear" w:color="auto" w:fill="D1D2D4"/>
          </w:tcPr>
          <w:p>
            <w:pPr>
              <w:spacing w:after="0"/>
              <w:rPr>
                <w:sz w:val="22"/>
                <w:szCs w:val="22"/>
                <w:color w:val="auto"/>
              </w:rPr>
            </w:pPr>
          </w:p>
        </w:tc>
        <w:tc>
          <w:tcPr>
            <w:tcW w:w="1280" w:type="dxa"/>
            <w:vAlign w:val="bottom"/>
            <w:shd w:val="clear" w:color="auto" w:fill="D1D2D4"/>
          </w:tcPr>
          <w:p>
            <w:pPr>
              <w:spacing w:after="0"/>
              <w:rPr>
                <w:sz w:val="22"/>
                <w:szCs w:val="22"/>
                <w:color w:val="auto"/>
              </w:rPr>
            </w:pPr>
          </w:p>
        </w:tc>
      </w:tr>
      <w:tr>
        <w:trPr>
          <w:trHeight w:val="250"/>
        </w:trPr>
        <w:tc>
          <w:tcPr>
            <w:tcW w:w="6860" w:type="dxa"/>
            <w:vAlign w:val="bottom"/>
          </w:tcPr>
          <w:p>
            <w:pPr>
              <w:ind w:left="120"/>
              <w:spacing w:after="0"/>
              <w:rPr>
                <w:sz w:val="20"/>
                <w:szCs w:val="20"/>
                <w:color w:val="auto"/>
              </w:rPr>
            </w:pPr>
            <w:r>
              <w:rPr>
                <w:rFonts w:ascii="Arial" w:cs="Arial" w:eastAsia="Arial" w:hAnsi="Arial"/>
                <w:sz w:val="18"/>
                <w:szCs w:val="18"/>
                <w:color w:val="auto"/>
              </w:rPr>
              <w:t>Gains (losses) on derivative instruments</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63"/>
        </w:trPr>
        <w:tc>
          <w:tcPr>
            <w:tcW w:w="6860" w:type="dxa"/>
            <w:vAlign w:val="bottom"/>
            <w:shd w:val="clear" w:color="auto" w:fill="D1D2D4"/>
          </w:tcPr>
          <w:p>
            <w:pPr>
              <w:ind w:left="120"/>
              <w:spacing w:after="0"/>
              <w:rPr>
                <w:sz w:val="20"/>
                <w:szCs w:val="20"/>
                <w:color w:val="auto"/>
              </w:rPr>
            </w:pPr>
            <w:r>
              <w:rPr>
                <w:rFonts w:ascii="Arial" w:cs="Arial" w:eastAsia="Arial" w:hAnsi="Arial"/>
                <w:sz w:val="18"/>
                <w:szCs w:val="18"/>
                <w:color w:val="auto"/>
              </w:rPr>
              <w:t>Pension liability adjustments</w:t>
            </w:r>
          </w:p>
        </w:tc>
        <w:tc>
          <w:tcPr>
            <w:tcW w:w="160" w:type="dxa"/>
            <w:vAlign w:val="bottom"/>
            <w:shd w:val="clear" w:color="auto" w:fill="D1D2D4"/>
          </w:tcPr>
          <w:p>
            <w:pPr>
              <w:spacing w:after="0"/>
              <w:rPr>
                <w:sz w:val="22"/>
                <w:szCs w:val="22"/>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D1D2D4"/>
          </w:tcPr>
          <w:p>
            <w:pPr>
              <w:spacing w:after="0"/>
              <w:rPr>
                <w:sz w:val="22"/>
                <w:szCs w:val="22"/>
                <w:color w:val="auto"/>
              </w:rPr>
            </w:pPr>
          </w:p>
        </w:tc>
        <w:tc>
          <w:tcPr>
            <w:tcW w:w="1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D1D2D4"/>
          </w:tcPr>
          <w:p>
            <w:pPr>
              <w:spacing w:after="0"/>
              <w:rPr>
                <w:sz w:val="22"/>
                <w:szCs w:val="22"/>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w:t>
            </w:r>
          </w:p>
        </w:tc>
      </w:tr>
      <w:tr>
        <w:trPr>
          <w:trHeight w:val="250"/>
        </w:trPr>
        <w:tc>
          <w:tcPr>
            <w:tcW w:w="6860" w:type="dxa"/>
            <w:vAlign w:val="bottom"/>
          </w:tcPr>
          <w:p>
            <w:pPr>
              <w:ind w:left="120"/>
              <w:spacing w:after="0"/>
              <w:rPr>
                <w:sz w:val="20"/>
                <w:szCs w:val="20"/>
                <w:color w:val="auto"/>
              </w:rPr>
            </w:pPr>
            <w:r>
              <w:rPr>
                <w:rFonts w:ascii="Arial" w:cs="Arial" w:eastAsia="Arial" w:hAnsi="Arial"/>
                <w:sz w:val="18"/>
                <w:szCs w:val="18"/>
                <w:color w:val="auto"/>
              </w:rPr>
              <w:t>Gains (losses) on investments</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57"/>
        </w:trPr>
        <w:tc>
          <w:tcPr>
            <w:tcW w:w="6860" w:type="dxa"/>
            <w:vAlign w:val="bottom"/>
            <w:shd w:val="clear" w:color="auto" w:fill="D1D2D4"/>
          </w:tcPr>
          <w:p>
            <w:pPr>
              <w:ind w:left="120"/>
              <w:spacing w:after="0"/>
              <w:rPr>
                <w:sz w:val="20"/>
                <w:szCs w:val="20"/>
                <w:color w:val="auto"/>
              </w:rPr>
            </w:pPr>
            <w:r>
              <w:rPr>
                <w:rFonts w:ascii="Arial" w:cs="Arial" w:eastAsia="Arial" w:hAnsi="Arial"/>
                <w:sz w:val="18"/>
                <w:szCs w:val="18"/>
                <w:color w:val="auto"/>
              </w:rPr>
              <w:t>Foreign currency translation adjustments</w:t>
            </w:r>
          </w:p>
        </w:tc>
        <w:tc>
          <w:tcPr>
            <w:tcW w:w="160" w:type="dxa"/>
            <w:vAlign w:val="bottom"/>
            <w:tcBorders>
              <w:bottom w:val="single" w:sz="8" w:color="auto"/>
            </w:tcBorders>
            <w:shd w:val="clear" w:color="auto" w:fill="D1D2D4"/>
          </w:tcPr>
          <w:p>
            <w:pPr>
              <w:spacing w:after="0"/>
              <w:rPr>
                <w:sz w:val="22"/>
                <w:szCs w:val="22"/>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D1D2D4"/>
          </w:tcPr>
          <w:p>
            <w:pPr>
              <w:spacing w:after="0"/>
              <w:rPr>
                <w:sz w:val="22"/>
                <w:szCs w:val="22"/>
                <w:color w:val="auto"/>
              </w:rPr>
            </w:pPr>
          </w:p>
        </w:tc>
        <w:tc>
          <w:tcPr>
            <w:tcW w:w="12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auto"/>
            </w:tcBorders>
            <w:shd w:val="clear" w:color="auto" w:fill="D1D2D4"/>
          </w:tcPr>
          <w:p>
            <w:pPr>
              <w:spacing w:after="0"/>
              <w:rPr>
                <w:sz w:val="22"/>
                <w:szCs w:val="22"/>
                <w:color w:val="auto"/>
              </w:rPr>
            </w:pPr>
          </w:p>
        </w:tc>
        <w:tc>
          <w:tcPr>
            <w:tcW w:w="128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1</w:t>
            </w:r>
          </w:p>
        </w:tc>
      </w:tr>
      <w:tr>
        <w:trPr>
          <w:trHeight w:val="250"/>
        </w:trPr>
        <w:tc>
          <w:tcPr>
            <w:tcW w:w="6860" w:type="dxa"/>
            <w:vAlign w:val="bottom"/>
            <w:tcBorders>
              <w:bottom w:val="single" w:sz="8" w:color="D1D2D4"/>
            </w:tcBorders>
          </w:tcPr>
          <w:p>
            <w:pPr>
              <w:ind w:left="220"/>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56"/>
        </w:trPr>
        <w:tc>
          <w:tcPr>
            <w:tcW w:w="6860" w:type="dxa"/>
            <w:vAlign w:val="bottom"/>
            <w:shd w:val="clear" w:color="auto" w:fill="D1D2D4"/>
          </w:tcPr>
          <w:p>
            <w:pPr>
              <w:ind w:left="20"/>
              <w:spacing w:after="0"/>
              <w:rPr>
                <w:sz w:val="20"/>
                <w:szCs w:val="20"/>
                <w:color w:val="auto"/>
              </w:rPr>
            </w:pPr>
            <w:r>
              <w:rPr>
                <w:rFonts w:ascii="Arial" w:cs="Arial" w:eastAsia="Arial" w:hAnsi="Arial"/>
                <w:sz w:val="18"/>
                <w:szCs w:val="18"/>
                <w:color w:val="auto"/>
              </w:rPr>
              <w:t>Total comprehensive income</w:t>
            </w:r>
          </w:p>
        </w:tc>
        <w:tc>
          <w:tcPr>
            <w:tcW w:w="160" w:type="dxa"/>
            <w:vAlign w:val="bottom"/>
            <w:shd w:val="clear" w:color="auto" w:fill="D1D2D4"/>
          </w:tcPr>
          <w:p>
            <w:pPr>
              <w:spacing w:after="0"/>
              <w:rPr>
                <w:sz w:val="22"/>
                <w:szCs w:val="22"/>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2,772</w:t>
            </w:r>
          </w:p>
        </w:tc>
        <w:tc>
          <w:tcPr>
            <w:tcW w:w="200" w:type="dxa"/>
            <w:vAlign w:val="bottom"/>
            <w:shd w:val="clear" w:color="auto" w:fill="D1D2D4"/>
          </w:tcPr>
          <w:p>
            <w:pPr>
              <w:spacing w:after="0"/>
              <w:rPr>
                <w:sz w:val="22"/>
                <w:szCs w:val="22"/>
                <w:color w:val="auto"/>
              </w:rPr>
            </w:pPr>
          </w:p>
        </w:tc>
        <w:tc>
          <w:tcPr>
            <w:tcW w:w="1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6,357</w:t>
            </w:r>
          </w:p>
        </w:tc>
        <w:tc>
          <w:tcPr>
            <w:tcW w:w="200" w:type="dxa"/>
            <w:vAlign w:val="bottom"/>
            <w:shd w:val="clear" w:color="auto" w:fill="D1D2D4"/>
          </w:tcPr>
          <w:p>
            <w:pPr>
              <w:spacing w:after="0"/>
              <w:rPr>
                <w:sz w:val="22"/>
                <w:szCs w:val="22"/>
                <w:color w:val="auto"/>
              </w:rPr>
            </w:pPr>
          </w:p>
        </w:tc>
        <w:tc>
          <w:tcPr>
            <w:tcW w:w="128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14,119</w:t>
            </w:r>
          </w:p>
        </w:tc>
      </w:tr>
      <w:tr>
        <w:trPr>
          <w:trHeight w:val="257"/>
        </w:trPr>
        <w:tc>
          <w:tcPr>
            <w:tcW w:w="6860" w:type="dxa"/>
            <w:vAlign w:val="bottom"/>
            <w:tcBorders>
              <w:bottom w:val="single" w:sz="8" w:color="D1D2D4"/>
            </w:tcBorders>
          </w:tcPr>
          <w:p>
            <w:pPr>
              <w:ind w:left="260"/>
              <w:spacing w:after="0"/>
              <w:rPr>
                <w:sz w:val="20"/>
                <w:szCs w:val="20"/>
                <w:color w:val="auto"/>
              </w:rPr>
            </w:pPr>
            <w:r>
              <w:rPr>
                <w:rFonts w:ascii="Arial" w:cs="Arial" w:eastAsia="Arial" w:hAnsi="Arial"/>
                <w:sz w:val="18"/>
                <w:szCs w:val="18"/>
                <w:color w:val="auto"/>
              </w:rPr>
              <w:t>Comprehensive income attributable to noncontrolling interests</w:t>
            </w: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75"/>
        </w:trPr>
        <w:tc>
          <w:tcPr>
            <w:tcW w:w="686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Comprehensive income attributable to Micron</w:t>
            </w:r>
          </w:p>
        </w:tc>
        <w:tc>
          <w:tcPr>
            <w:tcW w:w="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2,749</w:t>
            </w:r>
          </w:p>
        </w:tc>
        <w:tc>
          <w:tcPr>
            <w:tcW w:w="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6,312</w:t>
            </w:r>
          </w:p>
        </w:tc>
        <w:tc>
          <w:tcPr>
            <w:tcW w:w="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14,116</w:t>
            </w:r>
          </w:p>
        </w:tc>
      </w:tr>
      <w:tr>
        <w:trPr>
          <w:trHeight w:val="20"/>
        </w:trPr>
        <w:tc>
          <w:tcPr>
            <w:tcW w:w="6860" w:type="dxa"/>
            <w:vAlign w:val="bottom"/>
            <w:tcBorders>
              <w:top w:val="single" w:sz="8" w:color="D1D2D4"/>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c>
          <w:tcPr>
            <w:tcW w:w="200" w:type="dxa"/>
            <w:vAlign w:val="bottom"/>
            <w:tcBorders>
              <w:top w:val="single" w:sz="8" w:color="D1D2D4"/>
              <w:bottom w:val="single" w:sz="8" w:color="auto"/>
            </w:tcBorders>
          </w:tcPr>
          <w:p>
            <w:pPr>
              <w:spacing w:after="0" w:line="20" w:lineRule="exact"/>
              <w:rPr>
                <w:sz w:val="1"/>
                <w:szCs w:val="1"/>
                <w:color w:val="auto"/>
              </w:rPr>
            </w:pPr>
          </w:p>
        </w:tc>
        <w:tc>
          <w:tcPr>
            <w:tcW w:w="1240" w:type="dxa"/>
            <w:vAlign w:val="bottom"/>
            <w:tcBorders>
              <w:top w:val="single" w:sz="8" w:color="D1D2D4"/>
              <w:bottom w:val="single" w:sz="8" w:color="auto"/>
            </w:tcBorders>
          </w:tcPr>
          <w:p>
            <w:pPr>
              <w:spacing w:after="0" w:line="20" w:lineRule="exact"/>
              <w:rPr>
                <w:sz w:val="1"/>
                <w:szCs w:val="1"/>
                <w:color w:val="auto"/>
              </w:rPr>
            </w:pPr>
          </w:p>
        </w:tc>
        <w:tc>
          <w:tcPr>
            <w:tcW w:w="200" w:type="dxa"/>
            <w:vAlign w:val="bottom"/>
            <w:tcBorders>
              <w:top w:val="single" w:sz="8" w:color="D1D2D4"/>
              <w:bottom w:val="single" w:sz="8" w:color="auto"/>
            </w:tcBorders>
          </w:tcPr>
          <w:p>
            <w:pPr>
              <w:spacing w:after="0" w:line="20" w:lineRule="exact"/>
              <w:rPr>
                <w:sz w:val="1"/>
                <w:szCs w:val="1"/>
                <w:color w:val="auto"/>
              </w:rPr>
            </w:pPr>
          </w:p>
        </w:tc>
        <w:tc>
          <w:tcPr>
            <w:tcW w:w="1280" w:type="dxa"/>
            <w:vAlign w:val="bottom"/>
            <w:tcBorders>
              <w:top w:val="single" w:sz="8" w:color="D1D2D4"/>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240"/>
          </w:cols>
          <w:pgMar w:left="320" w:top="919" w:right="339" w:bottom="851" w:gutter="0" w:footer="0" w:header="0"/>
        </w:sectPr>
      </w:pPr>
    </w:p>
    <w:p>
      <w:pPr>
        <w:spacing w:after="0" w:line="200" w:lineRule="exact"/>
        <w:rPr>
          <w:sz w:val="20"/>
          <w:szCs w:val="20"/>
          <w:color w:val="auto"/>
        </w:rPr>
      </w:pPr>
    </w:p>
    <w:p>
      <w:pPr>
        <w:spacing w:after="0" w:line="314" w:lineRule="exact"/>
        <w:rPr>
          <w:sz w:val="20"/>
          <w:szCs w:val="20"/>
          <w:color w:val="auto"/>
        </w:rPr>
      </w:pPr>
    </w:p>
    <w:p>
      <w:pPr>
        <w:ind w:left="10040"/>
        <w:spacing w:after="0"/>
        <w:rPr>
          <w:sz w:val="20"/>
          <w:szCs w:val="20"/>
          <w:color w:val="auto"/>
        </w:rPr>
      </w:pPr>
      <w:r>
        <w:rPr>
          <w:sz w:val="1"/>
          <w:szCs w:val="1"/>
          <w:color w:val="auto"/>
        </w:rPr>
        <w:drawing>
          <wp:inline distT="0" distB="0" distL="0" distR="0">
            <wp:extent cx="608330" cy="171450"/>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8330" cy="171450"/>
                    </a:xfrm>
                    <a:prstGeom prst="rect">
                      <a:avLst/>
                    </a:prstGeom>
                    <a:noFill/>
                    <a:ln>
                      <a:noFill/>
                    </a:ln>
                  </pic:spPr>
                </pic:pic>
              </a:graphicData>
            </a:graphic>
          </wp:inline>
        </w:drawing>
      </w:r>
      <w:r>
        <w:rPr>
          <w:rFonts w:ascii="Arial" w:cs="Arial" w:eastAsia="Arial" w:hAnsi="Arial"/>
          <w:sz w:val="13"/>
          <w:szCs w:val="13"/>
          <w:color w:val="auto"/>
        </w:rPr>
        <w:t xml:space="preserve">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9" w:right="339" w:bottom="851" w:gutter="0" w:footer="0" w:header="0"/>
          <w:type w:val="continuous"/>
        </w:sectPr>
      </w:pPr>
    </w:p>
    <w:bookmarkStart w:id="51" w:name="page52"/>
    <w:bookmarkEnd w:id="51"/>
    <w:p>
      <w:pPr>
        <w:spacing w:after="0"/>
        <w:rPr>
          <w:sz w:val="20"/>
          <w:szCs w:val="20"/>
          <w:color w:val="auto"/>
        </w:rPr>
      </w:pPr>
      <w:r>
        <w:rPr>
          <w:rFonts w:ascii="Arial" w:cs="Arial" w:eastAsia="Arial" w:hAnsi="Arial"/>
          <w:sz w:val="40"/>
          <w:szCs w:val="40"/>
          <w:b w:val="1"/>
          <w:bCs w:val="1"/>
          <w:color w:val="auto"/>
        </w:rPr>
        <w:t>Micron Technology, Inc.</w:t>
      </w:r>
    </w:p>
    <w:p>
      <w:pPr>
        <w:spacing w:after="0" w:line="5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Consolidated Balance Sheets</w:t>
      </w:r>
    </w:p>
    <w:p>
      <w:pPr>
        <w:spacing w:after="0"/>
        <w:rPr>
          <w:sz w:val="20"/>
          <w:szCs w:val="20"/>
          <w:color w:val="auto"/>
        </w:rPr>
      </w:pPr>
      <w:r>
        <w:rPr>
          <w:rFonts w:ascii="Arial" w:cs="Arial" w:eastAsia="Arial" w:hAnsi="Arial"/>
          <w:sz w:val="18"/>
          <w:szCs w:val="18"/>
          <w:color w:val="auto"/>
        </w:rPr>
        <w:t>(in millions, except par value amounts)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b w:val="1"/>
                <w:bCs w:val="1"/>
                <w:color w:val="auto"/>
              </w:rPr>
              <w:t>September 3,</w:t>
            </w:r>
          </w:p>
        </w:tc>
        <w:tc>
          <w:tcPr>
            <w:tcW w:w="200" w:type="dxa"/>
            <w:vAlign w:val="bottom"/>
          </w:tcPr>
          <w:p>
            <w:pPr>
              <w:spacing w:after="0"/>
              <w:rPr>
                <w:sz w:val="17"/>
                <w:szCs w:val="17"/>
                <w:color w:val="auto"/>
              </w:rPr>
            </w:pPr>
          </w:p>
        </w:tc>
        <w:tc>
          <w:tcPr>
            <w:tcW w:w="1280" w:type="dxa"/>
            <w:vAlign w:val="bottom"/>
          </w:tcPr>
          <w:p>
            <w:pPr>
              <w:jc w:val="right"/>
              <w:ind w:right="190"/>
              <w:spacing w:after="0"/>
              <w:rPr>
                <w:sz w:val="20"/>
                <w:szCs w:val="20"/>
                <w:color w:val="auto"/>
              </w:rPr>
            </w:pPr>
            <w:r>
              <w:rPr>
                <w:rFonts w:ascii="Arial" w:cs="Arial" w:eastAsia="Arial" w:hAnsi="Arial"/>
                <w:sz w:val="18"/>
                <w:szCs w:val="18"/>
                <w:b w:val="1"/>
                <w:bCs w:val="1"/>
                <w:color w:val="auto"/>
              </w:rPr>
              <w:t>August 29,</w:t>
            </w:r>
          </w:p>
        </w:tc>
        <w:tc>
          <w:tcPr>
            <w:tcW w:w="0" w:type="dxa"/>
            <w:vAlign w:val="bottom"/>
          </w:tcPr>
          <w:p>
            <w:pPr>
              <w:spacing w:after="0"/>
              <w:rPr>
                <w:sz w:val="1"/>
                <w:szCs w:val="1"/>
                <w:color w:val="auto"/>
              </w:rPr>
            </w:pPr>
          </w:p>
        </w:tc>
      </w:tr>
      <w:tr>
        <w:trPr>
          <w:trHeight w:val="246"/>
        </w:trPr>
        <w:tc>
          <w:tcPr>
            <w:tcW w:w="830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As of</w:t>
            </w:r>
          </w:p>
        </w:tc>
        <w:tc>
          <w:tcPr>
            <w:tcW w:w="140" w:type="dxa"/>
            <w:vAlign w:val="bottom"/>
            <w:tcBorders>
              <w:bottom w:val="single" w:sz="8" w:color="0090DA"/>
            </w:tcBorders>
          </w:tcPr>
          <w:p>
            <w:pPr>
              <w:spacing w:after="0"/>
              <w:rPr>
                <w:sz w:val="21"/>
                <w:szCs w:val="21"/>
                <w:color w:val="auto"/>
              </w:rPr>
            </w:pPr>
          </w:p>
        </w:tc>
        <w:tc>
          <w:tcPr>
            <w:tcW w:w="13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0090DA"/>
            </w:tcBorders>
          </w:tcPr>
          <w:p>
            <w:pPr>
              <w:spacing w:after="0"/>
              <w:rPr>
                <w:sz w:val="21"/>
                <w:szCs w:val="21"/>
                <w:color w:val="auto"/>
              </w:rPr>
            </w:pPr>
          </w:p>
        </w:tc>
        <w:tc>
          <w:tcPr>
            <w:tcW w:w="1280" w:type="dxa"/>
            <w:vAlign w:val="bottom"/>
            <w:tcBorders>
              <w:bottom w:val="single" w:sz="8" w:color="0090DA"/>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41"/>
        </w:trPr>
        <w:tc>
          <w:tcPr>
            <w:tcW w:w="8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830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D1D2D4"/>
          </w:tcPr>
          <w:p>
            <w:pPr>
              <w:spacing w:after="0"/>
              <w:rPr>
                <w:sz w:val="22"/>
                <w:szCs w:val="22"/>
                <w:color w:val="auto"/>
              </w:rPr>
            </w:pPr>
          </w:p>
        </w:tc>
        <w:tc>
          <w:tcPr>
            <w:tcW w:w="1320" w:type="dxa"/>
            <w:vAlign w:val="bottom"/>
            <w:shd w:val="clear" w:color="auto" w:fill="D1D2D4"/>
          </w:tcPr>
          <w:p>
            <w:pPr>
              <w:spacing w:after="0"/>
              <w:rPr>
                <w:sz w:val="22"/>
                <w:szCs w:val="22"/>
                <w:color w:val="auto"/>
              </w:rPr>
            </w:pPr>
          </w:p>
        </w:tc>
        <w:tc>
          <w:tcPr>
            <w:tcW w:w="200" w:type="dxa"/>
            <w:vAlign w:val="bottom"/>
            <w:shd w:val="clear" w:color="auto" w:fill="D1D2D4"/>
          </w:tcPr>
          <w:p>
            <w:pPr>
              <w:spacing w:after="0"/>
              <w:rPr>
                <w:sz w:val="22"/>
                <w:szCs w:val="22"/>
                <w:color w:val="auto"/>
              </w:rPr>
            </w:pPr>
          </w:p>
        </w:tc>
        <w:tc>
          <w:tcPr>
            <w:tcW w:w="1280" w:type="dxa"/>
            <w:vAlign w:val="bottom"/>
            <w:shd w:val="clear" w:color="auto" w:fill="D1D2D4"/>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300" w:type="dxa"/>
            <w:vAlign w:val="bottom"/>
          </w:tcPr>
          <w:p>
            <w:pPr>
              <w:ind w:left="20"/>
              <w:spacing w:after="0"/>
              <w:rPr>
                <w:sz w:val="20"/>
                <w:szCs w:val="20"/>
                <w:color w:val="auto"/>
              </w:rPr>
            </w:pPr>
            <w:r>
              <w:rPr>
                <w:rFonts w:ascii="Arial" w:cs="Arial" w:eastAsia="Arial" w:hAnsi="Arial"/>
                <w:sz w:val="18"/>
                <w:szCs w:val="18"/>
                <w:color w:val="auto"/>
              </w:rPr>
              <w:t>Cash and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7,624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7,152</w:t>
            </w:r>
          </w:p>
        </w:tc>
        <w:tc>
          <w:tcPr>
            <w:tcW w:w="0" w:type="dxa"/>
            <w:vAlign w:val="bottom"/>
          </w:tcPr>
          <w:p>
            <w:pPr>
              <w:spacing w:after="0"/>
              <w:rPr>
                <w:sz w:val="1"/>
                <w:szCs w:val="1"/>
                <w:color w:val="auto"/>
              </w:rPr>
            </w:pPr>
          </w:p>
        </w:tc>
      </w:tr>
      <w:tr>
        <w:trPr>
          <w:trHeight w:val="263"/>
        </w:trPr>
        <w:tc>
          <w:tcPr>
            <w:tcW w:w="8300" w:type="dxa"/>
            <w:vAlign w:val="bottom"/>
            <w:shd w:val="clear" w:color="auto" w:fill="D1D2D4"/>
          </w:tcPr>
          <w:p>
            <w:pPr>
              <w:ind w:left="20"/>
              <w:spacing w:after="0"/>
              <w:rPr>
                <w:sz w:val="20"/>
                <w:szCs w:val="20"/>
                <w:color w:val="auto"/>
              </w:rPr>
            </w:pPr>
            <w:r>
              <w:rPr>
                <w:rFonts w:ascii="Arial" w:cs="Arial" w:eastAsia="Arial" w:hAnsi="Arial"/>
                <w:sz w:val="18"/>
                <w:szCs w:val="18"/>
                <w:color w:val="auto"/>
              </w:rPr>
              <w:t>Short-term investments</w:t>
            </w:r>
          </w:p>
        </w:tc>
        <w:tc>
          <w:tcPr>
            <w:tcW w:w="140" w:type="dxa"/>
            <w:vAlign w:val="bottom"/>
            <w:shd w:val="clear" w:color="auto" w:fill="D1D2D4"/>
          </w:tcPr>
          <w:p>
            <w:pPr>
              <w:spacing w:after="0"/>
              <w:rPr>
                <w:sz w:val="22"/>
                <w:szCs w:val="22"/>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518</w:t>
            </w:r>
          </w:p>
        </w:tc>
        <w:tc>
          <w:tcPr>
            <w:tcW w:w="200" w:type="dxa"/>
            <w:vAlign w:val="bottom"/>
            <w:shd w:val="clear" w:color="auto" w:fill="D1D2D4"/>
          </w:tcPr>
          <w:p>
            <w:pPr>
              <w:spacing w:after="0"/>
              <w:rPr>
                <w:sz w:val="22"/>
                <w:szCs w:val="22"/>
                <w:color w:val="auto"/>
              </w:rPr>
            </w:pPr>
          </w:p>
        </w:tc>
        <w:tc>
          <w:tcPr>
            <w:tcW w:w="128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50"/>
        </w:trPr>
        <w:tc>
          <w:tcPr>
            <w:tcW w:w="8300" w:type="dxa"/>
            <w:vAlign w:val="bottom"/>
          </w:tcPr>
          <w:p>
            <w:pPr>
              <w:ind w:left="20"/>
              <w:spacing w:after="0"/>
              <w:rPr>
                <w:sz w:val="20"/>
                <w:szCs w:val="20"/>
                <w:color w:val="auto"/>
              </w:rPr>
            </w:pPr>
            <w:r>
              <w:rPr>
                <w:rFonts w:ascii="Arial" w:cs="Arial" w:eastAsia="Arial" w:hAnsi="Arial"/>
                <w:sz w:val="18"/>
                <w:szCs w:val="18"/>
                <w:color w:val="auto"/>
              </w:rPr>
              <w:t>Receivables</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3,912</w:t>
            </w: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3,195</w:t>
            </w:r>
          </w:p>
        </w:tc>
        <w:tc>
          <w:tcPr>
            <w:tcW w:w="0" w:type="dxa"/>
            <w:vAlign w:val="bottom"/>
          </w:tcPr>
          <w:p>
            <w:pPr>
              <w:spacing w:after="0"/>
              <w:rPr>
                <w:sz w:val="1"/>
                <w:szCs w:val="1"/>
                <w:color w:val="auto"/>
              </w:rPr>
            </w:pPr>
          </w:p>
        </w:tc>
      </w:tr>
      <w:tr>
        <w:trPr>
          <w:trHeight w:val="263"/>
        </w:trPr>
        <w:tc>
          <w:tcPr>
            <w:tcW w:w="830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D1D2D4"/>
          </w:tcPr>
          <w:p>
            <w:pPr>
              <w:spacing w:after="0"/>
              <w:rPr>
                <w:sz w:val="22"/>
                <w:szCs w:val="22"/>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5,607</w:t>
            </w:r>
          </w:p>
        </w:tc>
        <w:tc>
          <w:tcPr>
            <w:tcW w:w="200" w:type="dxa"/>
            <w:vAlign w:val="bottom"/>
            <w:shd w:val="clear" w:color="auto" w:fill="D1D2D4"/>
          </w:tcPr>
          <w:p>
            <w:pPr>
              <w:spacing w:after="0"/>
              <w:rPr>
                <w:sz w:val="22"/>
                <w:szCs w:val="22"/>
                <w:color w:val="auto"/>
              </w:rPr>
            </w:pPr>
          </w:p>
        </w:tc>
        <w:tc>
          <w:tcPr>
            <w:tcW w:w="128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5,118</w:t>
            </w:r>
          </w:p>
        </w:tc>
        <w:tc>
          <w:tcPr>
            <w:tcW w:w="0" w:type="dxa"/>
            <w:vAlign w:val="bottom"/>
          </w:tcPr>
          <w:p>
            <w:pPr>
              <w:spacing w:after="0"/>
              <w:rPr>
                <w:sz w:val="1"/>
                <w:szCs w:val="1"/>
                <w:color w:val="auto"/>
              </w:rPr>
            </w:pPr>
          </w:p>
        </w:tc>
      </w:tr>
      <w:tr>
        <w:trPr>
          <w:trHeight w:val="250"/>
        </w:trPr>
        <w:tc>
          <w:tcPr>
            <w:tcW w:w="830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current assets</w:t>
            </w: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57"/>
        </w:trPr>
        <w:tc>
          <w:tcPr>
            <w:tcW w:w="8300" w:type="dxa"/>
            <w:vAlign w:val="bottom"/>
            <w:shd w:val="clear" w:color="auto" w:fill="D1D2D4"/>
          </w:tcPr>
          <w:p>
            <w:pPr>
              <w:ind w:left="22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D1D2D4"/>
          </w:tcPr>
          <w:p>
            <w:pPr>
              <w:spacing w:after="0"/>
              <w:rPr>
                <w:sz w:val="22"/>
                <w:szCs w:val="22"/>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17,965</w:t>
            </w:r>
          </w:p>
        </w:tc>
        <w:tc>
          <w:tcPr>
            <w:tcW w:w="200" w:type="dxa"/>
            <w:vAlign w:val="bottom"/>
            <w:shd w:val="clear" w:color="auto" w:fill="D1D2D4"/>
          </w:tcPr>
          <w:p>
            <w:pPr>
              <w:spacing w:after="0"/>
              <w:rPr>
                <w:sz w:val="22"/>
                <w:szCs w:val="22"/>
                <w:color w:val="auto"/>
              </w:rPr>
            </w:pPr>
          </w:p>
        </w:tc>
        <w:tc>
          <w:tcPr>
            <w:tcW w:w="128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16,503</w:t>
            </w:r>
          </w:p>
        </w:tc>
        <w:tc>
          <w:tcPr>
            <w:tcW w:w="0" w:type="dxa"/>
            <w:vAlign w:val="bottom"/>
          </w:tcPr>
          <w:p>
            <w:pPr>
              <w:spacing w:after="0"/>
              <w:rPr>
                <w:sz w:val="1"/>
                <w:szCs w:val="1"/>
                <w:color w:val="auto"/>
              </w:rPr>
            </w:pPr>
          </w:p>
        </w:tc>
      </w:tr>
      <w:tr>
        <w:trPr>
          <w:trHeight w:val="250"/>
        </w:trPr>
        <w:tc>
          <w:tcPr>
            <w:tcW w:w="8300" w:type="dxa"/>
            <w:vAlign w:val="bottom"/>
          </w:tcPr>
          <w:p>
            <w:pPr>
              <w:ind w:left="20"/>
              <w:spacing w:after="0"/>
              <w:rPr>
                <w:sz w:val="20"/>
                <w:szCs w:val="20"/>
                <w:color w:val="auto"/>
              </w:rPr>
            </w:pPr>
            <w:r>
              <w:rPr>
                <w:rFonts w:ascii="Arial" w:cs="Arial" w:eastAsia="Arial" w:hAnsi="Arial"/>
                <w:sz w:val="18"/>
                <w:szCs w:val="18"/>
                <w:color w:val="auto"/>
              </w:rPr>
              <w:t>Long-term marketable investments</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1,048</w:t>
            </w: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1,164</w:t>
            </w:r>
          </w:p>
        </w:tc>
        <w:tc>
          <w:tcPr>
            <w:tcW w:w="0" w:type="dxa"/>
            <w:vAlign w:val="bottom"/>
          </w:tcPr>
          <w:p>
            <w:pPr>
              <w:spacing w:after="0"/>
              <w:rPr>
                <w:sz w:val="1"/>
                <w:szCs w:val="1"/>
                <w:color w:val="auto"/>
              </w:rPr>
            </w:pPr>
          </w:p>
        </w:tc>
      </w:tr>
      <w:tr>
        <w:trPr>
          <w:trHeight w:val="263"/>
        </w:trPr>
        <w:tc>
          <w:tcPr>
            <w:tcW w:w="830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Property, plant, and equipment</w:t>
            </w:r>
          </w:p>
        </w:tc>
        <w:tc>
          <w:tcPr>
            <w:tcW w:w="140" w:type="dxa"/>
            <w:vAlign w:val="bottom"/>
            <w:shd w:val="clear" w:color="auto" w:fill="D1D2D4"/>
          </w:tcPr>
          <w:p>
            <w:pPr>
              <w:spacing w:after="0"/>
              <w:rPr>
                <w:sz w:val="22"/>
                <w:szCs w:val="22"/>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31,031</w:t>
            </w:r>
          </w:p>
        </w:tc>
        <w:tc>
          <w:tcPr>
            <w:tcW w:w="200" w:type="dxa"/>
            <w:vAlign w:val="bottom"/>
            <w:shd w:val="clear" w:color="auto" w:fill="D1D2D4"/>
          </w:tcPr>
          <w:p>
            <w:pPr>
              <w:spacing w:after="0"/>
              <w:rPr>
                <w:sz w:val="22"/>
                <w:szCs w:val="22"/>
                <w:color w:val="auto"/>
              </w:rPr>
            </w:pPr>
          </w:p>
        </w:tc>
        <w:tc>
          <w:tcPr>
            <w:tcW w:w="128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28,240</w:t>
            </w:r>
          </w:p>
        </w:tc>
        <w:tc>
          <w:tcPr>
            <w:tcW w:w="0" w:type="dxa"/>
            <w:vAlign w:val="bottom"/>
          </w:tcPr>
          <w:p>
            <w:pPr>
              <w:spacing w:after="0"/>
              <w:rPr>
                <w:sz w:val="1"/>
                <w:szCs w:val="1"/>
                <w:color w:val="auto"/>
              </w:rPr>
            </w:pPr>
          </w:p>
        </w:tc>
      </w:tr>
      <w:tr>
        <w:trPr>
          <w:trHeight w:val="250"/>
        </w:trPr>
        <w:tc>
          <w:tcPr>
            <w:tcW w:w="830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584</w:t>
            </w: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830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Intangible assets</w:t>
            </w:r>
          </w:p>
        </w:tc>
        <w:tc>
          <w:tcPr>
            <w:tcW w:w="140" w:type="dxa"/>
            <w:vAlign w:val="bottom"/>
            <w:shd w:val="clear" w:color="auto" w:fill="D1D2D4"/>
          </w:tcPr>
          <w:p>
            <w:pPr>
              <w:spacing w:after="0"/>
              <w:rPr>
                <w:sz w:val="22"/>
                <w:szCs w:val="22"/>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334</w:t>
            </w:r>
          </w:p>
        </w:tc>
        <w:tc>
          <w:tcPr>
            <w:tcW w:w="200" w:type="dxa"/>
            <w:vAlign w:val="bottom"/>
            <w:shd w:val="clear" w:color="auto" w:fill="D1D2D4"/>
          </w:tcPr>
          <w:p>
            <w:pPr>
              <w:spacing w:after="0"/>
              <w:rPr>
                <w:sz w:val="22"/>
                <w:szCs w:val="22"/>
                <w:color w:val="auto"/>
              </w:rPr>
            </w:pPr>
          </w:p>
        </w:tc>
        <w:tc>
          <w:tcPr>
            <w:tcW w:w="128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50"/>
        </w:trPr>
        <w:tc>
          <w:tcPr>
            <w:tcW w:w="830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707</w:t>
            </w: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63"/>
        </w:trPr>
        <w:tc>
          <w:tcPr>
            <w:tcW w:w="8300" w:type="dxa"/>
            <w:vAlign w:val="bottom"/>
            <w:shd w:val="clear" w:color="auto" w:fill="D1D2D4"/>
          </w:tcPr>
          <w:p>
            <w:pPr>
              <w:ind w:left="20"/>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D1D2D4"/>
          </w:tcPr>
          <w:p>
            <w:pPr>
              <w:spacing w:after="0"/>
              <w:rPr>
                <w:sz w:val="22"/>
                <w:szCs w:val="22"/>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1,228</w:t>
            </w:r>
          </w:p>
        </w:tc>
        <w:tc>
          <w:tcPr>
            <w:tcW w:w="200" w:type="dxa"/>
            <w:vAlign w:val="bottom"/>
            <w:shd w:val="clear" w:color="auto" w:fill="D1D2D4"/>
          </w:tcPr>
          <w:p>
            <w:pPr>
              <w:spacing w:after="0"/>
              <w:rPr>
                <w:sz w:val="22"/>
                <w:szCs w:val="22"/>
                <w:color w:val="auto"/>
              </w:rPr>
            </w:pPr>
          </w:p>
        </w:tc>
        <w:tc>
          <w:tcPr>
            <w:tcW w:w="128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50"/>
        </w:trPr>
        <w:tc>
          <w:tcPr>
            <w:tcW w:w="830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noncurrent assets</w:t>
            </w: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82"/>
        </w:trPr>
        <w:tc>
          <w:tcPr>
            <w:tcW w:w="8300" w:type="dxa"/>
            <w:vAlign w:val="bottom"/>
            <w:tcBorders>
              <w:bottom w:val="single" w:sz="8" w:color="D1D2D4"/>
            </w:tcBorders>
            <w:shd w:val="clear" w:color="auto" w:fill="D1D2D4"/>
          </w:tcPr>
          <w:p>
            <w:pPr>
              <w:ind w:left="46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53,678</w:t>
            </w:r>
          </w:p>
        </w:tc>
        <w:tc>
          <w:tcPr>
            <w:tcW w:w="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48,887</w:t>
            </w:r>
          </w:p>
        </w:tc>
        <w:tc>
          <w:tcPr>
            <w:tcW w:w="0" w:type="dxa"/>
            <w:vAlign w:val="bottom"/>
          </w:tcPr>
          <w:p>
            <w:pPr>
              <w:spacing w:after="0"/>
              <w:rPr>
                <w:sz w:val="1"/>
                <w:szCs w:val="1"/>
                <w:color w:val="auto"/>
              </w:rPr>
            </w:pPr>
          </w:p>
        </w:tc>
      </w:tr>
      <w:tr>
        <w:trPr>
          <w:trHeight w:val="20"/>
        </w:trPr>
        <w:tc>
          <w:tcPr>
            <w:tcW w:w="8300" w:type="dxa"/>
            <w:vAlign w:val="bottom"/>
            <w:tcBorders>
              <w:top w:val="single" w:sz="8" w:color="D1D2D4"/>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320" w:type="dxa"/>
            <w:vAlign w:val="bottom"/>
            <w:tcBorders>
              <w:top w:val="single" w:sz="8" w:color="D1D2D4"/>
              <w:bottom w:val="single" w:sz="8" w:color="auto"/>
            </w:tcBorders>
          </w:tcPr>
          <w:p>
            <w:pPr>
              <w:spacing w:after="0" w:line="20" w:lineRule="exact"/>
              <w:rPr>
                <w:sz w:val="1"/>
                <w:szCs w:val="1"/>
                <w:color w:val="auto"/>
              </w:rPr>
            </w:pPr>
          </w:p>
        </w:tc>
        <w:tc>
          <w:tcPr>
            <w:tcW w:w="200" w:type="dxa"/>
            <w:vAlign w:val="bottom"/>
            <w:tcBorders>
              <w:top w:val="single" w:sz="8" w:color="D1D2D4"/>
              <w:bottom w:val="single" w:sz="8" w:color="auto"/>
            </w:tcBorders>
          </w:tcPr>
          <w:p>
            <w:pPr>
              <w:spacing w:after="0" w:line="20" w:lineRule="exact"/>
              <w:rPr>
                <w:sz w:val="1"/>
                <w:szCs w:val="1"/>
                <w:color w:val="auto"/>
              </w:rPr>
            </w:pPr>
          </w:p>
        </w:tc>
        <w:tc>
          <w:tcPr>
            <w:tcW w:w="128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830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140" w:type="dxa"/>
            <w:vAlign w:val="bottom"/>
            <w:shd w:val="clear" w:color="auto" w:fill="D1D2D4"/>
          </w:tcPr>
          <w:p>
            <w:pPr>
              <w:spacing w:after="0"/>
              <w:rPr>
                <w:sz w:val="22"/>
                <w:szCs w:val="22"/>
                <w:color w:val="auto"/>
              </w:rPr>
            </w:pPr>
          </w:p>
        </w:tc>
        <w:tc>
          <w:tcPr>
            <w:tcW w:w="1320" w:type="dxa"/>
            <w:vAlign w:val="bottom"/>
            <w:shd w:val="clear" w:color="auto" w:fill="D1D2D4"/>
          </w:tcPr>
          <w:p>
            <w:pPr>
              <w:spacing w:after="0"/>
              <w:rPr>
                <w:sz w:val="22"/>
                <w:szCs w:val="22"/>
                <w:color w:val="auto"/>
              </w:rPr>
            </w:pPr>
          </w:p>
        </w:tc>
        <w:tc>
          <w:tcPr>
            <w:tcW w:w="200" w:type="dxa"/>
            <w:vAlign w:val="bottom"/>
            <w:shd w:val="clear" w:color="auto" w:fill="D1D2D4"/>
          </w:tcPr>
          <w:p>
            <w:pPr>
              <w:spacing w:after="0"/>
              <w:rPr>
                <w:sz w:val="22"/>
                <w:szCs w:val="22"/>
                <w:color w:val="auto"/>
              </w:rPr>
            </w:pPr>
          </w:p>
        </w:tc>
        <w:tc>
          <w:tcPr>
            <w:tcW w:w="1280" w:type="dxa"/>
            <w:vAlign w:val="bottom"/>
            <w:shd w:val="clear" w:color="auto" w:fill="D1D2D4"/>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300" w:type="dxa"/>
            <w:vAlign w:val="bottom"/>
          </w:tcPr>
          <w:p>
            <w:pPr>
              <w:ind w:left="2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5,817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4,626</w:t>
            </w:r>
          </w:p>
        </w:tc>
        <w:tc>
          <w:tcPr>
            <w:tcW w:w="0" w:type="dxa"/>
            <w:vAlign w:val="bottom"/>
          </w:tcPr>
          <w:p>
            <w:pPr>
              <w:spacing w:after="0"/>
              <w:rPr>
                <w:sz w:val="1"/>
                <w:szCs w:val="1"/>
                <w:color w:val="auto"/>
              </w:rPr>
            </w:pPr>
          </w:p>
        </w:tc>
      </w:tr>
      <w:tr>
        <w:trPr>
          <w:trHeight w:val="263"/>
        </w:trPr>
        <w:tc>
          <w:tcPr>
            <w:tcW w:w="8300" w:type="dxa"/>
            <w:vAlign w:val="bottom"/>
            <w:shd w:val="clear" w:color="auto" w:fill="D1D2D4"/>
          </w:tcPr>
          <w:p>
            <w:pPr>
              <w:ind w:left="20"/>
              <w:spacing w:after="0"/>
              <w:rPr>
                <w:sz w:val="20"/>
                <w:szCs w:val="20"/>
                <w:color w:val="auto"/>
              </w:rPr>
            </w:pPr>
            <w:r>
              <w:rPr>
                <w:rFonts w:ascii="Arial" w:cs="Arial" w:eastAsia="Arial" w:hAnsi="Arial"/>
                <w:sz w:val="18"/>
                <w:szCs w:val="18"/>
                <w:color w:val="auto"/>
              </w:rPr>
              <w:t>Current debt</w:t>
            </w:r>
          </w:p>
        </w:tc>
        <w:tc>
          <w:tcPr>
            <w:tcW w:w="140" w:type="dxa"/>
            <w:vAlign w:val="bottom"/>
            <w:shd w:val="clear" w:color="auto" w:fill="D1D2D4"/>
          </w:tcPr>
          <w:p>
            <w:pPr>
              <w:spacing w:after="0"/>
              <w:rPr>
                <w:sz w:val="22"/>
                <w:szCs w:val="22"/>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270</w:t>
            </w:r>
          </w:p>
        </w:tc>
        <w:tc>
          <w:tcPr>
            <w:tcW w:w="200" w:type="dxa"/>
            <w:vAlign w:val="bottom"/>
            <w:shd w:val="clear" w:color="auto" w:fill="D1D2D4"/>
          </w:tcPr>
          <w:p>
            <w:pPr>
              <w:spacing w:after="0"/>
              <w:rPr>
                <w:sz w:val="22"/>
                <w:szCs w:val="22"/>
                <w:color w:val="auto"/>
              </w:rPr>
            </w:pPr>
          </w:p>
        </w:tc>
        <w:tc>
          <w:tcPr>
            <w:tcW w:w="128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1,310</w:t>
            </w:r>
          </w:p>
        </w:tc>
        <w:tc>
          <w:tcPr>
            <w:tcW w:w="0" w:type="dxa"/>
            <w:vAlign w:val="bottom"/>
          </w:tcPr>
          <w:p>
            <w:pPr>
              <w:spacing w:after="0"/>
              <w:rPr>
                <w:sz w:val="1"/>
                <w:szCs w:val="1"/>
                <w:color w:val="auto"/>
              </w:rPr>
            </w:pPr>
          </w:p>
        </w:tc>
      </w:tr>
      <w:tr>
        <w:trPr>
          <w:trHeight w:val="250"/>
        </w:trPr>
        <w:tc>
          <w:tcPr>
            <w:tcW w:w="830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current liabilities</w:t>
            </w: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57"/>
        </w:trPr>
        <w:tc>
          <w:tcPr>
            <w:tcW w:w="8300" w:type="dxa"/>
            <w:vAlign w:val="bottom"/>
            <w:shd w:val="clear" w:color="auto" w:fill="D1D2D4"/>
          </w:tcPr>
          <w:p>
            <w:pPr>
              <w:ind w:left="22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D1D2D4"/>
          </w:tcPr>
          <w:p>
            <w:pPr>
              <w:spacing w:after="0"/>
              <w:rPr>
                <w:sz w:val="22"/>
                <w:szCs w:val="22"/>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6,635</w:t>
            </w:r>
          </w:p>
        </w:tc>
        <w:tc>
          <w:tcPr>
            <w:tcW w:w="200" w:type="dxa"/>
            <w:vAlign w:val="bottom"/>
            <w:shd w:val="clear" w:color="auto" w:fill="D1D2D4"/>
          </w:tcPr>
          <w:p>
            <w:pPr>
              <w:spacing w:after="0"/>
              <w:rPr>
                <w:sz w:val="22"/>
                <w:szCs w:val="22"/>
                <w:color w:val="auto"/>
              </w:rPr>
            </w:pPr>
          </w:p>
        </w:tc>
        <w:tc>
          <w:tcPr>
            <w:tcW w:w="128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6,390</w:t>
            </w:r>
          </w:p>
        </w:tc>
        <w:tc>
          <w:tcPr>
            <w:tcW w:w="0" w:type="dxa"/>
            <w:vAlign w:val="bottom"/>
          </w:tcPr>
          <w:p>
            <w:pPr>
              <w:spacing w:after="0"/>
              <w:rPr>
                <w:sz w:val="1"/>
                <w:szCs w:val="1"/>
                <w:color w:val="auto"/>
              </w:rPr>
            </w:pPr>
          </w:p>
        </w:tc>
      </w:tr>
      <w:tr>
        <w:trPr>
          <w:trHeight w:val="250"/>
        </w:trPr>
        <w:tc>
          <w:tcPr>
            <w:tcW w:w="830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6,373</w:t>
            </w: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4,541</w:t>
            </w:r>
          </w:p>
        </w:tc>
        <w:tc>
          <w:tcPr>
            <w:tcW w:w="0" w:type="dxa"/>
            <w:vAlign w:val="bottom"/>
          </w:tcPr>
          <w:p>
            <w:pPr>
              <w:spacing w:after="0"/>
              <w:rPr>
                <w:sz w:val="1"/>
                <w:szCs w:val="1"/>
                <w:color w:val="auto"/>
              </w:rPr>
            </w:pPr>
          </w:p>
        </w:tc>
      </w:tr>
      <w:tr>
        <w:trPr>
          <w:trHeight w:val="263"/>
        </w:trPr>
        <w:tc>
          <w:tcPr>
            <w:tcW w:w="8300" w:type="dxa"/>
            <w:vAlign w:val="bottom"/>
            <w:shd w:val="clear" w:color="auto" w:fill="D1D2D4"/>
          </w:tcPr>
          <w:p>
            <w:pPr>
              <w:ind w:left="20"/>
              <w:spacing w:after="0"/>
              <w:rPr>
                <w:sz w:val="20"/>
                <w:szCs w:val="20"/>
                <w:color w:val="auto"/>
              </w:rPr>
            </w:pPr>
            <w:r>
              <w:rPr>
                <w:rFonts w:ascii="Arial" w:cs="Arial" w:eastAsia="Arial" w:hAnsi="Arial"/>
                <w:sz w:val="18"/>
                <w:szCs w:val="18"/>
                <w:color w:val="auto"/>
              </w:rPr>
              <w:t>Noncurrent operating lease liabilities</w:t>
            </w:r>
          </w:p>
        </w:tc>
        <w:tc>
          <w:tcPr>
            <w:tcW w:w="140" w:type="dxa"/>
            <w:vAlign w:val="bottom"/>
            <w:shd w:val="clear" w:color="auto" w:fill="D1D2D4"/>
          </w:tcPr>
          <w:p>
            <w:pPr>
              <w:spacing w:after="0"/>
              <w:rPr>
                <w:sz w:val="22"/>
                <w:szCs w:val="22"/>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533</w:t>
            </w:r>
          </w:p>
        </w:tc>
        <w:tc>
          <w:tcPr>
            <w:tcW w:w="200" w:type="dxa"/>
            <w:vAlign w:val="bottom"/>
            <w:shd w:val="clear" w:color="auto" w:fill="D1D2D4"/>
          </w:tcPr>
          <w:p>
            <w:pPr>
              <w:spacing w:after="0"/>
              <w:rPr>
                <w:sz w:val="22"/>
                <w:szCs w:val="22"/>
                <w:color w:val="auto"/>
              </w:rPr>
            </w:pPr>
          </w:p>
        </w:tc>
        <w:tc>
          <w:tcPr>
            <w:tcW w:w="128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8300" w:type="dxa"/>
            <w:vAlign w:val="bottom"/>
          </w:tcPr>
          <w:p>
            <w:pPr>
              <w:ind w:left="20"/>
              <w:spacing w:after="0"/>
              <w:rPr>
                <w:sz w:val="20"/>
                <w:szCs w:val="20"/>
                <w:color w:val="auto"/>
              </w:rPr>
            </w:pPr>
            <w:r>
              <w:rPr>
                <w:rFonts w:ascii="Arial" w:cs="Arial" w:eastAsia="Arial" w:hAnsi="Arial"/>
                <w:sz w:val="18"/>
                <w:szCs w:val="18"/>
                <w:color w:val="auto"/>
              </w:rPr>
              <w:t>Noncurrent unearned government incentives</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643</w:t>
            </w: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57"/>
        </w:trPr>
        <w:tc>
          <w:tcPr>
            <w:tcW w:w="830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noncurrent liabilities</w:t>
            </w:r>
          </w:p>
        </w:tc>
        <w:tc>
          <w:tcPr>
            <w:tcW w:w="140" w:type="dxa"/>
            <w:vAlign w:val="bottom"/>
            <w:tcBorders>
              <w:bottom w:val="single" w:sz="8" w:color="auto"/>
            </w:tcBorders>
            <w:shd w:val="clear" w:color="auto" w:fill="D1D2D4"/>
          </w:tcPr>
          <w:p>
            <w:pPr>
              <w:spacing w:after="0"/>
              <w:rPr>
                <w:sz w:val="22"/>
                <w:szCs w:val="22"/>
                <w:color w:val="auto"/>
              </w:rPr>
            </w:pP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498</w:t>
            </w:r>
          </w:p>
        </w:tc>
        <w:tc>
          <w:tcPr>
            <w:tcW w:w="200" w:type="dxa"/>
            <w:vAlign w:val="bottom"/>
            <w:tcBorders>
              <w:bottom w:val="single" w:sz="8" w:color="auto"/>
            </w:tcBorders>
            <w:shd w:val="clear" w:color="auto" w:fill="D1D2D4"/>
          </w:tcPr>
          <w:p>
            <w:pPr>
              <w:spacing w:after="0"/>
              <w:rPr>
                <w:sz w:val="22"/>
                <w:szCs w:val="22"/>
                <w:color w:val="auto"/>
              </w:rPr>
            </w:pPr>
          </w:p>
        </w:tc>
        <w:tc>
          <w:tcPr>
            <w:tcW w:w="128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50"/>
        </w:trPr>
        <w:tc>
          <w:tcPr>
            <w:tcW w:w="8300" w:type="dxa"/>
            <w:vAlign w:val="bottom"/>
            <w:tcBorders>
              <w:bottom w:val="single" w:sz="8" w:color="D1D2D4"/>
            </w:tcBorders>
          </w:tcPr>
          <w:p>
            <w:pPr>
              <w:ind w:left="46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14,682</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12,019</w:t>
            </w:r>
          </w:p>
        </w:tc>
        <w:tc>
          <w:tcPr>
            <w:tcW w:w="0" w:type="dxa"/>
            <w:vAlign w:val="bottom"/>
          </w:tcPr>
          <w:p>
            <w:pPr>
              <w:spacing w:after="0"/>
              <w:rPr>
                <w:sz w:val="1"/>
                <w:szCs w:val="1"/>
                <w:color w:val="auto"/>
              </w:rPr>
            </w:pPr>
          </w:p>
        </w:tc>
      </w:tr>
      <w:tr>
        <w:trPr>
          <w:trHeight w:val="243"/>
        </w:trPr>
        <w:tc>
          <w:tcPr>
            <w:tcW w:w="8300" w:type="dxa"/>
            <w:vAlign w:val="bottom"/>
            <w:shd w:val="clear" w:color="auto" w:fill="D1D2D4"/>
          </w:tcPr>
          <w:p>
            <w:pPr>
              <w:spacing w:after="0"/>
              <w:rPr>
                <w:sz w:val="21"/>
                <w:szCs w:val="21"/>
                <w:color w:val="auto"/>
              </w:rPr>
            </w:pPr>
          </w:p>
        </w:tc>
        <w:tc>
          <w:tcPr>
            <w:tcW w:w="140" w:type="dxa"/>
            <w:vAlign w:val="bottom"/>
            <w:shd w:val="clear" w:color="auto" w:fill="D1D2D4"/>
          </w:tcPr>
          <w:p>
            <w:pPr>
              <w:spacing w:after="0"/>
              <w:rPr>
                <w:sz w:val="21"/>
                <w:szCs w:val="21"/>
                <w:color w:val="auto"/>
              </w:rPr>
            </w:pPr>
          </w:p>
        </w:tc>
        <w:tc>
          <w:tcPr>
            <w:tcW w:w="1320" w:type="dxa"/>
            <w:vAlign w:val="bottom"/>
            <w:shd w:val="clear" w:color="auto" w:fill="D1D2D4"/>
          </w:tcPr>
          <w:p>
            <w:pPr>
              <w:spacing w:after="0"/>
              <w:rPr>
                <w:sz w:val="21"/>
                <w:szCs w:val="21"/>
                <w:color w:val="auto"/>
              </w:rPr>
            </w:pPr>
          </w:p>
        </w:tc>
        <w:tc>
          <w:tcPr>
            <w:tcW w:w="200" w:type="dxa"/>
            <w:vAlign w:val="bottom"/>
            <w:shd w:val="clear" w:color="auto" w:fill="D1D2D4"/>
          </w:tcPr>
          <w:p>
            <w:pPr>
              <w:spacing w:after="0"/>
              <w:rPr>
                <w:sz w:val="21"/>
                <w:szCs w:val="21"/>
                <w:color w:val="auto"/>
              </w:rPr>
            </w:pPr>
          </w:p>
        </w:tc>
        <w:tc>
          <w:tcPr>
            <w:tcW w:w="1280" w:type="dxa"/>
            <w:vAlign w:val="bottom"/>
            <w:shd w:val="clear" w:color="auto" w:fill="D1D2D4"/>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30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300" w:type="dxa"/>
            <w:vAlign w:val="bottom"/>
            <w:shd w:val="clear" w:color="auto" w:fill="D1D2D4"/>
          </w:tcPr>
          <w:p>
            <w:pPr>
              <w:spacing w:after="0"/>
              <w:rPr>
                <w:sz w:val="22"/>
                <w:szCs w:val="22"/>
                <w:color w:val="auto"/>
              </w:rPr>
            </w:pPr>
          </w:p>
        </w:tc>
        <w:tc>
          <w:tcPr>
            <w:tcW w:w="140" w:type="dxa"/>
            <w:vAlign w:val="bottom"/>
            <w:shd w:val="clear" w:color="auto" w:fill="D1D2D4"/>
          </w:tcPr>
          <w:p>
            <w:pPr>
              <w:spacing w:after="0"/>
              <w:rPr>
                <w:sz w:val="22"/>
                <w:szCs w:val="22"/>
                <w:color w:val="auto"/>
              </w:rPr>
            </w:pPr>
          </w:p>
        </w:tc>
        <w:tc>
          <w:tcPr>
            <w:tcW w:w="1320" w:type="dxa"/>
            <w:vAlign w:val="bottom"/>
            <w:shd w:val="clear" w:color="auto" w:fill="D1D2D4"/>
          </w:tcPr>
          <w:p>
            <w:pPr>
              <w:spacing w:after="0"/>
              <w:rPr>
                <w:sz w:val="22"/>
                <w:szCs w:val="22"/>
                <w:color w:val="auto"/>
              </w:rPr>
            </w:pPr>
          </w:p>
        </w:tc>
        <w:tc>
          <w:tcPr>
            <w:tcW w:w="200" w:type="dxa"/>
            <w:vAlign w:val="bottom"/>
            <w:shd w:val="clear" w:color="auto" w:fill="D1D2D4"/>
          </w:tcPr>
          <w:p>
            <w:pPr>
              <w:spacing w:after="0"/>
              <w:rPr>
                <w:sz w:val="22"/>
                <w:szCs w:val="22"/>
                <w:color w:val="auto"/>
              </w:rPr>
            </w:pPr>
          </w:p>
        </w:tc>
        <w:tc>
          <w:tcPr>
            <w:tcW w:w="1280" w:type="dxa"/>
            <w:vAlign w:val="bottom"/>
            <w:shd w:val="clear" w:color="auto" w:fill="D1D2D4"/>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300" w:type="dxa"/>
            <w:vAlign w:val="bottom"/>
          </w:tcPr>
          <w:p>
            <w:pPr>
              <w:ind w:left="20"/>
              <w:spacing w:after="0"/>
              <w:rPr>
                <w:sz w:val="20"/>
                <w:szCs w:val="20"/>
                <w:color w:val="auto"/>
              </w:rPr>
            </w:pPr>
            <w:r>
              <w:rPr>
                <w:rFonts w:ascii="Arial" w:cs="Arial" w:eastAsia="Arial" w:hAnsi="Arial"/>
                <w:sz w:val="18"/>
                <w:szCs w:val="18"/>
                <w:color w:val="auto"/>
              </w:rPr>
              <w:t>Redeemable noncontrolling interest</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63"/>
        </w:trPr>
        <w:tc>
          <w:tcPr>
            <w:tcW w:w="8300" w:type="dxa"/>
            <w:vAlign w:val="bottom"/>
            <w:shd w:val="clear" w:color="auto" w:fill="D1D2D4"/>
          </w:tcPr>
          <w:p>
            <w:pPr>
              <w:spacing w:after="0"/>
              <w:rPr>
                <w:sz w:val="22"/>
                <w:szCs w:val="22"/>
                <w:color w:val="auto"/>
              </w:rPr>
            </w:pPr>
          </w:p>
        </w:tc>
        <w:tc>
          <w:tcPr>
            <w:tcW w:w="140" w:type="dxa"/>
            <w:vAlign w:val="bottom"/>
            <w:shd w:val="clear" w:color="auto" w:fill="D1D2D4"/>
          </w:tcPr>
          <w:p>
            <w:pPr>
              <w:spacing w:after="0"/>
              <w:rPr>
                <w:sz w:val="22"/>
                <w:szCs w:val="22"/>
                <w:color w:val="auto"/>
              </w:rPr>
            </w:pPr>
          </w:p>
        </w:tc>
        <w:tc>
          <w:tcPr>
            <w:tcW w:w="1320" w:type="dxa"/>
            <w:vAlign w:val="bottom"/>
            <w:shd w:val="clear" w:color="auto" w:fill="D1D2D4"/>
          </w:tcPr>
          <w:p>
            <w:pPr>
              <w:spacing w:after="0"/>
              <w:rPr>
                <w:sz w:val="22"/>
                <w:szCs w:val="22"/>
                <w:color w:val="auto"/>
              </w:rPr>
            </w:pPr>
          </w:p>
        </w:tc>
        <w:tc>
          <w:tcPr>
            <w:tcW w:w="200" w:type="dxa"/>
            <w:vAlign w:val="bottom"/>
            <w:shd w:val="clear" w:color="auto" w:fill="D1D2D4"/>
          </w:tcPr>
          <w:p>
            <w:pPr>
              <w:spacing w:after="0"/>
              <w:rPr>
                <w:sz w:val="22"/>
                <w:szCs w:val="22"/>
                <w:color w:val="auto"/>
              </w:rPr>
            </w:pPr>
          </w:p>
        </w:tc>
        <w:tc>
          <w:tcPr>
            <w:tcW w:w="1280" w:type="dxa"/>
            <w:vAlign w:val="bottom"/>
            <w:shd w:val="clear" w:color="auto" w:fill="D1D2D4"/>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300" w:type="dxa"/>
            <w:vAlign w:val="bottom"/>
          </w:tcPr>
          <w:p>
            <w:pPr>
              <w:ind w:left="20"/>
              <w:spacing w:after="0"/>
              <w:rPr>
                <w:sz w:val="20"/>
                <w:szCs w:val="20"/>
                <w:color w:val="auto"/>
              </w:rPr>
            </w:pPr>
            <w:r>
              <w:rPr>
                <w:rFonts w:ascii="Arial" w:cs="Arial" w:eastAsia="Arial" w:hAnsi="Arial"/>
                <w:sz w:val="18"/>
                <w:szCs w:val="18"/>
                <w:color w:val="auto"/>
              </w:rPr>
              <w:t>Micron shareholders’ equity</w:t>
            </w: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8300" w:type="dxa"/>
            <w:vAlign w:val="bottom"/>
            <w:shd w:val="clear" w:color="auto" w:fill="D1D2D4"/>
          </w:tcPr>
          <w:p>
            <w:pPr>
              <w:ind w:left="20"/>
              <w:spacing w:after="0" w:line="195" w:lineRule="exact"/>
              <w:rPr>
                <w:sz w:val="20"/>
                <w:szCs w:val="20"/>
                <w:color w:val="auto"/>
              </w:rPr>
            </w:pPr>
            <w:r>
              <w:rPr>
                <w:rFonts w:ascii="Arial" w:cs="Arial" w:eastAsia="Arial" w:hAnsi="Arial"/>
                <w:sz w:val="18"/>
                <w:szCs w:val="18"/>
                <w:color w:val="auto"/>
              </w:rPr>
              <w:t>Common stock, $0.10 par value, 3,000 shares authorized, 1,194 shares issued and 1,113 outstanding</w:t>
            </w:r>
          </w:p>
        </w:tc>
        <w:tc>
          <w:tcPr>
            <w:tcW w:w="140" w:type="dxa"/>
            <w:vAlign w:val="bottom"/>
            <w:shd w:val="clear" w:color="auto" w:fill="D1D2D4"/>
          </w:tcPr>
          <w:p>
            <w:pPr>
              <w:spacing w:after="0"/>
              <w:rPr>
                <w:sz w:val="16"/>
                <w:szCs w:val="16"/>
                <w:color w:val="auto"/>
              </w:rPr>
            </w:pPr>
          </w:p>
        </w:tc>
        <w:tc>
          <w:tcPr>
            <w:tcW w:w="132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119</w:t>
            </w:r>
          </w:p>
        </w:tc>
        <w:tc>
          <w:tcPr>
            <w:tcW w:w="200" w:type="dxa"/>
            <w:vAlign w:val="bottom"/>
            <w:shd w:val="clear" w:color="auto" w:fill="D1D2D4"/>
          </w:tcPr>
          <w:p>
            <w:pPr>
              <w:spacing w:after="0"/>
              <w:rPr>
                <w:sz w:val="16"/>
                <w:szCs w:val="16"/>
                <w:color w:val="auto"/>
              </w:rPr>
            </w:pPr>
          </w:p>
        </w:tc>
        <w:tc>
          <w:tcPr>
            <w:tcW w:w="1280" w:type="dxa"/>
            <w:vAlign w:val="bottom"/>
            <w:vMerge w:val="restart"/>
            <w:shd w:val="clear" w:color="auto" w:fill="D1D2D4"/>
          </w:tcPr>
          <w:p>
            <w:pPr>
              <w:jc w:val="right"/>
              <w:ind w:right="1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7"/>
        </w:trPr>
        <w:tc>
          <w:tcPr>
            <w:tcW w:w="8300" w:type="dxa"/>
            <w:vAlign w:val="bottom"/>
            <w:shd w:val="clear" w:color="auto" w:fill="D1D2D4"/>
          </w:tcPr>
          <w:p>
            <w:pPr>
              <w:ind w:left="20"/>
              <w:spacing w:after="0"/>
              <w:rPr>
                <w:sz w:val="20"/>
                <w:szCs w:val="20"/>
                <w:color w:val="auto"/>
              </w:rPr>
            </w:pPr>
            <w:r>
              <w:rPr>
                <w:rFonts w:ascii="Arial" w:cs="Arial" w:eastAsia="Arial" w:hAnsi="Arial"/>
                <w:sz w:val="18"/>
                <w:szCs w:val="18"/>
                <w:color w:val="auto"/>
              </w:rPr>
              <w:t>(1,182 shares issued and 1,106 outstanding as of August 29, 2019)</w:t>
            </w:r>
          </w:p>
        </w:tc>
        <w:tc>
          <w:tcPr>
            <w:tcW w:w="140" w:type="dxa"/>
            <w:vAlign w:val="bottom"/>
            <w:shd w:val="clear" w:color="auto" w:fill="D1D2D4"/>
          </w:tcPr>
          <w:p>
            <w:pPr>
              <w:spacing w:after="0"/>
              <w:rPr>
                <w:sz w:val="18"/>
                <w:szCs w:val="18"/>
                <w:color w:val="auto"/>
              </w:rPr>
            </w:pPr>
          </w:p>
        </w:tc>
        <w:tc>
          <w:tcPr>
            <w:tcW w:w="1320" w:type="dxa"/>
            <w:vAlign w:val="bottom"/>
            <w:vMerge w:val="continue"/>
            <w:shd w:val="clear" w:color="auto" w:fill="D1D2D4"/>
          </w:tcPr>
          <w:p>
            <w:pPr>
              <w:spacing w:after="0"/>
              <w:rPr>
                <w:sz w:val="18"/>
                <w:szCs w:val="18"/>
                <w:color w:val="auto"/>
              </w:rPr>
            </w:pPr>
          </w:p>
        </w:tc>
        <w:tc>
          <w:tcPr>
            <w:tcW w:w="200" w:type="dxa"/>
            <w:vAlign w:val="bottom"/>
            <w:shd w:val="clear" w:color="auto" w:fill="D1D2D4"/>
          </w:tcPr>
          <w:p>
            <w:pPr>
              <w:spacing w:after="0"/>
              <w:rPr>
                <w:sz w:val="18"/>
                <w:szCs w:val="18"/>
                <w:color w:val="auto"/>
              </w:rPr>
            </w:pPr>
          </w:p>
        </w:tc>
        <w:tc>
          <w:tcPr>
            <w:tcW w:w="1280" w:type="dxa"/>
            <w:vAlign w:val="bottom"/>
            <w:vMerge w:val="continue"/>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300" w:type="dxa"/>
            <w:vAlign w:val="bottom"/>
          </w:tcPr>
          <w:p>
            <w:pPr>
              <w:ind w:left="220"/>
              <w:spacing w:after="0"/>
              <w:rPr>
                <w:sz w:val="20"/>
                <w:szCs w:val="20"/>
                <w:color w:val="auto"/>
              </w:rPr>
            </w:pPr>
            <w:r>
              <w:rPr>
                <w:rFonts w:ascii="Arial" w:cs="Arial" w:eastAsia="Arial" w:hAnsi="Arial"/>
                <w:sz w:val="18"/>
                <w:szCs w:val="18"/>
                <w:color w:val="auto"/>
              </w:rPr>
              <w:t>Additional capital</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8,917</w:t>
            </w: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8,214</w:t>
            </w:r>
          </w:p>
        </w:tc>
        <w:tc>
          <w:tcPr>
            <w:tcW w:w="0" w:type="dxa"/>
            <w:vAlign w:val="bottom"/>
          </w:tcPr>
          <w:p>
            <w:pPr>
              <w:spacing w:after="0"/>
              <w:rPr>
                <w:sz w:val="1"/>
                <w:szCs w:val="1"/>
                <w:color w:val="auto"/>
              </w:rPr>
            </w:pPr>
          </w:p>
        </w:tc>
      </w:tr>
      <w:tr>
        <w:trPr>
          <w:trHeight w:val="263"/>
        </w:trPr>
        <w:tc>
          <w:tcPr>
            <w:tcW w:w="8300" w:type="dxa"/>
            <w:vAlign w:val="bottom"/>
            <w:shd w:val="clear" w:color="auto" w:fill="D1D2D4"/>
          </w:tcPr>
          <w:p>
            <w:pPr>
              <w:ind w:left="220"/>
              <w:spacing w:after="0"/>
              <w:rPr>
                <w:sz w:val="20"/>
                <w:szCs w:val="20"/>
                <w:color w:val="auto"/>
              </w:rPr>
            </w:pPr>
            <w:r>
              <w:rPr>
                <w:rFonts w:ascii="Arial" w:cs="Arial" w:eastAsia="Arial" w:hAnsi="Arial"/>
                <w:sz w:val="18"/>
                <w:szCs w:val="18"/>
                <w:color w:val="auto"/>
              </w:rPr>
              <w:t>Retained earnings</w:t>
            </w:r>
          </w:p>
        </w:tc>
        <w:tc>
          <w:tcPr>
            <w:tcW w:w="140" w:type="dxa"/>
            <w:vAlign w:val="bottom"/>
            <w:shd w:val="clear" w:color="auto" w:fill="D1D2D4"/>
          </w:tcPr>
          <w:p>
            <w:pPr>
              <w:spacing w:after="0"/>
              <w:rPr>
                <w:sz w:val="22"/>
                <w:szCs w:val="22"/>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33,384</w:t>
            </w:r>
          </w:p>
        </w:tc>
        <w:tc>
          <w:tcPr>
            <w:tcW w:w="200" w:type="dxa"/>
            <w:vAlign w:val="bottom"/>
            <w:shd w:val="clear" w:color="auto" w:fill="D1D2D4"/>
          </w:tcPr>
          <w:p>
            <w:pPr>
              <w:spacing w:after="0"/>
              <w:rPr>
                <w:sz w:val="22"/>
                <w:szCs w:val="22"/>
                <w:color w:val="auto"/>
              </w:rPr>
            </w:pPr>
          </w:p>
        </w:tc>
        <w:tc>
          <w:tcPr>
            <w:tcW w:w="128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30,761</w:t>
            </w:r>
          </w:p>
        </w:tc>
        <w:tc>
          <w:tcPr>
            <w:tcW w:w="0" w:type="dxa"/>
            <w:vAlign w:val="bottom"/>
          </w:tcPr>
          <w:p>
            <w:pPr>
              <w:spacing w:after="0"/>
              <w:rPr>
                <w:sz w:val="1"/>
                <w:szCs w:val="1"/>
                <w:color w:val="auto"/>
              </w:rPr>
            </w:pPr>
          </w:p>
        </w:tc>
      </w:tr>
      <w:tr>
        <w:trPr>
          <w:trHeight w:val="256"/>
        </w:trPr>
        <w:tc>
          <w:tcPr>
            <w:tcW w:w="8300" w:type="dxa"/>
            <w:vAlign w:val="bottom"/>
          </w:tcPr>
          <w:p>
            <w:pPr>
              <w:ind w:left="220"/>
              <w:spacing w:after="0"/>
              <w:rPr>
                <w:sz w:val="20"/>
                <w:szCs w:val="20"/>
                <w:color w:val="auto"/>
              </w:rPr>
            </w:pPr>
            <w:r>
              <w:rPr>
                <w:rFonts w:ascii="Arial" w:cs="Arial" w:eastAsia="Arial" w:hAnsi="Arial"/>
                <w:sz w:val="18"/>
                <w:szCs w:val="18"/>
                <w:color w:val="auto"/>
              </w:rPr>
              <w:t>Treasury stock, 81 shares held (76 shares as of August 29, 2019)</w:t>
            </w: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(3,495)</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(3,221)</w:t>
            </w:r>
          </w:p>
        </w:tc>
        <w:tc>
          <w:tcPr>
            <w:tcW w:w="0" w:type="dxa"/>
            <w:vAlign w:val="bottom"/>
          </w:tcPr>
          <w:p>
            <w:pPr>
              <w:spacing w:after="0"/>
              <w:rPr>
                <w:sz w:val="1"/>
                <w:szCs w:val="1"/>
                <w:color w:val="auto"/>
              </w:rPr>
            </w:pPr>
          </w:p>
        </w:tc>
      </w:tr>
      <w:tr>
        <w:trPr>
          <w:trHeight w:val="250"/>
        </w:trPr>
        <w:tc>
          <w:tcPr>
            <w:tcW w:w="8300" w:type="dxa"/>
            <w:vAlign w:val="bottom"/>
            <w:shd w:val="clear" w:color="auto" w:fill="D1D2D4"/>
          </w:tcPr>
          <w:p>
            <w:pPr>
              <w:ind w:left="220"/>
              <w:spacing w:after="0"/>
              <w:rPr>
                <w:sz w:val="20"/>
                <w:szCs w:val="20"/>
                <w:color w:val="auto"/>
              </w:rPr>
            </w:pPr>
            <w:r>
              <w:rPr>
                <w:rFonts w:ascii="Arial" w:cs="Arial" w:eastAsia="Arial" w:hAnsi="Arial"/>
                <w:sz w:val="18"/>
                <w:szCs w:val="18"/>
                <w:color w:val="auto"/>
              </w:rPr>
              <w:t>Accumulated other comprehensive income (loss)</w:t>
            </w:r>
          </w:p>
        </w:tc>
        <w:tc>
          <w:tcPr>
            <w:tcW w:w="140" w:type="dxa"/>
            <w:vAlign w:val="bottom"/>
            <w:tcBorders>
              <w:bottom w:val="single" w:sz="8" w:color="auto"/>
            </w:tcBorders>
            <w:shd w:val="clear" w:color="auto" w:fill="D1D2D4"/>
          </w:tcPr>
          <w:p>
            <w:pPr>
              <w:spacing w:after="0"/>
              <w:rPr>
                <w:sz w:val="21"/>
                <w:szCs w:val="21"/>
                <w:color w:val="auto"/>
              </w:rPr>
            </w:pP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71</w:t>
            </w:r>
          </w:p>
        </w:tc>
        <w:tc>
          <w:tcPr>
            <w:tcW w:w="200" w:type="dxa"/>
            <w:vAlign w:val="bottom"/>
            <w:tcBorders>
              <w:bottom w:val="single" w:sz="8" w:color="auto"/>
            </w:tcBorders>
            <w:shd w:val="clear" w:color="auto" w:fill="D1D2D4"/>
          </w:tcPr>
          <w:p>
            <w:pPr>
              <w:spacing w:after="0"/>
              <w:rPr>
                <w:sz w:val="21"/>
                <w:szCs w:val="21"/>
                <w:color w:val="auto"/>
              </w:rPr>
            </w:pPr>
          </w:p>
        </w:tc>
        <w:tc>
          <w:tcPr>
            <w:tcW w:w="128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50"/>
        </w:trPr>
        <w:tc>
          <w:tcPr>
            <w:tcW w:w="8300" w:type="dxa"/>
            <w:vAlign w:val="bottom"/>
          </w:tcPr>
          <w:p>
            <w:pPr>
              <w:ind w:left="460"/>
              <w:spacing w:after="0"/>
              <w:rPr>
                <w:sz w:val="20"/>
                <w:szCs w:val="20"/>
                <w:color w:val="auto"/>
              </w:rPr>
            </w:pPr>
            <w:r>
              <w:rPr>
                <w:rFonts w:ascii="Arial" w:cs="Arial" w:eastAsia="Arial" w:hAnsi="Arial"/>
                <w:sz w:val="18"/>
                <w:szCs w:val="18"/>
                <w:color w:val="auto"/>
              </w:rPr>
              <w:t>Total Micron shareholders’ equity</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38,996</w:t>
            </w: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35,881</w:t>
            </w:r>
          </w:p>
        </w:tc>
        <w:tc>
          <w:tcPr>
            <w:tcW w:w="0" w:type="dxa"/>
            <w:vAlign w:val="bottom"/>
          </w:tcPr>
          <w:p>
            <w:pPr>
              <w:spacing w:after="0"/>
              <w:rPr>
                <w:sz w:val="1"/>
                <w:szCs w:val="1"/>
                <w:color w:val="auto"/>
              </w:rPr>
            </w:pPr>
          </w:p>
        </w:tc>
      </w:tr>
      <w:tr>
        <w:trPr>
          <w:trHeight w:val="257"/>
        </w:trPr>
        <w:tc>
          <w:tcPr>
            <w:tcW w:w="8300" w:type="dxa"/>
            <w:vAlign w:val="bottom"/>
            <w:shd w:val="clear" w:color="auto" w:fill="D1D2D4"/>
          </w:tcPr>
          <w:p>
            <w:pPr>
              <w:ind w:left="20"/>
              <w:spacing w:after="0"/>
              <w:rPr>
                <w:sz w:val="20"/>
                <w:szCs w:val="20"/>
                <w:color w:val="auto"/>
              </w:rPr>
            </w:pPr>
            <w:r>
              <w:rPr>
                <w:rFonts w:ascii="Arial" w:cs="Arial" w:eastAsia="Arial" w:hAnsi="Arial"/>
                <w:sz w:val="18"/>
                <w:szCs w:val="18"/>
                <w:color w:val="auto"/>
              </w:rPr>
              <w:t>Noncontrolling interest in subsidiary</w:t>
            </w:r>
          </w:p>
        </w:tc>
        <w:tc>
          <w:tcPr>
            <w:tcW w:w="140" w:type="dxa"/>
            <w:vAlign w:val="bottom"/>
            <w:tcBorders>
              <w:bottom w:val="single" w:sz="8" w:color="auto"/>
            </w:tcBorders>
            <w:shd w:val="clear" w:color="auto" w:fill="D1D2D4"/>
          </w:tcPr>
          <w:p>
            <w:pPr>
              <w:spacing w:after="0"/>
              <w:rPr>
                <w:sz w:val="22"/>
                <w:szCs w:val="22"/>
                <w:color w:val="auto"/>
              </w:rPr>
            </w:pP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D1D2D4"/>
          </w:tcPr>
          <w:p>
            <w:pPr>
              <w:spacing w:after="0"/>
              <w:rPr>
                <w:sz w:val="22"/>
                <w:szCs w:val="22"/>
                <w:color w:val="auto"/>
              </w:rPr>
            </w:pPr>
          </w:p>
        </w:tc>
        <w:tc>
          <w:tcPr>
            <w:tcW w:w="128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50"/>
        </w:trPr>
        <w:tc>
          <w:tcPr>
            <w:tcW w:w="8300" w:type="dxa"/>
            <w:vAlign w:val="bottom"/>
            <w:tcBorders>
              <w:bottom w:val="single" w:sz="8" w:color="D1D2D4"/>
            </w:tcBorders>
          </w:tcPr>
          <w:p>
            <w:pPr>
              <w:ind w:left="460"/>
              <w:spacing w:after="0"/>
              <w:rPr>
                <w:sz w:val="20"/>
                <w:szCs w:val="20"/>
                <w:color w:val="auto"/>
              </w:rPr>
            </w:pPr>
            <w:r>
              <w:rPr>
                <w:rFonts w:ascii="Arial" w:cs="Arial" w:eastAsia="Arial" w:hAnsi="Arial"/>
                <w:sz w:val="18"/>
                <w:szCs w:val="18"/>
                <w:color w:val="auto"/>
              </w:rPr>
              <w:t>Total equity</w:t>
            </w: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38,996</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36,770</w:t>
            </w:r>
          </w:p>
        </w:tc>
        <w:tc>
          <w:tcPr>
            <w:tcW w:w="0" w:type="dxa"/>
            <w:vAlign w:val="bottom"/>
          </w:tcPr>
          <w:p>
            <w:pPr>
              <w:spacing w:after="0"/>
              <w:rPr>
                <w:sz w:val="1"/>
                <w:szCs w:val="1"/>
                <w:color w:val="auto"/>
              </w:rPr>
            </w:pPr>
          </w:p>
        </w:tc>
      </w:tr>
      <w:tr>
        <w:trPr>
          <w:trHeight w:val="281"/>
        </w:trPr>
        <w:tc>
          <w:tcPr>
            <w:tcW w:w="8300" w:type="dxa"/>
            <w:vAlign w:val="bottom"/>
            <w:tcBorders>
              <w:bottom w:val="single" w:sz="8" w:color="D1D2D4"/>
            </w:tcBorders>
            <w:shd w:val="clear" w:color="auto" w:fill="D1D2D4"/>
          </w:tcPr>
          <w:p>
            <w:pPr>
              <w:ind w:left="460"/>
              <w:spacing w:after="0"/>
              <w:rPr>
                <w:sz w:val="20"/>
                <w:szCs w:val="20"/>
                <w:color w:val="auto"/>
              </w:rPr>
            </w:pPr>
            <w:r>
              <w:rPr>
                <w:rFonts w:ascii="Arial" w:cs="Arial" w:eastAsia="Arial" w:hAnsi="Arial"/>
                <w:sz w:val="18"/>
                <w:szCs w:val="18"/>
                <w:color w:val="auto"/>
              </w:rPr>
              <w:t>Total liabilities and equity</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53,678</w:t>
            </w:r>
          </w:p>
        </w:tc>
        <w:tc>
          <w:tcPr>
            <w:tcW w:w="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48,887</w:t>
            </w:r>
          </w:p>
        </w:tc>
        <w:tc>
          <w:tcPr>
            <w:tcW w:w="0" w:type="dxa"/>
            <w:vAlign w:val="bottom"/>
          </w:tcPr>
          <w:p>
            <w:pPr>
              <w:spacing w:after="0"/>
              <w:rPr>
                <w:sz w:val="1"/>
                <w:szCs w:val="1"/>
                <w:color w:val="auto"/>
              </w:rPr>
            </w:pPr>
          </w:p>
        </w:tc>
      </w:tr>
      <w:tr>
        <w:trPr>
          <w:trHeight w:val="20"/>
        </w:trPr>
        <w:tc>
          <w:tcPr>
            <w:tcW w:w="8300" w:type="dxa"/>
            <w:vAlign w:val="bottom"/>
            <w:tcBorders>
              <w:top w:val="single" w:sz="8" w:color="D1D2D4"/>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320" w:type="dxa"/>
            <w:vAlign w:val="bottom"/>
            <w:tcBorders>
              <w:top w:val="single" w:sz="8" w:color="D1D2D4"/>
              <w:bottom w:val="single" w:sz="8" w:color="auto"/>
            </w:tcBorders>
          </w:tcPr>
          <w:p>
            <w:pPr>
              <w:spacing w:after="0" w:line="20" w:lineRule="exact"/>
              <w:rPr>
                <w:sz w:val="1"/>
                <w:szCs w:val="1"/>
                <w:color w:val="auto"/>
              </w:rPr>
            </w:pPr>
          </w:p>
        </w:tc>
        <w:tc>
          <w:tcPr>
            <w:tcW w:w="200" w:type="dxa"/>
            <w:vAlign w:val="bottom"/>
            <w:tcBorders>
              <w:top w:val="single" w:sz="8" w:color="D1D2D4"/>
              <w:bottom w:val="single" w:sz="8" w:color="auto"/>
            </w:tcBorders>
          </w:tcPr>
          <w:p>
            <w:pPr>
              <w:spacing w:after="0" w:line="20" w:lineRule="exact"/>
              <w:rPr>
                <w:sz w:val="1"/>
                <w:szCs w:val="1"/>
                <w:color w:val="auto"/>
              </w:rPr>
            </w:pPr>
          </w:p>
        </w:tc>
        <w:tc>
          <w:tcPr>
            <w:tcW w:w="128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240"/>
          </w:cols>
          <w:pgMar w:left="320" w:top="919"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49 </w:t>
      </w:r>
      <w:r>
        <w:rPr>
          <w:rFonts w:ascii="Arial" w:cs="Arial" w:eastAsia="Arial" w:hAnsi="Arial"/>
          <w:sz w:val="21"/>
          <w:szCs w:val="21"/>
          <w:b w:val="1"/>
          <w:bCs w:val="1"/>
          <w:color w:val="0090DA"/>
        </w:rPr>
        <w:t>|</w:t>
      </w:r>
      <w:r>
        <w:rPr>
          <w:rFonts w:ascii="Arial" w:cs="Arial" w:eastAsia="Arial" w:hAnsi="Arial"/>
          <w:sz w:val="18"/>
          <w:szCs w:val="18"/>
          <w:color w:val="auto"/>
        </w:rPr>
        <w:t xml:space="preserve"> 2020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40"/>
          <w:szCs w:val="40"/>
          <w:b w:val="1"/>
          <w:bCs w:val="1"/>
          <w:color w:val="auto"/>
        </w:rPr>
        <w:t>Micron Technology, Inc.</w:t>
      </w:r>
    </w:p>
    <w:p>
      <w:pPr>
        <w:spacing w:after="0" w:line="5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Consolidated Statements of Changes in Equity</w:t>
      </w:r>
    </w:p>
    <w:p>
      <w:pPr>
        <w:spacing w:after="0"/>
        <w:rPr>
          <w:sz w:val="20"/>
          <w:szCs w:val="20"/>
          <w:color w:val="auto"/>
        </w:rPr>
      </w:pPr>
      <w:r>
        <w:rPr>
          <w:rFonts w:ascii="Arial" w:cs="Arial" w:eastAsia="Arial" w:hAnsi="Arial"/>
          <w:sz w:val="18"/>
          <w:szCs w:val="18"/>
          <w:color w:val="auto"/>
        </w:rPr>
        <w:t>(in millions)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620" w:type="dxa"/>
            <w:vAlign w:val="bottom"/>
          </w:tcPr>
          <w:p>
            <w:pPr>
              <w:spacing w:after="0"/>
              <w:rPr>
                <w:sz w:val="19"/>
                <w:szCs w:val="19"/>
                <w:color w:val="auto"/>
              </w:rPr>
            </w:pPr>
          </w:p>
        </w:tc>
        <w:tc>
          <w:tcPr>
            <w:tcW w:w="720" w:type="dxa"/>
            <w:vAlign w:val="bottom"/>
            <w:tcBorders>
              <w:bottom w:val="single" w:sz="8" w:color="0090DA"/>
            </w:tcBorders>
          </w:tcPr>
          <w:p>
            <w:pPr>
              <w:spacing w:after="0"/>
              <w:rPr>
                <w:sz w:val="19"/>
                <w:szCs w:val="19"/>
                <w:color w:val="auto"/>
              </w:rPr>
            </w:pPr>
          </w:p>
        </w:tc>
        <w:tc>
          <w:tcPr>
            <w:tcW w:w="260" w:type="dxa"/>
            <w:vAlign w:val="bottom"/>
            <w:tcBorders>
              <w:bottom w:val="single" w:sz="8" w:color="0090DA"/>
            </w:tcBorders>
          </w:tcPr>
          <w:p>
            <w:pPr>
              <w:spacing w:after="0"/>
              <w:rPr>
                <w:sz w:val="19"/>
                <w:szCs w:val="19"/>
                <w:color w:val="auto"/>
              </w:rPr>
            </w:pPr>
          </w:p>
        </w:tc>
        <w:tc>
          <w:tcPr>
            <w:tcW w:w="520" w:type="dxa"/>
            <w:vAlign w:val="bottom"/>
            <w:tcBorders>
              <w:bottom w:val="single" w:sz="8" w:color="0090DA"/>
            </w:tcBorders>
          </w:tcPr>
          <w:p>
            <w:pPr>
              <w:spacing w:after="0"/>
              <w:rPr>
                <w:sz w:val="19"/>
                <w:szCs w:val="19"/>
                <w:color w:val="auto"/>
              </w:rPr>
            </w:pPr>
          </w:p>
        </w:tc>
        <w:tc>
          <w:tcPr>
            <w:tcW w:w="140" w:type="dxa"/>
            <w:vAlign w:val="bottom"/>
            <w:tcBorders>
              <w:bottom w:val="single" w:sz="8" w:color="0090DA"/>
            </w:tcBorders>
          </w:tcPr>
          <w:p>
            <w:pPr>
              <w:spacing w:after="0"/>
              <w:rPr>
                <w:sz w:val="19"/>
                <w:szCs w:val="19"/>
                <w:color w:val="auto"/>
              </w:rPr>
            </w:pPr>
          </w:p>
        </w:tc>
        <w:tc>
          <w:tcPr>
            <w:tcW w:w="760" w:type="dxa"/>
            <w:vAlign w:val="bottom"/>
            <w:tcBorders>
              <w:bottom w:val="single" w:sz="8" w:color="0090DA"/>
            </w:tcBorders>
          </w:tcPr>
          <w:p>
            <w:pPr>
              <w:spacing w:after="0"/>
              <w:rPr>
                <w:sz w:val="19"/>
                <w:szCs w:val="19"/>
                <w:color w:val="auto"/>
              </w:rPr>
            </w:pPr>
          </w:p>
        </w:tc>
        <w:tc>
          <w:tcPr>
            <w:tcW w:w="1780" w:type="dxa"/>
            <w:vAlign w:val="bottom"/>
            <w:tcBorders>
              <w:bottom w:val="single" w:sz="8" w:color="0090DA"/>
            </w:tcBorders>
            <w:gridSpan w:val="4"/>
          </w:tcPr>
          <w:p>
            <w:pPr>
              <w:jc w:val="center"/>
              <w:spacing w:after="0"/>
              <w:rPr>
                <w:sz w:val="20"/>
                <w:szCs w:val="20"/>
                <w:color w:val="auto"/>
              </w:rPr>
            </w:pPr>
            <w:r>
              <w:rPr>
                <w:rFonts w:ascii="Arial" w:cs="Arial" w:eastAsia="Arial" w:hAnsi="Arial"/>
                <w:sz w:val="16"/>
                <w:szCs w:val="16"/>
                <w:b w:val="1"/>
                <w:bCs w:val="1"/>
                <w:color w:val="auto"/>
              </w:rPr>
              <w:t>Micron Shareholders</w:t>
            </w:r>
          </w:p>
        </w:tc>
        <w:tc>
          <w:tcPr>
            <w:tcW w:w="1180" w:type="dxa"/>
            <w:vAlign w:val="bottom"/>
            <w:tcBorders>
              <w:bottom w:val="single" w:sz="8" w:color="0090DA"/>
            </w:tcBorders>
          </w:tcPr>
          <w:p>
            <w:pPr>
              <w:spacing w:after="0"/>
              <w:rPr>
                <w:sz w:val="19"/>
                <w:szCs w:val="19"/>
                <w:color w:val="auto"/>
              </w:rPr>
            </w:pPr>
          </w:p>
        </w:tc>
        <w:tc>
          <w:tcPr>
            <w:tcW w:w="140" w:type="dxa"/>
            <w:vAlign w:val="bottom"/>
            <w:tcBorders>
              <w:bottom w:val="single" w:sz="8" w:color="0090DA"/>
            </w:tcBorders>
          </w:tcPr>
          <w:p>
            <w:pPr>
              <w:spacing w:after="0"/>
              <w:rPr>
                <w:sz w:val="19"/>
                <w:szCs w:val="19"/>
                <w:color w:val="auto"/>
              </w:rPr>
            </w:pPr>
          </w:p>
        </w:tc>
        <w:tc>
          <w:tcPr>
            <w:tcW w:w="1080" w:type="dxa"/>
            <w:vAlign w:val="bottom"/>
            <w:tcBorders>
              <w:bottom w:val="single" w:sz="8" w:color="0090DA"/>
            </w:tcBorders>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620" w:type="dxa"/>
            <w:vAlign w:val="bottom"/>
          </w:tcPr>
          <w:p>
            <w:pPr>
              <w:spacing w:after="0"/>
              <w:rPr>
                <w:sz w:val="21"/>
                <w:szCs w:val="21"/>
                <w:color w:val="auto"/>
              </w:rPr>
            </w:pPr>
          </w:p>
        </w:tc>
        <w:tc>
          <w:tcPr>
            <w:tcW w:w="1500" w:type="dxa"/>
            <w:vAlign w:val="bottom"/>
            <w:tcBorders>
              <w:bottom w:val="single" w:sz="8" w:color="0090DA"/>
            </w:tcBorders>
            <w:gridSpan w:val="3"/>
          </w:tcPr>
          <w:p>
            <w:pPr>
              <w:jc w:val="right"/>
              <w:ind w:right="70"/>
              <w:spacing w:after="0"/>
              <w:rPr>
                <w:sz w:val="20"/>
                <w:szCs w:val="20"/>
                <w:color w:val="auto"/>
              </w:rPr>
            </w:pPr>
            <w:r>
              <w:rPr>
                <w:rFonts w:ascii="Arial" w:cs="Arial" w:eastAsia="Arial" w:hAnsi="Arial"/>
                <w:sz w:val="16"/>
                <w:szCs w:val="16"/>
                <w:b w:val="1"/>
                <w:bCs w:val="1"/>
                <w:color w:val="auto"/>
              </w:rPr>
              <w:t>Common Stock</w:t>
            </w: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center"/>
              <w:ind w:right="31"/>
              <w:spacing w:after="0"/>
              <w:rPr>
                <w:sz w:val="20"/>
                <w:szCs w:val="20"/>
                <w:color w:val="auto"/>
              </w:rPr>
            </w:pPr>
            <w:r>
              <w:rPr>
                <w:rFonts w:ascii="Arial" w:cs="Arial" w:eastAsia="Arial" w:hAnsi="Arial"/>
                <w:sz w:val="16"/>
                <w:szCs w:val="16"/>
                <w:b w:val="1"/>
                <w:bCs w:val="1"/>
                <w:color w:val="auto"/>
              </w:rPr>
              <w:t>Accumulated</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262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Arial" w:cs="Arial" w:eastAsia="Arial" w:hAnsi="Arial"/>
                <w:sz w:val="16"/>
                <w:szCs w:val="16"/>
                <w:b w:val="1"/>
                <w:bCs w:val="1"/>
                <w:color w:val="auto"/>
              </w:rPr>
              <w:t>Number</w:t>
            </w: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center"/>
              <w:ind w:right="31"/>
              <w:spacing w:after="0"/>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6"/>
                <w:szCs w:val="16"/>
                <w:color w:val="auto"/>
              </w:rPr>
            </w:pPr>
          </w:p>
        </w:tc>
        <w:tc>
          <w:tcPr>
            <w:tcW w:w="1080" w:type="dxa"/>
            <w:vAlign w:val="bottom"/>
          </w:tcPr>
          <w:p>
            <w:pPr>
              <w:jc w:val="center"/>
              <w:ind w:right="51"/>
              <w:spacing w:after="0"/>
              <w:rPr>
                <w:sz w:val="20"/>
                <w:szCs w:val="20"/>
                <w:color w:val="auto"/>
              </w:rPr>
            </w:pPr>
            <w:r>
              <w:rPr>
                <w:rFonts w:ascii="Arial" w:cs="Arial" w:eastAsia="Arial" w:hAnsi="Arial"/>
                <w:sz w:val="16"/>
                <w:szCs w:val="16"/>
                <w:b w:val="1"/>
                <w:bCs w:val="1"/>
                <w:color w:val="auto"/>
                <w:w w:val="98"/>
              </w:rPr>
              <w:t>Total Micron</w:t>
            </w:r>
          </w:p>
        </w:tc>
        <w:tc>
          <w:tcPr>
            <w:tcW w:w="1240" w:type="dxa"/>
            <w:vAlign w:val="bottom"/>
            <w:gridSpan w:val="2"/>
          </w:tcPr>
          <w:p>
            <w:pPr>
              <w:jc w:val="center"/>
              <w:spacing w:after="0"/>
              <w:rPr>
                <w:sz w:val="20"/>
                <w:szCs w:val="20"/>
                <w:color w:val="auto"/>
              </w:rPr>
            </w:pPr>
            <w:r>
              <w:rPr>
                <w:rFonts w:ascii="Arial" w:cs="Arial" w:eastAsia="Arial" w:hAnsi="Arial"/>
                <w:sz w:val="16"/>
                <w:szCs w:val="16"/>
                <w:b w:val="1"/>
                <w:bCs w:val="1"/>
                <w:color w:val="auto"/>
              </w:rPr>
              <w:t>Noncontrolling</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2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Arial" w:cs="Arial" w:eastAsia="Arial" w:hAnsi="Arial"/>
                <w:sz w:val="16"/>
                <w:szCs w:val="16"/>
                <w:b w:val="1"/>
                <w:bCs w:val="1"/>
                <w:color w:val="auto"/>
              </w:rPr>
              <w:t>of</w:t>
            </w: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b w:val="1"/>
                <w:bCs w:val="1"/>
                <w:color w:val="auto"/>
              </w:rPr>
              <w:t>Additional</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Retained</w:t>
            </w:r>
          </w:p>
        </w:tc>
        <w:tc>
          <w:tcPr>
            <w:tcW w:w="800" w:type="dxa"/>
            <w:vAlign w:val="bottom"/>
            <w:gridSpan w:val="2"/>
          </w:tcPr>
          <w:p>
            <w:pPr>
              <w:jc w:val="right"/>
              <w:spacing w:after="0"/>
              <w:rPr>
                <w:sz w:val="20"/>
                <w:szCs w:val="20"/>
                <w:color w:val="auto"/>
              </w:rPr>
            </w:pPr>
            <w:r>
              <w:rPr>
                <w:rFonts w:ascii="Arial" w:cs="Arial" w:eastAsia="Arial" w:hAnsi="Arial"/>
                <w:sz w:val="16"/>
                <w:szCs w:val="16"/>
                <w:b w:val="1"/>
                <w:bCs w:val="1"/>
                <w:color w:val="auto"/>
              </w:rPr>
              <w:t>Treasury</w:t>
            </w:r>
          </w:p>
        </w:tc>
        <w:tc>
          <w:tcPr>
            <w:tcW w:w="1320" w:type="dxa"/>
            <w:vAlign w:val="bottom"/>
            <w:gridSpan w:val="2"/>
          </w:tcPr>
          <w:p>
            <w:pPr>
              <w:jc w:val="center"/>
              <w:spacing w:after="0"/>
              <w:rPr>
                <w:sz w:val="20"/>
                <w:szCs w:val="20"/>
                <w:color w:val="auto"/>
              </w:rPr>
            </w:pPr>
            <w:r>
              <w:rPr>
                <w:rFonts w:ascii="Arial" w:cs="Arial" w:eastAsia="Arial" w:hAnsi="Arial"/>
                <w:sz w:val="16"/>
                <w:szCs w:val="16"/>
                <w:b w:val="1"/>
                <w:bCs w:val="1"/>
                <w:color w:val="auto"/>
              </w:rPr>
              <w:t>Comprehensive</w:t>
            </w:r>
          </w:p>
        </w:tc>
        <w:tc>
          <w:tcPr>
            <w:tcW w:w="1220" w:type="dxa"/>
            <w:vAlign w:val="bottom"/>
            <w:gridSpan w:val="2"/>
          </w:tcPr>
          <w:p>
            <w:pPr>
              <w:jc w:val="center"/>
              <w:spacing w:after="0"/>
              <w:rPr>
                <w:sz w:val="20"/>
                <w:szCs w:val="20"/>
                <w:color w:val="auto"/>
              </w:rPr>
            </w:pPr>
            <w:r>
              <w:rPr>
                <w:rFonts w:ascii="Arial" w:cs="Arial" w:eastAsia="Arial" w:hAnsi="Arial"/>
                <w:sz w:val="16"/>
                <w:szCs w:val="16"/>
                <w:b w:val="1"/>
                <w:bCs w:val="1"/>
                <w:color w:val="auto"/>
              </w:rPr>
              <w:t>Shareholders’</w:t>
            </w:r>
          </w:p>
        </w:tc>
        <w:tc>
          <w:tcPr>
            <w:tcW w:w="140" w:type="dxa"/>
            <w:vAlign w:val="bottom"/>
          </w:tcPr>
          <w:p>
            <w:pPr>
              <w:spacing w:after="0"/>
              <w:rPr>
                <w:sz w:val="16"/>
                <w:szCs w:val="16"/>
                <w:color w:val="auto"/>
              </w:rPr>
            </w:pPr>
          </w:p>
        </w:tc>
        <w:tc>
          <w:tcPr>
            <w:tcW w:w="1100" w:type="dxa"/>
            <w:vAlign w:val="bottom"/>
          </w:tcPr>
          <w:p>
            <w:pPr>
              <w:jc w:val="center"/>
              <w:ind w:right="31"/>
              <w:spacing w:after="0"/>
              <w:rPr>
                <w:sz w:val="20"/>
                <w:szCs w:val="20"/>
                <w:color w:val="auto"/>
              </w:rPr>
            </w:pPr>
            <w:r>
              <w:rPr>
                <w:rFonts w:ascii="Arial" w:cs="Arial" w:eastAsia="Arial" w:hAnsi="Arial"/>
                <w:sz w:val="16"/>
                <w:szCs w:val="16"/>
                <w:b w:val="1"/>
                <w:bCs w:val="1"/>
                <w:color w:val="auto"/>
              </w:rPr>
              <w:t>Interests in</w:t>
            </w:r>
          </w:p>
        </w:tc>
        <w:tc>
          <w:tcPr>
            <w:tcW w:w="800" w:type="dxa"/>
            <w:vAlign w:val="bottom"/>
          </w:tcPr>
          <w:p>
            <w:pPr>
              <w:jc w:val="right"/>
              <w:ind w:right="13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28"/>
        </w:trPr>
        <w:tc>
          <w:tcPr>
            <w:tcW w:w="2620" w:type="dxa"/>
            <w:vAlign w:val="bottom"/>
            <w:tcBorders>
              <w:bottom w:val="single" w:sz="8" w:color="0090DA"/>
            </w:tcBorders>
          </w:tcPr>
          <w:p>
            <w:pPr>
              <w:spacing w:after="0"/>
              <w:rPr>
                <w:sz w:val="19"/>
                <w:szCs w:val="19"/>
                <w:color w:val="auto"/>
              </w:rPr>
            </w:pPr>
          </w:p>
        </w:tc>
        <w:tc>
          <w:tcPr>
            <w:tcW w:w="720" w:type="dxa"/>
            <w:vAlign w:val="bottom"/>
            <w:tcBorders>
              <w:bottom w:val="single" w:sz="8" w:color="0090DA"/>
            </w:tcBorders>
          </w:tcPr>
          <w:p>
            <w:pPr>
              <w:jc w:val="center"/>
              <w:spacing w:after="0"/>
              <w:rPr>
                <w:sz w:val="20"/>
                <w:szCs w:val="20"/>
                <w:color w:val="auto"/>
              </w:rPr>
            </w:pPr>
            <w:r>
              <w:rPr>
                <w:rFonts w:ascii="Arial" w:cs="Arial" w:eastAsia="Arial" w:hAnsi="Arial"/>
                <w:sz w:val="16"/>
                <w:szCs w:val="16"/>
                <w:b w:val="1"/>
                <w:bCs w:val="1"/>
                <w:color w:val="auto"/>
              </w:rPr>
              <w:t>Shares</w:t>
            </w:r>
          </w:p>
        </w:tc>
        <w:tc>
          <w:tcPr>
            <w:tcW w:w="780" w:type="dxa"/>
            <w:vAlign w:val="bottom"/>
            <w:tcBorders>
              <w:bottom w:val="single" w:sz="8" w:color="0090DA"/>
            </w:tcBorders>
            <w:gridSpan w:val="2"/>
          </w:tcPr>
          <w:p>
            <w:pPr>
              <w:jc w:val="right"/>
              <w:spacing w:after="0"/>
              <w:rPr>
                <w:sz w:val="20"/>
                <w:szCs w:val="20"/>
                <w:color w:val="auto"/>
              </w:rPr>
            </w:pPr>
            <w:r>
              <w:rPr>
                <w:rFonts w:ascii="Arial" w:cs="Arial" w:eastAsia="Arial" w:hAnsi="Arial"/>
                <w:sz w:val="16"/>
                <w:szCs w:val="16"/>
                <w:b w:val="1"/>
                <w:bCs w:val="1"/>
                <w:color w:val="auto"/>
              </w:rPr>
              <w:t>Amount</w:t>
            </w:r>
          </w:p>
        </w:tc>
        <w:tc>
          <w:tcPr>
            <w:tcW w:w="140" w:type="dxa"/>
            <w:vAlign w:val="bottom"/>
            <w:tcBorders>
              <w:bottom w:val="single" w:sz="8" w:color="0090DA"/>
            </w:tcBorders>
          </w:tcPr>
          <w:p>
            <w:pPr>
              <w:spacing w:after="0"/>
              <w:rPr>
                <w:sz w:val="19"/>
                <w:szCs w:val="19"/>
                <w:color w:val="auto"/>
              </w:rPr>
            </w:pPr>
          </w:p>
        </w:tc>
        <w:tc>
          <w:tcPr>
            <w:tcW w:w="760" w:type="dxa"/>
            <w:vAlign w:val="bottom"/>
            <w:tcBorders>
              <w:bottom w:val="single" w:sz="8" w:color="0090DA"/>
            </w:tcBorders>
          </w:tcPr>
          <w:p>
            <w:pPr>
              <w:jc w:val="right"/>
              <w:ind w:right="90"/>
              <w:spacing w:after="0"/>
              <w:rPr>
                <w:sz w:val="20"/>
                <w:szCs w:val="20"/>
                <w:color w:val="auto"/>
              </w:rPr>
            </w:pPr>
            <w:r>
              <w:rPr>
                <w:rFonts w:ascii="Arial" w:cs="Arial" w:eastAsia="Arial" w:hAnsi="Arial"/>
                <w:sz w:val="16"/>
                <w:szCs w:val="16"/>
                <w:b w:val="1"/>
                <w:bCs w:val="1"/>
                <w:color w:val="auto"/>
              </w:rPr>
              <w:t>Capital</w:t>
            </w:r>
          </w:p>
        </w:tc>
        <w:tc>
          <w:tcPr>
            <w:tcW w:w="840" w:type="dxa"/>
            <w:vAlign w:val="bottom"/>
            <w:tcBorders>
              <w:bottom w:val="single" w:sz="8" w:color="0090DA"/>
            </w:tcBorders>
          </w:tcPr>
          <w:p>
            <w:pPr>
              <w:jc w:val="right"/>
              <w:spacing w:after="0"/>
              <w:rPr>
                <w:sz w:val="20"/>
                <w:szCs w:val="20"/>
                <w:color w:val="auto"/>
              </w:rPr>
            </w:pPr>
            <w:r>
              <w:rPr>
                <w:rFonts w:ascii="Arial" w:cs="Arial" w:eastAsia="Arial" w:hAnsi="Arial"/>
                <w:sz w:val="16"/>
                <w:szCs w:val="16"/>
                <w:b w:val="1"/>
                <w:bCs w:val="1"/>
                <w:color w:val="auto"/>
              </w:rPr>
              <w:t>Earnings</w:t>
            </w:r>
          </w:p>
        </w:tc>
        <w:tc>
          <w:tcPr>
            <w:tcW w:w="160" w:type="dxa"/>
            <w:vAlign w:val="bottom"/>
            <w:tcBorders>
              <w:bottom w:val="single" w:sz="8" w:color="0090DA"/>
            </w:tcBorders>
          </w:tcPr>
          <w:p>
            <w:pPr>
              <w:spacing w:after="0"/>
              <w:rPr>
                <w:sz w:val="19"/>
                <w:szCs w:val="19"/>
                <w:color w:val="auto"/>
              </w:rPr>
            </w:pPr>
          </w:p>
        </w:tc>
        <w:tc>
          <w:tcPr>
            <w:tcW w:w="640" w:type="dxa"/>
            <w:vAlign w:val="bottom"/>
            <w:tcBorders>
              <w:bottom w:val="single" w:sz="8" w:color="0090DA"/>
            </w:tcBorders>
          </w:tcPr>
          <w:p>
            <w:pPr>
              <w:jc w:val="right"/>
              <w:ind w:right="70"/>
              <w:spacing w:after="0"/>
              <w:rPr>
                <w:sz w:val="20"/>
                <w:szCs w:val="20"/>
                <w:color w:val="auto"/>
              </w:rPr>
            </w:pPr>
            <w:r>
              <w:rPr>
                <w:rFonts w:ascii="Arial" w:cs="Arial" w:eastAsia="Arial" w:hAnsi="Arial"/>
                <w:sz w:val="16"/>
                <w:szCs w:val="16"/>
                <w:b w:val="1"/>
                <w:bCs w:val="1"/>
                <w:color w:val="auto"/>
              </w:rPr>
              <w:t>Stock</w:t>
            </w:r>
          </w:p>
        </w:tc>
        <w:tc>
          <w:tcPr>
            <w:tcW w:w="1320" w:type="dxa"/>
            <w:vAlign w:val="bottom"/>
            <w:tcBorders>
              <w:bottom w:val="single" w:sz="8" w:color="0090DA"/>
            </w:tcBorders>
            <w:gridSpan w:val="2"/>
          </w:tcPr>
          <w:p>
            <w:pPr>
              <w:jc w:val="center"/>
              <w:spacing w:after="0"/>
              <w:rPr>
                <w:sz w:val="20"/>
                <w:szCs w:val="20"/>
                <w:color w:val="auto"/>
              </w:rPr>
            </w:pPr>
            <w:r>
              <w:rPr>
                <w:rFonts w:ascii="Arial" w:cs="Arial" w:eastAsia="Arial" w:hAnsi="Arial"/>
                <w:sz w:val="16"/>
                <w:szCs w:val="16"/>
                <w:b w:val="1"/>
                <w:bCs w:val="1"/>
                <w:color w:val="auto"/>
              </w:rPr>
              <w:t>Income (Loss)</w:t>
            </w:r>
          </w:p>
        </w:tc>
        <w:tc>
          <w:tcPr>
            <w:tcW w:w="140" w:type="dxa"/>
            <w:vAlign w:val="bottom"/>
            <w:tcBorders>
              <w:bottom w:val="single" w:sz="8" w:color="0090DA"/>
            </w:tcBorders>
          </w:tcPr>
          <w:p>
            <w:pPr>
              <w:spacing w:after="0"/>
              <w:rPr>
                <w:sz w:val="19"/>
                <w:szCs w:val="19"/>
                <w:color w:val="auto"/>
              </w:rPr>
            </w:pPr>
          </w:p>
        </w:tc>
        <w:tc>
          <w:tcPr>
            <w:tcW w:w="1080" w:type="dxa"/>
            <w:vAlign w:val="bottom"/>
            <w:tcBorders>
              <w:bottom w:val="single" w:sz="8" w:color="0090DA"/>
            </w:tcBorders>
          </w:tcPr>
          <w:p>
            <w:pPr>
              <w:jc w:val="center"/>
              <w:ind w:right="51"/>
              <w:spacing w:after="0"/>
              <w:rPr>
                <w:sz w:val="20"/>
                <w:szCs w:val="20"/>
                <w:color w:val="auto"/>
              </w:rPr>
            </w:pPr>
            <w:r>
              <w:rPr>
                <w:rFonts w:ascii="Arial" w:cs="Arial" w:eastAsia="Arial" w:hAnsi="Arial"/>
                <w:sz w:val="16"/>
                <w:szCs w:val="16"/>
                <w:b w:val="1"/>
                <w:bCs w:val="1"/>
                <w:color w:val="auto"/>
              </w:rPr>
              <w:t>Equity</w:t>
            </w:r>
          </w:p>
        </w:tc>
        <w:tc>
          <w:tcPr>
            <w:tcW w:w="140" w:type="dxa"/>
            <w:vAlign w:val="bottom"/>
            <w:tcBorders>
              <w:bottom w:val="single" w:sz="8" w:color="0090DA"/>
            </w:tcBorders>
          </w:tcPr>
          <w:p>
            <w:pPr>
              <w:spacing w:after="0"/>
              <w:rPr>
                <w:sz w:val="19"/>
                <w:szCs w:val="19"/>
                <w:color w:val="auto"/>
              </w:rPr>
            </w:pPr>
          </w:p>
        </w:tc>
        <w:tc>
          <w:tcPr>
            <w:tcW w:w="1100" w:type="dxa"/>
            <w:vAlign w:val="bottom"/>
            <w:tcBorders>
              <w:bottom w:val="single" w:sz="8" w:color="0090DA"/>
            </w:tcBorders>
          </w:tcPr>
          <w:p>
            <w:pPr>
              <w:jc w:val="center"/>
              <w:ind w:right="51"/>
              <w:spacing w:after="0"/>
              <w:rPr>
                <w:sz w:val="20"/>
                <w:szCs w:val="20"/>
                <w:color w:val="auto"/>
              </w:rPr>
            </w:pPr>
            <w:r>
              <w:rPr>
                <w:rFonts w:ascii="Arial" w:cs="Arial" w:eastAsia="Arial" w:hAnsi="Arial"/>
                <w:sz w:val="16"/>
                <w:szCs w:val="16"/>
                <w:b w:val="1"/>
                <w:bCs w:val="1"/>
                <w:color w:val="auto"/>
              </w:rPr>
              <w:t>Subsidiaries</w:t>
            </w:r>
          </w:p>
        </w:tc>
        <w:tc>
          <w:tcPr>
            <w:tcW w:w="800" w:type="dxa"/>
            <w:vAlign w:val="bottom"/>
            <w:tcBorders>
              <w:bottom w:val="single" w:sz="8" w:color="0090DA"/>
            </w:tcBorders>
          </w:tcPr>
          <w:p>
            <w:pPr>
              <w:jc w:val="right"/>
              <w:ind w:right="71"/>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40"/>
        </w:trPr>
        <w:tc>
          <w:tcPr>
            <w:tcW w:w="2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620" w:type="dxa"/>
            <w:vAlign w:val="bottom"/>
            <w:shd w:val="clear" w:color="auto" w:fill="D1D2D4"/>
          </w:tcPr>
          <w:p>
            <w:pPr>
              <w:ind w:left="20"/>
              <w:spacing w:after="0"/>
              <w:rPr>
                <w:sz w:val="20"/>
                <w:szCs w:val="20"/>
                <w:color w:val="auto"/>
              </w:rPr>
            </w:pPr>
            <w:r>
              <w:rPr>
                <w:rFonts w:ascii="Arial" w:cs="Arial" w:eastAsia="Arial" w:hAnsi="Arial"/>
                <w:sz w:val="16"/>
                <w:szCs w:val="16"/>
                <w:b w:val="1"/>
                <w:bCs w:val="1"/>
                <w:color w:val="auto"/>
              </w:rPr>
              <w:t>Balance at August 31, 2017</w:t>
            </w: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1,116</w:t>
            </w:r>
          </w:p>
        </w:tc>
        <w:tc>
          <w:tcPr>
            <w:tcW w:w="260" w:type="dxa"/>
            <w:vAlign w:val="bottom"/>
            <w:shd w:val="clear" w:color="auto" w:fill="D1D2D4"/>
          </w:tcPr>
          <w:p>
            <w:pPr>
              <w:jc w:val="right"/>
              <w:ind w:right="52"/>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112</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8,287</w:t>
            </w:r>
          </w:p>
        </w:tc>
        <w:tc>
          <w:tcPr>
            <w:tcW w:w="8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$ 10,260</w:t>
            </w:r>
          </w:p>
        </w:tc>
        <w:tc>
          <w:tcPr>
            <w:tcW w:w="160" w:type="dxa"/>
            <w:vAlign w:val="bottom"/>
            <w:shd w:val="clear" w:color="auto" w:fill="D1D2D4"/>
          </w:tcPr>
          <w:p>
            <w:pPr>
              <w:jc w:val="center"/>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(67)</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29</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18,621</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849</w:t>
            </w:r>
          </w:p>
        </w:tc>
        <w:tc>
          <w:tcPr>
            <w:tcW w:w="800" w:type="dxa"/>
            <w:vAlign w:val="bottom"/>
            <w:shd w:val="clear" w:color="auto" w:fill="D1D2D4"/>
          </w:tcPr>
          <w:p>
            <w:pPr>
              <w:jc w:val="right"/>
              <w:ind w:right="11"/>
              <w:spacing w:after="0"/>
              <w:rPr>
                <w:sz w:val="20"/>
                <w:szCs w:val="20"/>
                <w:color w:val="auto"/>
              </w:rPr>
            </w:pPr>
            <w:r>
              <w:rPr>
                <w:rFonts w:ascii="Arial" w:cs="Arial" w:eastAsia="Arial" w:hAnsi="Arial"/>
                <w:sz w:val="18"/>
                <w:szCs w:val="18"/>
                <w:color w:val="auto"/>
                <w:w w:val="96"/>
              </w:rPr>
              <w:t>$ 19,470</w:t>
            </w:r>
          </w:p>
        </w:tc>
        <w:tc>
          <w:tcPr>
            <w:tcW w:w="0" w:type="dxa"/>
            <w:vAlign w:val="bottom"/>
          </w:tcPr>
          <w:p>
            <w:pPr>
              <w:spacing w:after="0"/>
              <w:rPr>
                <w:sz w:val="1"/>
                <w:szCs w:val="1"/>
                <w:color w:val="auto"/>
              </w:rPr>
            </w:pPr>
          </w:p>
        </w:tc>
      </w:tr>
      <w:tr>
        <w:trPr>
          <w:trHeight w:val="254"/>
        </w:trPr>
        <w:tc>
          <w:tcPr>
            <w:tcW w:w="26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14,135</w:t>
            </w:r>
          </w:p>
        </w:tc>
        <w:tc>
          <w:tcPr>
            <w:tcW w:w="1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14,135</w:t>
            </w: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14,138</w:t>
            </w:r>
          </w:p>
        </w:tc>
        <w:tc>
          <w:tcPr>
            <w:tcW w:w="0" w:type="dxa"/>
            <w:vAlign w:val="bottom"/>
          </w:tcPr>
          <w:p>
            <w:pPr>
              <w:spacing w:after="0"/>
              <w:rPr>
                <w:sz w:val="1"/>
                <w:szCs w:val="1"/>
                <w:color w:val="auto"/>
              </w:rPr>
            </w:pPr>
          </w:p>
        </w:tc>
      </w:tr>
      <w:tr>
        <w:trPr>
          <w:trHeight w:val="180"/>
        </w:trPr>
        <w:tc>
          <w:tcPr>
            <w:tcW w:w="2620" w:type="dxa"/>
            <w:vAlign w:val="bottom"/>
            <w:shd w:val="clear" w:color="auto" w:fill="D1D2D4"/>
          </w:tcPr>
          <w:p>
            <w:pPr>
              <w:ind w:left="20"/>
              <w:spacing w:after="0" w:line="181" w:lineRule="exact"/>
              <w:rPr>
                <w:sz w:val="20"/>
                <w:szCs w:val="20"/>
                <w:color w:val="auto"/>
              </w:rPr>
            </w:pPr>
            <w:r>
              <w:rPr>
                <w:rFonts w:ascii="Arial" w:cs="Arial" w:eastAsia="Arial" w:hAnsi="Arial"/>
                <w:sz w:val="16"/>
                <w:szCs w:val="16"/>
                <w:color w:val="auto"/>
              </w:rPr>
              <w:t>Other comprehensive income</w:t>
            </w:r>
          </w:p>
        </w:tc>
        <w:tc>
          <w:tcPr>
            <w:tcW w:w="72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D1D2D4"/>
          </w:tcPr>
          <w:p>
            <w:pPr>
              <w:spacing w:after="0"/>
              <w:rPr>
                <w:sz w:val="15"/>
                <w:szCs w:val="15"/>
                <w:color w:val="auto"/>
              </w:rPr>
            </w:pPr>
          </w:p>
        </w:tc>
        <w:tc>
          <w:tcPr>
            <w:tcW w:w="520" w:type="dxa"/>
            <w:vAlign w:val="bottom"/>
            <w:vMerge w:val="restart"/>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5"/>
                <w:szCs w:val="15"/>
                <w:color w:val="auto"/>
              </w:rPr>
            </w:pPr>
          </w:p>
        </w:tc>
        <w:tc>
          <w:tcPr>
            <w:tcW w:w="76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15"/>
                <w:szCs w:val="15"/>
                <w:color w:val="auto"/>
              </w:rPr>
            </w:pPr>
          </w:p>
        </w:tc>
        <w:tc>
          <w:tcPr>
            <w:tcW w:w="64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5"/>
                <w:szCs w:val="15"/>
                <w:color w:val="auto"/>
              </w:rPr>
            </w:pPr>
          </w:p>
        </w:tc>
        <w:tc>
          <w:tcPr>
            <w:tcW w:w="118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(19)</w:t>
            </w:r>
          </w:p>
        </w:tc>
        <w:tc>
          <w:tcPr>
            <w:tcW w:w="140" w:type="dxa"/>
            <w:vAlign w:val="bottom"/>
            <w:shd w:val="clear" w:color="auto" w:fill="D1D2D4"/>
          </w:tcPr>
          <w:p>
            <w:pPr>
              <w:spacing w:after="0"/>
              <w:rPr>
                <w:sz w:val="15"/>
                <w:szCs w:val="15"/>
                <w:color w:val="auto"/>
              </w:rPr>
            </w:pPr>
          </w:p>
        </w:tc>
        <w:tc>
          <w:tcPr>
            <w:tcW w:w="108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(19)</w:t>
            </w:r>
          </w:p>
        </w:tc>
        <w:tc>
          <w:tcPr>
            <w:tcW w:w="140" w:type="dxa"/>
            <w:vAlign w:val="bottom"/>
            <w:shd w:val="clear" w:color="auto" w:fill="D1D2D4"/>
          </w:tcPr>
          <w:p>
            <w:pPr>
              <w:spacing w:after="0"/>
              <w:rPr>
                <w:sz w:val="15"/>
                <w:szCs w:val="15"/>
                <w:color w:val="auto"/>
              </w:rPr>
            </w:pPr>
          </w:p>
        </w:tc>
        <w:tc>
          <w:tcPr>
            <w:tcW w:w="11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1"/>
        </w:trPr>
        <w:tc>
          <w:tcPr>
            <w:tcW w:w="2620" w:type="dxa"/>
            <w:vAlign w:val="bottom"/>
            <w:shd w:val="clear" w:color="auto" w:fill="D1D2D4"/>
          </w:tcPr>
          <w:p>
            <w:pPr>
              <w:ind w:left="180"/>
              <w:spacing w:after="0"/>
              <w:rPr>
                <w:sz w:val="20"/>
                <w:szCs w:val="20"/>
                <w:color w:val="auto"/>
              </w:rPr>
            </w:pPr>
            <w:r>
              <w:rPr>
                <w:rFonts w:ascii="Arial" w:cs="Arial" w:eastAsia="Arial" w:hAnsi="Arial"/>
                <w:sz w:val="16"/>
                <w:szCs w:val="16"/>
                <w:color w:val="auto"/>
              </w:rPr>
              <w:t>(loss), net</w:t>
            </w:r>
          </w:p>
        </w:tc>
        <w:tc>
          <w:tcPr>
            <w:tcW w:w="720" w:type="dxa"/>
            <w:vAlign w:val="bottom"/>
            <w:vMerge w:val="continue"/>
            <w:shd w:val="clear" w:color="auto" w:fill="D1D2D4"/>
          </w:tcPr>
          <w:p>
            <w:pPr>
              <w:spacing w:after="0"/>
              <w:rPr>
                <w:sz w:val="17"/>
                <w:szCs w:val="17"/>
                <w:color w:val="auto"/>
              </w:rPr>
            </w:pPr>
          </w:p>
        </w:tc>
        <w:tc>
          <w:tcPr>
            <w:tcW w:w="260" w:type="dxa"/>
            <w:vAlign w:val="bottom"/>
            <w:shd w:val="clear" w:color="auto" w:fill="D1D2D4"/>
          </w:tcPr>
          <w:p>
            <w:pPr>
              <w:spacing w:after="0"/>
              <w:rPr>
                <w:sz w:val="17"/>
                <w:szCs w:val="17"/>
                <w:color w:val="auto"/>
              </w:rPr>
            </w:pPr>
          </w:p>
        </w:tc>
        <w:tc>
          <w:tcPr>
            <w:tcW w:w="520" w:type="dxa"/>
            <w:vAlign w:val="bottom"/>
            <w:vMerge w:val="continue"/>
            <w:shd w:val="clear" w:color="auto" w:fill="D1D2D4"/>
          </w:tcPr>
          <w:p>
            <w:pPr>
              <w:spacing w:after="0"/>
              <w:rPr>
                <w:sz w:val="17"/>
                <w:szCs w:val="17"/>
                <w:color w:val="auto"/>
              </w:rPr>
            </w:pPr>
          </w:p>
        </w:tc>
        <w:tc>
          <w:tcPr>
            <w:tcW w:w="140" w:type="dxa"/>
            <w:vAlign w:val="bottom"/>
            <w:shd w:val="clear" w:color="auto" w:fill="D1D2D4"/>
          </w:tcPr>
          <w:p>
            <w:pPr>
              <w:spacing w:after="0"/>
              <w:rPr>
                <w:sz w:val="17"/>
                <w:szCs w:val="17"/>
                <w:color w:val="auto"/>
              </w:rPr>
            </w:pPr>
          </w:p>
        </w:tc>
        <w:tc>
          <w:tcPr>
            <w:tcW w:w="760" w:type="dxa"/>
            <w:vAlign w:val="bottom"/>
            <w:vMerge w:val="continue"/>
            <w:shd w:val="clear" w:color="auto" w:fill="D1D2D4"/>
          </w:tcPr>
          <w:p>
            <w:pPr>
              <w:spacing w:after="0"/>
              <w:rPr>
                <w:sz w:val="17"/>
                <w:szCs w:val="17"/>
                <w:color w:val="auto"/>
              </w:rPr>
            </w:pPr>
          </w:p>
        </w:tc>
        <w:tc>
          <w:tcPr>
            <w:tcW w:w="840" w:type="dxa"/>
            <w:vAlign w:val="bottom"/>
            <w:vMerge w:val="continue"/>
            <w:shd w:val="clear" w:color="auto" w:fill="D1D2D4"/>
          </w:tcPr>
          <w:p>
            <w:pPr>
              <w:spacing w:after="0"/>
              <w:rPr>
                <w:sz w:val="17"/>
                <w:szCs w:val="17"/>
                <w:color w:val="auto"/>
              </w:rPr>
            </w:pPr>
          </w:p>
        </w:tc>
        <w:tc>
          <w:tcPr>
            <w:tcW w:w="160" w:type="dxa"/>
            <w:vAlign w:val="bottom"/>
            <w:shd w:val="clear" w:color="auto" w:fill="D1D2D4"/>
          </w:tcPr>
          <w:p>
            <w:pPr>
              <w:spacing w:after="0"/>
              <w:rPr>
                <w:sz w:val="17"/>
                <w:szCs w:val="17"/>
                <w:color w:val="auto"/>
              </w:rPr>
            </w:pPr>
          </w:p>
        </w:tc>
        <w:tc>
          <w:tcPr>
            <w:tcW w:w="640" w:type="dxa"/>
            <w:vAlign w:val="bottom"/>
            <w:vMerge w:val="continue"/>
            <w:shd w:val="clear" w:color="auto" w:fill="D1D2D4"/>
          </w:tcPr>
          <w:p>
            <w:pPr>
              <w:spacing w:after="0"/>
              <w:rPr>
                <w:sz w:val="17"/>
                <w:szCs w:val="17"/>
                <w:color w:val="auto"/>
              </w:rPr>
            </w:pPr>
          </w:p>
        </w:tc>
        <w:tc>
          <w:tcPr>
            <w:tcW w:w="140" w:type="dxa"/>
            <w:vAlign w:val="bottom"/>
            <w:shd w:val="clear" w:color="auto" w:fill="D1D2D4"/>
          </w:tcPr>
          <w:p>
            <w:pPr>
              <w:spacing w:after="0"/>
              <w:rPr>
                <w:sz w:val="17"/>
                <w:szCs w:val="17"/>
                <w:color w:val="auto"/>
              </w:rPr>
            </w:pPr>
          </w:p>
        </w:tc>
        <w:tc>
          <w:tcPr>
            <w:tcW w:w="1180" w:type="dxa"/>
            <w:vAlign w:val="bottom"/>
            <w:vMerge w:val="continue"/>
            <w:shd w:val="clear" w:color="auto" w:fill="D1D2D4"/>
          </w:tcPr>
          <w:p>
            <w:pPr>
              <w:spacing w:after="0"/>
              <w:rPr>
                <w:sz w:val="17"/>
                <w:szCs w:val="17"/>
                <w:color w:val="auto"/>
              </w:rPr>
            </w:pPr>
          </w:p>
        </w:tc>
        <w:tc>
          <w:tcPr>
            <w:tcW w:w="140" w:type="dxa"/>
            <w:vAlign w:val="bottom"/>
            <w:shd w:val="clear" w:color="auto" w:fill="D1D2D4"/>
          </w:tcPr>
          <w:p>
            <w:pPr>
              <w:spacing w:after="0"/>
              <w:rPr>
                <w:sz w:val="17"/>
                <w:szCs w:val="17"/>
                <w:color w:val="auto"/>
              </w:rPr>
            </w:pPr>
          </w:p>
        </w:tc>
        <w:tc>
          <w:tcPr>
            <w:tcW w:w="1080" w:type="dxa"/>
            <w:vAlign w:val="bottom"/>
            <w:vMerge w:val="continue"/>
            <w:shd w:val="clear" w:color="auto" w:fill="D1D2D4"/>
          </w:tcPr>
          <w:p>
            <w:pPr>
              <w:spacing w:after="0"/>
              <w:rPr>
                <w:sz w:val="17"/>
                <w:szCs w:val="17"/>
                <w:color w:val="auto"/>
              </w:rPr>
            </w:pPr>
          </w:p>
        </w:tc>
        <w:tc>
          <w:tcPr>
            <w:tcW w:w="140" w:type="dxa"/>
            <w:vAlign w:val="bottom"/>
            <w:shd w:val="clear" w:color="auto" w:fill="D1D2D4"/>
          </w:tcPr>
          <w:p>
            <w:pPr>
              <w:spacing w:after="0"/>
              <w:rPr>
                <w:sz w:val="17"/>
                <w:szCs w:val="17"/>
                <w:color w:val="auto"/>
              </w:rPr>
            </w:pPr>
          </w:p>
        </w:tc>
        <w:tc>
          <w:tcPr>
            <w:tcW w:w="1100" w:type="dxa"/>
            <w:vAlign w:val="bottom"/>
            <w:vMerge w:val="continue"/>
            <w:shd w:val="clear" w:color="auto" w:fill="D1D2D4"/>
          </w:tcPr>
          <w:p>
            <w:pPr>
              <w:spacing w:after="0"/>
              <w:rPr>
                <w:sz w:val="17"/>
                <w:szCs w:val="17"/>
                <w:color w:val="auto"/>
              </w:rPr>
            </w:pPr>
          </w:p>
        </w:tc>
        <w:tc>
          <w:tcPr>
            <w:tcW w:w="800" w:type="dxa"/>
            <w:vAlign w:val="bottom"/>
            <w:vMerge w:val="continue"/>
            <w:shd w:val="clear" w:color="auto" w:fill="D1D2D4"/>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620" w:type="dxa"/>
            <w:vAlign w:val="bottom"/>
          </w:tcPr>
          <w:p>
            <w:pPr>
              <w:ind w:left="20"/>
              <w:spacing w:after="0"/>
              <w:rPr>
                <w:sz w:val="20"/>
                <w:szCs w:val="20"/>
                <w:color w:val="auto"/>
              </w:rPr>
            </w:pPr>
            <w:r>
              <w:rPr>
                <w:rFonts w:ascii="Arial" w:cs="Arial" w:eastAsia="Arial" w:hAnsi="Arial"/>
                <w:sz w:val="16"/>
                <w:szCs w:val="16"/>
                <w:color w:val="auto"/>
              </w:rPr>
              <w:t>Stock issued in public offering</w:t>
            </w:r>
          </w:p>
        </w:tc>
        <w:tc>
          <w:tcPr>
            <w:tcW w:w="720" w:type="dxa"/>
            <w:vAlign w:val="bottom"/>
          </w:tcPr>
          <w:p>
            <w:pPr>
              <w:jc w:val="right"/>
              <w:spacing w:after="0"/>
              <w:rPr>
                <w:sz w:val="20"/>
                <w:szCs w:val="20"/>
                <w:color w:val="auto"/>
              </w:rPr>
            </w:pPr>
            <w:r>
              <w:rPr>
                <w:rFonts w:ascii="Arial" w:cs="Arial" w:eastAsia="Arial" w:hAnsi="Arial"/>
                <w:sz w:val="18"/>
                <w:szCs w:val="18"/>
                <w:color w:val="auto"/>
              </w:rPr>
              <w:t>34</w:t>
            </w:r>
          </w:p>
        </w:tc>
        <w:tc>
          <w:tcPr>
            <w:tcW w:w="260" w:type="dxa"/>
            <w:vAlign w:val="bottom"/>
          </w:tcPr>
          <w:p>
            <w:pPr>
              <w:spacing w:after="0"/>
              <w:rPr>
                <w:sz w:val="22"/>
                <w:szCs w:val="22"/>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1,363</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1,366</w:t>
            </w: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1,366</w:t>
            </w:r>
          </w:p>
        </w:tc>
        <w:tc>
          <w:tcPr>
            <w:tcW w:w="0" w:type="dxa"/>
            <w:vAlign w:val="bottom"/>
          </w:tcPr>
          <w:p>
            <w:pPr>
              <w:spacing w:after="0"/>
              <w:rPr>
                <w:sz w:val="1"/>
                <w:szCs w:val="1"/>
                <w:color w:val="auto"/>
              </w:rPr>
            </w:pPr>
          </w:p>
        </w:tc>
      </w:tr>
      <w:tr>
        <w:trPr>
          <w:trHeight w:val="259"/>
        </w:trPr>
        <w:tc>
          <w:tcPr>
            <w:tcW w:w="2620" w:type="dxa"/>
            <w:vAlign w:val="bottom"/>
            <w:shd w:val="clear" w:color="auto" w:fill="D1D2D4"/>
          </w:tcPr>
          <w:p>
            <w:pPr>
              <w:ind w:left="20"/>
              <w:spacing w:after="0"/>
              <w:rPr>
                <w:sz w:val="20"/>
                <w:szCs w:val="20"/>
                <w:color w:val="auto"/>
              </w:rPr>
            </w:pPr>
            <w:r>
              <w:rPr>
                <w:rFonts w:ascii="Arial" w:cs="Arial" w:eastAsia="Arial" w:hAnsi="Arial"/>
                <w:sz w:val="16"/>
                <w:szCs w:val="16"/>
                <w:color w:val="auto"/>
              </w:rPr>
              <w:t>Stock issued under stock plans</w:t>
            </w: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22</w:t>
            </w:r>
          </w:p>
        </w:tc>
        <w:tc>
          <w:tcPr>
            <w:tcW w:w="260" w:type="dxa"/>
            <w:vAlign w:val="bottom"/>
            <w:shd w:val="clear" w:color="auto" w:fill="D1D2D4"/>
          </w:tcPr>
          <w:p>
            <w:pPr>
              <w:spacing w:after="0"/>
              <w:rPr>
                <w:sz w:val="22"/>
                <w:szCs w:val="22"/>
                <w:color w:val="auto"/>
              </w:rPr>
            </w:pPr>
          </w:p>
        </w:tc>
        <w:tc>
          <w:tcPr>
            <w:tcW w:w="5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2</w:t>
            </w:r>
          </w:p>
        </w:tc>
        <w:tc>
          <w:tcPr>
            <w:tcW w:w="140" w:type="dxa"/>
            <w:vAlign w:val="bottom"/>
            <w:shd w:val="clear" w:color="auto" w:fill="D1D2D4"/>
          </w:tcPr>
          <w:p>
            <w:pPr>
              <w:spacing w:after="0"/>
              <w:rPr>
                <w:sz w:val="22"/>
                <w:szCs w:val="22"/>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287</w:t>
            </w:r>
          </w:p>
        </w:tc>
        <w:tc>
          <w:tcPr>
            <w:tcW w:w="8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22"/>
                <w:szCs w:val="22"/>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22"/>
                <w:szCs w:val="22"/>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22"/>
                <w:szCs w:val="22"/>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289</w:t>
            </w:r>
          </w:p>
        </w:tc>
        <w:tc>
          <w:tcPr>
            <w:tcW w:w="140" w:type="dxa"/>
            <w:vAlign w:val="bottom"/>
            <w:shd w:val="clear" w:color="auto" w:fill="D1D2D4"/>
          </w:tcPr>
          <w:p>
            <w:pPr>
              <w:spacing w:after="0"/>
              <w:rPr>
                <w:sz w:val="22"/>
                <w:szCs w:val="22"/>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D1D2D4"/>
          </w:tcPr>
          <w:p>
            <w:pPr>
              <w:jc w:val="right"/>
              <w:ind w:right="11"/>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177"/>
        </w:trPr>
        <w:tc>
          <w:tcPr>
            <w:tcW w:w="2620" w:type="dxa"/>
            <w:vAlign w:val="bottom"/>
          </w:tcPr>
          <w:p>
            <w:pPr>
              <w:ind w:left="20"/>
              <w:spacing w:after="0" w:line="178" w:lineRule="exact"/>
              <w:rPr>
                <w:sz w:val="20"/>
                <w:szCs w:val="20"/>
                <w:color w:val="auto"/>
              </w:rPr>
            </w:pPr>
            <w:r>
              <w:rPr>
                <w:rFonts w:ascii="Arial" w:cs="Arial" w:eastAsia="Arial" w:hAnsi="Arial"/>
                <w:sz w:val="16"/>
                <w:szCs w:val="16"/>
                <w:color w:val="auto"/>
              </w:rPr>
              <w:t>Stock-based compensation</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52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198</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198</w:t>
            </w:r>
          </w:p>
        </w:tc>
        <w:tc>
          <w:tcPr>
            <w:tcW w:w="1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ind w:right="11"/>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198"/>
        </w:trPr>
        <w:tc>
          <w:tcPr>
            <w:tcW w:w="2620" w:type="dxa"/>
            <w:vAlign w:val="bottom"/>
          </w:tcPr>
          <w:p>
            <w:pPr>
              <w:ind w:left="180"/>
              <w:spacing w:after="0"/>
              <w:rPr>
                <w:sz w:val="20"/>
                <w:szCs w:val="20"/>
                <w:color w:val="auto"/>
              </w:rPr>
            </w:pPr>
            <w:r>
              <w:rPr>
                <w:rFonts w:ascii="Arial" w:cs="Arial" w:eastAsia="Arial" w:hAnsi="Arial"/>
                <w:sz w:val="16"/>
                <w:szCs w:val="16"/>
                <w:color w:val="auto"/>
              </w:rPr>
              <w:t>expense</w:t>
            </w:r>
          </w:p>
        </w:tc>
        <w:tc>
          <w:tcPr>
            <w:tcW w:w="7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620" w:type="dxa"/>
            <w:vAlign w:val="bottom"/>
            <w:shd w:val="clear" w:color="auto" w:fill="D1D2D4"/>
          </w:tcPr>
          <w:p>
            <w:pPr>
              <w:ind w:left="20"/>
              <w:spacing w:after="0" w:line="181" w:lineRule="exact"/>
              <w:rPr>
                <w:sz w:val="20"/>
                <w:szCs w:val="20"/>
                <w:color w:val="auto"/>
              </w:rPr>
            </w:pPr>
            <w:r>
              <w:rPr>
                <w:rFonts w:ascii="Arial" w:cs="Arial" w:eastAsia="Arial" w:hAnsi="Arial"/>
                <w:sz w:val="16"/>
                <w:szCs w:val="16"/>
                <w:color w:val="auto"/>
              </w:rPr>
              <w:t>Contributions from noncontrolling</w:t>
            </w:r>
          </w:p>
        </w:tc>
        <w:tc>
          <w:tcPr>
            <w:tcW w:w="72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D1D2D4"/>
          </w:tcPr>
          <w:p>
            <w:pPr>
              <w:spacing w:after="0"/>
              <w:rPr>
                <w:sz w:val="15"/>
                <w:szCs w:val="15"/>
                <w:color w:val="auto"/>
              </w:rPr>
            </w:pPr>
          </w:p>
        </w:tc>
        <w:tc>
          <w:tcPr>
            <w:tcW w:w="520" w:type="dxa"/>
            <w:vAlign w:val="bottom"/>
            <w:vMerge w:val="restart"/>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5"/>
                <w:szCs w:val="15"/>
                <w:color w:val="auto"/>
              </w:rPr>
            </w:pPr>
          </w:p>
        </w:tc>
        <w:tc>
          <w:tcPr>
            <w:tcW w:w="76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15"/>
                <w:szCs w:val="15"/>
                <w:color w:val="auto"/>
              </w:rPr>
            </w:pPr>
          </w:p>
        </w:tc>
        <w:tc>
          <w:tcPr>
            <w:tcW w:w="64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5"/>
                <w:szCs w:val="15"/>
                <w:color w:val="auto"/>
              </w:rPr>
            </w:pPr>
          </w:p>
        </w:tc>
        <w:tc>
          <w:tcPr>
            <w:tcW w:w="118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5"/>
                <w:szCs w:val="15"/>
                <w:color w:val="auto"/>
              </w:rPr>
            </w:pPr>
          </w:p>
        </w:tc>
        <w:tc>
          <w:tcPr>
            <w:tcW w:w="108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5"/>
                <w:szCs w:val="15"/>
                <w:color w:val="auto"/>
              </w:rPr>
            </w:pPr>
          </w:p>
        </w:tc>
        <w:tc>
          <w:tcPr>
            <w:tcW w:w="11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18</w:t>
            </w:r>
          </w:p>
        </w:tc>
        <w:tc>
          <w:tcPr>
            <w:tcW w:w="800" w:type="dxa"/>
            <w:vAlign w:val="bottom"/>
            <w:vMerge w:val="restart"/>
            <w:shd w:val="clear" w:color="auto" w:fill="D1D2D4"/>
          </w:tcPr>
          <w:p>
            <w:pPr>
              <w:jc w:val="right"/>
              <w:ind w:right="1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1"/>
        </w:trPr>
        <w:tc>
          <w:tcPr>
            <w:tcW w:w="2620" w:type="dxa"/>
            <w:vAlign w:val="bottom"/>
            <w:shd w:val="clear" w:color="auto" w:fill="D1D2D4"/>
          </w:tcPr>
          <w:p>
            <w:pPr>
              <w:ind w:left="180"/>
              <w:spacing w:after="0"/>
              <w:rPr>
                <w:sz w:val="20"/>
                <w:szCs w:val="20"/>
                <w:color w:val="auto"/>
              </w:rPr>
            </w:pPr>
            <w:r>
              <w:rPr>
                <w:rFonts w:ascii="Arial" w:cs="Arial" w:eastAsia="Arial" w:hAnsi="Arial"/>
                <w:sz w:val="16"/>
                <w:szCs w:val="16"/>
                <w:color w:val="auto"/>
              </w:rPr>
              <w:t>interest</w:t>
            </w:r>
          </w:p>
        </w:tc>
        <w:tc>
          <w:tcPr>
            <w:tcW w:w="720" w:type="dxa"/>
            <w:vAlign w:val="bottom"/>
            <w:vMerge w:val="continue"/>
            <w:shd w:val="clear" w:color="auto" w:fill="D1D2D4"/>
          </w:tcPr>
          <w:p>
            <w:pPr>
              <w:spacing w:after="0"/>
              <w:rPr>
                <w:sz w:val="17"/>
                <w:szCs w:val="17"/>
                <w:color w:val="auto"/>
              </w:rPr>
            </w:pPr>
          </w:p>
        </w:tc>
        <w:tc>
          <w:tcPr>
            <w:tcW w:w="260" w:type="dxa"/>
            <w:vAlign w:val="bottom"/>
            <w:shd w:val="clear" w:color="auto" w:fill="D1D2D4"/>
          </w:tcPr>
          <w:p>
            <w:pPr>
              <w:spacing w:after="0"/>
              <w:rPr>
                <w:sz w:val="17"/>
                <w:szCs w:val="17"/>
                <w:color w:val="auto"/>
              </w:rPr>
            </w:pPr>
          </w:p>
        </w:tc>
        <w:tc>
          <w:tcPr>
            <w:tcW w:w="520" w:type="dxa"/>
            <w:vAlign w:val="bottom"/>
            <w:vMerge w:val="continue"/>
            <w:shd w:val="clear" w:color="auto" w:fill="D1D2D4"/>
          </w:tcPr>
          <w:p>
            <w:pPr>
              <w:spacing w:after="0"/>
              <w:rPr>
                <w:sz w:val="17"/>
                <w:szCs w:val="17"/>
                <w:color w:val="auto"/>
              </w:rPr>
            </w:pPr>
          </w:p>
        </w:tc>
        <w:tc>
          <w:tcPr>
            <w:tcW w:w="140" w:type="dxa"/>
            <w:vAlign w:val="bottom"/>
            <w:shd w:val="clear" w:color="auto" w:fill="D1D2D4"/>
          </w:tcPr>
          <w:p>
            <w:pPr>
              <w:spacing w:after="0"/>
              <w:rPr>
                <w:sz w:val="17"/>
                <w:szCs w:val="17"/>
                <w:color w:val="auto"/>
              </w:rPr>
            </w:pPr>
          </w:p>
        </w:tc>
        <w:tc>
          <w:tcPr>
            <w:tcW w:w="760" w:type="dxa"/>
            <w:vAlign w:val="bottom"/>
            <w:vMerge w:val="continue"/>
            <w:shd w:val="clear" w:color="auto" w:fill="D1D2D4"/>
          </w:tcPr>
          <w:p>
            <w:pPr>
              <w:spacing w:after="0"/>
              <w:rPr>
                <w:sz w:val="17"/>
                <w:szCs w:val="17"/>
                <w:color w:val="auto"/>
              </w:rPr>
            </w:pPr>
          </w:p>
        </w:tc>
        <w:tc>
          <w:tcPr>
            <w:tcW w:w="840" w:type="dxa"/>
            <w:vAlign w:val="bottom"/>
            <w:vMerge w:val="continue"/>
            <w:shd w:val="clear" w:color="auto" w:fill="D1D2D4"/>
          </w:tcPr>
          <w:p>
            <w:pPr>
              <w:spacing w:after="0"/>
              <w:rPr>
                <w:sz w:val="17"/>
                <w:szCs w:val="17"/>
                <w:color w:val="auto"/>
              </w:rPr>
            </w:pPr>
          </w:p>
        </w:tc>
        <w:tc>
          <w:tcPr>
            <w:tcW w:w="160" w:type="dxa"/>
            <w:vAlign w:val="bottom"/>
            <w:shd w:val="clear" w:color="auto" w:fill="D1D2D4"/>
          </w:tcPr>
          <w:p>
            <w:pPr>
              <w:spacing w:after="0"/>
              <w:rPr>
                <w:sz w:val="17"/>
                <w:szCs w:val="17"/>
                <w:color w:val="auto"/>
              </w:rPr>
            </w:pPr>
          </w:p>
        </w:tc>
        <w:tc>
          <w:tcPr>
            <w:tcW w:w="640" w:type="dxa"/>
            <w:vAlign w:val="bottom"/>
            <w:vMerge w:val="continue"/>
            <w:shd w:val="clear" w:color="auto" w:fill="D1D2D4"/>
          </w:tcPr>
          <w:p>
            <w:pPr>
              <w:spacing w:after="0"/>
              <w:rPr>
                <w:sz w:val="17"/>
                <w:szCs w:val="17"/>
                <w:color w:val="auto"/>
              </w:rPr>
            </w:pPr>
          </w:p>
        </w:tc>
        <w:tc>
          <w:tcPr>
            <w:tcW w:w="140" w:type="dxa"/>
            <w:vAlign w:val="bottom"/>
            <w:shd w:val="clear" w:color="auto" w:fill="D1D2D4"/>
          </w:tcPr>
          <w:p>
            <w:pPr>
              <w:spacing w:after="0"/>
              <w:rPr>
                <w:sz w:val="17"/>
                <w:szCs w:val="17"/>
                <w:color w:val="auto"/>
              </w:rPr>
            </w:pPr>
          </w:p>
        </w:tc>
        <w:tc>
          <w:tcPr>
            <w:tcW w:w="1180" w:type="dxa"/>
            <w:vAlign w:val="bottom"/>
            <w:vMerge w:val="continue"/>
            <w:shd w:val="clear" w:color="auto" w:fill="D1D2D4"/>
          </w:tcPr>
          <w:p>
            <w:pPr>
              <w:spacing w:after="0"/>
              <w:rPr>
                <w:sz w:val="17"/>
                <w:szCs w:val="17"/>
                <w:color w:val="auto"/>
              </w:rPr>
            </w:pPr>
          </w:p>
        </w:tc>
        <w:tc>
          <w:tcPr>
            <w:tcW w:w="140" w:type="dxa"/>
            <w:vAlign w:val="bottom"/>
            <w:shd w:val="clear" w:color="auto" w:fill="D1D2D4"/>
          </w:tcPr>
          <w:p>
            <w:pPr>
              <w:spacing w:after="0"/>
              <w:rPr>
                <w:sz w:val="17"/>
                <w:szCs w:val="17"/>
                <w:color w:val="auto"/>
              </w:rPr>
            </w:pPr>
          </w:p>
        </w:tc>
        <w:tc>
          <w:tcPr>
            <w:tcW w:w="1080" w:type="dxa"/>
            <w:vAlign w:val="bottom"/>
            <w:vMerge w:val="continue"/>
            <w:shd w:val="clear" w:color="auto" w:fill="D1D2D4"/>
          </w:tcPr>
          <w:p>
            <w:pPr>
              <w:spacing w:after="0"/>
              <w:rPr>
                <w:sz w:val="17"/>
                <w:szCs w:val="17"/>
                <w:color w:val="auto"/>
              </w:rPr>
            </w:pPr>
          </w:p>
        </w:tc>
        <w:tc>
          <w:tcPr>
            <w:tcW w:w="140" w:type="dxa"/>
            <w:vAlign w:val="bottom"/>
            <w:shd w:val="clear" w:color="auto" w:fill="D1D2D4"/>
          </w:tcPr>
          <w:p>
            <w:pPr>
              <w:spacing w:after="0"/>
              <w:rPr>
                <w:sz w:val="17"/>
                <w:szCs w:val="17"/>
                <w:color w:val="auto"/>
              </w:rPr>
            </w:pPr>
          </w:p>
        </w:tc>
        <w:tc>
          <w:tcPr>
            <w:tcW w:w="1100" w:type="dxa"/>
            <w:vAlign w:val="bottom"/>
            <w:vMerge w:val="continue"/>
            <w:shd w:val="clear" w:color="auto" w:fill="D1D2D4"/>
          </w:tcPr>
          <w:p>
            <w:pPr>
              <w:spacing w:after="0"/>
              <w:rPr>
                <w:sz w:val="17"/>
                <w:szCs w:val="17"/>
                <w:color w:val="auto"/>
              </w:rPr>
            </w:pPr>
          </w:p>
        </w:tc>
        <w:tc>
          <w:tcPr>
            <w:tcW w:w="800" w:type="dxa"/>
            <w:vAlign w:val="bottom"/>
            <w:vMerge w:val="continue"/>
            <w:shd w:val="clear" w:color="auto" w:fill="D1D2D4"/>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620" w:type="dxa"/>
            <w:vAlign w:val="bottom"/>
          </w:tcPr>
          <w:p>
            <w:pPr>
              <w:ind w:left="20"/>
              <w:spacing w:after="0"/>
              <w:rPr>
                <w:sz w:val="20"/>
                <w:szCs w:val="20"/>
                <w:color w:val="auto"/>
              </w:rPr>
            </w:pPr>
            <w:r>
              <w:rPr>
                <w:rFonts w:ascii="Arial" w:cs="Arial" w:eastAsia="Arial" w:hAnsi="Arial"/>
                <w:sz w:val="16"/>
                <w:szCs w:val="16"/>
                <w:color w:val="auto"/>
              </w:rPr>
              <w:t>Repurchase of stock</w:t>
            </w:r>
          </w:p>
        </w:tc>
        <w:tc>
          <w:tcPr>
            <w:tcW w:w="72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(71)</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63"/>
        </w:trPr>
        <w:tc>
          <w:tcPr>
            <w:tcW w:w="2620" w:type="dxa"/>
            <w:vAlign w:val="bottom"/>
            <w:shd w:val="clear" w:color="auto" w:fill="D1D2D4"/>
          </w:tcPr>
          <w:p>
            <w:pPr>
              <w:ind w:left="20"/>
              <w:spacing w:after="0"/>
              <w:rPr>
                <w:sz w:val="20"/>
                <w:szCs w:val="20"/>
                <w:color w:val="auto"/>
              </w:rPr>
            </w:pPr>
            <w:r>
              <w:rPr>
                <w:rFonts w:ascii="Arial" w:cs="Arial" w:eastAsia="Arial" w:hAnsi="Arial"/>
                <w:sz w:val="16"/>
                <w:szCs w:val="16"/>
                <w:color w:val="auto"/>
              </w:rPr>
              <w:t>Settlement of capped calls</w:t>
            </w: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D1D2D4"/>
          </w:tcPr>
          <w:p>
            <w:pPr>
              <w:spacing w:after="0"/>
              <w:rPr>
                <w:sz w:val="22"/>
                <w:szCs w:val="22"/>
                <w:color w:val="auto"/>
              </w:rPr>
            </w:pPr>
          </w:p>
        </w:tc>
        <w:tc>
          <w:tcPr>
            <w:tcW w:w="5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22"/>
                <w:szCs w:val="22"/>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429</w:t>
            </w:r>
          </w:p>
        </w:tc>
        <w:tc>
          <w:tcPr>
            <w:tcW w:w="8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22"/>
                <w:szCs w:val="22"/>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(429)</w:t>
            </w:r>
          </w:p>
        </w:tc>
        <w:tc>
          <w:tcPr>
            <w:tcW w:w="140" w:type="dxa"/>
            <w:vAlign w:val="bottom"/>
            <w:shd w:val="clear" w:color="auto" w:fill="D1D2D4"/>
          </w:tcPr>
          <w:p>
            <w:pPr>
              <w:spacing w:after="0"/>
              <w:rPr>
                <w:sz w:val="22"/>
                <w:szCs w:val="22"/>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22"/>
                <w:szCs w:val="22"/>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22"/>
                <w:szCs w:val="22"/>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D1D2D4"/>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620" w:type="dxa"/>
            <w:vAlign w:val="bottom"/>
          </w:tcPr>
          <w:p>
            <w:pPr>
              <w:ind w:left="20"/>
              <w:spacing w:after="0"/>
              <w:rPr>
                <w:sz w:val="20"/>
                <w:szCs w:val="20"/>
                <w:color w:val="auto"/>
              </w:rPr>
            </w:pPr>
            <w:r>
              <w:rPr>
                <w:rFonts w:ascii="Arial" w:cs="Arial" w:eastAsia="Arial" w:hAnsi="Arial"/>
                <w:sz w:val="16"/>
                <w:szCs w:val="16"/>
                <w:color w:val="auto"/>
              </w:rPr>
              <w:t>Reclassification of redeemable</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2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18</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ind w:right="1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7"/>
        </w:trPr>
        <w:tc>
          <w:tcPr>
            <w:tcW w:w="2620" w:type="dxa"/>
            <w:vAlign w:val="bottom"/>
          </w:tcPr>
          <w:p>
            <w:pPr>
              <w:ind w:left="20"/>
              <w:spacing w:after="0"/>
              <w:rPr>
                <w:sz w:val="20"/>
                <w:szCs w:val="20"/>
                <w:color w:val="auto"/>
              </w:rPr>
            </w:pPr>
            <w:r>
              <w:rPr>
                <w:rFonts w:ascii="Arial" w:cs="Arial" w:eastAsia="Arial" w:hAnsi="Arial"/>
                <w:sz w:val="16"/>
                <w:szCs w:val="16"/>
                <w:color w:val="auto"/>
              </w:rPr>
              <w:t>convertible notes, net</w:t>
            </w:r>
          </w:p>
        </w:tc>
        <w:tc>
          <w:tcPr>
            <w:tcW w:w="7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620" w:type="dxa"/>
            <w:vAlign w:val="bottom"/>
            <w:shd w:val="clear" w:color="auto" w:fill="D1D2D4"/>
          </w:tcPr>
          <w:p>
            <w:pPr>
              <w:ind w:left="20"/>
              <w:spacing w:after="0"/>
              <w:rPr>
                <w:sz w:val="20"/>
                <w:szCs w:val="20"/>
                <w:color w:val="auto"/>
              </w:rPr>
            </w:pPr>
            <w:r>
              <w:rPr>
                <w:rFonts w:ascii="Arial" w:cs="Arial" w:eastAsia="Arial" w:hAnsi="Arial"/>
                <w:sz w:val="16"/>
                <w:szCs w:val="16"/>
                <w:color w:val="auto"/>
              </w:rPr>
              <w:t>Cash settlement and repurchase of</w:t>
            </w:r>
          </w:p>
        </w:tc>
        <w:tc>
          <w:tcPr>
            <w:tcW w:w="72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D1D2D4"/>
          </w:tcPr>
          <w:p>
            <w:pPr>
              <w:spacing w:after="0"/>
              <w:rPr>
                <w:sz w:val="16"/>
                <w:szCs w:val="16"/>
                <w:color w:val="auto"/>
              </w:rPr>
            </w:pPr>
          </w:p>
        </w:tc>
        <w:tc>
          <w:tcPr>
            <w:tcW w:w="520" w:type="dxa"/>
            <w:vAlign w:val="bottom"/>
            <w:vMerge w:val="restart"/>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6"/>
                <w:szCs w:val="16"/>
                <w:color w:val="auto"/>
              </w:rPr>
            </w:pPr>
          </w:p>
        </w:tc>
        <w:tc>
          <w:tcPr>
            <w:tcW w:w="76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(2,310)</w:t>
            </w:r>
          </w:p>
        </w:tc>
        <w:tc>
          <w:tcPr>
            <w:tcW w:w="84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16"/>
                <w:szCs w:val="16"/>
                <w:color w:val="auto"/>
              </w:rPr>
            </w:pPr>
          </w:p>
        </w:tc>
        <w:tc>
          <w:tcPr>
            <w:tcW w:w="64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67</w:t>
            </w:r>
          </w:p>
        </w:tc>
        <w:tc>
          <w:tcPr>
            <w:tcW w:w="140" w:type="dxa"/>
            <w:vAlign w:val="bottom"/>
            <w:shd w:val="clear" w:color="auto" w:fill="D1D2D4"/>
          </w:tcPr>
          <w:p>
            <w:pPr>
              <w:spacing w:after="0"/>
              <w:rPr>
                <w:sz w:val="16"/>
                <w:szCs w:val="16"/>
                <w:color w:val="auto"/>
              </w:rPr>
            </w:pPr>
          </w:p>
        </w:tc>
        <w:tc>
          <w:tcPr>
            <w:tcW w:w="118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6"/>
                <w:szCs w:val="16"/>
                <w:color w:val="auto"/>
              </w:rPr>
            </w:pPr>
          </w:p>
        </w:tc>
        <w:tc>
          <w:tcPr>
            <w:tcW w:w="108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(2,243)</w:t>
            </w:r>
          </w:p>
        </w:tc>
        <w:tc>
          <w:tcPr>
            <w:tcW w:w="140" w:type="dxa"/>
            <w:vAlign w:val="bottom"/>
            <w:shd w:val="clear" w:color="auto" w:fill="D1D2D4"/>
          </w:tcPr>
          <w:p>
            <w:pPr>
              <w:spacing w:after="0"/>
              <w:rPr>
                <w:sz w:val="16"/>
                <w:szCs w:val="16"/>
                <w:color w:val="auto"/>
              </w:rPr>
            </w:pPr>
          </w:p>
        </w:tc>
        <w:tc>
          <w:tcPr>
            <w:tcW w:w="11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(2,243)</w:t>
            </w:r>
          </w:p>
        </w:tc>
        <w:tc>
          <w:tcPr>
            <w:tcW w:w="0" w:type="dxa"/>
            <w:vAlign w:val="bottom"/>
          </w:tcPr>
          <w:p>
            <w:pPr>
              <w:spacing w:after="0"/>
              <w:rPr>
                <w:sz w:val="1"/>
                <w:szCs w:val="1"/>
                <w:color w:val="auto"/>
              </w:rPr>
            </w:pPr>
          </w:p>
        </w:tc>
      </w:tr>
      <w:tr>
        <w:trPr>
          <w:trHeight w:val="201"/>
        </w:trPr>
        <w:tc>
          <w:tcPr>
            <w:tcW w:w="2620" w:type="dxa"/>
            <w:vAlign w:val="bottom"/>
            <w:shd w:val="clear" w:color="auto" w:fill="D1D2D4"/>
          </w:tcPr>
          <w:p>
            <w:pPr>
              <w:ind w:left="20"/>
              <w:spacing w:after="0"/>
              <w:rPr>
                <w:sz w:val="20"/>
                <w:szCs w:val="20"/>
                <w:color w:val="auto"/>
              </w:rPr>
            </w:pPr>
            <w:r>
              <w:rPr>
                <w:rFonts w:ascii="Arial" w:cs="Arial" w:eastAsia="Arial" w:hAnsi="Arial"/>
                <w:sz w:val="16"/>
                <w:szCs w:val="16"/>
                <w:color w:val="auto"/>
              </w:rPr>
              <w:t>convertible notes</w:t>
            </w:r>
          </w:p>
        </w:tc>
        <w:tc>
          <w:tcPr>
            <w:tcW w:w="720" w:type="dxa"/>
            <w:vAlign w:val="bottom"/>
            <w:tcBorders>
              <w:bottom w:val="single" w:sz="8" w:color="auto"/>
            </w:tcBorders>
            <w:vMerge w:val="continue"/>
            <w:shd w:val="clear" w:color="auto" w:fill="D1D2D4"/>
          </w:tcPr>
          <w:p>
            <w:pPr>
              <w:spacing w:after="0"/>
              <w:rPr>
                <w:sz w:val="17"/>
                <w:szCs w:val="17"/>
                <w:color w:val="auto"/>
              </w:rPr>
            </w:pPr>
          </w:p>
        </w:tc>
        <w:tc>
          <w:tcPr>
            <w:tcW w:w="260" w:type="dxa"/>
            <w:vAlign w:val="bottom"/>
            <w:tcBorders>
              <w:bottom w:val="single" w:sz="8" w:color="auto"/>
            </w:tcBorders>
            <w:shd w:val="clear" w:color="auto" w:fill="D1D2D4"/>
          </w:tcPr>
          <w:p>
            <w:pPr>
              <w:spacing w:after="0"/>
              <w:rPr>
                <w:sz w:val="17"/>
                <w:szCs w:val="17"/>
                <w:color w:val="auto"/>
              </w:rPr>
            </w:pPr>
          </w:p>
        </w:tc>
        <w:tc>
          <w:tcPr>
            <w:tcW w:w="520" w:type="dxa"/>
            <w:vAlign w:val="bottom"/>
            <w:tcBorders>
              <w:bottom w:val="single" w:sz="8" w:color="auto"/>
            </w:tcBorders>
            <w:vMerge w:val="continue"/>
            <w:shd w:val="clear" w:color="auto" w:fill="D1D2D4"/>
          </w:tcPr>
          <w:p>
            <w:pPr>
              <w:spacing w:after="0"/>
              <w:rPr>
                <w:sz w:val="17"/>
                <w:szCs w:val="17"/>
                <w:color w:val="auto"/>
              </w:rPr>
            </w:pPr>
          </w:p>
        </w:tc>
        <w:tc>
          <w:tcPr>
            <w:tcW w:w="140" w:type="dxa"/>
            <w:vAlign w:val="bottom"/>
            <w:tcBorders>
              <w:bottom w:val="single" w:sz="8" w:color="auto"/>
            </w:tcBorders>
            <w:shd w:val="clear" w:color="auto" w:fill="D1D2D4"/>
          </w:tcPr>
          <w:p>
            <w:pPr>
              <w:spacing w:after="0"/>
              <w:rPr>
                <w:sz w:val="17"/>
                <w:szCs w:val="17"/>
                <w:color w:val="auto"/>
              </w:rPr>
            </w:pPr>
          </w:p>
        </w:tc>
        <w:tc>
          <w:tcPr>
            <w:tcW w:w="760" w:type="dxa"/>
            <w:vAlign w:val="bottom"/>
            <w:tcBorders>
              <w:bottom w:val="single" w:sz="8" w:color="auto"/>
            </w:tcBorders>
            <w:vMerge w:val="continue"/>
            <w:shd w:val="clear" w:color="auto" w:fill="D1D2D4"/>
          </w:tcPr>
          <w:p>
            <w:pPr>
              <w:spacing w:after="0"/>
              <w:rPr>
                <w:sz w:val="17"/>
                <w:szCs w:val="17"/>
                <w:color w:val="auto"/>
              </w:rPr>
            </w:pPr>
          </w:p>
        </w:tc>
        <w:tc>
          <w:tcPr>
            <w:tcW w:w="840" w:type="dxa"/>
            <w:vAlign w:val="bottom"/>
            <w:tcBorders>
              <w:bottom w:val="single" w:sz="8" w:color="auto"/>
            </w:tcBorders>
            <w:vMerge w:val="continue"/>
            <w:shd w:val="clear" w:color="auto" w:fill="D1D2D4"/>
          </w:tcPr>
          <w:p>
            <w:pPr>
              <w:spacing w:after="0"/>
              <w:rPr>
                <w:sz w:val="17"/>
                <w:szCs w:val="17"/>
                <w:color w:val="auto"/>
              </w:rPr>
            </w:pPr>
          </w:p>
        </w:tc>
        <w:tc>
          <w:tcPr>
            <w:tcW w:w="160" w:type="dxa"/>
            <w:vAlign w:val="bottom"/>
            <w:tcBorders>
              <w:bottom w:val="single" w:sz="8" w:color="auto"/>
            </w:tcBorders>
            <w:shd w:val="clear" w:color="auto" w:fill="D1D2D4"/>
          </w:tcPr>
          <w:p>
            <w:pPr>
              <w:spacing w:after="0"/>
              <w:rPr>
                <w:sz w:val="17"/>
                <w:szCs w:val="17"/>
                <w:color w:val="auto"/>
              </w:rPr>
            </w:pPr>
          </w:p>
        </w:tc>
        <w:tc>
          <w:tcPr>
            <w:tcW w:w="640" w:type="dxa"/>
            <w:vAlign w:val="bottom"/>
            <w:tcBorders>
              <w:bottom w:val="single" w:sz="8" w:color="auto"/>
            </w:tcBorders>
            <w:vMerge w:val="continue"/>
            <w:shd w:val="clear" w:color="auto" w:fill="D1D2D4"/>
          </w:tcPr>
          <w:p>
            <w:pPr>
              <w:spacing w:after="0"/>
              <w:rPr>
                <w:sz w:val="17"/>
                <w:szCs w:val="17"/>
                <w:color w:val="auto"/>
              </w:rPr>
            </w:pPr>
          </w:p>
        </w:tc>
        <w:tc>
          <w:tcPr>
            <w:tcW w:w="140" w:type="dxa"/>
            <w:vAlign w:val="bottom"/>
            <w:tcBorders>
              <w:bottom w:val="single" w:sz="8" w:color="auto"/>
            </w:tcBorders>
            <w:shd w:val="clear" w:color="auto" w:fill="D1D2D4"/>
          </w:tcPr>
          <w:p>
            <w:pPr>
              <w:spacing w:after="0"/>
              <w:rPr>
                <w:sz w:val="17"/>
                <w:szCs w:val="17"/>
                <w:color w:val="auto"/>
              </w:rPr>
            </w:pPr>
          </w:p>
        </w:tc>
        <w:tc>
          <w:tcPr>
            <w:tcW w:w="1180" w:type="dxa"/>
            <w:vAlign w:val="bottom"/>
            <w:tcBorders>
              <w:bottom w:val="single" w:sz="8" w:color="auto"/>
            </w:tcBorders>
            <w:vMerge w:val="continue"/>
            <w:shd w:val="clear" w:color="auto" w:fill="D1D2D4"/>
          </w:tcPr>
          <w:p>
            <w:pPr>
              <w:spacing w:after="0"/>
              <w:rPr>
                <w:sz w:val="17"/>
                <w:szCs w:val="17"/>
                <w:color w:val="auto"/>
              </w:rPr>
            </w:pPr>
          </w:p>
        </w:tc>
        <w:tc>
          <w:tcPr>
            <w:tcW w:w="140" w:type="dxa"/>
            <w:vAlign w:val="bottom"/>
            <w:tcBorders>
              <w:bottom w:val="single" w:sz="8" w:color="auto"/>
            </w:tcBorders>
            <w:shd w:val="clear" w:color="auto" w:fill="D1D2D4"/>
          </w:tcPr>
          <w:p>
            <w:pPr>
              <w:spacing w:after="0"/>
              <w:rPr>
                <w:sz w:val="17"/>
                <w:szCs w:val="17"/>
                <w:color w:val="auto"/>
              </w:rPr>
            </w:pPr>
          </w:p>
        </w:tc>
        <w:tc>
          <w:tcPr>
            <w:tcW w:w="1080" w:type="dxa"/>
            <w:vAlign w:val="bottom"/>
            <w:tcBorders>
              <w:bottom w:val="single" w:sz="8" w:color="auto"/>
            </w:tcBorders>
            <w:vMerge w:val="continue"/>
            <w:shd w:val="clear" w:color="auto" w:fill="D1D2D4"/>
          </w:tcPr>
          <w:p>
            <w:pPr>
              <w:spacing w:after="0"/>
              <w:rPr>
                <w:sz w:val="17"/>
                <w:szCs w:val="17"/>
                <w:color w:val="auto"/>
              </w:rPr>
            </w:pPr>
          </w:p>
        </w:tc>
        <w:tc>
          <w:tcPr>
            <w:tcW w:w="140" w:type="dxa"/>
            <w:vAlign w:val="bottom"/>
            <w:tcBorders>
              <w:bottom w:val="single" w:sz="8" w:color="auto"/>
            </w:tcBorders>
            <w:shd w:val="clear" w:color="auto" w:fill="D1D2D4"/>
          </w:tcPr>
          <w:p>
            <w:pPr>
              <w:spacing w:after="0"/>
              <w:rPr>
                <w:sz w:val="17"/>
                <w:szCs w:val="17"/>
                <w:color w:val="auto"/>
              </w:rPr>
            </w:pPr>
          </w:p>
        </w:tc>
        <w:tc>
          <w:tcPr>
            <w:tcW w:w="1100" w:type="dxa"/>
            <w:vAlign w:val="bottom"/>
            <w:tcBorders>
              <w:bottom w:val="single" w:sz="8" w:color="auto"/>
            </w:tcBorders>
            <w:vMerge w:val="continue"/>
            <w:shd w:val="clear" w:color="auto" w:fill="D1D2D4"/>
          </w:tcPr>
          <w:p>
            <w:pPr>
              <w:spacing w:after="0"/>
              <w:rPr>
                <w:sz w:val="17"/>
                <w:szCs w:val="17"/>
                <w:color w:val="auto"/>
              </w:rPr>
            </w:pPr>
          </w:p>
        </w:tc>
        <w:tc>
          <w:tcPr>
            <w:tcW w:w="800" w:type="dxa"/>
            <w:vAlign w:val="bottom"/>
            <w:tcBorders>
              <w:bottom w:val="single" w:sz="8" w:color="auto"/>
            </w:tcBorders>
            <w:vMerge w:val="continue"/>
            <w:shd w:val="clear" w:color="auto" w:fill="D1D2D4"/>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620" w:type="dxa"/>
            <w:vAlign w:val="bottom"/>
          </w:tcPr>
          <w:p>
            <w:pPr>
              <w:ind w:left="20"/>
              <w:spacing w:after="0"/>
              <w:rPr>
                <w:sz w:val="20"/>
                <w:szCs w:val="20"/>
                <w:color w:val="auto"/>
              </w:rPr>
            </w:pPr>
            <w:r>
              <w:rPr>
                <w:rFonts w:ascii="Arial" w:cs="Arial" w:eastAsia="Arial" w:hAnsi="Arial"/>
                <w:sz w:val="16"/>
                <w:szCs w:val="16"/>
                <w:b w:val="1"/>
                <w:bCs w:val="1"/>
                <w:color w:val="auto"/>
              </w:rPr>
              <w:t>Balance at August 30, 2018</w:t>
            </w:r>
          </w:p>
        </w:tc>
        <w:tc>
          <w:tcPr>
            <w:tcW w:w="720" w:type="dxa"/>
            <w:vAlign w:val="bottom"/>
          </w:tcPr>
          <w:p>
            <w:pPr>
              <w:jc w:val="right"/>
              <w:spacing w:after="0"/>
              <w:rPr>
                <w:sz w:val="20"/>
                <w:szCs w:val="20"/>
                <w:color w:val="auto"/>
              </w:rPr>
            </w:pPr>
            <w:r>
              <w:rPr>
                <w:rFonts w:ascii="Arial" w:cs="Arial" w:eastAsia="Arial" w:hAnsi="Arial"/>
                <w:sz w:val="18"/>
                <w:szCs w:val="18"/>
                <w:color w:val="auto"/>
              </w:rPr>
              <w:t>1,170</w:t>
            </w: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117</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8,201</w:t>
            </w:r>
          </w:p>
        </w:tc>
        <w:tc>
          <w:tcPr>
            <w:tcW w:w="840" w:type="dxa"/>
            <w:vAlign w:val="bottom"/>
          </w:tcPr>
          <w:p>
            <w:pPr>
              <w:jc w:val="right"/>
              <w:spacing w:after="0"/>
              <w:rPr>
                <w:sz w:val="20"/>
                <w:szCs w:val="20"/>
                <w:color w:val="auto"/>
              </w:rPr>
            </w:pPr>
            <w:r>
              <w:rPr>
                <w:rFonts w:ascii="Arial" w:cs="Arial" w:eastAsia="Arial" w:hAnsi="Arial"/>
                <w:sz w:val="18"/>
                <w:szCs w:val="18"/>
                <w:color w:val="auto"/>
              </w:rPr>
              <w:t>$ 24,395</w:t>
            </w:r>
          </w:p>
        </w:tc>
        <w:tc>
          <w:tcPr>
            <w:tcW w:w="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(429)</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32,294</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870</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w w:val="96"/>
              </w:rPr>
              <w:t>$ 33,164</w:t>
            </w:r>
          </w:p>
        </w:tc>
        <w:tc>
          <w:tcPr>
            <w:tcW w:w="0" w:type="dxa"/>
            <w:vAlign w:val="bottom"/>
          </w:tcPr>
          <w:p>
            <w:pPr>
              <w:spacing w:after="0"/>
              <w:rPr>
                <w:sz w:val="1"/>
                <w:szCs w:val="1"/>
                <w:color w:val="auto"/>
              </w:rPr>
            </w:pPr>
          </w:p>
        </w:tc>
      </w:tr>
      <w:tr>
        <w:trPr>
          <w:trHeight w:val="225"/>
        </w:trPr>
        <w:tc>
          <w:tcPr>
            <w:tcW w:w="2620" w:type="dxa"/>
            <w:vAlign w:val="bottom"/>
            <w:shd w:val="clear" w:color="auto" w:fill="D1D2D4"/>
          </w:tcPr>
          <w:p>
            <w:pPr>
              <w:ind w:left="20"/>
              <w:spacing w:after="0"/>
              <w:rPr>
                <w:sz w:val="20"/>
                <w:szCs w:val="20"/>
                <w:color w:val="auto"/>
              </w:rPr>
            </w:pPr>
            <w:r>
              <w:rPr>
                <w:rFonts w:ascii="Arial" w:cs="Arial" w:eastAsia="Arial" w:hAnsi="Arial"/>
                <w:sz w:val="16"/>
                <w:szCs w:val="16"/>
                <w:color w:val="auto"/>
              </w:rPr>
              <w:t>Cumulative effect from adoption of</w:t>
            </w:r>
          </w:p>
        </w:tc>
        <w:tc>
          <w:tcPr>
            <w:tcW w:w="72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D1D2D4"/>
          </w:tcPr>
          <w:p>
            <w:pPr>
              <w:spacing w:after="0"/>
              <w:rPr>
                <w:sz w:val="19"/>
                <w:szCs w:val="19"/>
                <w:color w:val="auto"/>
              </w:rPr>
            </w:pPr>
          </w:p>
        </w:tc>
        <w:tc>
          <w:tcPr>
            <w:tcW w:w="520" w:type="dxa"/>
            <w:vAlign w:val="bottom"/>
            <w:vMerge w:val="restart"/>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9"/>
                <w:szCs w:val="19"/>
                <w:color w:val="auto"/>
              </w:rPr>
            </w:pPr>
          </w:p>
        </w:tc>
        <w:tc>
          <w:tcPr>
            <w:tcW w:w="76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92</w:t>
            </w:r>
          </w:p>
        </w:tc>
        <w:tc>
          <w:tcPr>
            <w:tcW w:w="160" w:type="dxa"/>
            <w:vAlign w:val="bottom"/>
            <w:shd w:val="clear" w:color="auto" w:fill="D1D2D4"/>
          </w:tcPr>
          <w:p>
            <w:pPr>
              <w:spacing w:after="0"/>
              <w:rPr>
                <w:sz w:val="19"/>
                <w:szCs w:val="19"/>
                <w:color w:val="auto"/>
              </w:rPr>
            </w:pPr>
          </w:p>
        </w:tc>
        <w:tc>
          <w:tcPr>
            <w:tcW w:w="64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9"/>
                <w:szCs w:val="19"/>
                <w:color w:val="auto"/>
              </w:rPr>
            </w:pPr>
          </w:p>
        </w:tc>
        <w:tc>
          <w:tcPr>
            <w:tcW w:w="118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9"/>
                <w:szCs w:val="19"/>
                <w:color w:val="auto"/>
              </w:rPr>
            </w:pPr>
          </w:p>
        </w:tc>
        <w:tc>
          <w:tcPr>
            <w:tcW w:w="108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92</w:t>
            </w:r>
          </w:p>
        </w:tc>
        <w:tc>
          <w:tcPr>
            <w:tcW w:w="140" w:type="dxa"/>
            <w:vAlign w:val="bottom"/>
            <w:shd w:val="clear" w:color="auto" w:fill="D1D2D4"/>
          </w:tcPr>
          <w:p>
            <w:pPr>
              <w:spacing w:after="0"/>
              <w:rPr>
                <w:sz w:val="19"/>
                <w:szCs w:val="19"/>
                <w:color w:val="auto"/>
              </w:rPr>
            </w:pPr>
          </w:p>
        </w:tc>
        <w:tc>
          <w:tcPr>
            <w:tcW w:w="11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D1D2D4"/>
          </w:tcPr>
          <w:p>
            <w:pPr>
              <w:jc w:val="right"/>
              <w:ind w:right="11"/>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4"/>
        </w:trPr>
        <w:tc>
          <w:tcPr>
            <w:tcW w:w="2620" w:type="dxa"/>
            <w:vAlign w:val="bottom"/>
            <w:shd w:val="clear" w:color="auto" w:fill="D1D2D4"/>
          </w:tcPr>
          <w:p>
            <w:pPr>
              <w:ind w:left="20"/>
              <w:spacing w:after="0"/>
              <w:rPr>
                <w:sz w:val="20"/>
                <w:szCs w:val="20"/>
                <w:color w:val="auto"/>
              </w:rPr>
            </w:pPr>
            <w:r>
              <w:rPr>
                <w:rFonts w:ascii="Arial" w:cs="Arial" w:eastAsia="Arial" w:hAnsi="Arial"/>
                <w:sz w:val="16"/>
                <w:szCs w:val="16"/>
                <w:color w:val="auto"/>
              </w:rPr>
              <w:t>new accounting standards</w:t>
            </w:r>
          </w:p>
        </w:tc>
        <w:tc>
          <w:tcPr>
            <w:tcW w:w="720" w:type="dxa"/>
            <w:vAlign w:val="bottom"/>
            <w:vMerge w:val="continue"/>
            <w:shd w:val="clear" w:color="auto" w:fill="D1D2D4"/>
          </w:tcPr>
          <w:p>
            <w:pPr>
              <w:spacing w:after="0"/>
              <w:rPr>
                <w:sz w:val="18"/>
                <w:szCs w:val="18"/>
                <w:color w:val="auto"/>
              </w:rPr>
            </w:pPr>
          </w:p>
        </w:tc>
        <w:tc>
          <w:tcPr>
            <w:tcW w:w="260" w:type="dxa"/>
            <w:vAlign w:val="bottom"/>
            <w:shd w:val="clear" w:color="auto" w:fill="D1D2D4"/>
          </w:tcPr>
          <w:p>
            <w:pPr>
              <w:spacing w:after="0"/>
              <w:rPr>
                <w:sz w:val="18"/>
                <w:szCs w:val="18"/>
                <w:color w:val="auto"/>
              </w:rPr>
            </w:pPr>
          </w:p>
        </w:tc>
        <w:tc>
          <w:tcPr>
            <w:tcW w:w="520" w:type="dxa"/>
            <w:vAlign w:val="bottom"/>
            <w:vMerge w:val="continue"/>
            <w:shd w:val="clear" w:color="auto" w:fill="D1D2D4"/>
          </w:tcPr>
          <w:p>
            <w:pPr>
              <w:spacing w:after="0"/>
              <w:rPr>
                <w:sz w:val="18"/>
                <w:szCs w:val="18"/>
                <w:color w:val="auto"/>
              </w:rPr>
            </w:pPr>
          </w:p>
        </w:tc>
        <w:tc>
          <w:tcPr>
            <w:tcW w:w="140" w:type="dxa"/>
            <w:vAlign w:val="bottom"/>
            <w:shd w:val="clear" w:color="auto" w:fill="D1D2D4"/>
          </w:tcPr>
          <w:p>
            <w:pPr>
              <w:spacing w:after="0"/>
              <w:rPr>
                <w:sz w:val="18"/>
                <w:szCs w:val="18"/>
                <w:color w:val="auto"/>
              </w:rPr>
            </w:pPr>
          </w:p>
        </w:tc>
        <w:tc>
          <w:tcPr>
            <w:tcW w:w="760" w:type="dxa"/>
            <w:vAlign w:val="bottom"/>
            <w:vMerge w:val="continue"/>
            <w:shd w:val="clear" w:color="auto" w:fill="D1D2D4"/>
          </w:tcPr>
          <w:p>
            <w:pPr>
              <w:spacing w:after="0"/>
              <w:rPr>
                <w:sz w:val="18"/>
                <w:szCs w:val="18"/>
                <w:color w:val="auto"/>
              </w:rPr>
            </w:pPr>
          </w:p>
        </w:tc>
        <w:tc>
          <w:tcPr>
            <w:tcW w:w="840" w:type="dxa"/>
            <w:vAlign w:val="bottom"/>
            <w:vMerge w:val="continue"/>
            <w:shd w:val="clear" w:color="auto" w:fill="D1D2D4"/>
          </w:tcPr>
          <w:p>
            <w:pPr>
              <w:spacing w:after="0"/>
              <w:rPr>
                <w:sz w:val="18"/>
                <w:szCs w:val="18"/>
                <w:color w:val="auto"/>
              </w:rPr>
            </w:pPr>
          </w:p>
        </w:tc>
        <w:tc>
          <w:tcPr>
            <w:tcW w:w="160" w:type="dxa"/>
            <w:vAlign w:val="bottom"/>
            <w:shd w:val="clear" w:color="auto" w:fill="D1D2D4"/>
          </w:tcPr>
          <w:p>
            <w:pPr>
              <w:spacing w:after="0"/>
              <w:rPr>
                <w:sz w:val="18"/>
                <w:szCs w:val="18"/>
                <w:color w:val="auto"/>
              </w:rPr>
            </w:pPr>
          </w:p>
        </w:tc>
        <w:tc>
          <w:tcPr>
            <w:tcW w:w="640" w:type="dxa"/>
            <w:vAlign w:val="bottom"/>
            <w:vMerge w:val="continue"/>
            <w:shd w:val="clear" w:color="auto" w:fill="D1D2D4"/>
          </w:tcPr>
          <w:p>
            <w:pPr>
              <w:spacing w:after="0"/>
              <w:rPr>
                <w:sz w:val="18"/>
                <w:szCs w:val="18"/>
                <w:color w:val="auto"/>
              </w:rPr>
            </w:pPr>
          </w:p>
        </w:tc>
        <w:tc>
          <w:tcPr>
            <w:tcW w:w="140" w:type="dxa"/>
            <w:vAlign w:val="bottom"/>
            <w:shd w:val="clear" w:color="auto" w:fill="D1D2D4"/>
          </w:tcPr>
          <w:p>
            <w:pPr>
              <w:spacing w:after="0"/>
              <w:rPr>
                <w:sz w:val="18"/>
                <w:szCs w:val="18"/>
                <w:color w:val="auto"/>
              </w:rPr>
            </w:pPr>
          </w:p>
        </w:tc>
        <w:tc>
          <w:tcPr>
            <w:tcW w:w="1180" w:type="dxa"/>
            <w:vAlign w:val="bottom"/>
            <w:vMerge w:val="continue"/>
            <w:shd w:val="clear" w:color="auto" w:fill="D1D2D4"/>
          </w:tcPr>
          <w:p>
            <w:pPr>
              <w:spacing w:after="0"/>
              <w:rPr>
                <w:sz w:val="18"/>
                <w:szCs w:val="18"/>
                <w:color w:val="auto"/>
              </w:rPr>
            </w:pPr>
          </w:p>
        </w:tc>
        <w:tc>
          <w:tcPr>
            <w:tcW w:w="140" w:type="dxa"/>
            <w:vAlign w:val="bottom"/>
            <w:shd w:val="clear" w:color="auto" w:fill="D1D2D4"/>
          </w:tcPr>
          <w:p>
            <w:pPr>
              <w:spacing w:after="0"/>
              <w:rPr>
                <w:sz w:val="18"/>
                <w:szCs w:val="18"/>
                <w:color w:val="auto"/>
              </w:rPr>
            </w:pPr>
          </w:p>
        </w:tc>
        <w:tc>
          <w:tcPr>
            <w:tcW w:w="1080" w:type="dxa"/>
            <w:vAlign w:val="bottom"/>
            <w:vMerge w:val="continue"/>
            <w:shd w:val="clear" w:color="auto" w:fill="D1D2D4"/>
          </w:tcPr>
          <w:p>
            <w:pPr>
              <w:spacing w:after="0"/>
              <w:rPr>
                <w:sz w:val="18"/>
                <w:szCs w:val="18"/>
                <w:color w:val="auto"/>
              </w:rPr>
            </w:pPr>
          </w:p>
        </w:tc>
        <w:tc>
          <w:tcPr>
            <w:tcW w:w="140" w:type="dxa"/>
            <w:vAlign w:val="bottom"/>
            <w:shd w:val="clear" w:color="auto" w:fill="D1D2D4"/>
          </w:tcPr>
          <w:p>
            <w:pPr>
              <w:spacing w:after="0"/>
              <w:rPr>
                <w:sz w:val="18"/>
                <w:szCs w:val="18"/>
                <w:color w:val="auto"/>
              </w:rPr>
            </w:pPr>
          </w:p>
        </w:tc>
        <w:tc>
          <w:tcPr>
            <w:tcW w:w="1100" w:type="dxa"/>
            <w:vAlign w:val="bottom"/>
            <w:vMerge w:val="continue"/>
            <w:shd w:val="clear" w:color="auto" w:fill="D1D2D4"/>
          </w:tcPr>
          <w:p>
            <w:pPr>
              <w:spacing w:after="0"/>
              <w:rPr>
                <w:sz w:val="18"/>
                <w:szCs w:val="18"/>
                <w:color w:val="auto"/>
              </w:rPr>
            </w:pPr>
          </w:p>
        </w:tc>
        <w:tc>
          <w:tcPr>
            <w:tcW w:w="800" w:type="dxa"/>
            <w:vAlign w:val="bottom"/>
            <w:vMerge w:val="continue"/>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6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6,313</w:t>
            </w: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6,313</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6,349</w:t>
            </w:r>
          </w:p>
        </w:tc>
        <w:tc>
          <w:tcPr>
            <w:tcW w:w="0" w:type="dxa"/>
            <w:vAlign w:val="bottom"/>
          </w:tcPr>
          <w:p>
            <w:pPr>
              <w:spacing w:after="0"/>
              <w:rPr>
                <w:sz w:val="1"/>
                <w:szCs w:val="1"/>
                <w:color w:val="auto"/>
              </w:rPr>
            </w:pPr>
          </w:p>
        </w:tc>
      </w:tr>
      <w:tr>
        <w:trPr>
          <w:trHeight w:val="225"/>
        </w:trPr>
        <w:tc>
          <w:tcPr>
            <w:tcW w:w="2620" w:type="dxa"/>
            <w:vAlign w:val="bottom"/>
            <w:shd w:val="clear" w:color="auto" w:fill="D1D2D4"/>
          </w:tcPr>
          <w:p>
            <w:pPr>
              <w:ind w:left="20"/>
              <w:spacing w:after="0"/>
              <w:rPr>
                <w:sz w:val="20"/>
                <w:szCs w:val="20"/>
                <w:color w:val="auto"/>
              </w:rPr>
            </w:pPr>
            <w:r>
              <w:rPr>
                <w:rFonts w:ascii="Arial" w:cs="Arial" w:eastAsia="Arial" w:hAnsi="Arial"/>
                <w:sz w:val="16"/>
                <w:szCs w:val="16"/>
                <w:color w:val="auto"/>
              </w:rPr>
              <w:t>Other comprehensive income</w:t>
            </w:r>
          </w:p>
        </w:tc>
        <w:tc>
          <w:tcPr>
            <w:tcW w:w="72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D1D2D4"/>
          </w:tcPr>
          <w:p>
            <w:pPr>
              <w:spacing w:after="0"/>
              <w:rPr>
                <w:sz w:val="19"/>
                <w:szCs w:val="19"/>
                <w:color w:val="auto"/>
              </w:rPr>
            </w:pPr>
          </w:p>
        </w:tc>
        <w:tc>
          <w:tcPr>
            <w:tcW w:w="520" w:type="dxa"/>
            <w:vAlign w:val="bottom"/>
            <w:vMerge w:val="restart"/>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9"/>
                <w:szCs w:val="19"/>
                <w:color w:val="auto"/>
              </w:rPr>
            </w:pPr>
          </w:p>
        </w:tc>
        <w:tc>
          <w:tcPr>
            <w:tcW w:w="76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19"/>
                <w:szCs w:val="19"/>
                <w:color w:val="auto"/>
              </w:rPr>
            </w:pPr>
          </w:p>
        </w:tc>
        <w:tc>
          <w:tcPr>
            <w:tcW w:w="64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9"/>
                <w:szCs w:val="19"/>
                <w:color w:val="auto"/>
              </w:rPr>
            </w:pPr>
          </w:p>
        </w:tc>
        <w:tc>
          <w:tcPr>
            <w:tcW w:w="118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D1D2D4"/>
          </w:tcPr>
          <w:p>
            <w:pPr>
              <w:spacing w:after="0"/>
              <w:rPr>
                <w:sz w:val="19"/>
                <w:szCs w:val="19"/>
                <w:color w:val="auto"/>
              </w:rPr>
            </w:pPr>
          </w:p>
        </w:tc>
        <w:tc>
          <w:tcPr>
            <w:tcW w:w="108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D1D2D4"/>
          </w:tcPr>
          <w:p>
            <w:pPr>
              <w:spacing w:after="0"/>
              <w:rPr>
                <w:sz w:val="19"/>
                <w:szCs w:val="19"/>
                <w:color w:val="auto"/>
              </w:rPr>
            </w:pPr>
          </w:p>
        </w:tc>
        <w:tc>
          <w:tcPr>
            <w:tcW w:w="11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4"/>
        </w:trPr>
        <w:tc>
          <w:tcPr>
            <w:tcW w:w="2620" w:type="dxa"/>
            <w:vAlign w:val="bottom"/>
            <w:shd w:val="clear" w:color="auto" w:fill="D1D2D4"/>
          </w:tcPr>
          <w:p>
            <w:pPr>
              <w:ind w:left="20"/>
              <w:spacing w:after="0"/>
              <w:rPr>
                <w:sz w:val="20"/>
                <w:szCs w:val="20"/>
                <w:color w:val="auto"/>
              </w:rPr>
            </w:pPr>
            <w:r>
              <w:rPr>
                <w:rFonts w:ascii="Arial" w:cs="Arial" w:eastAsia="Arial" w:hAnsi="Arial"/>
                <w:sz w:val="16"/>
                <w:szCs w:val="16"/>
                <w:color w:val="auto"/>
              </w:rPr>
              <w:t>(loss), net</w:t>
            </w:r>
          </w:p>
        </w:tc>
        <w:tc>
          <w:tcPr>
            <w:tcW w:w="720" w:type="dxa"/>
            <w:vAlign w:val="bottom"/>
            <w:vMerge w:val="continue"/>
            <w:shd w:val="clear" w:color="auto" w:fill="D1D2D4"/>
          </w:tcPr>
          <w:p>
            <w:pPr>
              <w:spacing w:after="0"/>
              <w:rPr>
                <w:sz w:val="18"/>
                <w:szCs w:val="18"/>
                <w:color w:val="auto"/>
              </w:rPr>
            </w:pPr>
          </w:p>
        </w:tc>
        <w:tc>
          <w:tcPr>
            <w:tcW w:w="260" w:type="dxa"/>
            <w:vAlign w:val="bottom"/>
            <w:shd w:val="clear" w:color="auto" w:fill="D1D2D4"/>
          </w:tcPr>
          <w:p>
            <w:pPr>
              <w:spacing w:after="0"/>
              <w:rPr>
                <w:sz w:val="18"/>
                <w:szCs w:val="18"/>
                <w:color w:val="auto"/>
              </w:rPr>
            </w:pPr>
          </w:p>
        </w:tc>
        <w:tc>
          <w:tcPr>
            <w:tcW w:w="520" w:type="dxa"/>
            <w:vAlign w:val="bottom"/>
            <w:vMerge w:val="continue"/>
            <w:shd w:val="clear" w:color="auto" w:fill="D1D2D4"/>
          </w:tcPr>
          <w:p>
            <w:pPr>
              <w:spacing w:after="0"/>
              <w:rPr>
                <w:sz w:val="18"/>
                <w:szCs w:val="18"/>
                <w:color w:val="auto"/>
              </w:rPr>
            </w:pPr>
          </w:p>
        </w:tc>
        <w:tc>
          <w:tcPr>
            <w:tcW w:w="140" w:type="dxa"/>
            <w:vAlign w:val="bottom"/>
            <w:shd w:val="clear" w:color="auto" w:fill="D1D2D4"/>
          </w:tcPr>
          <w:p>
            <w:pPr>
              <w:spacing w:after="0"/>
              <w:rPr>
                <w:sz w:val="18"/>
                <w:szCs w:val="18"/>
                <w:color w:val="auto"/>
              </w:rPr>
            </w:pPr>
          </w:p>
        </w:tc>
        <w:tc>
          <w:tcPr>
            <w:tcW w:w="760" w:type="dxa"/>
            <w:vAlign w:val="bottom"/>
            <w:vMerge w:val="continue"/>
            <w:shd w:val="clear" w:color="auto" w:fill="D1D2D4"/>
          </w:tcPr>
          <w:p>
            <w:pPr>
              <w:spacing w:after="0"/>
              <w:rPr>
                <w:sz w:val="18"/>
                <w:szCs w:val="18"/>
                <w:color w:val="auto"/>
              </w:rPr>
            </w:pPr>
          </w:p>
        </w:tc>
        <w:tc>
          <w:tcPr>
            <w:tcW w:w="840" w:type="dxa"/>
            <w:vAlign w:val="bottom"/>
            <w:vMerge w:val="continue"/>
            <w:shd w:val="clear" w:color="auto" w:fill="D1D2D4"/>
          </w:tcPr>
          <w:p>
            <w:pPr>
              <w:spacing w:after="0"/>
              <w:rPr>
                <w:sz w:val="18"/>
                <w:szCs w:val="18"/>
                <w:color w:val="auto"/>
              </w:rPr>
            </w:pPr>
          </w:p>
        </w:tc>
        <w:tc>
          <w:tcPr>
            <w:tcW w:w="160" w:type="dxa"/>
            <w:vAlign w:val="bottom"/>
            <w:shd w:val="clear" w:color="auto" w:fill="D1D2D4"/>
          </w:tcPr>
          <w:p>
            <w:pPr>
              <w:spacing w:after="0"/>
              <w:rPr>
                <w:sz w:val="18"/>
                <w:szCs w:val="18"/>
                <w:color w:val="auto"/>
              </w:rPr>
            </w:pPr>
          </w:p>
        </w:tc>
        <w:tc>
          <w:tcPr>
            <w:tcW w:w="640" w:type="dxa"/>
            <w:vAlign w:val="bottom"/>
            <w:vMerge w:val="continue"/>
            <w:shd w:val="clear" w:color="auto" w:fill="D1D2D4"/>
          </w:tcPr>
          <w:p>
            <w:pPr>
              <w:spacing w:after="0"/>
              <w:rPr>
                <w:sz w:val="18"/>
                <w:szCs w:val="18"/>
                <w:color w:val="auto"/>
              </w:rPr>
            </w:pPr>
          </w:p>
        </w:tc>
        <w:tc>
          <w:tcPr>
            <w:tcW w:w="140" w:type="dxa"/>
            <w:vAlign w:val="bottom"/>
            <w:shd w:val="clear" w:color="auto" w:fill="D1D2D4"/>
          </w:tcPr>
          <w:p>
            <w:pPr>
              <w:spacing w:after="0"/>
              <w:rPr>
                <w:sz w:val="18"/>
                <w:szCs w:val="18"/>
                <w:color w:val="auto"/>
              </w:rPr>
            </w:pPr>
          </w:p>
        </w:tc>
        <w:tc>
          <w:tcPr>
            <w:tcW w:w="1180" w:type="dxa"/>
            <w:vAlign w:val="bottom"/>
            <w:vMerge w:val="continue"/>
            <w:shd w:val="clear" w:color="auto" w:fill="D1D2D4"/>
          </w:tcPr>
          <w:p>
            <w:pPr>
              <w:spacing w:after="0"/>
              <w:rPr>
                <w:sz w:val="18"/>
                <w:szCs w:val="18"/>
                <w:color w:val="auto"/>
              </w:rPr>
            </w:pPr>
          </w:p>
        </w:tc>
        <w:tc>
          <w:tcPr>
            <w:tcW w:w="140" w:type="dxa"/>
            <w:vAlign w:val="bottom"/>
            <w:shd w:val="clear" w:color="auto" w:fill="D1D2D4"/>
          </w:tcPr>
          <w:p>
            <w:pPr>
              <w:spacing w:after="0"/>
              <w:rPr>
                <w:sz w:val="18"/>
                <w:szCs w:val="18"/>
                <w:color w:val="auto"/>
              </w:rPr>
            </w:pPr>
          </w:p>
        </w:tc>
        <w:tc>
          <w:tcPr>
            <w:tcW w:w="1080" w:type="dxa"/>
            <w:vAlign w:val="bottom"/>
            <w:vMerge w:val="continue"/>
            <w:shd w:val="clear" w:color="auto" w:fill="D1D2D4"/>
          </w:tcPr>
          <w:p>
            <w:pPr>
              <w:spacing w:after="0"/>
              <w:rPr>
                <w:sz w:val="18"/>
                <w:szCs w:val="18"/>
                <w:color w:val="auto"/>
              </w:rPr>
            </w:pPr>
          </w:p>
        </w:tc>
        <w:tc>
          <w:tcPr>
            <w:tcW w:w="140" w:type="dxa"/>
            <w:vAlign w:val="bottom"/>
            <w:shd w:val="clear" w:color="auto" w:fill="D1D2D4"/>
          </w:tcPr>
          <w:p>
            <w:pPr>
              <w:spacing w:after="0"/>
              <w:rPr>
                <w:sz w:val="18"/>
                <w:szCs w:val="18"/>
                <w:color w:val="auto"/>
              </w:rPr>
            </w:pPr>
          </w:p>
        </w:tc>
        <w:tc>
          <w:tcPr>
            <w:tcW w:w="1100" w:type="dxa"/>
            <w:vAlign w:val="bottom"/>
            <w:vMerge w:val="continue"/>
            <w:shd w:val="clear" w:color="auto" w:fill="D1D2D4"/>
          </w:tcPr>
          <w:p>
            <w:pPr>
              <w:spacing w:after="0"/>
              <w:rPr>
                <w:sz w:val="18"/>
                <w:szCs w:val="18"/>
                <w:color w:val="auto"/>
              </w:rPr>
            </w:pPr>
          </w:p>
        </w:tc>
        <w:tc>
          <w:tcPr>
            <w:tcW w:w="800" w:type="dxa"/>
            <w:vAlign w:val="bottom"/>
            <w:vMerge w:val="continue"/>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620" w:type="dxa"/>
            <w:vAlign w:val="bottom"/>
          </w:tcPr>
          <w:p>
            <w:pPr>
              <w:ind w:left="20"/>
              <w:spacing w:after="0"/>
              <w:rPr>
                <w:sz w:val="20"/>
                <w:szCs w:val="20"/>
                <w:color w:val="auto"/>
              </w:rPr>
            </w:pPr>
            <w:r>
              <w:rPr>
                <w:rFonts w:ascii="Arial" w:cs="Arial" w:eastAsia="Arial" w:hAnsi="Arial"/>
                <w:sz w:val="16"/>
                <w:szCs w:val="16"/>
                <w:color w:val="auto"/>
              </w:rPr>
              <w:t>Stock issued under stock plans</w:t>
            </w:r>
          </w:p>
        </w:tc>
        <w:tc>
          <w:tcPr>
            <w:tcW w:w="720" w:type="dxa"/>
            <w:vAlign w:val="bottom"/>
          </w:tcPr>
          <w:p>
            <w:pPr>
              <w:jc w:val="right"/>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178</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179</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25"/>
        </w:trPr>
        <w:tc>
          <w:tcPr>
            <w:tcW w:w="2620" w:type="dxa"/>
            <w:vAlign w:val="bottom"/>
            <w:shd w:val="clear" w:color="auto" w:fill="D1D2D4"/>
          </w:tcPr>
          <w:p>
            <w:pPr>
              <w:ind w:left="20"/>
              <w:spacing w:after="0"/>
              <w:rPr>
                <w:sz w:val="20"/>
                <w:szCs w:val="20"/>
                <w:color w:val="auto"/>
              </w:rPr>
            </w:pPr>
            <w:r>
              <w:rPr>
                <w:rFonts w:ascii="Arial" w:cs="Arial" w:eastAsia="Arial" w:hAnsi="Arial"/>
                <w:sz w:val="16"/>
                <w:szCs w:val="16"/>
                <w:color w:val="auto"/>
              </w:rPr>
              <w:t>Stock-based compensation</w:t>
            </w:r>
          </w:p>
        </w:tc>
        <w:tc>
          <w:tcPr>
            <w:tcW w:w="72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D1D2D4"/>
          </w:tcPr>
          <w:p>
            <w:pPr>
              <w:spacing w:after="0"/>
              <w:rPr>
                <w:sz w:val="19"/>
                <w:szCs w:val="19"/>
                <w:color w:val="auto"/>
              </w:rPr>
            </w:pPr>
          </w:p>
        </w:tc>
        <w:tc>
          <w:tcPr>
            <w:tcW w:w="520" w:type="dxa"/>
            <w:vAlign w:val="bottom"/>
            <w:vMerge w:val="restart"/>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9"/>
                <w:szCs w:val="19"/>
                <w:color w:val="auto"/>
              </w:rPr>
            </w:pPr>
          </w:p>
        </w:tc>
        <w:tc>
          <w:tcPr>
            <w:tcW w:w="76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243</w:t>
            </w:r>
          </w:p>
        </w:tc>
        <w:tc>
          <w:tcPr>
            <w:tcW w:w="84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19"/>
                <w:szCs w:val="19"/>
                <w:color w:val="auto"/>
              </w:rPr>
            </w:pPr>
          </w:p>
        </w:tc>
        <w:tc>
          <w:tcPr>
            <w:tcW w:w="64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9"/>
                <w:szCs w:val="19"/>
                <w:color w:val="auto"/>
              </w:rPr>
            </w:pPr>
          </w:p>
        </w:tc>
        <w:tc>
          <w:tcPr>
            <w:tcW w:w="118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9"/>
                <w:szCs w:val="19"/>
                <w:color w:val="auto"/>
              </w:rPr>
            </w:pPr>
          </w:p>
        </w:tc>
        <w:tc>
          <w:tcPr>
            <w:tcW w:w="108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243</w:t>
            </w:r>
          </w:p>
        </w:tc>
        <w:tc>
          <w:tcPr>
            <w:tcW w:w="140" w:type="dxa"/>
            <w:vAlign w:val="bottom"/>
            <w:shd w:val="clear" w:color="auto" w:fill="D1D2D4"/>
          </w:tcPr>
          <w:p>
            <w:pPr>
              <w:spacing w:after="0"/>
              <w:rPr>
                <w:sz w:val="19"/>
                <w:szCs w:val="19"/>
                <w:color w:val="auto"/>
              </w:rPr>
            </w:pPr>
          </w:p>
        </w:tc>
        <w:tc>
          <w:tcPr>
            <w:tcW w:w="11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D1D2D4"/>
          </w:tcPr>
          <w:p>
            <w:pPr>
              <w:jc w:val="right"/>
              <w:ind w:right="11"/>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4"/>
        </w:trPr>
        <w:tc>
          <w:tcPr>
            <w:tcW w:w="2620" w:type="dxa"/>
            <w:vAlign w:val="bottom"/>
            <w:shd w:val="clear" w:color="auto" w:fill="D1D2D4"/>
          </w:tcPr>
          <w:p>
            <w:pPr>
              <w:ind w:left="20"/>
              <w:spacing w:after="0"/>
              <w:rPr>
                <w:sz w:val="20"/>
                <w:szCs w:val="20"/>
                <w:color w:val="auto"/>
              </w:rPr>
            </w:pPr>
            <w:r>
              <w:rPr>
                <w:rFonts w:ascii="Arial" w:cs="Arial" w:eastAsia="Arial" w:hAnsi="Arial"/>
                <w:sz w:val="16"/>
                <w:szCs w:val="16"/>
                <w:color w:val="auto"/>
              </w:rPr>
              <w:t>expense</w:t>
            </w:r>
          </w:p>
        </w:tc>
        <w:tc>
          <w:tcPr>
            <w:tcW w:w="720" w:type="dxa"/>
            <w:vAlign w:val="bottom"/>
            <w:vMerge w:val="continue"/>
            <w:shd w:val="clear" w:color="auto" w:fill="D1D2D4"/>
          </w:tcPr>
          <w:p>
            <w:pPr>
              <w:spacing w:after="0"/>
              <w:rPr>
                <w:sz w:val="18"/>
                <w:szCs w:val="18"/>
                <w:color w:val="auto"/>
              </w:rPr>
            </w:pPr>
          </w:p>
        </w:tc>
        <w:tc>
          <w:tcPr>
            <w:tcW w:w="260" w:type="dxa"/>
            <w:vAlign w:val="bottom"/>
            <w:shd w:val="clear" w:color="auto" w:fill="D1D2D4"/>
          </w:tcPr>
          <w:p>
            <w:pPr>
              <w:spacing w:after="0"/>
              <w:rPr>
                <w:sz w:val="18"/>
                <w:szCs w:val="18"/>
                <w:color w:val="auto"/>
              </w:rPr>
            </w:pPr>
          </w:p>
        </w:tc>
        <w:tc>
          <w:tcPr>
            <w:tcW w:w="520" w:type="dxa"/>
            <w:vAlign w:val="bottom"/>
            <w:vMerge w:val="continue"/>
            <w:shd w:val="clear" w:color="auto" w:fill="D1D2D4"/>
          </w:tcPr>
          <w:p>
            <w:pPr>
              <w:spacing w:after="0"/>
              <w:rPr>
                <w:sz w:val="18"/>
                <w:szCs w:val="18"/>
                <w:color w:val="auto"/>
              </w:rPr>
            </w:pPr>
          </w:p>
        </w:tc>
        <w:tc>
          <w:tcPr>
            <w:tcW w:w="140" w:type="dxa"/>
            <w:vAlign w:val="bottom"/>
            <w:shd w:val="clear" w:color="auto" w:fill="D1D2D4"/>
          </w:tcPr>
          <w:p>
            <w:pPr>
              <w:spacing w:after="0"/>
              <w:rPr>
                <w:sz w:val="18"/>
                <w:szCs w:val="18"/>
                <w:color w:val="auto"/>
              </w:rPr>
            </w:pPr>
          </w:p>
        </w:tc>
        <w:tc>
          <w:tcPr>
            <w:tcW w:w="760" w:type="dxa"/>
            <w:vAlign w:val="bottom"/>
            <w:vMerge w:val="continue"/>
            <w:shd w:val="clear" w:color="auto" w:fill="D1D2D4"/>
          </w:tcPr>
          <w:p>
            <w:pPr>
              <w:spacing w:after="0"/>
              <w:rPr>
                <w:sz w:val="18"/>
                <w:szCs w:val="18"/>
                <w:color w:val="auto"/>
              </w:rPr>
            </w:pPr>
          </w:p>
        </w:tc>
        <w:tc>
          <w:tcPr>
            <w:tcW w:w="840" w:type="dxa"/>
            <w:vAlign w:val="bottom"/>
            <w:vMerge w:val="continue"/>
            <w:shd w:val="clear" w:color="auto" w:fill="D1D2D4"/>
          </w:tcPr>
          <w:p>
            <w:pPr>
              <w:spacing w:after="0"/>
              <w:rPr>
                <w:sz w:val="18"/>
                <w:szCs w:val="18"/>
                <w:color w:val="auto"/>
              </w:rPr>
            </w:pPr>
          </w:p>
        </w:tc>
        <w:tc>
          <w:tcPr>
            <w:tcW w:w="160" w:type="dxa"/>
            <w:vAlign w:val="bottom"/>
            <w:shd w:val="clear" w:color="auto" w:fill="D1D2D4"/>
          </w:tcPr>
          <w:p>
            <w:pPr>
              <w:spacing w:after="0"/>
              <w:rPr>
                <w:sz w:val="18"/>
                <w:szCs w:val="18"/>
                <w:color w:val="auto"/>
              </w:rPr>
            </w:pPr>
          </w:p>
        </w:tc>
        <w:tc>
          <w:tcPr>
            <w:tcW w:w="640" w:type="dxa"/>
            <w:vAlign w:val="bottom"/>
            <w:vMerge w:val="continue"/>
            <w:shd w:val="clear" w:color="auto" w:fill="D1D2D4"/>
          </w:tcPr>
          <w:p>
            <w:pPr>
              <w:spacing w:after="0"/>
              <w:rPr>
                <w:sz w:val="18"/>
                <w:szCs w:val="18"/>
                <w:color w:val="auto"/>
              </w:rPr>
            </w:pPr>
          </w:p>
        </w:tc>
        <w:tc>
          <w:tcPr>
            <w:tcW w:w="140" w:type="dxa"/>
            <w:vAlign w:val="bottom"/>
            <w:shd w:val="clear" w:color="auto" w:fill="D1D2D4"/>
          </w:tcPr>
          <w:p>
            <w:pPr>
              <w:spacing w:after="0"/>
              <w:rPr>
                <w:sz w:val="18"/>
                <w:szCs w:val="18"/>
                <w:color w:val="auto"/>
              </w:rPr>
            </w:pPr>
          </w:p>
        </w:tc>
        <w:tc>
          <w:tcPr>
            <w:tcW w:w="1180" w:type="dxa"/>
            <w:vAlign w:val="bottom"/>
            <w:vMerge w:val="continue"/>
            <w:shd w:val="clear" w:color="auto" w:fill="D1D2D4"/>
          </w:tcPr>
          <w:p>
            <w:pPr>
              <w:spacing w:after="0"/>
              <w:rPr>
                <w:sz w:val="18"/>
                <w:szCs w:val="18"/>
                <w:color w:val="auto"/>
              </w:rPr>
            </w:pPr>
          </w:p>
        </w:tc>
        <w:tc>
          <w:tcPr>
            <w:tcW w:w="140" w:type="dxa"/>
            <w:vAlign w:val="bottom"/>
            <w:shd w:val="clear" w:color="auto" w:fill="D1D2D4"/>
          </w:tcPr>
          <w:p>
            <w:pPr>
              <w:spacing w:after="0"/>
              <w:rPr>
                <w:sz w:val="18"/>
                <w:szCs w:val="18"/>
                <w:color w:val="auto"/>
              </w:rPr>
            </w:pPr>
          </w:p>
        </w:tc>
        <w:tc>
          <w:tcPr>
            <w:tcW w:w="1080" w:type="dxa"/>
            <w:vAlign w:val="bottom"/>
            <w:vMerge w:val="continue"/>
            <w:shd w:val="clear" w:color="auto" w:fill="D1D2D4"/>
          </w:tcPr>
          <w:p>
            <w:pPr>
              <w:spacing w:after="0"/>
              <w:rPr>
                <w:sz w:val="18"/>
                <w:szCs w:val="18"/>
                <w:color w:val="auto"/>
              </w:rPr>
            </w:pPr>
          </w:p>
        </w:tc>
        <w:tc>
          <w:tcPr>
            <w:tcW w:w="140" w:type="dxa"/>
            <w:vAlign w:val="bottom"/>
            <w:shd w:val="clear" w:color="auto" w:fill="D1D2D4"/>
          </w:tcPr>
          <w:p>
            <w:pPr>
              <w:spacing w:after="0"/>
              <w:rPr>
                <w:sz w:val="18"/>
                <w:szCs w:val="18"/>
                <w:color w:val="auto"/>
              </w:rPr>
            </w:pPr>
          </w:p>
        </w:tc>
        <w:tc>
          <w:tcPr>
            <w:tcW w:w="1100" w:type="dxa"/>
            <w:vAlign w:val="bottom"/>
            <w:vMerge w:val="continue"/>
            <w:shd w:val="clear" w:color="auto" w:fill="D1D2D4"/>
          </w:tcPr>
          <w:p>
            <w:pPr>
              <w:spacing w:after="0"/>
              <w:rPr>
                <w:sz w:val="18"/>
                <w:szCs w:val="18"/>
                <w:color w:val="auto"/>
              </w:rPr>
            </w:pPr>
          </w:p>
        </w:tc>
        <w:tc>
          <w:tcPr>
            <w:tcW w:w="800" w:type="dxa"/>
            <w:vAlign w:val="bottom"/>
            <w:vMerge w:val="continue"/>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620" w:type="dxa"/>
            <w:vAlign w:val="bottom"/>
          </w:tcPr>
          <w:p>
            <w:pPr>
              <w:ind w:left="20"/>
              <w:spacing w:after="0"/>
              <w:rPr>
                <w:sz w:val="20"/>
                <w:szCs w:val="20"/>
                <w:color w:val="auto"/>
              </w:rPr>
            </w:pPr>
            <w:r>
              <w:rPr>
                <w:rFonts w:ascii="Arial" w:cs="Arial" w:eastAsia="Arial" w:hAnsi="Arial"/>
                <w:sz w:val="16"/>
                <w:szCs w:val="16"/>
                <w:color w:val="auto"/>
              </w:rPr>
              <w:t>Repurchase of stock</w:t>
            </w:r>
          </w:p>
        </w:tc>
        <w:tc>
          <w:tcPr>
            <w:tcW w:w="72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103</w:t>
            </w:r>
          </w:p>
        </w:tc>
        <w:tc>
          <w:tcPr>
            <w:tcW w:w="840" w:type="dxa"/>
            <w:vAlign w:val="bottom"/>
          </w:tcPr>
          <w:p>
            <w:pPr>
              <w:jc w:val="right"/>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(2,792)</w:t>
            </w: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(2,728)</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(2,728)</w:t>
            </w:r>
          </w:p>
        </w:tc>
        <w:tc>
          <w:tcPr>
            <w:tcW w:w="0" w:type="dxa"/>
            <w:vAlign w:val="bottom"/>
          </w:tcPr>
          <w:p>
            <w:pPr>
              <w:spacing w:after="0"/>
              <w:rPr>
                <w:sz w:val="1"/>
                <w:szCs w:val="1"/>
                <w:color w:val="auto"/>
              </w:rPr>
            </w:pPr>
          </w:p>
        </w:tc>
      </w:tr>
      <w:tr>
        <w:trPr>
          <w:trHeight w:val="184"/>
        </w:trPr>
        <w:tc>
          <w:tcPr>
            <w:tcW w:w="2620" w:type="dxa"/>
            <w:vAlign w:val="bottom"/>
            <w:shd w:val="clear" w:color="auto" w:fill="D1D2D4"/>
          </w:tcPr>
          <w:p>
            <w:pPr>
              <w:ind w:left="20"/>
              <w:spacing w:after="0"/>
              <w:rPr>
                <w:sz w:val="20"/>
                <w:szCs w:val="20"/>
                <w:color w:val="auto"/>
              </w:rPr>
            </w:pPr>
            <w:r>
              <w:rPr>
                <w:rFonts w:ascii="Arial" w:cs="Arial" w:eastAsia="Arial" w:hAnsi="Arial"/>
                <w:sz w:val="16"/>
                <w:szCs w:val="16"/>
                <w:color w:val="auto"/>
              </w:rPr>
              <w:t>Acquisitions of noncontrolling</w:t>
            </w:r>
          </w:p>
        </w:tc>
        <w:tc>
          <w:tcPr>
            <w:tcW w:w="72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D1D2D4"/>
          </w:tcPr>
          <w:p>
            <w:pPr>
              <w:spacing w:after="0"/>
              <w:rPr>
                <w:sz w:val="16"/>
                <w:szCs w:val="16"/>
                <w:color w:val="auto"/>
              </w:rPr>
            </w:pPr>
          </w:p>
        </w:tc>
        <w:tc>
          <w:tcPr>
            <w:tcW w:w="520" w:type="dxa"/>
            <w:vAlign w:val="bottom"/>
            <w:vMerge w:val="restart"/>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6"/>
                <w:szCs w:val="16"/>
                <w:color w:val="auto"/>
              </w:rPr>
            </w:pPr>
          </w:p>
        </w:tc>
        <w:tc>
          <w:tcPr>
            <w:tcW w:w="76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84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16"/>
                <w:szCs w:val="16"/>
                <w:color w:val="auto"/>
              </w:rPr>
            </w:pPr>
          </w:p>
        </w:tc>
        <w:tc>
          <w:tcPr>
            <w:tcW w:w="64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6"/>
                <w:szCs w:val="16"/>
                <w:color w:val="auto"/>
              </w:rPr>
            </w:pPr>
          </w:p>
        </w:tc>
        <w:tc>
          <w:tcPr>
            <w:tcW w:w="118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6"/>
                <w:szCs w:val="16"/>
                <w:color w:val="auto"/>
              </w:rPr>
            </w:pPr>
          </w:p>
        </w:tc>
        <w:tc>
          <w:tcPr>
            <w:tcW w:w="108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D1D2D4"/>
          </w:tcPr>
          <w:p>
            <w:pPr>
              <w:spacing w:after="0"/>
              <w:rPr>
                <w:sz w:val="16"/>
                <w:szCs w:val="16"/>
                <w:color w:val="auto"/>
              </w:rPr>
            </w:pPr>
          </w:p>
        </w:tc>
        <w:tc>
          <w:tcPr>
            <w:tcW w:w="11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(17)</w:t>
            </w:r>
          </w:p>
        </w:tc>
        <w:tc>
          <w:tcPr>
            <w:tcW w:w="8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1"/>
        </w:trPr>
        <w:tc>
          <w:tcPr>
            <w:tcW w:w="2620" w:type="dxa"/>
            <w:vAlign w:val="bottom"/>
            <w:shd w:val="clear" w:color="auto" w:fill="D1D2D4"/>
          </w:tcPr>
          <w:p>
            <w:pPr>
              <w:ind w:left="180"/>
              <w:spacing w:after="0"/>
              <w:rPr>
                <w:sz w:val="20"/>
                <w:szCs w:val="20"/>
                <w:color w:val="auto"/>
              </w:rPr>
            </w:pPr>
            <w:r>
              <w:rPr>
                <w:rFonts w:ascii="Arial" w:cs="Arial" w:eastAsia="Arial" w:hAnsi="Arial"/>
                <w:sz w:val="16"/>
                <w:szCs w:val="16"/>
                <w:color w:val="auto"/>
              </w:rPr>
              <w:t>interest</w:t>
            </w:r>
          </w:p>
        </w:tc>
        <w:tc>
          <w:tcPr>
            <w:tcW w:w="720" w:type="dxa"/>
            <w:vAlign w:val="bottom"/>
            <w:vMerge w:val="continue"/>
            <w:shd w:val="clear" w:color="auto" w:fill="D1D2D4"/>
          </w:tcPr>
          <w:p>
            <w:pPr>
              <w:spacing w:after="0"/>
              <w:rPr>
                <w:sz w:val="17"/>
                <w:szCs w:val="17"/>
                <w:color w:val="auto"/>
              </w:rPr>
            </w:pPr>
          </w:p>
        </w:tc>
        <w:tc>
          <w:tcPr>
            <w:tcW w:w="260" w:type="dxa"/>
            <w:vAlign w:val="bottom"/>
            <w:shd w:val="clear" w:color="auto" w:fill="D1D2D4"/>
          </w:tcPr>
          <w:p>
            <w:pPr>
              <w:spacing w:after="0"/>
              <w:rPr>
                <w:sz w:val="17"/>
                <w:szCs w:val="17"/>
                <w:color w:val="auto"/>
              </w:rPr>
            </w:pPr>
          </w:p>
        </w:tc>
        <w:tc>
          <w:tcPr>
            <w:tcW w:w="520" w:type="dxa"/>
            <w:vAlign w:val="bottom"/>
            <w:vMerge w:val="continue"/>
            <w:shd w:val="clear" w:color="auto" w:fill="D1D2D4"/>
          </w:tcPr>
          <w:p>
            <w:pPr>
              <w:spacing w:after="0"/>
              <w:rPr>
                <w:sz w:val="17"/>
                <w:szCs w:val="17"/>
                <w:color w:val="auto"/>
              </w:rPr>
            </w:pPr>
          </w:p>
        </w:tc>
        <w:tc>
          <w:tcPr>
            <w:tcW w:w="140" w:type="dxa"/>
            <w:vAlign w:val="bottom"/>
            <w:shd w:val="clear" w:color="auto" w:fill="D1D2D4"/>
          </w:tcPr>
          <w:p>
            <w:pPr>
              <w:spacing w:after="0"/>
              <w:rPr>
                <w:sz w:val="17"/>
                <w:szCs w:val="17"/>
                <w:color w:val="auto"/>
              </w:rPr>
            </w:pPr>
          </w:p>
        </w:tc>
        <w:tc>
          <w:tcPr>
            <w:tcW w:w="760" w:type="dxa"/>
            <w:vAlign w:val="bottom"/>
            <w:vMerge w:val="continue"/>
            <w:shd w:val="clear" w:color="auto" w:fill="D1D2D4"/>
          </w:tcPr>
          <w:p>
            <w:pPr>
              <w:spacing w:after="0"/>
              <w:rPr>
                <w:sz w:val="17"/>
                <w:szCs w:val="17"/>
                <w:color w:val="auto"/>
              </w:rPr>
            </w:pPr>
          </w:p>
        </w:tc>
        <w:tc>
          <w:tcPr>
            <w:tcW w:w="840" w:type="dxa"/>
            <w:vAlign w:val="bottom"/>
            <w:vMerge w:val="continue"/>
            <w:shd w:val="clear" w:color="auto" w:fill="D1D2D4"/>
          </w:tcPr>
          <w:p>
            <w:pPr>
              <w:spacing w:after="0"/>
              <w:rPr>
                <w:sz w:val="17"/>
                <w:szCs w:val="17"/>
                <w:color w:val="auto"/>
              </w:rPr>
            </w:pPr>
          </w:p>
        </w:tc>
        <w:tc>
          <w:tcPr>
            <w:tcW w:w="160" w:type="dxa"/>
            <w:vAlign w:val="bottom"/>
            <w:shd w:val="clear" w:color="auto" w:fill="D1D2D4"/>
          </w:tcPr>
          <w:p>
            <w:pPr>
              <w:spacing w:after="0"/>
              <w:rPr>
                <w:sz w:val="17"/>
                <w:szCs w:val="17"/>
                <w:color w:val="auto"/>
              </w:rPr>
            </w:pPr>
          </w:p>
        </w:tc>
        <w:tc>
          <w:tcPr>
            <w:tcW w:w="640" w:type="dxa"/>
            <w:vAlign w:val="bottom"/>
            <w:vMerge w:val="continue"/>
            <w:shd w:val="clear" w:color="auto" w:fill="D1D2D4"/>
          </w:tcPr>
          <w:p>
            <w:pPr>
              <w:spacing w:after="0"/>
              <w:rPr>
                <w:sz w:val="17"/>
                <w:szCs w:val="17"/>
                <w:color w:val="auto"/>
              </w:rPr>
            </w:pPr>
          </w:p>
        </w:tc>
        <w:tc>
          <w:tcPr>
            <w:tcW w:w="140" w:type="dxa"/>
            <w:vAlign w:val="bottom"/>
            <w:shd w:val="clear" w:color="auto" w:fill="D1D2D4"/>
          </w:tcPr>
          <w:p>
            <w:pPr>
              <w:spacing w:after="0"/>
              <w:rPr>
                <w:sz w:val="17"/>
                <w:szCs w:val="17"/>
                <w:color w:val="auto"/>
              </w:rPr>
            </w:pPr>
          </w:p>
        </w:tc>
        <w:tc>
          <w:tcPr>
            <w:tcW w:w="1180" w:type="dxa"/>
            <w:vAlign w:val="bottom"/>
            <w:vMerge w:val="continue"/>
            <w:shd w:val="clear" w:color="auto" w:fill="D1D2D4"/>
          </w:tcPr>
          <w:p>
            <w:pPr>
              <w:spacing w:after="0"/>
              <w:rPr>
                <w:sz w:val="17"/>
                <w:szCs w:val="17"/>
                <w:color w:val="auto"/>
              </w:rPr>
            </w:pPr>
          </w:p>
        </w:tc>
        <w:tc>
          <w:tcPr>
            <w:tcW w:w="140" w:type="dxa"/>
            <w:vAlign w:val="bottom"/>
            <w:shd w:val="clear" w:color="auto" w:fill="D1D2D4"/>
          </w:tcPr>
          <w:p>
            <w:pPr>
              <w:spacing w:after="0"/>
              <w:rPr>
                <w:sz w:val="17"/>
                <w:szCs w:val="17"/>
                <w:color w:val="auto"/>
              </w:rPr>
            </w:pPr>
          </w:p>
        </w:tc>
        <w:tc>
          <w:tcPr>
            <w:tcW w:w="1080" w:type="dxa"/>
            <w:vAlign w:val="bottom"/>
            <w:vMerge w:val="continue"/>
            <w:shd w:val="clear" w:color="auto" w:fill="D1D2D4"/>
          </w:tcPr>
          <w:p>
            <w:pPr>
              <w:spacing w:after="0"/>
              <w:rPr>
                <w:sz w:val="17"/>
                <w:szCs w:val="17"/>
                <w:color w:val="auto"/>
              </w:rPr>
            </w:pPr>
          </w:p>
        </w:tc>
        <w:tc>
          <w:tcPr>
            <w:tcW w:w="140" w:type="dxa"/>
            <w:vAlign w:val="bottom"/>
            <w:shd w:val="clear" w:color="auto" w:fill="D1D2D4"/>
          </w:tcPr>
          <w:p>
            <w:pPr>
              <w:spacing w:after="0"/>
              <w:rPr>
                <w:sz w:val="17"/>
                <w:szCs w:val="17"/>
                <w:color w:val="auto"/>
              </w:rPr>
            </w:pPr>
          </w:p>
        </w:tc>
        <w:tc>
          <w:tcPr>
            <w:tcW w:w="1100" w:type="dxa"/>
            <w:vAlign w:val="bottom"/>
            <w:vMerge w:val="continue"/>
            <w:shd w:val="clear" w:color="auto" w:fill="D1D2D4"/>
          </w:tcPr>
          <w:p>
            <w:pPr>
              <w:spacing w:after="0"/>
              <w:rPr>
                <w:sz w:val="17"/>
                <w:szCs w:val="17"/>
                <w:color w:val="auto"/>
              </w:rPr>
            </w:pPr>
          </w:p>
        </w:tc>
        <w:tc>
          <w:tcPr>
            <w:tcW w:w="800" w:type="dxa"/>
            <w:vAlign w:val="bottom"/>
            <w:vMerge w:val="continue"/>
            <w:shd w:val="clear" w:color="auto" w:fill="D1D2D4"/>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620" w:type="dxa"/>
            <w:vAlign w:val="bottom"/>
          </w:tcPr>
          <w:p>
            <w:pPr>
              <w:ind w:left="20"/>
              <w:spacing w:after="0"/>
              <w:rPr>
                <w:sz w:val="20"/>
                <w:szCs w:val="20"/>
                <w:color w:val="auto"/>
              </w:rPr>
            </w:pPr>
            <w:r>
              <w:rPr>
                <w:rFonts w:ascii="Arial" w:cs="Arial" w:eastAsia="Arial" w:hAnsi="Arial"/>
                <w:sz w:val="16"/>
                <w:szCs w:val="16"/>
                <w:color w:val="auto"/>
              </w:rPr>
              <w:t>Reclassification of redeemable</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2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7"/>
        </w:trPr>
        <w:tc>
          <w:tcPr>
            <w:tcW w:w="2620" w:type="dxa"/>
            <w:vAlign w:val="bottom"/>
          </w:tcPr>
          <w:p>
            <w:pPr>
              <w:ind w:left="20"/>
              <w:spacing w:after="0"/>
              <w:rPr>
                <w:sz w:val="20"/>
                <w:szCs w:val="20"/>
                <w:color w:val="auto"/>
              </w:rPr>
            </w:pPr>
            <w:r>
              <w:rPr>
                <w:rFonts w:ascii="Arial" w:cs="Arial" w:eastAsia="Arial" w:hAnsi="Arial"/>
                <w:sz w:val="16"/>
                <w:szCs w:val="16"/>
                <w:color w:val="auto"/>
              </w:rPr>
              <w:t>convertible notes, net</w:t>
            </w:r>
          </w:p>
        </w:tc>
        <w:tc>
          <w:tcPr>
            <w:tcW w:w="7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620" w:type="dxa"/>
            <w:vAlign w:val="bottom"/>
            <w:shd w:val="clear" w:color="auto" w:fill="D1D2D4"/>
          </w:tcPr>
          <w:p>
            <w:pPr>
              <w:ind w:left="20"/>
              <w:spacing w:after="0"/>
              <w:rPr>
                <w:sz w:val="20"/>
                <w:szCs w:val="20"/>
                <w:color w:val="auto"/>
              </w:rPr>
            </w:pPr>
            <w:r>
              <w:rPr>
                <w:rFonts w:ascii="Arial" w:cs="Arial" w:eastAsia="Arial" w:hAnsi="Arial"/>
                <w:sz w:val="16"/>
                <w:szCs w:val="16"/>
                <w:color w:val="auto"/>
              </w:rPr>
              <w:t>Cash settlement of convertible</w:t>
            </w:r>
          </w:p>
        </w:tc>
        <w:tc>
          <w:tcPr>
            <w:tcW w:w="72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D1D2D4"/>
          </w:tcPr>
          <w:p>
            <w:pPr>
              <w:spacing w:after="0"/>
              <w:rPr>
                <w:sz w:val="19"/>
                <w:szCs w:val="19"/>
                <w:color w:val="auto"/>
              </w:rPr>
            </w:pPr>
          </w:p>
        </w:tc>
        <w:tc>
          <w:tcPr>
            <w:tcW w:w="520" w:type="dxa"/>
            <w:vAlign w:val="bottom"/>
            <w:vMerge w:val="restart"/>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9"/>
                <w:szCs w:val="19"/>
                <w:color w:val="auto"/>
              </w:rPr>
            </w:pPr>
          </w:p>
        </w:tc>
        <w:tc>
          <w:tcPr>
            <w:tcW w:w="76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(515)</w:t>
            </w:r>
          </w:p>
        </w:tc>
        <w:tc>
          <w:tcPr>
            <w:tcW w:w="84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19"/>
                <w:szCs w:val="19"/>
                <w:color w:val="auto"/>
              </w:rPr>
            </w:pPr>
          </w:p>
        </w:tc>
        <w:tc>
          <w:tcPr>
            <w:tcW w:w="64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9"/>
                <w:szCs w:val="19"/>
                <w:color w:val="auto"/>
              </w:rPr>
            </w:pPr>
          </w:p>
        </w:tc>
        <w:tc>
          <w:tcPr>
            <w:tcW w:w="118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9"/>
                <w:szCs w:val="19"/>
                <w:color w:val="auto"/>
              </w:rPr>
            </w:pPr>
          </w:p>
        </w:tc>
        <w:tc>
          <w:tcPr>
            <w:tcW w:w="108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(515)</w:t>
            </w:r>
          </w:p>
        </w:tc>
        <w:tc>
          <w:tcPr>
            <w:tcW w:w="140" w:type="dxa"/>
            <w:vAlign w:val="bottom"/>
            <w:shd w:val="clear" w:color="auto" w:fill="D1D2D4"/>
          </w:tcPr>
          <w:p>
            <w:pPr>
              <w:spacing w:after="0"/>
              <w:rPr>
                <w:sz w:val="19"/>
                <w:szCs w:val="19"/>
                <w:color w:val="auto"/>
              </w:rPr>
            </w:pPr>
          </w:p>
        </w:tc>
        <w:tc>
          <w:tcPr>
            <w:tcW w:w="11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14"/>
        </w:trPr>
        <w:tc>
          <w:tcPr>
            <w:tcW w:w="2620" w:type="dxa"/>
            <w:vAlign w:val="bottom"/>
            <w:shd w:val="clear" w:color="auto" w:fill="D1D2D4"/>
          </w:tcPr>
          <w:p>
            <w:pPr>
              <w:ind w:left="20"/>
              <w:spacing w:after="0"/>
              <w:rPr>
                <w:sz w:val="20"/>
                <w:szCs w:val="20"/>
                <w:color w:val="auto"/>
              </w:rPr>
            </w:pPr>
            <w:r>
              <w:rPr>
                <w:rFonts w:ascii="Arial" w:cs="Arial" w:eastAsia="Arial" w:hAnsi="Arial"/>
                <w:sz w:val="16"/>
                <w:szCs w:val="16"/>
                <w:color w:val="auto"/>
              </w:rPr>
              <w:t>notes</w:t>
            </w:r>
          </w:p>
        </w:tc>
        <w:tc>
          <w:tcPr>
            <w:tcW w:w="720" w:type="dxa"/>
            <w:vAlign w:val="bottom"/>
            <w:tcBorders>
              <w:bottom w:val="single" w:sz="8" w:color="auto"/>
            </w:tcBorders>
            <w:vMerge w:val="continue"/>
            <w:shd w:val="clear" w:color="auto" w:fill="D1D2D4"/>
          </w:tcPr>
          <w:p>
            <w:pPr>
              <w:spacing w:after="0"/>
              <w:rPr>
                <w:sz w:val="18"/>
                <w:szCs w:val="18"/>
                <w:color w:val="auto"/>
              </w:rPr>
            </w:pPr>
          </w:p>
        </w:tc>
        <w:tc>
          <w:tcPr>
            <w:tcW w:w="260" w:type="dxa"/>
            <w:vAlign w:val="bottom"/>
            <w:tcBorders>
              <w:bottom w:val="single" w:sz="8" w:color="auto"/>
            </w:tcBorders>
            <w:shd w:val="clear" w:color="auto" w:fill="D1D2D4"/>
          </w:tcPr>
          <w:p>
            <w:pPr>
              <w:spacing w:after="0"/>
              <w:rPr>
                <w:sz w:val="18"/>
                <w:szCs w:val="18"/>
                <w:color w:val="auto"/>
              </w:rPr>
            </w:pPr>
          </w:p>
        </w:tc>
        <w:tc>
          <w:tcPr>
            <w:tcW w:w="520" w:type="dxa"/>
            <w:vAlign w:val="bottom"/>
            <w:tcBorders>
              <w:bottom w:val="single" w:sz="8" w:color="auto"/>
            </w:tcBorders>
            <w:vMerge w:val="continue"/>
            <w:shd w:val="clear" w:color="auto" w:fill="D1D2D4"/>
          </w:tcPr>
          <w:p>
            <w:pPr>
              <w:spacing w:after="0"/>
              <w:rPr>
                <w:sz w:val="18"/>
                <w:szCs w:val="18"/>
                <w:color w:val="auto"/>
              </w:rPr>
            </w:pPr>
          </w:p>
        </w:tc>
        <w:tc>
          <w:tcPr>
            <w:tcW w:w="140" w:type="dxa"/>
            <w:vAlign w:val="bottom"/>
            <w:tcBorders>
              <w:bottom w:val="single" w:sz="8" w:color="auto"/>
            </w:tcBorders>
            <w:shd w:val="clear" w:color="auto" w:fill="D1D2D4"/>
          </w:tcPr>
          <w:p>
            <w:pPr>
              <w:spacing w:after="0"/>
              <w:rPr>
                <w:sz w:val="18"/>
                <w:szCs w:val="18"/>
                <w:color w:val="auto"/>
              </w:rPr>
            </w:pPr>
          </w:p>
        </w:tc>
        <w:tc>
          <w:tcPr>
            <w:tcW w:w="760" w:type="dxa"/>
            <w:vAlign w:val="bottom"/>
            <w:tcBorders>
              <w:bottom w:val="single" w:sz="8" w:color="auto"/>
            </w:tcBorders>
            <w:vMerge w:val="continue"/>
            <w:shd w:val="clear" w:color="auto" w:fill="D1D2D4"/>
          </w:tcPr>
          <w:p>
            <w:pPr>
              <w:spacing w:after="0"/>
              <w:rPr>
                <w:sz w:val="18"/>
                <w:szCs w:val="18"/>
                <w:color w:val="auto"/>
              </w:rPr>
            </w:pPr>
          </w:p>
        </w:tc>
        <w:tc>
          <w:tcPr>
            <w:tcW w:w="840" w:type="dxa"/>
            <w:vAlign w:val="bottom"/>
            <w:tcBorders>
              <w:bottom w:val="single" w:sz="8" w:color="auto"/>
            </w:tcBorders>
            <w:vMerge w:val="continue"/>
            <w:shd w:val="clear" w:color="auto" w:fill="D1D2D4"/>
          </w:tcPr>
          <w:p>
            <w:pPr>
              <w:spacing w:after="0"/>
              <w:rPr>
                <w:sz w:val="18"/>
                <w:szCs w:val="18"/>
                <w:color w:val="auto"/>
              </w:rPr>
            </w:pPr>
          </w:p>
        </w:tc>
        <w:tc>
          <w:tcPr>
            <w:tcW w:w="160" w:type="dxa"/>
            <w:vAlign w:val="bottom"/>
            <w:tcBorders>
              <w:bottom w:val="single" w:sz="8" w:color="auto"/>
            </w:tcBorders>
            <w:shd w:val="clear" w:color="auto" w:fill="D1D2D4"/>
          </w:tcPr>
          <w:p>
            <w:pPr>
              <w:spacing w:after="0"/>
              <w:rPr>
                <w:sz w:val="18"/>
                <w:szCs w:val="18"/>
                <w:color w:val="auto"/>
              </w:rPr>
            </w:pPr>
          </w:p>
        </w:tc>
        <w:tc>
          <w:tcPr>
            <w:tcW w:w="640" w:type="dxa"/>
            <w:vAlign w:val="bottom"/>
            <w:tcBorders>
              <w:bottom w:val="single" w:sz="8" w:color="auto"/>
            </w:tcBorders>
            <w:vMerge w:val="continue"/>
            <w:shd w:val="clear" w:color="auto" w:fill="D1D2D4"/>
          </w:tcPr>
          <w:p>
            <w:pPr>
              <w:spacing w:after="0"/>
              <w:rPr>
                <w:sz w:val="18"/>
                <w:szCs w:val="18"/>
                <w:color w:val="auto"/>
              </w:rPr>
            </w:pPr>
          </w:p>
        </w:tc>
        <w:tc>
          <w:tcPr>
            <w:tcW w:w="140" w:type="dxa"/>
            <w:vAlign w:val="bottom"/>
            <w:tcBorders>
              <w:bottom w:val="single" w:sz="8" w:color="auto"/>
            </w:tcBorders>
            <w:shd w:val="clear" w:color="auto" w:fill="D1D2D4"/>
          </w:tcPr>
          <w:p>
            <w:pPr>
              <w:spacing w:after="0"/>
              <w:rPr>
                <w:sz w:val="18"/>
                <w:szCs w:val="18"/>
                <w:color w:val="auto"/>
              </w:rPr>
            </w:pPr>
          </w:p>
        </w:tc>
        <w:tc>
          <w:tcPr>
            <w:tcW w:w="1180" w:type="dxa"/>
            <w:vAlign w:val="bottom"/>
            <w:tcBorders>
              <w:bottom w:val="single" w:sz="8" w:color="auto"/>
            </w:tcBorders>
            <w:vMerge w:val="continue"/>
            <w:shd w:val="clear" w:color="auto" w:fill="D1D2D4"/>
          </w:tcPr>
          <w:p>
            <w:pPr>
              <w:spacing w:after="0"/>
              <w:rPr>
                <w:sz w:val="18"/>
                <w:szCs w:val="18"/>
                <w:color w:val="auto"/>
              </w:rPr>
            </w:pPr>
          </w:p>
        </w:tc>
        <w:tc>
          <w:tcPr>
            <w:tcW w:w="140" w:type="dxa"/>
            <w:vAlign w:val="bottom"/>
            <w:tcBorders>
              <w:bottom w:val="single" w:sz="8" w:color="auto"/>
            </w:tcBorders>
            <w:shd w:val="clear" w:color="auto" w:fill="D1D2D4"/>
          </w:tcPr>
          <w:p>
            <w:pPr>
              <w:spacing w:after="0"/>
              <w:rPr>
                <w:sz w:val="18"/>
                <w:szCs w:val="18"/>
                <w:color w:val="auto"/>
              </w:rPr>
            </w:pPr>
          </w:p>
        </w:tc>
        <w:tc>
          <w:tcPr>
            <w:tcW w:w="1080" w:type="dxa"/>
            <w:vAlign w:val="bottom"/>
            <w:tcBorders>
              <w:bottom w:val="single" w:sz="8" w:color="auto"/>
            </w:tcBorders>
            <w:vMerge w:val="continue"/>
            <w:shd w:val="clear" w:color="auto" w:fill="D1D2D4"/>
          </w:tcPr>
          <w:p>
            <w:pPr>
              <w:spacing w:after="0"/>
              <w:rPr>
                <w:sz w:val="18"/>
                <w:szCs w:val="18"/>
                <w:color w:val="auto"/>
              </w:rPr>
            </w:pPr>
          </w:p>
        </w:tc>
        <w:tc>
          <w:tcPr>
            <w:tcW w:w="140" w:type="dxa"/>
            <w:vAlign w:val="bottom"/>
            <w:tcBorders>
              <w:bottom w:val="single" w:sz="8" w:color="auto"/>
            </w:tcBorders>
            <w:shd w:val="clear" w:color="auto" w:fill="D1D2D4"/>
          </w:tcPr>
          <w:p>
            <w:pPr>
              <w:spacing w:after="0"/>
              <w:rPr>
                <w:sz w:val="18"/>
                <w:szCs w:val="18"/>
                <w:color w:val="auto"/>
              </w:rPr>
            </w:pPr>
          </w:p>
        </w:tc>
        <w:tc>
          <w:tcPr>
            <w:tcW w:w="1100" w:type="dxa"/>
            <w:vAlign w:val="bottom"/>
            <w:tcBorders>
              <w:bottom w:val="single" w:sz="8" w:color="auto"/>
            </w:tcBorders>
            <w:vMerge w:val="continue"/>
            <w:shd w:val="clear" w:color="auto" w:fill="D1D2D4"/>
          </w:tcPr>
          <w:p>
            <w:pPr>
              <w:spacing w:after="0"/>
              <w:rPr>
                <w:sz w:val="18"/>
                <w:szCs w:val="18"/>
                <w:color w:val="auto"/>
              </w:rPr>
            </w:pPr>
          </w:p>
        </w:tc>
        <w:tc>
          <w:tcPr>
            <w:tcW w:w="800" w:type="dxa"/>
            <w:vAlign w:val="bottom"/>
            <w:tcBorders>
              <w:bottom w:val="single" w:sz="8" w:color="auto"/>
            </w:tcBorders>
            <w:vMerge w:val="continue"/>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620" w:type="dxa"/>
            <w:vAlign w:val="bottom"/>
          </w:tcPr>
          <w:p>
            <w:pPr>
              <w:ind w:left="20"/>
              <w:spacing w:after="0"/>
              <w:rPr>
                <w:sz w:val="20"/>
                <w:szCs w:val="20"/>
                <w:color w:val="auto"/>
              </w:rPr>
            </w:pPr>
            <w:r>
              <w:rPr>
                <w:rFonts w:ascii="Arial" w:cs="Arial" w:eastAsia="Arial" w:hAnsi="Arial"/>
                <w:sz w:val="16"/>
                <w:szCs w:val="16"/>
                <w:b w:val="1"/>
                <w:bCs w:val="1"/>
                <w:color w:val="auto"/>
              </w:rPr>
              <w:t>Balance at August 29, 2019</w:t>
            </w:r>
          </w:p>
        </w:tc>
        <w:tc>
          <w:tcPr>
            <w:tcW w:w="720" w:type="dxa"/>
            <w:vAlign w:val="bottom"/>
          </w:tcPr>
          <w:p>
            <w:pPr>
              <w:jc w:val="right"/>
              <w:spacing w:after="0"/>
              <w:rPr>
                <w:sz w:val="20"/>
                <w:szCs w:val="20"/>
                <w:color w:val="auto"/>
              </w:rPr>
            </w:pPr>
            <w:r>
              <w:rPr>
                <w:rFonts w:ascii="Arial" w:cs="Arial" w:eastAsia="Arial" w:hAnsi="Arial"/>
                <w:sz w:val="18"/>
                <w:szCs w:val="18"/>
                <w:color w:val="auto"/>
              </w:rPr>
              <w:t>1,182</w:t>
            </w: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118</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8,214</w:t>
            </w:r>
          </w:p>
        </w:tc>
        <w:tc>
          <w:tcPr>
            <w:tcW w:w="840" w:type="dxa"/>
            <w:vAlign w:val="bottom"/>
          </w:tcPr>
          <w:p>
            <w:pPr>
              <w:jc w:val="right"/>
              <w:spacing w:after="0"/>
              <w:rPr>
                <w:sz w:val="20"/>
                <w:szCs w:val="20"/>
                <w:color w:val="auto"/>
              </w:rPr>
            </w:pPr>
            <w:r>
              <w:rPr>
                <w:rFonts w:ascii="Arial" w:cs="Arial" w:eastAsia="Arial" w:hAnsi="Arial"/>
                <w:sz w:val="18"/>
                <w:szCs w:val="18"/>
                <w:color w:val="auto"/>
              </w:rPr>
              <w:t>$ 30,761</w:t>
            </w:r>
          </w:p>
        </w:tc>
        <w:tc>
          <w:tcPr>
            <w:tcW w:w="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(3,221)</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35,881</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889</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w w:val="96"/>
              </w:rPr>
              <w:t>$ 36,770</w:t>
            </w:r>
          </w:p>
        </w:tc>
        <w:tc>
          <w:tcPr>
            <w:tcW w:w="0" w:type="dxa"/>
            <w:vAlign w:val="bottom"/>
          </w:tcPr>
          <w:p>
            <w:pPr>
              <w:spacing w:after="0"/>
              <w:rPr>
                <w:sz w:val="1"/>
                <w:szCs w:val="1"/>
                <w:color w:val="auto"/>
              </w:rPr>
            </w:pPr>
          </w:p>
        </w:tc>
      </w:tr>
      <w:tr>
        <w:trPr>
          <w:trHeight w:val="263"/>
        </w:trPr>
        <w:tc>
          <w:tcPr>
            <w:tcW w:w="2620" w:type="dxa"/>
            <w:vAlign w:val="bottom"/>
            <w:shd w:val="clear" w:color="auto" w:fill="D1D2D4"/>
          </w:tcPr>
          <w:p>
            <w:pPr>
              <w:ind w:left="20"/>
              <w:spacing w:after="0"/>
              <w:rPr>
                <w:sz w:val="20"/>
                <w:szCs w:val="20"/>
                <w:color w:val="auto"/>
              </w:rPr>
            </w:pPr>
            <w:r>
              <w:rPr>
                <w:rFonts w:ascii="Arial" w:cs="Arial" w:eastAsia="Arial" w:hAnsi="Arial"/>
                <w:sz w:val="16"/>
                <w:szCs w:val="16"/>
                <w:color w:val="auto"/>
              </w:rPr>
              <w:t>Net income</w:t>
            </w: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D1D2D4"/>
          </w:tcPr>
          <w:p>
            <w:pPr>
              <w:spacing w:after="0"/>
              <w:rPr>
                <w:sz w:val="22"/>
                <w:szCs w:val="22"/>
                <w:color w:val="auto"/>
              </w:rPr>
            </w:pPr>
          </w:p>
        </w:tc>
        <w:tc>
          <w:tcPr>
            <w:tcW w:w="5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22"/>
                <w:szCs w:val="22"/>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2,687</w:t>
            </w:r>
          </w:p>
        </w:tc>
        <w:tc>
          <w:tcPr>
            <w:tcW w:w="160" w:type="dxa"/>
            <w:vAlign w:val="bottom"/>
            <w:shd w:val="clear" w:color="auto" w:fill="D1D2D4"/>
          </w:tcPr>
          <w:p>
            <w:pPr>
              <w:spacing w:after="0"/>
              <w:rPr>
                <w:sz w:val="22"/>
                <w:szCs w:val="22"/>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22"/>
                <w:szCs w:val="22"/>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22"/>
                <w:szCs w:val="22"/>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2,687</w:t>
            </w:r>
          </w:p>
        </w:tc>
        <w:tc>
          <w:tcPr>
            <w:tcW w:w="140" w:type="dxa"/>
            <w:vAlign w:val="bottom"/>
            <w:shd w:val="clear" w:color="auto" w:fill="D1D2D4"/>
          </w:tcPr>
          <w:p>
            <w:pPr>
              <w:spacing w:after="0"/>
              <w:rPr>
                <w:sz w:val="22"/>
                <w:szCs w:val="22"/>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w:t>
            </w:r>
          </w:p>
        </w:tc>
        <w:tc>
          <w:tcPr>
            <w:tcW w:w="800" w:type="dxa"/>
            <w:vAlign w:val="bottom"/>
            <w:shd w:val="clear" w:color="auto" w:fill="D1D2D4"/>
          </w:tcPr>
          <w:p>
            <w:pPr>
              <w:jc w:val="right"/>
              <w:ind w:right="11"/>
              <w:spacing w:after="0"/>
              <w:rPr>
                <w:sz w:val="20"/>
                <w:szCs w:val="20"/>
                <w:color w:val="auto"/>
              </w:rPr>
            </w:pPr>
            <w:r>
              <w:rPr>
                <w:rFonts w:ascii="Arial" w:cs="Arial" w:eastAsia="Arial" w:hAnsi="Arial"/>
                <w:sz w:val="18"/>
                <w:szCs w:val="18"/>
                <w:color w:val="auto"/>
              </w:rPr>
              <w:t>2,702</w:t>
            </w:r>
          </w:p>
        </w:tc>
        <w:tc>
          <w:tcPr>
            <w:tcW w:w="0" w:type="dxa"/>
            <w:vAlign w:val="bottom"/>
          </w:tcPr>
          <w:p>
            <w:pPr>
              <w:spacing w:after="0"/>
              <w:rPr>
                <w:sz w:val="1"/>
                <w:szCs w:val="1"/>
                <w:color w:val="auto"/>
              </w:rPr>
            </w:pPr>
          </w:p>
        </w:tc>
      </w:tr>
      <w:tr>
        <w:trPr>
          <w:trHeight w:val="218"/>
        </w:trPr>
        <w:tc>
          <w:tcPr>
            <w:tcW w:w="2620" w:type="dxa"/>
            <w:vAlign w:val="bottom"/>
          </w:tcPr>
          <w:p>
            <w:pPr>
              <w:ind w:left="20"/>
              <w:spacing w:after="0"/>
              <w:rPr>
                <w:sz w:val="20"/>
                <w:szCs w:val="20"/>
                <w:color w:val="auto"/>
              </w:rPr>
            </w:pPr>
            <w:r>
              <w:rPr>
                <w:rFonts w:ascii="Arial" w:cs="Arial" w:eastAsia="Arial" w:hAnsi="Arial"/>
                <w:sz w:val="16"/>
                <w:szCs w:val="16"/>
                <w:color w:val="auto"/>
              </w:rPr>
              <w:t>Other comprehensive income</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2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62</w:t>
            </w:r>
          </w:p>
        </w:tc>
        <w:tc>
          <w:tcPr>
            <w:tcW w:w="14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62</w:t>
            </w:r>
          </w:p>
        </w:tc>
        <w:tc>
          <w:tcPr>
            <w:tcW w:w="14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ind w:right="11"/>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7"/>
        </w:trPr>
        <w:tc>
          <w:tcPr>
            <w:tcW w:w="2620" w:type="dxa"/>
            <w:vAlign w:val="bottom"/>
          </w:tcPr>
          <w:p>
            <w:pPr>
              <w:ind w:left="20"/>
              <w:spacing w:after="0"/>
              <w:rPr>
                <w:sz w:val="20"/>
                <w:szCs w:val="20"/>
                <w:color w:val="auto"/>
              </w:rPr>
            </w:pPr>
            <w:r>
              <w:rPr>
                <w:rFonts w:ascii="Arial" w:cs="Arial" w:eastAsia="Arial" w:hAnsi="Arial"/>
                <w:sz w:val="16"/>
                <w:szCs w:val="16"/>
                <w:color w:val="auto"/>
              </w:rPr>
              <w:t>(loss), net</w:t>
            </w:r>
          </w:p>
        </w:tc>
        <w:tc>
          <w:tcPr>
            <w:tcW w:w="7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620" w:type="dxa"/>
            <w:vAlign w:val="bottom"/>
            <w:shd w:val="clear" w:color="auto" w:fill="D1D2D4"/>
          </w:tcPr>
          <w:p>
            <w:pPr>
              <w:ind w:left="20"/>
              <w:spacing w:after="0"/>
              <w:rPr>
                <w:sz w:val="20"/>
                <w:szCs w:val="20"/>
                <w:color w:val="auto"/>
              </w:rPr>
            </w:pPr>
            <w:r>
              <w:rPr>
                <w:rFonts w:ascii="Arial" w:cs="Arial" w:eastAsia="Arial" w:hAnsi="Arial"/>
                <w:sz w:val="16"/>
                <w:szCs w:val="16"/>
                <w:color w:val="auto"/>
              </w:rPr>
              <w:t>Stock issued under stock plans</w:t>
            </w: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w:t>
            </w:r>
          </w:p>
        </w:tc>
        <w:tc>
          <w:tcPr>
            <w:tcW w:w="260" w:type="dxa"/>
            <w:vAlign w:val="bottom"/>
            <w:shd w:val="clear" w:color="auto" w:fill="D1D2D4"/>
          </w:tcPr>
          <w:p>
            <w:pPr>
              <w:spacing w:after="0"/>
              <w:rPr>
                <w:sz w:val="22"/>
                <w:szCs w:val="22"/>
                <w:color w:val="auto"/>
              </w:rPr>
            </w:pPr>
          </w:p>
        </w:tc>
        <w:tc>
          <w:tcPr>
            <w:tcW w:w="5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1</w:t>
            </w:r>
          </w:p>
        </w:tc>
        <w:tc>
          <w:tcPr>
            <w:tcW w:w="140" w:type="dxa"/>
            <w:vAlign w:val="bottom"/>
            <w:shd w:val="clear" w:color="auto" w:fill="D1D2D4"/>
          </w:tcPr>
          <w:p>
            <w:pPr>
              <w:spacing w:after="0"/>
              <w:rPr>
                <w:sz w:val="22"/>
                <w:szCs w:val="22"/>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224</w:t>
            </w:r>
          </w:p>
        </w:tc>
        <w:tc>
          <w:tcPr>
            <w:tcW w:w="8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22"/>
                <w:szCs w:val="22"/>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22"/>
                <w:szCs w:val="22"/>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22"/>
                <w:szCs w:val="22"/>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225</w:t>
            </w:r>
          </w:p>
        </w:tc>
        <w:tc>
          <w:tcPr>
            <w:tcW w:w="140" w:type="dxa"/>
            <w:vAlign w:val="bottom"/>
            <w:shd w:val="clear" w:color="auto" w:fill="D1D2D4"/>
          </w:tcPr>
          <w:p>
            <w:pPr>
              <w:spacing w:after="0"/>
              <w:rPr>
                <w:sz w:val="22"/>
                <w:szCs w:val="22"/>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D1D2D4"/>
          </w:tcPr>
          <w:p>
            <w:pPr>
              <w:jc w:val="right"/>
              <w:ind w:right="11"/>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8"/>
        </w:trPr>
        <w:tc>
          <w:tcPr>
            <w:tcW w:w="262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2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328</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328</w:t>
            </w:r>
          </w:p>
        </w:tc>
        <w:tc>
          <w:tcPr>
            <w:tcW w:w="14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ind w:right="11"/>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07"/>
        </w:trPr>
        <w:tc>
          <w:tcPr>
            <w:tcW w:w="2620" w:type="dxa"/>
            <w:vAlign w:val="bottom"/>
          </w:tcPr>
          <w:p>
            <w:pPr>
              <w:ind w:left="20"/>
              <w:spacing w:after="0"/>
              <w:rPr>
                <w:sz w:val="20"/>
                <w:szCs w:val="20"/>
                <w:color w:val="auto"/>
              </w:rPr>
            </w:pPr>
            <w:r>
              <w:rPr>
                <w:rFonts w:ascii="Arial" w:cs="Arial" w:eastAsia="Arial" w:hAnsi="Arial"/>
                <w:sz w:val="16"/>
                <w:szCs w:val="16"/>
                <w:color w:val="auto"/>
              </w:rPr>
              <w:t>expense</w:t>
            </w:r>
          </w:p>
        </w:tc>
        <w:tc>
          <w:tcPr>
            <w:tcW w:w="7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620" w:type="dxa"/>
            <w:vAlign w:val="bottom"/>
            <w:shd w:val="clear" w:color="auto" w:fill="D1D2D4"/>
          </w:tcPr>
          <w:p>
            <w:pPr>
              <w:ind w:left="20"/>
              <w:spacing w:after="0"/>
              <w:rPr>
                <w:sz w:val="20"/>
                <w:szCs w:val="20"/>
                <w:color w:val="auto"/>
              </w:rPr>
            </w:pPr>
            <w:r>
              <w:rPr>
                <w:rFonts w:ascii="Arial" w:cs="Arial" w:eastAsia="Arial" w:hAnsi="Arial"/>
                <w:sz w:val="16"/>
                <w:szCs w:val="16"/>
                <w:color w:val="auto"/>
              </w:rPr>
              <w:t>Repurchase of stock</w:t>
            </w: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D1D2D4"/>
          </w:tcPr>
          <w:p>
            <w:pPr>
              <w:spacing w:after="0"/>
              <w:rPr>
                <w:sz w:val="22"/>
                <w:szCs w:val="22"/>
                <w:color w:val="auto"/>
              </w:rPr>
            </w:pPr>
          </w:p>
        </w:tc>
        <w:tc>
          <w:tcPr>
            <w:tcW w:w="5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22"/>
                <w:szCs w:val="22"/>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w:t>
            </w:r>
          </w:p>
        </w:tc>
        <w:tc>
          <w:tcPr>
            <w:tcW w:w="8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(64)</w:t>
            </w:r>
          </w:p>
        </w:tc>
        <w:tc>
          <w:tcPr>
            <w:tcW w:w="160" w:type="dxa"/>
            <w:vAlign w:val="bottom"/>
            <w:shd w:val="clear" w:color="auto" w:fill="D1D2D4"/>
          </w:tcPr>
          <w:p>
            <w:pPr>
              <w:spacing w:after="0"/>
              <w:rPr>
                <w:sz w:val="22"/>
                <w:szCs w:val="22"/>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(176)</w:t>
            </w:r>
          </w:p>
        </w:tc>
        <w:tc>
          <w:tcPr>
            <w:tcW w:w="140" w:type="dxa"/>
            <w:vAlign w:val="bottom"/>
            <w:shd w:val="clear" w:color="auto" w:fill="D1D2D4"/>
          </w:tcPr>
          <w:p>
            <w:pPr>
              <w:spacing w:after="0"/>
              <w:rPr>
                <w:sz w:val="22"/>
                <w:szCs w:val="22"/>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22"/>
                <w:szCs w:val="22"/>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(251)</w:t>
            </w:r>
          </w:p>
        </w:tc>
        <w:tc>
          <w:tcPr>
            <w:tcW w:w="140" w:type="dxa"/>
            <w:vAlign w:val="bottom"/>
            <w:shd w:val="clear" w:color="auto" w:fill="D1D2D4"/>
          </w:tcPr>
          <w:p>
            <w:pPr>
              <w:spacing w:after="0"/>
              <w:rPr>
                <w:sz w:val="22"/>
                <w:szCs w:val="22"/>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50"/>
        </w:trPr>
        <w:tc>
          <w:tcPr>
            <w:tcW w:w="2620" w:type="dxa"/>
            <w:vAlign w:val="bottom"/>
          </w:tcPr>
          <w:p>
            <w:pPr>
              <w:ind w:left="20"/>
              <w:spacing w:after="0"/>
              <w:rPr>
                <w:sz w:val="20"/>
                <w:szCs w:val="20"/>
                <w:color w:val="auto"/>
              </w:rPr>
            </w:pPr>
            <w:r>
              <w:rPr>
                <w:rFonts w:ascii="Arial" w:cs="Arial" w:eastAsia="Arial" w:hAnsi="Arial"/>
                <w:sz w:val="16"/>
                <w:szCs w:val="16"/>
                <w:color w:val="auto"/>
              </w:rPr>
              <w:t>Settlement of capped calls</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98</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(98)</w:t>
            </w: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620" w:type="dxa"/>
            <w:vAlign w:val="bottom"/>
            <w:shd w:val="clear" w:color="auto" w:fill="D1D2D4"/>
          </w:tcPr>
          <w:p>
            <w:pPr>
              <w:ind w:left="20"/>
              <w:spacing w:after="0"/>
              <w:rPr>
                <w:sz w:val="20"/>
                <w:szCs w:val="20"/>
                <w:color w:val="auto"/>
              </w:rPr>
            </w:pPr>
            <w:r>
              <w:rPr>
                <w:rFonts w:ascii="Arial" w:cs="Arial" w:eastAsia="Arial" w:hAnsi="Arial"/>
                <w:sz w:val="16"/>
                <w:szCs w:val="16"/>
                <w:color w:val="auto"/>
              </w:rPr>
              <w:t>Acquisitions of noncontrolling</w:t>
            </w:r>
          </w:p>
        </w:tc>
        <w:tc>
          <w:tcPr>
            <w:tcW w:w="72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D1D2D4"/>
          </w:tcPr>
          <w:p>
            <w:pPr>
              <w:spacing w:after="0"/>
              <w:rPr>
                <w:sz w:val="19"/>
                <w:szCs w:val="19"/>
                <w:color w:val="auto"/>
              </w:rPr>
            </w:pPr>
          </w:p>
        </w:tc>
        <w:tc>
          <w:tcPr>
            <w:tcW w:w="520" w:type="dxa"/>
            <w:vAlign w:val="bottom"/>
            <w:vMerge w:val="restart"/>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9"/>
                <w:szCs w:val="19"/>
                <w:color w:val="auto"/>
              </w:rPr>
            </w:pPr>
          </w:p>
        </w:tc>
        <w:tc>
          <w:tcPr>
            <w:tcW w:w="76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120</w:t>
            </w:r>
          </w:p>
        </w:tc>
        <w:tc>
          <w:tcPr>
            <w:tcW w:w="84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19"/>
                <w:szCs w:val="19"/>
                <w:color w:val="auto"/>
              </w:rPr>
            </w:pPr>
          </w:p>
        </w:tc>
        <w:tc>
          <w:tcPr>
            <w:tcW w:w="64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9"/>
                <w:szCs w:val="19"/>
                <w:color w:val="auto"/>
              </w:rPr>
            </w:pPr>
          </w:p>
        </w:tc>
        <w:tc>
          <w:tcPr>
            <w:tcW w:w="118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9"/>
                <w:szCs w:val="19"/>
                <w:color w:val="auto"/>
              </w:rPr>
            </w:pPr>
          </w:p>
        </w:tc>
        <w:tc>
          <w:tcPr>
            <w:tcW w:w="108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120</w:t>
            </w:r>
          </w:p>
        </w:tc>
        <w:tc>
          <w:tcPr>
            <w:tcW w:w="140" w:type="dxa"/>
            <w:vAlign w:val="bottom"/>
            <w:shd w:val="clear" w:color="auto" w:fill="D1D2D4"/>
          </w:tcPr>
          <w:p>
            <w:pPr>
              <w:spacing w:after="0"/>
              <w:rPr>
                <w:sz w:val="19"/>
                <w:szCs w:val="19"/>
                <w:color w:val="auto"/>
              </w:rPr>
            </w:pPr>
          </w:p>
        </w:tc>
        <w:tc>
          <w:tcPr>
            <w:tcW w:w="11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(904)</w:t>
            </w:r>
          </w:p>
        </w:tc>
        <w:tc>
          <w:tcPr>
            <w:tcW w:w="8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14"/>
        </w:trPr>
        <w:tc>
          <w:tcPr>
            <w:tcW w:w="2620" w:type="dxa"/>
            <w:vAlign w:val="bottom"/>
            <w:shd w:val="clear" w:color="auto" w:fill="D1D2D4"/>
          </w:tcPr>
          <w:p>
            <w:pPr>
              <w:ind w:left="20"/>
              <w:spacing w:after="0"/>
              <w:rPr>
                <w:sz w:val="20"/>
                <w:szCs w:val="20"/>
                <w:color w:val="auto"/>
              </w:rPr>
            </w:pPr>
            <w:r>
              <w:rPr>
                <w:rFonts w:ascii="Arial" w:cs="Arial" w:eastAsia="Arial" w:hAnsi="Arial"/>
                <w:sz w:val="16"/>
                <w:szCs w:val="16"/>
                <w:color w:val="auto"/>
              </w:rPr>
              <w:t>interests</w:t>
            </w:r>
          </w:p>
        </w:tc>
        <w:tc>
          <w:tcPr>
            <w:tcW w:w="720" w:type="dxa"/>
            <w:vAlign w:val="bottom"/>
            <w:vMerge w:val="continue"/>
            <w:shd w:val="clear" w:color="auto" w:fill="D1D2D4"/>
          </w:tcPr>
          <w:p>
            <w:pPr>
              <w:spacing w:after="0"/>
              <w:rPr>
                <w:sz w:val="18"/>
                <w:szCs w:val="18"/>
                <w:color w:val="auto"/>
              </w:rPr>
            </w:pPr>
          </w:p>
        </w:tc>
        <w:tc>
          <w:tcPr>
            <w:tcW w:w="260" w:type="dxa"/>
            <w:vAlign w:val="bottom"/>
            <w:shd w:val="clear" w:color="auto" w:fill="D1D2D4"/>
          </w:tcPr>
          <w:p>
            <w:pPr>
              <w:spacing w:after="0"/>
              <w:rPr>
                <w:sz w:val="18"/>
                <w:szCs w:val="18"/>
                <w:color w:val="auto"/>
              </w:rPr>
            </w:pPr>
          </w:p>
        </w:tc>
        <w:tc>
          <w:tcPr>
            <w:tcW w:w="520" w:type="dxa"/>
            <w:vAlign w:val="bottom"/>
            <w:vMerge w:val="continue"/>
            <w:shd w:val="clear" w:color="auto" w:fill="D1D2D4"/>
          </w:tcPr>
          <w:p>
            <w:pPr>
              <w:spacing w:after="0"/>
              <w:rPr>
                <w:sz w:val="18"/>
                <w:szCs w:val="18"/>
                <w:color w:val="auto"/>
              </w:rPr>
            </w:pPr>
          </w:p>
        </w:tc>
        <w:tc>
          <w:tcPr>
            <w:tcW w:w="140" w:type="dxa"/>
            <w:vAlign w:val="bottom"/>
            <w:shd w:val="clear" w:color="auto" w:fill="D1D2D4"/>
          </w:tcPr>
          <w:p>
            <w:pPr>
              <w:spacing w:after="0"/>
              <w:rPr>
                <w:sz w:val="18"/>
                <w:szCs w:val="18"/>
                <w:color w:val="auto"/>
              </w:rPr>
            </w:pPr>
          </w:p>
        </w:tc>
        <w:tc>
          <w:tcPr>
            <w:tcW w:w="760" w:type="dxa"/>
            <w:vAlign w:val="bottom"/>
            <w:vMerge w:val="continue"/>
            <w:shd w:val="clear" w:color="auto" w:fill="D1D2D4"/>
          </w:tcPr>
          <w:p>
            <w:pPr>
              <w:spacing w:after="0"/>
              <w:rPr>
                <w:sz w:val="18"/>
                <w:szCs w:val="18"/>
                <w:color w:val="auto"/>
              </w:rPr>
            </w:pPr>
          </w:p>
        </w:tc>
        <w:tc>
          <w:tcPr>
            <w:tcW w:w="840" w:type="dxa"/>
            <w:vAlign w:val="bottom"/>
            <w:vMerge w:val="continue"/>
            <w:shd w:val="clear" w:color="auto" w:fill="D1D2D4"/>
          </w:tcPr>
          <w:p>
            <w:pPr>
              <w:spacing w:after="0"/>
              <w:rPr>
                <w:sz w:val="18"/>
                <w:szCs w:val="18"/>
                <w:color w:val="auto"/>
              </w:rPr>
            </w:pPr>
          </w:p>
        </w:tc>
        <w:tc>
          <w:tcPr>
            <w:tcW w:w="160" w:type="dxa"/>
            <w:vAlign w:val="bottom"/>
            <w:shd w:val="clear" w:color="auto" w:fill="D1D2D4"/>
          </w:tcPr>
          <w:p>
            <w:pPr>
              <w:spacing w:after="0"/>
              <w:rPr>
                <w:sz w:val="18"/>
                <w:szCs w:val="18"/>
                <w:color w:val="auto"/>
              </w:rPr>
            </w:pPr>
          </w:p>
        </w:tc>
        <w:tc>
          <w:tcPr>
            <w:tcW w:w="640" w:type="dxa"/>
            <w:vAlign w:val="bottom"/>
            <w:vMerge w:val="continue"/>
            <w:shd w:val="clear" w:color="auto" w:fill="D1D2D4"/>
          </w:tcPr>
          <w:p>
            <w:pPr>
              <w:spacing w:after="0"/>
              <w:rPr>
                <w:sz w:val="18"/>
                <w:szCs w:val="18"/>
                <w:color w:val="auto"/>
              </w:rPr>
            </w:pPr>
          </w:p>
        </w:tc>
        <w:tc>
          <w:tcPr>
            <w:tcW w:w="140" w:type="dxa"/>
            <w:vAlign w:val="bottom"/>
            <w:shd w:val="clear" w:color="auto" w:fill="D1D2D4"/>
          </w:tcPr>
          <w:p>
            <w:pPr>
              <w:spacing w:after="0"/>
              <w:rPr>
                <w:sz w:val="18"/>
                <w:szCs w:val="18"/>
                <w:color w:val="auto"/>
              </w:rPr>
            </w:pPr>
          </w:p>
        </w:tc>
        <w:tc>
          <w:tcPr>
            <w:tcW w:w="1180" w:type="dxa"/>
            <w:vAlign w:val="bottom"/>
            <w:vMerge w:val="continue"/>
            <w:shd w:val="clear" w:color="auto" w:fill="D1D2D4"/>
          </w:tcPr>
          <w:p>
            <w:pPr>
              <w:spacing w:after="0"/>
              <w:rPr>
                <w:sz w:val="18"/>
                <w:szCs w:val="18"/>
                <w:color w:val="auto"/>
              </w:rPr>
            </w:pPr>
          </w:p>
        </w:tc>
        <w:tc>
          <w:tcPr>
            <w:tcW w:w="140" w:type="dxa"/>
            <w:vAlign w:val="bottom"/>
            <w:shd w:val="clear" w:color="auto" w:fill="D1D2D4"/>
          </w:tcPr>
          <w:p>
            <w:pPr>
              <w:spacing w:after="0"/>
              <w:rPr>
                <w:sz w:val="18"/>
                <w:szCs w:val="18"/>
                <w:color w:val="auto"/>
              </w:rPr>
            </w:pPr>
          </w:p>
        </w:tc>
        <w:tc>
          <w:tcPr>
            <w:tcW w:w="1080" w:type="dxa"/>
            <w:vAlign w:val="bottom"/>
            <w:vMerge w:val="continue"/>
            <w:shd w:val="clear" w:color="auto" w:fill="D1D2D4"/>
          </w:tcPr>
          <w:p>
            <w:pPr>
              <w:spacing w:after="0"/>
              <w:rPr>
                <w:sz w:val="18"/>
                <w:szCs w:val="18"/>
                <w:color w:val="auto"/>
              </w:rPr>
            </w:pPr>
          </w:p>
        </w:tc>
        <w:tc>
          <w:tcPr>
            <w:tcW w:w="140" w:type="dxa"/>
            <w:vAlign w:val="bottom"/>
            <w:shd w:val="clear" w:color="auto" w:fill="D1D2D4"/>
          </w:tcPr>
          <w:p>
            <w:pPr>
              <w:spacing w:after="0"/>
              <w:rPr>
                <w:sz w:val="18"/>
                <w:szCs w:val="18"/>
                <w:color w:val="auto"/>
              </w:rPr>
            </w:pPr>
          </w:p>
        </w:tc>
        <w:tc>
          <w:tcPr>
            <w:tcW w:w="1100" w:type="dxa"/>
            <w:vAlign w:val="bottom"/>
            <w:vMerge w:val="continue"/>
            <w:shd w:val="clear" w:color="auto" w:fill="D1D2D4"/>
          </w:tcPr>
          <w:p>
            <w:pPr>
              <w:spacing w:after="0"/>
              <w:rPr>
                <w:sz w:val="18"/>
                <w:szCs w:val="18"/>
                <w:color w:val="auto"/>
              </w:rPr>
            </w:pPr>
          </w:p>
        </w:tc>
        <w:tc>
          <w:tcPr>
            <w:tcW w:w="800" w:type="dxa"/>
            <w:vAlign w:val="bottom"/>
            <w:vMerge w:val="continue"/>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620" w:type="dxa"/>
            <w:vAlign w:val="bottom"/>
          </w:tcPr>
          <w:p>
            <w:pPr>
              <w:ind w:left="20"/>
              <w:spacing w:after="0"/>
              <w:rPr>
                <w:sz w:val="20"/>
                <w:szCs w:val="20"/>
                <w:color w:val="auto"/>
              </w:rPr>
            </w:pPr>
            <w:r>
              <w:rPr>
                <w:rFonts w:ascii="Arial" w:cs="Arial" w:eastAsia="Arial" w:hAnsi="Arial"/>
                <w:sz w:val="16"/>
                <w:szCs w:val="16"/>
                <w:color w:val="auto"/>
              </w:rPr>
              <w:t>Cash settlement of convertible</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2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(56)</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8"/>
        </w:trPr>
        <w:tc>
          <w:tcPr>
            <w:tcW w:w="2620" w:type="dxa"/>
            <w:vAlign w:val="bottom"/>
            <w:tcBorders>
              <w:bottom w:val="single" w:sz="8" w:color="D1D2D4"/>
            </w:tcBorders>
          </w:tcPr>
          <w:p>
            <w:pPr>
              <w:ind w:left="20"/>
              <w:spacing w:after="0"/>
              <w:rPr>
                <w:sz w:val="20"/>
                <w:szCs w:val="20"/>
                <w:color w:val="auto"/>
              </w:rPr>
            </w:pPr>
            <w:r>
              <w:rPr>
                <w:rFonts w:ascii="Arial" w:cs="Arial" w:eastAsia="Arial" w:hAnsi="Arial"/>
                <w:sz w:val="16"/>
                <w:szCs w:val="16"/>
                <w:color w:val="auto"/>
              </w:rPr>
              <w:t>notes</w:t>
            </w:r>
          </w:p>
        </w:tc>
        <w:tc>
          <w:tcPr>
            <w:tcW w:w="72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1"/>
        </w:trPr>
        <w:tc>
          <w:tcPr>
            <w:tcW w:w="262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6"/>
                <w:szCs w:val="16"/>
                <w:b w:val="1"/>
                <w:bCs w:val="1"/>
                <w:color w:val="auto"/>
              </w:rPr>
              <w:t>Balance at September 3, 2020</w:t>
            </w:r>
          </w:p>
        </w:tc>
        <w:tc>
          <w:tcPr>
            <w:tcW w:w="7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1,194</w:t>
            </w:r>
          </w:p>
        </w:tc>
        <w:tc>
          <w:tcPr>
            <w:tcW w:w="260" w:type="dxa"/>
            <w:vAlign w:val="bottom"/>
            <w:tcBorders>
              <w:bottom w:val="single" w:sz="8" w:color="auto"/>
            </w:tcBorders>
            <w:shd w:val="clear" w:color="auto" w:fill="D1D2D4"/>
          </w:tcPr>
          <w:p>
            <w:pPr>
              <w:jc w:val="right"/>
              <w:ind w:right="52"/>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119</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8,917</w:t>
            </w:r>
          </w:p>
        </w:tc>
        <w:tc>
          <w:tcPr>
            <w:tcW w:w="8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$ 33,384</w:t>
            </w:r>
          </w:p>
        </w:tc>
        <w:tc>
          <w:tcPr>
            <w:tcW w:w="160" w:type="dxa"/>
            <w:vAlign w:val="bottom"/>
            <w:tcBorders>
              <w:bottom w:val="single" w:sz="8" w:color="auto"/>
            </w:tcBorders>
            <w:shd w:val="clear" w:color="auto" w:fill="D1D2D4"/>
          </w:tcPr>
          <w:p>
            <w:pPr>
              <w:jc w:val="center"/>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(3,495)</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71</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38,996</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D1D2D4"/>
          </w:tcPr>
          <w:p>
            <w:pPr>
              <w:jc w:val="right"/>
              <w:ind w:right="11"/>
              <w:spacing w:after="0"/>
              <w:rPr>
                <w:sz w:val="20"/>
                <w:szCs w:val="20"/>
                <w:color w:val="auto"/>
              </w:rPr>
            </w:pPr>
            <w:r>
              <w:rPr>
                <w:rFonts w:ascii="Arial" w:cs="Arial" w:eastAsia="Arial" w:hAnsi="Arial"/>
                <w:sz w:val="18"/>
                <w:szCs w:val="18"/>
                <w:color w:val="auto"/>
                <w:w w:val="96"/>
              </w:rPr>
              <w:t>$ 38,996</w:t>
            </w:r>
          </w:p>
        </w:tc>
        <w:tc>
          <w:tcPr>
            <w:tcW w:w="0" w:type="dxa"/>
            <w:vAlign w:val="bottom"/>
          </w:tcPr>
          <w:p>
            <w:pPr>
              <w:spacing w:after="0"/>
              <w:rPr>
                <w:sz w:val="1"/>
                <w:szCs w:val="1"/>
                <w:color w:val="auto"/>
              </w:rPr>
            </w:pPr>
          </w:p>
        </w:tc>
      </w:tr>
      <w:tr>
        <w:trPr>
          <w:trHeight w:val="20"/>
        </w:trPr>
        <w:tc>
          <w:tcPr>
            <w:tcW w:w="2620" w:type="dxa"/>
            <w:vAlign w:val="bottom"/>
            <w:tcBorders>
              <w:top w:val="single" w:sz="8" w:color="D1D2D4"/>
            </w:tcBorders>
          </w:tcPr>
          <w:p>
            <w:pPr>
              <w:spacing w:after="0" w:line="20" w:lineRule="exact"/>
              <w:rPr>
                <w:sz w:val="1"/>
                <w:szCs w:val="1"/>
                <w:color w:val="auto"/>
              </w:rPr>
            </w:pPr>
          </w:p>
        </w:tc>
        <w:tc>
          <w:tcPr>
            <w:tcW w:w="720" w:type="dxa"/>
            <w:vAlign w:val="bottom"/>
            <w:tcBorders>
              <w:top w:val="single" w:sz="8" w:color="D1D2D4"/>
              <w:bottom w:val="single" w:sz="8" w:color="auto"/>
            </w:tcBorders>
          </w:tcPr>
          <w:p>
            <w:pPr>
              <w:spacing w:after="0" w:line="20" w:lineRule="exact"/>
              <w:rPr>
                <w:sz w:val="1"/>
                <w:szCs w:val="1"/>
                <w:color w:val="auto"/>
              </w:rPr>
            </w:pPr>
          </w:p>
        </w:tc>
        <w:tc>
          <w:tcPr>
            <w:tcW w:w="260" w:type="dxa"/>
            <w:vAlign w:val="bottom"/>
            <w:tcBorders>
              <w:top w:val="single" w:sz="8" w:color="D1D2D4"/>
              <w:bottom w:val="single" w:sz="8" w:color="auto"/>
            </w:tcBorders>
          </w:tcPr>
          <w:p>
            <w:pPr>
              <w:spacing w:after="0" w:line="20" w:lineRule="exact"/>
              <w:rPr>
                <w:sz w:val="1"/>
                <w:szCs w:val="1"/>
                <w:color w:val="auto"/>
              </w:rPr>
            </w:pPr>
          </w:p>
        </w:tc>
        <w:tc>
          <w:tcPr>
            <w:tcW w:w="520" w:type="dxa"/>
            <w:vAlign w:val="bottom"/>
            <w:tcBorders>
              <w:top w:val="single" w:sz="8" w:color="D1D2D4"/>
              <w:bottom w:val="single" w:sz="8" w:color="auto"/>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760" w:type="dxa"/>
            <w:vAlign w:val="bottom"/>
            <w:tcBorders>
              <w:top w:val="single" w:sz="8" w:color="D1D2D4"/>
              <w:bottom w:val="single" w:sz="8" w:color="auto"/>
            </w:tcBorders>
          </w:tcPr>
          <w:p>
            <w:pPr>
              <w:spacing w:after="0" w:line="20" w:lineRule="exact"/>
              <w:rPr>
                <w:sz w:val="1"/>
                <w:szCs w:val="1"/>
                <w:color w:val="auto"/>
              </w:rPr>
            </w:pPr>
          </w:p>
        </w:tc>
        <w:tc>
          <w:tcPr>
            <w:tcW w:w="840" w:type="dxa"/>
            <w:vAlign w:val="bottom"/>
            <w:tcBorders>
              <w:top w:val="single" w:sz="8" w:color="D1D2D4"/>
              <w:bottom w:val="single" w:sz="8" w:color="auto"/>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640" w:type="dxa"/>
            <w:vAlign w:val="bottom"/>
            <w:tcBorders>
              <w:top w:val="single" w:sz="8" w:color="D1D2D4"/>
              <w:bottom w:val="single" w:sz="8" w:color="auto"/>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080" w:type="dxa"/>
            <w:vAlign w:val="bottom"/>
            <w:tcBorders>
              <w:top w:val="single" w:sz="8" w:color="D1D2D4"/>
              <w:bottom w:val="single" w:sz="8" w:color="auto"/>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100" w:type="dxa"/>
            <w:vAlign w:val="bottom"/>
            <w:tcBorders>
              <w:top w:val="single" w:sz="8" w:color="D1D2D4"/>
              <w:bottom w:val="single" w:sz="8" w:color="auto"/>
            </w:tcBorders>
          </w:tcPr>
          <w:p>
            <w:pPr>
              <w:spacing w:after="0" w:line="20" w:lineRule="exact"/>
              <w:rPr>
                <w:sz w:val="1"/>
                <w:szCs w:val="1"/>
                <w:color w:val="auto"/>
              </w:rPr>
            </w:pPr>
          </w:p>
        </w:tc>
        <w:tc>
          <w:tcPr>
            <w:tcW w:w="80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240"/>
          </w:cols>
          <w:pgMar w:left="320" w:top="879" w:right="339" w:bottom="0" w:gutter="0" w:footer="0" w:header="0"/>
        </w:sectPr>
      </w:pPr>
    </w:p>
    <w:p>
      <w:pPr>
        <w:spacing w:after="0" w:line="200" w:lineRule="exact"/>
        <w:rPr>
          <w:sz w:val="20"/>
          <w:szCs w:val="20"/>
          <w:color w:val="auto"/>
        </w:rPr>
      </w:pPr>
    </w:p>
    <w:p>
      <w:pPr>
        <w:spacing w:after="0" w:line="273" w:lineRule="exact"/>
        <w:rPr>
          <w:sz w:val="20"/>
          <w:szCs w:val="20"/>
          <w:color w:val="auto"/>
        </w:rPr>
      </w:pPr>
    </w:p>
    <w:p>
      <w:pPr>
        <w:ind w:left="10040"/>
        <w:spacing w:after="0"/>
        <w:rPr>
          <w:sz w:val="20"/>
          <w:szCs w:val="20"/>
          <w:color w:val="auto"/>
        </w:rPr>
      </w:pPr>
      <w:r>
        <w:rPr>
          <w:sz w:val="1"/>
          <w:szCs w:val="1"/>
          <w:color w:val="auto"/>
        </w:rPr>
        <w:drawing>
          <wp:inline distT="0" distB="0" distL="0" distR="0">
            <wp:extent cx="608330" cy="171450"/>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8330" cy="171450"/>
                    </a:xfrm>
                    <a:prstGeom prst="rect">
                      <a:avLst/>
                    </a:prstGeom>
                    <a:noFill/>
                    <a:ln>
                      <a:noFill/>
                    </a:ln>
                  </pic:spPr>
                </pic:pic>
              </a:graphicData>
            </a:graphic>
          </wp:inline>
        </w:drawing>
      </w:r>
      <w:r>
        <w:rPr>
          <w:rFonts w:ascii="Arial" w:cs="Arial" w:eastAsia="Arial" w:hAnsi="Arial"/>
          <w:sz w:val="13"/>
          <w:szCs w:val="13"/>
          <w:color w:val="auto"/>
        </w:rPr>
        <w:t xml:space="preserve">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9" w:right="339" w:bottom="0" w:gutter="0" w:footer="0" w:header="0"/>
          <w:type w:val="continuous"/>
        </w:sectPr>
      </w:pPr>
    </w:p>
    <w:bookmarkStart w:id="53" w:name="page54"/>
    <w:bookmarkEnd w:id="53"/>
    <w:p>
      <w:pPr>
        <w:spacing w:after="0"/>
        <w:rPr>
          <w:sz w:val="20"/>
          <w:szCs w:val="20"/>
          <w:color w:val="auto"/>
        </w:rPr>
      </w:pPr>
      <w:r>
        <w:rPr>
          <w:rFonts w:ascii="Arial" w:cs="Arial" w:eastAsia="Arial" w:hAnsi="Arial"/>
          <w:sz w:val="40"/>
          <w:szCs w:val="40"/>
          <w:b w:val="1"/>
          <w:bCs w:val="1"/>
          <w:color w:val="auto"/>
        </w:rPr>
        <w:t>Micron Technology, Inc.</w:t>
      </w:r>
    </w:p>
    <w:p>
      <w:pPr>
        <w:spacing w:after="0" w:line="5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Consolidated Statements of Cash Flows</w:t>
      </w:r>
    </w:p>
    <w:p>
      <w:pPr>
        <w:spacing w:after="0"/>
        <w:rPr>
          <w:sz w:val="20"/>
          <w:szCs w:val="20"/>
          <w:color w:val="auto"/>
        </w:rPr>
      </w:pPr>
      <w:r>
        <w:rPr>
          <w:rFonts w:ascii="Arial" w:cs="Arial" w:eastAsia="Arial" w:hAnsi="Arial"/>
          <w:sz w:val="18"/>
          <w:szCs w:val="18"/>
          <w:color w:val="auto"/>
        </w:rPr>
        <w:t>(in millions)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ind w:right="139"/>
              <w:spacing w:after="0"/>
              <w:rPr>
                <w:sz w:val="20"/>
                <w:szCs w:val="20"/>
                <w:color w:val="auto"/>
              </w:rPr>
            </w:pPr>
            <w:r>
              <w:rPr>
                <w:rFonts w:ascii="Arial" w:cs="Arial" w:eastAsia="Arial" w:hAnsi="Arial"/>
                <w:sz w:val="16"/>
                <w:szCs w:val="16"/>
                <w:b w:val="1"/>
                <w:bCs w:val="1"/>
                <w:color w:val="auto"/>
              </w:rPr>
              <w:t>September 3,</w:t>
            </w:r>
          </w:p>
        </w:tc>
        <w:tc>
          <w:tcPr>
            <w:tcW w:w="220" w:type="dxa"/>
            <w:vAlign w:val="bottom"/>
          </w:tcPr>
          <w:p>
            <w:pPr>
              <w:spacing w:after="0"/>
              <w:rPr>
                <w:sz w:val="16"/>
                <w:szCs w:val="16"/>
                <w:color w:val="auto"/>
              </w:rPr>
            </w:pPr>
          </w:p>
        </w:tc>
        <w:tc>
          <w:tcPr>
            <w:tcW w:w="1240" w:type="dxa"/>
            <w:vAlign w:val="bottom"/>
          </w:tcPr>
          <w:p>
            <w:pPr>
              <w:jc w:val="right"/>
              <w:ind w:right="219"/>
              <w:spacing w:after="0"/>
              <w:rPr>
                <w:sz w:val="20"/>
                <w:szCs w:val="20"/>
                <w:color w:val="auto"/>
              </w:rPr>
            </w:pPr>
            <w:r>
              <w:rPr>
                <w:rFonts w:ascii="Arial" w:cs="Arial" w:eastAsia="Arial" w:hAnsi="Arial"/>
                <w:sz w:val="16"/>
                <w:szCs w:val="16"/>
                <w:b w:val="1"/>
                <w:bCs w:val="1"/>
                <w:color w:val="auto"/>
              </w:rPr>
              <w:t>August 29,</w:t>
            </w:r>
          </w:p>
        </w:tc>
        <w:tc>
          <w:tcPr>
            <w:tcW w:w="220" w:type="dxa"/>
            <w:vAlign w:val="bottom"/>
          </w:tcPr>
          <w:p>
            <w:pPr>
              <w:spacing w:after="0"/>
              <w:rPr>
                <w:sz w:val="16"/>
                <w:szCs w:val="16"/>
                <w:color w:val="auto"/>
              </w:rPr>
            </w:pPr>
          </w:p>
        </w:tc>
        <w:tc>
          <w:tcPr>
            <w:tcW w:w="1260" w:type="dxa"/>
            <w:vAlign w:val="bottom"/>
          </w:tcPr>
          <w:p>
            <w:pPr>
              <w:jc w:val="right"/>
              <w:ind w:right="239"/>
              <w:spacing w:after="0"/>
              <w:rPr>
                <w:sz w:val="20"/>
                <w:szCs w:val="20"/>
                <w:color w:val="auto"/>
              </w:rPr>
            </w:pPr>
            <w:r>
              <w:rPr>
                <w:rFonts w:ascii="Arial" w:cs="Arial" w:eastAsia="Arial" w:hAnsi="Arial"/>
                <w:sz w:val="16"/>
                <w:szCs w:val="16"/>
                <w:b w:val="1"/>
                <w:bCs w:val="1"/>
                <w:color w:val="auto"/>
              </w:rPr>
              <w:t>August 30,</w:t>
            </w:r>
          </w:p>
        </w:tc>
      </w:tr>
      <w:tr>
        <w:trPr>
          <w:trHeight w:val="228"/>
        </w:trPr>
        <w:tc>
          <w:tcPr>
            <w:tcW w:w="6840" w:type="dxa"/>
            <w:vAlign w:val="bottom"/>
            <w:tcBorders>
              <w:bottom w:val="single" w:sz="8" w:color="0090DA"/>
            </w:tcBorders>
          </w:tcPr>
          <w:p>
            <w:pPr>
              <w:ind w:left="20"/>
              <w:spacing w:after="0"/>
              <w:rPr>
                <w:sz w:val="20"/>
                <w:szCs w:val="20"/>
                <w:color w:val="auto"/>
              </w:rPr>
            </w:pPr>
            <w:r>
              <w:rPr>
                <w:rFonts w:ascii="Arial" w:cs="Arial" w:eastAsia="Arial" w:hAnsi="Arial"/>
                <w:sz w:val="16"/>
                <w:szCs w:val="16"/>
                <w:b w:val="1"/>
                <w:bCs w:val="1"/>
                <w:color w:val="auto"/>
              </w:rPr>
              <w:t>For the year ended</w:t>
            </w:r>
          </w:p>
        </w:tc>
        <w:tc>
          <w:tcPr>
            <w:tcW w:w="160" w:type="dxa"/>
            <w:vAlign w:val="bottom"/>
            <w:tcBorders>
              <w:bottom w:val="single" w:sz="8" w:color="0090DA"/>
            </w:tcBorders>
          </w:tcPr>
          <w:p>
            <w:pPr>
              <w:spacing w:after="0"/>
              <w:rPr>
                <w:sz w:val="19"/>
                <w:szCs w:val="19"/>
                <w:color w:val="auto"/>
              </w:rPr>
            </w:pPr>
          </w:p>
        </w:tc>
        <w:tc>
          <w:tcPr>
            <w:tcW w:w="1300" w:type="dxa"/>
            <w:vAlign w:val="bottom"/>
            <w:tcBorders>
              <w:bottom w:val="single" w:sz="8" w:color="0090DA"/>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0090DA"/>
            </w:tcBorders>
          </w:tcPr>
          <w:p>
            <w:pPr>
              <w:spacing w:after="0"/>
              <w:rPr>
                <w:sz w:val="19"/>
                <w:szCs w:val="19"/>
                <w:color w:val="auto"/>
              </w:rPr>
            </w:pPr>
          </w:p>
        </w:tc>
        <w:tc>
          <w:tcPr>
            <w:tcW w:w="1240" w:type="dxa"/>
            <w:vAlign w:val="bottom"/>
            <w:tcBorders>
              <w:bottom w:val="single" w:sz="8" w:color="0090DA"/>
            </w:tcBorders>
          </w:tcPr>
          <w:p>
            <w:pPr>
              <w:jc w:val="right"/>
              <w:ind w:right="459"/>
              <w:spacing w:after="0"/>
              <w:rPr>
                <w:sz w:val="20"/>
                <w:szCs w:val="20"/>
                <w:color w:val="auto"/>
              </w:rPr>
            </w:pPr>
            <w:r>
              <w:rPr>
                <w:rFonts w:ascii="Arial" w:cs="Arial" w:eastAsia="Arial" w:hAnsi="Arial"/>
                <w:sz w:val="16"/>
                <w:szCs w:val="16"/>
                <w:b w:val="1"/>
                <w:bCs w:val="1"/>
                <w:color w:val="auto"/>
              </w:rPr>
              <w:t>2019</w:t>
            </w:r>
          </w:p>
        </w:tc>
        <w:tc>
          <w:tcPr>
            <w:tcW w:w="220" w:type="dxa"/>
            <w:vAlign w:val="bottom"/>
            <w:tcBorders>
              <w:bottom w:val="single" w:sz="8" w:color="0090DA"/>
            </w:tcBorders>
          </w:tcPr>
          <w:p>
            <w:pPr>
              <w:spacing w:after="0"/>
              <w:rPr>
                <w:sz w:val="19"/>
                <w:szCs w:val="19"/>
                <w:color w:val="auto"/>
              </w:rPr>
            </w:pPr>
          </w:p>
        </w:tc>
        <w:tc>
          <w:tcPr>
            <w:tcW w:w="1260" w:type="dxa"/>
            <w:vAlign w:val="bottom"/>
            <w:tcBorders>
              <w:bottom w:val="single" w:sz="8" w:color="0090DA"/>
            </w:tcBorders>
          </w:tcPr>
          <w:p>
            <w:pPr>
              <w:jc w:val="right"/>
              <w:ind w:right="479"/>
              <w:spacing w:after="0"/>
              <w:rPr>
                <w:sz w:val="20"/>
                <w:szCs w:val="20"/>
                <w:color w:val="auto"/>
              </w:rPr>
            </w:pPr>
            <w:r>
              <w:rPr>
                <w:rFonts w:ascii="Arial" w:cs="Arial" w:eastAsia="Arial" w:hAnsi="Arial"/>
                <w:sz w:val="16"/>
                <w:szCs w:val="16"/>
                <w:b w:val="1"/>
                <w:bCs w:val="1"/>
                <w:color w:val="auto"/>
              </w:rPr>
              <w:t>2018</w:t>
            </w:r>
          </w:p>
        </w:tc>
      </w:tr>
      <w:tr>
        <w:trPr>
          <w:trHeight w:val="40"/>
        </w:trPr>
        <w:tc>
          <w:tcPr>
            <w:tcW w:w="6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43"/>
        </w:trPr>
        <w:tc>
          <w:tcPr>
            <w:tcW w:w="6840" w:type="dxa"/>
            <w:vAlign w:val="bottom"/>
            <w:shd w:val="clear" w:color="auto" w:fill="D1D2D4"/>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60" w:type="dxa"/>
            <w:vAlign w:val="bottom"/>
            <w:shd w:val="clear" w:color="auto" w:fill="D1D2D4"/>
          </w:tcPr>
          <w:p>
            <w:pPr>
              <w:spacing w:after="0"/>
              <w:rPr>
                <w:sz w:val="21"/>
                <w:szCs w:val="21"/>
                <w:color w:val="auto"/>
              </w:rPr>
            </w:pPr>
          </w:p>
        </w:tc>
        <w:tc>
          <w:tcPr>
            <w:tcW w:w="1300" w:type="dxa"/>
            <w:vAlign w:val="bottom"/>
            <w:shd w:val="clear" w:color="auto" w:fill="D1D2D4"/>
          </w:tcPr>
          <w:p>
            <w:pPr>
              <w:spacing w:after="0"/>
              <w:rPr>
                <w:sz w:val="21"/>
                <w:szCs w:val="21"/>
                <w:color w:val="auto"/>
              </w:rPr>
            </w:pPr>
          </w:p>
        </w:tc>
        <w:tc>
          <w:tcPr>
            <w:tcW w:w="220" w:type="dxa"/>
            <w:vAlign w:val="bottom"/>
            <w:shd w:val="clear" w:color="auto" w:fill="D1D2D4"/>
          </w:tcPr>
          <w:p>
            <w:pPr>
              <w:spacing w:after="0"/>
              <w:rPr>
                <w:sz w:val="21"/>
                <w:szCs w:val="21"/>
                <w:color w:val="auto"/>
              </w:rPr>
            </w:pPr>
          </w:p>
        </w:tc>
        <w:tc>
          <w:tcPr>
            <w:tcW w:w="1240" w:type="dxa"/>
            <w:vAlign w:val="bottom"/>
            <w:shd w:val="clear" w:color="auto" w:fill="D1D2D4"/>
          </w:tcPr>
          <w:p>
            <w:pPr>
              <w:spacing w:after="0"/>
              <w:rPr>
                <w:sz w:val="21"/>
                <w:szCs w:val="21"/>
                <w:color w:val="auto"/>
              </w:rPr>
            </w:pPr>
          </w:p>
        </w:tc>
        <w:tc>
          <w:tcPr>
            <w:tcW w:w="220" w:type="dxa"/>
            <w:vAlign w:val="bottom"/>
            <w:shd w:val="clear" w:color="auto" w:fill="D1D2D4"/>
          </w:tcPr>
          <w:p>
            <w:pPr>
              <w:spacing w:after="0"/>
              <w:rPr>
                <w:sz w:val="21"/>
                <w:szCs w:val="21"/>
                <w:color w:val="auto"/>
              </w:rPr>
            </w:pPr>
          </w:p>
        </w:tc>
        <w:tc>
          <w:tcPr>
            <w:tcW w:w="1260" w:type="dxa"/>
            <w:vAlign w:val="bottom"/>
            <w:shd w:val="clear" w:color="auto" w:fill="D1D2D4"/>
          </w:tcPr>
          <w:p>
            <w:pPr>
              <w:spacing w:after="0"/>
              <w:rPr>
                <w:sz w:val="21"/>
                <w:szCs w:val="21"/>
                <w:color w:val="auto"/>
              </w:rPr>
            </w:pPr>
          </w:p>
        </w:tc>
      </w:tr>
      <w:tr>
        <w:trPr>
          <w:trHeight w:val="233"/>
        </w:trPr>
        <w:tc>
          <w:tcPr>
            <w:tcW w:w="68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2,710</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6,358</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14,138</w:t>
            </w:r>
          </w:p>
        </w:tc>
      </w:tr>
      <w:tr>
        <w:trPr>
          <w:trHeight w:val="253"/>
        </w:trPr>
        <w:tc>
          <w:tcPr>
            <w:tcW w:w="6840" w:type="dxa"/>
            <w:vAlign w:val="bottom"/>
            <w:shd w:val="clear" w:color="auto" w:fill="D1D2D4"/>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60" w:type="dxa"/>
            <w:vAlign w:val="bottom"/>
            <w:shd w:val="clear" w:color="auto" w:fill="D1D2D4"/>
          </w:tcPr>
          <w:p>
            <w:pPr>
              <w:spacing w:after="0"/>
              <w:rPr>
                <w:sz w:val="21"/>
                <w:szCs w:val="21"/>
                <w:color w:val="auto"/>
              </w:rPr>
            </w:pPr>
          </w:p>
        </w:tc>
        <w:tc>
          <w:tcPr>
            <w:tcW w:w="1300" w:type="dxa"/>
            <w:vAlign w:val="bottom"/>
            <w:shd w:val="clear" w:color="auto" w:fill="D1D2D4"/>
          </w:tcPr>
          <w:p>
            <w:pPr>
              <w:spacing w:after="0"/>
              <w:rPr>
                <w:sz w:val="21"/>
                <w:szCs w:val="21"/>
                <w:color w:val="auto"/>
              </w:rPr>
            </w:pPr>
          </w:p>
        </w:tc>
        <w:tc>
          <w:tcPr>
            <w:tcW w:w="220" w:type="dxa"/>
            <w:vAlign w:val="bottom"/>
            <w:shd w:val="clear" w:color="auto" w:fill="D1D2D4"/>
          </w:tcPr>
          <w:p>
            <w:pPr>
              <w:spacing w:after="0"/>
              <w:rPr>
                <w:sz w:val="21"/>
                <w:szCs w:val="21"/>
                <w:color w:val="auto"/>
              </w:rPr>
            </w:pPr>
          </w:p>
        </w:tc>
        <w:tc>
          <w:tcPr>
            <w:tcW w:w="1240" w:type="dxa"/>
            <w:vAlign w:val="bottom"/>
            <w:shd w:val="clear" w:color="auto" w:fill="D1D2D4"/>
          </w:tcPr>
          <w:p>
            <w:pPr>
              <w:spacing w:after="0"/>
              <w:rPr>
                <w:sz w:val="21"/>
                <w:szCs w:val="21"/>
                <w:color w:val="auto"/>
              </w:rPr>
            </w:pPr>
          </w:p>
        </w:tc>
        <w:tc>
          <w:tcPr>
            <w:tcW w:w="220" w:type="dxa"/>
            <w:vAlign w:val="bottom"/>
            <w:shd w:val="clear" w:color="auto" w:fill="D1D2D4"/>
          </w:tcPr>
          <w:p>
            <w:pPr>
              <w:spacing w:after="0"/>
              <w:rPr>
                <w:sz w:val="21"/>
                <w:szCs w:val="21"/>
                <w:color w:val="auto"/>
              </w:rPr>
            </w:pPr>
          </w:p>
        </w:tc>
        <w:tc>
          <w:tcPr>
            <w:tcW w:w="1260" w:type="dxa"/>
            <w:vAlign w:val="bottom"/>
            <w:shd w:val="clear" w:color="auto" w:fill="D1D2D4"/>
          </w:tcPr>
          <w:p>
            <w:pPr>
              <w:spacing w:after="0"/>
              <w:rPr>
                <w:sz w:val="21"/>
                <w:szCs w:val="21"/>
                <w:color w:val="auto"/>
              </w:rPr>
            </w:pPr>
          </w:p>
        </w:tc>
      </w:tr>
      <w:tr>
        <w:trPr>
          <w:trHeight w:val="233"/>
        </w:trPr>
        <w:tc>
          <w:tcPr>
            <w:tcW w:w="6840" w:type="dxa"/>
            <w:vAlign w:val="bottom"/>
          </w:tcPr>
          <w:p>
            <w:pPr>
              <w:ind w:left="220"/>
              <w:spacing w:after="0"/>
              <w:rPr>
                <w:sz w:val="20"/>
                <w:szCs w:val="20"/>
                <w:color w:val="auto"/>
              </w:rPr>
            </w:pPr>
            <w:r>
              <w:rPr>
                <w:rFonts w:ascii="Arial" w:cs="Arial" w:eastAsia="Arial" w:hAnsi="Arial"/>
                <w:sz w:val="16"/>
                <w:szCs w:val="16"/>
                <w:color w:val="auto"/>
              </w:rPr>
              <w:t>Depreciation expense and amortization of intangible assets</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5,650</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5,424</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4,759</w:t>
            </w:r>
          </w:p>
        </w:tc>
      </w:tr>
      <w:tr>
        <w:trPr>
          <w:trHeight w:val="253"/>
        </w:trPr>
        <w:tc>
          <w:tcPr>
            <w:tcW w:w="6840" w:type="dxa"/>
            <w:vAlign w:val="bottom"/>
            <w:shd w:val="clear" w:color="auto" w:fill="D1D2D4"/>
          </w:tcPr>
          <w:p>
            <w:pPr>
              <w:ind w:left="220"/>
              <w:spacing w:after="0"/>
              <w:rPr>
                <w:sz w:val="20"/>
                <w:szCs w:val="20"/>
                <w:color w:val="auto"/>
              </w:rPr>
            </w:pPr>
            <w:r>
              <w:rPr>
                <w:rFonts w:ascii="Arial" w:cs="Arial" w:eastAsia="Arial" w:hAnsi="Arial"/>
                <w:sz w:val="16"/>
                <w:szCs w:val="16"/>
                <w:color w:val="auto"/>
              </w:rPr>
              <w:t>Amortization of debt discount and other costs</w:t>
            </w:r>
          </w:p>
        </w:tc>
        <w:tc>
          <w:tcPr>
            <w:tcW w:w="160" w:type="dxa"/>
            <w:vAlign w:val="bottom"/>
            <w:shd w:val="clear" w:color="auto" w:fill="D1D2D4"/>
          </w:tcPr>
          <w:p>
            <w:pPr>
              <w:spacing w:after="0"/>
              <w:rPr>
                <w:sz w:val="21"/>
                <w:szCs w:val="21"/>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26</w:t>
            </w:r>
          </w:p>
        </w:tc>
        <w:tc>
          <w:tcPr>
            <w:tcW w:w="220" w:type="dxa"/>
            <w:vAlign w:val="bottom"/>
            <w:shd w:val="clear" w:color="auto" w:fill="D1D2D4"/>
          </w:tcPr>
          <w:p>
            <w:pPr>
              <w:spacing w:after="0"/>
              <w:rPr>
                <w:sz w:val="21"/>
                <w:szCs w:val="21"/>
                <w:color w:val="auto"/>
              </w:rPr>
            </w:pPr>
          </w:p>
        </w:tc>
        <w:tc>
          <w:tcPr>
            <w:tcW w:w="12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49</w:t>
            </w:r>
          </w:p>
        </w:tc>
        <w:tc>
          <w:tcPr>
            <w:tcW w:w="220" w:type="dxa"/>
            <w:vAlign w:val="bottom"/>
            <w:shd w:val="clear" w:color="auto" w:fill="D1D2D4"/>
          </w:tcPr>
          <w:p>
            <w:pPr>
              <w:spacing w:after="0"/>
              <w:rPr>
                <w:sz w:val="21"/>
                <w:szCs w:val="21"/>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101</w:t>
            </w:r>
          </w:p>
        </w:tc>
      </w:tr>
      <w:tr>
        <w:trPr>
          <w:trHeight w:val="233"/>
        </w:trPr>
        <w:tc>
          <w:tcPr>
            <w:tcW w:w="6840" w:type="dxa"/>
            <w:vAlign w:val="bottom"/>
          </w:tcPr>
          <w:p>
            <w:pPr>
              <w:ind w:left="220"/>
              <w:spacing w:after="0"/>
              <w:rPr>
                <w:sz w:val="20"/>
                <w:szCs w:val="20"/>
                <w:color w:val="auto"/>
              </w:rPr>
            </w:pPr>
            <w:r>
              <w:rPr>
                <w:rFonts w:ascii="Arial" w:cs="Arial" w:eastAsia="Arial" w:hAnsi="Arial"/>
                <w:sz w:val="16"/>
                <w:szCs w:val="16"/>
                <w:color w:val="auto"/>
              </w:rPr>
              <w:t>Stock-based compensation</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328</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243</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198</w:t>
            </w:r>
          </w:p>
        </w:tc>
      </w:tr>
      <w:tr>
        <w:trPr>
          <w:trHeight w:val="253"/>
        </w:trPr>
        <w:tc>
          <w:tcPr>
            <w:tcW w:w="6840" w:type="dxa"/>
            <w:vAlign w:val="bottom"/>
            <w:shd w:val="clear" w:color="auto" w:fill="D1D2D4"/>
          </w:tcPr>
          <w:p>
            <w:pPr>
              <w:ind w:left="220"/>
              <w:spacing w:after="0"/>
              <w:rPr>
                <w:sz w:val="20"/>
                <w:szCs w:val="20"/>
                <w:color w:val="auto"/>
              </w:rPr>
            </w:pPr>
            <w:r>
              <w:rPr>
                <w:rFonts w:ascii="Arial" w:cs="Arial" w:eastAsia="Arial" w:hAnsi="Arial"/>
                <w:sz w:val="16"/>
                <w:szCs w:val="16"/>
                <w:color w:val="auto"/>
              </w:rPr>
              <w:t>(Gains) losses on debt prepayments, repurchases, and conversions</w:t>
            </w:r>
          </w:p>
        </w:tc>
        <w:tc>
          <w:tcPr>
            <w:tcW w:w="160" w:type="dxa"/>
            <w:vAlign w:val="bottom"/>
            <w:shd w:val="clear" w:color="auto" w:fill="D1D2D4"/>
          </w:tcPr>
          <w:p>
            <w:pPr>
              <w:spacing w:after="0"/>
              <w:rPr>
                <w:sz w:val="21"/>
                <w:szCs w:val="21"/>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(40)</w:t>
            </w:r>
          </w:p>
        </w:tc>
        <w:tc>
          <w:tcPr>
            <w:tcW w:w="220" w:type="dxa"/>
            <w:vAlign w:val="bottom"/>
            <w:shd w:val="clear" w:color="auto" w:fill="D1D2D4"/>
          </w:tcPr>
          <w:p>
            <w:pPr>
              <w:spacing w:after="0"/>
              <w:rPr>
                <w:sz w:val="21"/>
                <w:szCs w:val="21"/>
                <w:color w:val="auto"/>
              </w:rPr>
            </w:pPr>
          </w:p>
        </w:tc>
        <w:tc>
          <w:tcPr>
            <w:tcW w:w="12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396</w:t>
            </w:r>
          </w:p>
        </w:tc>
        <w:tc>
          <w:tcPr>
            <w:tcW w:w="220" w:type="dxa"/>
            <w:vAlign w:val="bottom"/>
            <w:shd w:val="clear" w:color="auto" w:fill="D1D2D4"/>
          </w:tcPr>
          <w:p>
            <w:pPr>
              <w:spacing w:after="0"/>
              <w:rPr>
                <w:sz w:val="21"/>
                <w:szCs w:val="21"/>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385</w:t>
            </w:r>
          </w:p>
        </w:tc>
      </w:tr>
      <w:tr>
        <w:trPr>
          <w:trHeight w:val="240"/>
        </w:trPr>
        <w:tc>
          <w:tcPr>
            <w:tcW w:w="6840" w:type="dxa"/>
            <w:vAlign w:val="bottom"/>
          </w:tcPr>
          <w:p>
            <w:pPr>
              <w:ind w:left="220"/>
              <w:spacing w:after="0"/>
              <w:rPr>
                <w:sz w:val="20"/>
                <w:szCs w:val="20"/>
                <w:color w:val="auto"/>
              </w:rPr>
            </w:pPr>
            <w:r>
              <w:rPr>
                <w:rFonts w:ascii="Arial" w:cs="Arial" w:eastAsia="Arial" w:hAnsi="Arial"/>
                <w:sz w:val="16"/>
                <w:szCs w:val="16"/>
                <w:color w:val="auto"/>
              </w:rPr>
              <w:t>Change in operating assets and liabilities</w:t>
            </w: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46"/>
        </w:trPr>
        <w:tc>
          <w:tcPr>
            <w:tcW w:w="6840" w:type="dxa"/>
            <w:vAlign w:val="bottom"/>
            <w:shd w:val="clear" w:color="auto" w:fill="D1D2D4"/>
          </w:tcPr>
          <w:p>
            <w:pPr>
              <w:ind w:left="460"/>
              <w:spacing w:after="0"/>
              <w:rPr>
                <w:sz w:val="20"/>
                <w:szCs w:val="20"/>
                <w:color w:val="auto"/>
              </w:rPr>
            </w:pPr>
            <w:r>
              <w:rPr>
                <w:rFonts w:ascii="Arial" w:cs="Arial" w:eastAsia="Arial" w:hAnsi="Arial"/>
                <w:sz w:val="16"/>
                <w:szCs w:val="16"/>
                <w:color w:val="auto"/>
              </w:rPr>
              <w:t>Receivables</w:t>
            </w:r>
          </w:p>
        </w:tc>
        <w:tc>
          <w:tcPr>
            <w:tcW w:w="160" w:type="dxa"/>
            <w:vAlign w:val="bottom"/>
            <w:shd w:val="clear" w:color="auto" w:fill="D1D2D4"/>
          </w:tcPr>
          <w:p>
            <w:pPr>
              <w:spacing w:after="0"/>
              <w:rPr>
                <w:sz w:val="21"/>
                <w:szCs w:val="21"/>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(723)</w:t>
            </w:r>
          </w:p>
        </w:tc>
        <w:tc>
          <w:tcPr>
            <w:tcW w:w="220" w:type="dxa"/>
            <w:vAlign w:val="bottom"/>
            <w:shd w:val="clear" w:color="auto" w:fill="D1D2D4"/>
          </w:tcPr>
          <w:p>
            <w:pPr>
              <w:spacing w:after="0"/>
              <w:rPr>
                <w:sz w:val="21"/>
                <w:szCs w:val="21"/>
                <w:color w:val="auto"/>
              </w:rPr>
            </w:pPr>
          </w:p>
        </w:tc>
        <w:tc>
          <w:tcPr>
            <w:tcW w:w="12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2,431</w:t>
            </w:r>
          </w:p>
        </w:tc>
        <w:tc>
          <w:tcPr>
            <w:tcW w:w="220" w:type="dxa"/>
            <w:vAlign w:val="bottom"/>
            <w:shd w:val="clear" w:color="auto" w:fill="D1D2D4"/>
          </w:tcPr>
          <w:p>
            <w:pPr>
              <w:spacing w:after="0"/>
              <w:rPr>
                <w:sz w:val="21"/>
                <w:szCs w:val="21"/>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(1,734)</w:t>
            </w:r>
          </w:p>
        </w:tc>
      </w:tr>
      <w:tr>
        <w:trPr>
          <w:trHeight w:val="233"/>
        </w:trPr>
        <w:tc>
          <w:tcPr>
            <w:tcW w:w="6840" w:type="dxa"/>
            <w:vAlign w:val="bottom"/>
          </w:tcPr>
          <w:p>
            <w:pPr>
              <w:ind w:left="460"/>
              <w:spacing w:after="0"/>
              <w:rPr>
                <w:sz w:val="20"/>
                <w:szCs w:val="20"/>
                <w:color w:val="auto"/>
              </w:rPr>
            </w:pPr>
            <w:r>
              <w:rPr>
                <w:rFonts w:ascii="Arial" w:cs="Arial" w:eastAsia="Arial" w:hAnsi="Arial"/>
                <w:sz w:val="16"/>
                <w:szCs w:val="16"/>
                <w:color w:val="auto"/>
              </w:rPr>
              <w:t>Inventories</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(489)</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(1,528)</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(472)</w:t>
            </w:r>
          </w:p>
        </w:tc>
      </w:tr>
      <w:tr>
        <w:trPr>
          <w:trHeight w:val="253"/>
        </w:trPr>
        <w:tc>
          <w:tcPr>
            <w:tcW w:w="6840" w:type="dxa"/>
            <w:vAlign w:val="bottom"/>
            <w:shd w:val="clear" w:color="auto" w:fill="D1D2D4"/>
          </w:tcPr>
          <w:p>
            <w:pPr>
              <w:ind w:left="460"/>
              <w:spacing w:after="0"/>
              <w:rPr>
                <w:sz w:val="20"/>
                <w:szCs w:val="20"/>
                <w:color w:val="auto"/>
              </w:rPr>
            </w:pPr>
            <w:r>
              <w:rPr>
                <w:rFonts w:ascii="Arial" w:cs="Arial" w:eastAsia="Arial" w:hAnsi="Arial"/>
                <w:sz w:val="16"/>
                <w:szCs w:val="16"/>
                <w:color w:val="auto"/>
              </w:rPr>
              <w:t>Accounts payable and accrued expenses</w:t>
            </w:r>
          </w:p>
        </w:tc>
        <w:tc>
          <w:tcPr>
            <w:tcW w:w="160" w:type="dxa"/>
            <w:vAlign w:val="bottom"/>
            <w:shd w:val="clear" w:color="auto" w:fill="D1D2D4"/>
          </w:tcPr>
          <w:p>
            <w:pPr>
              <w:spacing w:after="0"/>
              <w:rPr>
                <w:sz w:val="21"/>
                <w:szCs w:val="21"/>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725</w:t>
            </w:r>
          </w:p>
        </w:tc>
        <w:tc>
          <w:tcPr>
            <w:tcW w:w="220" w:type="dxa"/>
            <w:vAlign w:val="bottom"/>
            <w:shd w:val="clear" w:color="auto" w:fill="D1D2D4"/>
          </w:tcPr>
          <w:p>
            <w:pPr>
              <w:spacing w:after="0"/>
              <w:rPr>
                <w:sz w:val="21"/>
                <w:szCs w:val="21"/>
                <w:color w:val="auto"/>
              </w:rPr>
            </w:pPr>
          </w:p>
        </w:tc>
        <w:tc>
          <w:tcPr>
            <w:tcW w:w="12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(174)</w:t>
            </w:r>
          </w:p>
        </w:tc>
        <w:tc>
          <w:tcPr>
            <w:tcW w:w="220" w:type="dxa"/>
            <w:vAlign w:val="bottom"/>
            <w:shd w:val="clear" w:color="auto" w:fill="D1D2D4"/>
          </w:tcPr>
          <w:p>
            <w:pPr>
              <w:spacing w:after="0"/>
              <w:rPr>
                <w:sz w:val="21"/>
                <w:szCs w:val="21"/>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668</w:t>
            </w:r>
          </w:p>
        </w:tc>
      </w:tr>
      <w:tr>
        <w:trPr>
          <w:trHeight w:val="233"/>
        </w:trPr>
        <w:tc>
          <w:tcPr>
            <w:tcW w:w="6840" w:type="dxa"/>
            <w:vAlign w:val="bottom"/>
          </w:tcPr>
          <w:p>
            <w:pPr>
              <w:ind w:left="460"/>
              <w:spacing w:after="0"/>
              <w:rPr>
                <w:sz w:val="20"/>
                <w:szCs w:val="20"/>
                <w:color w:val="auto"/>
              </w:rPr>
            </w:pPr>
            <w:r>
              <w:rPr>
                <w:rFonts w:ascii="Arial" w:cs="Arial" w:eastAsia="Arial" w:hAnsi="Arial"/>
                <w:sz w:val="16"/>
                <w:szCs w:val="16"/>
                <w:color w:val="auto"/>
              </w:rPr>
              <w:t>Deferred income taxes, net</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79</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150</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(265)</w:t>
            </w:r>
          </w:p>
        </w:tc>
      </w:tr>
      <w:tr>
        <w:trPr>
          <w:trHeight w:val="246"/>
        </w:trPr>
        <w:tc>
          <w:tcPr>
            <w:tcW w:w="6840" w:type="dxa"/>
            <w:vAlign w:val="bottom"/>
            <w:shd w:val="clear" w:color="auto" w:fill="D1D2D4"/>
          </w:tcPr>
          <w:p>
            <w:pPr>
              <w:ind w:left="22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shd w:val="clear" w:color="auto" w:fill="D1D2D4"/>
          </w:tcPr>
          <w:p>
            <w:pPr>
              <w:spacing w:after="0"/>
              <w:rPr>
                <w:sz w:val="21"/>
                <w:szCs w:val="21"/>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40</w:t>
            </w:r>
          </w:p>
        </w:tc>
        <w:tc>
          <w:tcPr>
            <w:tcW w:w="220" w:type="dxa"/>
            <w:vAlign w:val="bottom"/>
            <w:tcBorders>
              <w:bottom w:val="single" w:sz="8" w:color="auto"/>
            </w:tcBorders>
            <w:shd w:val="clear" w:color="auto" w:fill="D1D2D4"/>
          </w:tcPr>
          <w:p>
            <w:pPr>
              <w:spacing w:after="0"/>
              <w:rPr>
                <w:sz w:val="21"/>
                <w:szCs w:val="21"/>
                <w:color w:val="auto"/>
              </w:rPr>
            </w:pPr>
          </w:p>
        </w:tc>
        <w:tc>
          <w:tcPr>
            <w:tcW w:w="12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(160)</w:t>
            </w:r>
          </w:p>
        </w:tc>
        <w:tc>
          <w:tcPr>
            <w:tcW w:w="220" w:type="dxa"/>
            <w:vAlign w:val="bottom"/>
            <w:tcBorders>
              <w:bottom w:val="single" w:sz="8" w:color="auto"/>
            </w:tcBorders>
            <w:shd w:val="clear" w:color="auto" w:fill="D1D2D4"/>
          </w:tcPr>
          <w:p>
            <w:pPr>
              <w:spacing w:after="0"/>
              <w:rPr>
                <w:sz w:val="21"/>
                <w:szCs w:val="21"/>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(378)</w:t>
            </w:r>
          </w:p>
        </w:tc>
      </w:tr>
      <w:tr>
        <w:trPr>
          <w:trHeight w:val="237"/>
        </w:trPr>
        <w:tc>
          <w:tcPr>
            <w:tcW w:w="6840" w:type="dxa"/>
            <w:vAlign w:val="bottom"/>
            <w:tcBorders>
              <w:bottom w:val="single" w:sz="8" w:color="D1D2D4"/>
            </w:tcBorders>
          </w:tcPr>
          <w:p>
            <w:pPr>
              <w:ind w:left="120"/>
              <w:spacing w:after="0"/>
              <w:rPr>
                <w:sz w:val="20"/>
                <w:szCs w:val="20"/>
                <w:color w:val="auto"/>
              </w:rPr>
            </w:pPr>
            <w:r>
              <w:rPr>
                <w:rFonts w:ascii="Arial" w:cs="Arial" w:eastAsia="Arial" w:hAnsi="Arial"/>
                <w:sz w:val="16"/>
                <w:szCs w:val="16"/>
                <w:color w:val="auto"/>
              </w:rPr>
              <w:t>Net cash provided by operating activities</w:t>
            </w: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8,306</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13,189</w:t>
            </w: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17,400</w:t>
            </w:r>
          </w:p>
        </w:tc>
      </w:tr>
      <w:tr>
        <w:trPr>
          <w:trHeight w:val="203"/>
        </w:trPr>
        <w:tc>
          <w:tcPr>
            <w:tcW w:w="6840" w:type="dxa"/>
            <w:vAlign w:val="bottom"/>
            <w:shd w:val="clear" w:color="auto" w:fill="D1D2D4"/>
          </w:tcPr>
          <w:p>
            <w:pPr>
              <w:spacing w:after="0"/>
              <w:rPr>
                <w:sz w:val="17"/>
                <w:szCs w:val="17"/>
                <w:color w:val="auto"/>
              </w:rPr>
            </w:pPr>
          </w:p>
        </w:tc>
        <w:tc>
          <w:tcPr>
            <w:tcW w:w="160" w:type="dxa"/>
            <w:vAlign w:val="bottom"/>
            <w:shd w:val="clear" w:color="auto" w:fill="D1D2D4"/>
          </w:tcPr>
          <w:p>
            <w:pPr>
              <w:spacing w:after="0"/>
              <w:rPr>
                <w:sz w:val="17"/>
                <w:szCs w:val="17"/>
                <w:color w:val="auto"/>
              </w:rPr>
            </w:pPr>
          </w:p>
        </w:tc>
        <w:tc>
          <w:tcPr>
            <w:tcW w:w="1300" w:type="dxa"/>
            <w:vAlign w:val="bottom"/>
            <w:shd w:val="clear" w:color="auto" w:fill="D1D2D4"/>
          </w:tcPr>
          <w:p>
            <w:pPr>
              <w:spacing w:after="0"/>
              <w:rPr>
                <w:sz w:val="17"/>
                <w:szCs w:val="17"/>
                <w:color w:val="auto"/>
              </w:rPr>
            </w:pPr>
          </w:p>
        </w:tc>
        <w:tc>
          <w:tcPr>
            <w:tcW w:w="220" w:type="dxa"/>
            <w:vAlign w:val="bottom"/>
            <w:shd w:val="clear" w:color="auto" w:fill="D1D2D4"/>
          </w:tcPr>
          <w:p>
            <w:pPr>
              <w:spacing w:after="0"/>
              <w:rPr>
                <w:sz w:val="17"/>
                <w:szCs w:val="17"/>
                <w:color w:val="auto"/>
              </w:rPr>
            </w:pPr>
          </w:p>
        </w:tc>
        <w:tc>
          <w:tcPr>
            <w:tcW w:w="1240" w:type="dxa"/>
            <w:vAlign w:val="bottom"/>
            <w:shd w:val="clear" w:color="auto" w:fill="D1D2D4"/>
          </w:tcPr>
          <w:p>
            <w:pPr>
              <w:spacing w:after="0"/>
              <w:rPr>
                <w:sz w:val="17"/>
                <w:szCs w:val="17"/>
                <w:color w:val="auto"/>
              </w:rPr>
            </w:pPr>
          </w:p>
        </w:tc>
        <w:tc>
          <w:tcPr>
            <w:tcW w:w="220" w:type="dxa"/>
            <w:vAlign w:val="bottom"/>
            <w:shd w:val="clear" w:color="auto" w:fill="D1D2D4"/>
          </w:tcPr>
          <w:p>
            <w:pPr>
              <w:spacing w:after="0"/>
              <w:rPr>
                <w:sz w:val="17"/>
                <w:szCs w:val="17"/>
                <w:color w:val="auto"/>
              </w:rPr>
            </w:pPr>
          </w:p>
        </w:tc>
        <w:tc>
          <w:tcPr>
            <w:tcW w:w="1260" w:type="dxa"/>
            <w:vAlign w:val="bottom"/>
            <w:shd w:val="clear" w:color="auto" w:fill="D1D2D4"/>
          </w:tcPr>
          <w:p>
            <w:pPr>
              <w:spacing w:after="0"/>
              <w:rPr>
                <w:sz w:val="17"/>
                <w:szCs w:val="17"/>
                <w:color w:val="auto"/>
              </w:rPr>
            </w:pPr>
          </w:p>
        </w:tc>
      </w:tr>
      <w:tr>
        <w:trPr>
          <w:trHeight w:val="233"/>
        </w:trPr>
        <w:tc>
          <w:tcPr>
            <w:tcW w:w="684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53"/>
        </w:trPr>
        <w:tc>
          <w:tcPr>
            <w:tcW w:w="6840" w:type="dxa"/>
            <w:vAlign w:val="bottom"/>
            <w:shd w:val="clear" w:color="auto" w:fill="D1D2D4"/>
          </w:tcPr>
          <w:p>
            <w:pPr>
              <w:ind w:left="20"/>
              <w:spacing w:after="0"/>
              <w:rPr>
                <w:sz w:val="20"/>
                <w:szCs w:val="20"/>
                <w:color w:val="auto"/>
              </w:rPr>
            </w:pPr>
            <w:r>
              <w:rPr>
                <w:rFonts w:ascii="Arial" w:cs="Arial" w:eastAsia="Arial" w:hAnsi="Arial"/>
                <w:sz w:val="16"/>
                <w:szCs w:val="16"/>
                <w:color w:val="auto"/>
              </w:rPr>
              <w:t>Expenditures for property, plant, and equipment</w:t>
            </w:r>
          </w:p>
        </w:tc>
        <w:tc>
          <w:tcPr>
            <w:tcW w:w="160" w:type="dxa"/>
            <w:vAlign w:val="bottom"/>
            <w:shd w:val="clear" w:color="auto" w:fill="D1D2D4"/>
          </w:tcPr>
          <w:p>
            <w:pPr>
              <w:spacing w:after="0"/>
              <w:rPr>
                <w:sz w:val="21"/>
                <w:szCs w:val="21"/>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(8,223)</w:t>
            </w:r>
          </w:p>
        </w:tc>
        <w:tc>
          <w:tcPr>
            <w:tcW w:w="220" w:type="dxa"/>
            <w:vAlign w:val="bottom"/>
            <w:shd w:val="clear" w:color="auto" w:fill="D1D2D4"/>
          </w:tcPr>
          <w:p>
            <w:pPr>
              <w:spacing w:after="0"/>
              <w:rPr>
                <w:sz w:val="21"/>
                <w:szCs w:val="21"/>
                <w:color w:val="auto"/>
              </w:rPr>
            </w:pPr>
          </w:p>
        </w:tc>
        <w:tc>
          <w:tcPr>
            <w:tcW w:w="12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(9,780)</w:t>
            </w:r>
          </w:p>
        </w:tc>
        <w:tc>
          <w:tcPr>
            <w:tcW w:w="220" w:type="dxa"/>
            <w:vAlign w:val="bottom"/>
            <w:shd w:val="clear" w:color="auto" w:fill="D1D2D4"/>
          </w:tcPr>
          <w:p>
            <w:pPr>
              <w:spacing w:after="0"/>
              <w:rPr>
                <w:sz w:val="21"/>
                <w:szCs w:val="21"/>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(8,879)</w:t>
            </w:r>
          </w:p>
        </w:tc>
      </w:tr>
      <w:tr>
        <w:trPr>
          <w:trHeight w:val="233"/>
        </w:trPr>
        <w:tc>
          <w:tcPr>
            <w:tcW w:w="6840" w:type="dxa"/>
            <w:vAlign w:val="bottom"/>
          </w:tcPr>
          <w:p>
            <w:pPr>
              <w:ind w:left="20"/>
              <w:spacing w:after="0"/>
              <w:rPr>
                <w:sz w:val="20"/>
                <w:szCs w:val="20"/>
                <w:color w:val="auto"/>
              </w:rPr>
            </w:pPr>
            <w:r>
              <w:rPr>
                <w:rFonts w:ascii="Arial" w:cs="Arial" w:eastAsia="Arial" w:hAnsi="Arial"/>
                <w:sz w:val="16"/>
                <w:szCs w:val="16"/>
                <w:color w:val="auto"/>
              </w:rPr>
              <w:t>Purchases of available-for-sale securities</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(1,857)</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(4,218)</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(760)</w:t>
            </w:r>
          </w:p>
        </w:tc>
      </w:tr>
      <w:tr>
        <w:trPr>
          <w:trHeight w:val="253"/>
        </w:trPr>
        <w:tc>
          <w:tcPr>
            <w:tcW w:w="6840" w:type="dxa"/>
            <w:vAlign w:val="bottom"/>
            <w:shd w:val="clear" w:color="auto" w:fill="D1D2D4"/>
          </w:tcPr>
          <w:p>
            <w:pPr>
              <w:ind w:left="20"/>
              <w:spacing w:after="0"/>
              <w:rPr>
                <w:sz w:val="20"/>
                <w:szCs w:val="20"/>
                <w:color w:val="auto"/>
              </w:rPr>
            </w:pPr>
            <w:r>
              <w:rPr>
                <w:rFonts w:ascii="Arial" w:cs="Arial" w:eastAsia="Arial" w:hAnsi="Arial"/>
                <w:sz w:val="16"/>
                <w:szCs w:val="16"/>
                <w:color w:val="auto"/>
              </w:rPr>
              <w:t>Proceeds from sales of available-for-sale securities</w:t>
            </w:r>
          </w:p>
        </w:tc>
        <w:tc>
          <w:tcPr>
            <w:tcW w:w="160" w:type="dxa"/>
            <w:vAlign w:val="bottom"/>
            <w:shd w:val="clear" w:color="auto" w:fill="D1D2D4"/>
          </w:tcPr>
          <w:p>
            <w:pPr>
              <w:spacing w:after="0"/>
              <w:rPr>
                <w:sz w:val="21"/>
                <w:szCs w:val="21"/>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1,458</w:t>
            </w:r>
          </w:p>
        </w:tc>
        <w:tc>
          <w:tcPr>
            <w:tcW w:w="220" w:type="dxa"/>
            <w:vAlign w:val="bottom"/>
            <w:shd w:val="clear" w:color="auto" w:fill="D1D2D4"/>
          </w:tcPr>
          <w:p>
            <w:pPr>
              <w:spacing w:after="0"/>
              <w:rPr>
                <w:sz w:val="21"/>
                <w:szCs w:val="21"/>
                <w:color w:val="auto"/>
              </w:rPr>
            </w:pPr>
          </w:p>
        </w:tc>
        <w:tc>
          <w:tcPr>
            <w:tcW w:w="12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1,504</w:t>
            </w:r>
          </w:p>
        </w:tc>
        <w:tc>
          <w:tcPr>
            <w:tcW w:w="220" w:type="dxa"/>
            <w:vAlign w:val="bottom"/>
            <w:shd w:val="clear" w:color="auto" w:fill="D1D2D4"/>
          </w:tcPr>
          <w:p>
            <w:pPr>
              <w:spacing w:after="0"/>
              <w:rPr>
                <w:sz w:val="21"/>
                <w:szCs w:val="21"/>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604</w:t>
            </w:r>
          </w:p>
        </w:tc>
      </w:tr>
      <w:tr>
        <w:trPr>
          <w:trHeight w:val="233"/>
        </w:trPr>
        <w:tc>
          <w:tcPr>
            <w:tcW w:w="6840" w:type="dxa"/>
            <w:vAlign w:val="bottom"/>
          </w:tcPr>
          <w:p>
            <w:pPr>
              <w:ind w:left="20"/>
              <w:spacing w:after="0"/>
              <w:rPr>
                <w:sz w:val="20"/>
                <w:szCs w:val="20"/>
                <w:color w:val="auto"/>
              </w:rPr>
            </w:pPr>
            <w:r>
              <w:rPr>
                <w:rFonts w:ascii="Arial" w:cs="Arial" w:eastAsia="Arial" w:hAnsi="Arial"/>
                <w:sz w:val="16"/>
                <w:szCs w:val="16"/>
                <w:color w:val="auto"/>
              </w:rPr>
              <w:t>Proceeds from maturities of available-for-sale securities</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814</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1,541</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320</w:t>
            </w:r>
          </w:p>
        </w:tc>
      </w:tr>
      <w:tr>
        <w:trPr>
          <w:trHeight w:val="253"/>
        </w:trPr>
        <w:tc>
          <w:tcPr>
            <w:tcW w:w="6840" w:type="dxa"/>
            <w:vAlign w:val="bottom"/>
            <w:shd w:val="clear" w:color="auto" w:fill="D1D2D4"/>
          </w:tcPr>
          <w:p>
            <w:pPr>
              <w:ind w:left="20"/>
              <w:spacing w:after="0"/>
              <w:rPr>
                <w:sz w:val="20"/>
                <w:szCs w:val="20"/>
                <w:color w:val="auto"/>
              </w:rPr>
            </w:pPr>
            <w:r>
              <w:rPr>
                <w:rFonts w:ascii="Arial" w:cs="Arial" w:eastAsia="Arial" w:hAnsi="Arial"/>
                <w:sz w:val="16"/>
                <w:szCs w:val="16"/>
                <w:color w:val="auto"/>
              </w:rPr>
              <w:t>Proceeds from government incentives</w:t>
            </w:r>
          </w:p>
        </w:tc>
        <w:tc>
          <w:tcPr>
            <w:tcW w:w="160" w:type="dxa"/>
            <w:vAlign w:val="bottom"/>
            <w:shd w:val="clear" w:color="auto" w:fill="D1D2D4"/>
          </w:tcPr>
          <w:p>
            <w:pPr>
              <w:spacing w:after="0"/>
              <w:rPr>
                <w:sz w:val="21"/>
                <w:szCs w:val="21"/>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262</w:t>
            </w:r>
          </w:p>
        </w:tc>
        <w:tc>
          <w:tcPr>
            <w:tcW w:w="220" w:type="dxa"/>
            <w:vAlign w:val="bottom"/>
            <w:shd w:val="clear" w:color="auto" w:fill="D1D2D4"/>
          </w:tcPr>
          <w:p>
            <w:pPr>
              <w:spacing w:after="0"/>
              <w:rPr>
                <w:sz w:val="21"/>
                <w:szCs w:val="21"/>
                <w:color w:val="auto"/>
              </w:rPr>
            </w:pPr>
          </w:p>
        </w:tc>
        <w:tc>
          <w:tcPr>
            <w:tcW w:w="12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748</w:t>
            </w:r>
          </w:p>
        </w:tc>
        <w:tc>
          <w:tcPr>
            <w:tcW w:w="220" w:type="dxa"/>
            <w:vAlign w:val="bottom"/>
            <w:shd w:val="clear" w:color="auto" w:fill="D1D2D4"/>
          </w:tcPr>
          <w:p>
            <w:pPr>
              <w:spacing w:after="0"/>
              <w:rPr>
                <w:sz w:val="21"/>
                <w:szCs w:val="21"/>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355</w:t>
            </w:r>
          </w:p>
        </w:tc>
      </w:tr>
      <w:tr>
        <w:trPr>
          <w:trHeight w:val="237"/>
        </w:trPr>
        <w:tc>
          <w:tcPr>
            <w:tcW w:w="6840" w:type="dxa"/>
            <w:vAlign w:val="bottom"/>
            <w:tcBorders>
              <w:bottom w:val="single" w:sz="8" w:color="D1D2D4"/>
            </w:tcBorders>
          </w:tcPr>
          <w:p>
            <w:pPr>
              <w:ind w:left="2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w:t>
            </w: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w:t>
            </w:r>
          </w:p>
        </w:tc>
      </w:tr>
      <w:tr>
        <w:trPr>
          <w:trHeight w:val="236"/>
        </w:trPr>
        <w:tc>
          <w:tcPr>
            <w:tcW w:w="6840" w:type="dxa"/>
            <w:vAlign w:val="bottom"/>
            <w:shd w:val="clear" w:color="auto" w:fill="D1D2D4"/>
          </w:tcPr>
          <w:p>
            <w:pPr>
              <w:ind w:left="120"/>
              <w:spacing w:after="0"/>
              <w:rPr>
                <w:sz w:val="20"/>
                <w:szCs w:val="20"/>
                <w:color w:val="auto"/>
              </w:rPr>
            </w:pPr>
            <w:r>
              <w:rPr>
                <w:rFonts w:ascii="Arial" w:cs="Arial" w:eastAsia="Arial" w:hAnsi="Arial"/>
                <w:sz w:val="16"/>
                <w:szCs w:val="16"/>
                <w:color w:val="auto"/>
              </w:rPr>
              <w:t>Net cash provided by (used for) investing activities</w:t>
            </w:r>
          </w:p>
        </w:tc>
        <w:tc>
          <w:tcPr>
            <w:tcW w:w="160" w:type="dxa"/>
            <w:vAlign w:val="bottom"/>
            <w:tcBorders>
              <w:bottom w:val="single" w:sz="8" w:color="auto"/>
            </w:tcBorders>
            <w:shd w:val="clear" w:color="auto" w:fill="D1D2D4"/>
          </w:tcPr>
          <w:p>
            <w:pPr>
              <w:spacing w:after="0"/>
              <w:rPr>
                <w:sz w:val="20"/>
                <w:szCs w:val="20"/>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(7,589)</w:t>
            </w:r>
          </w:p>
        </w:tc>
        <w:tc>
          <w:tcPr>
            <w:tcW w:w="220" w:type="dxa"/>
            <w:vAlign w:val="bottom"/>
            <w:tcBorders>
              <w:bottom w:val="single" w:sz="8" w:color="auto"/>
            </w:tcBorders>
            <w:shd w:val="clear" w:color="auto" w:fill="D1D2D4"/>
          </w:tcPr>
          <w:p>
            <w:pPr>
              <w:spacing w:after="0"/>
              <w:rPr>
                <w:sz w:val="20"/>
                <w:szCs w:val="20"/>
                <w:color w:val="auto"/>
              </w:rPr>
            </w:pPr>
          </w:p>
        </w:tc>
        <w:tc>
          <w:tcPr>
            <w:tcW w:w="12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(10,085)</w:t>
            </w:r>
          </w:p>
        </w:tc>
        <w:tc>
          <w:tcPr>
            <w:tcW w:w="220" w:type="dxa"/>
            <w:vAlign w:val="bottom"/>
            <w:tcBorders>
              <w:bottom w:val="single" w:sz="8" w:color="auto"/>
            </w:tcBorders>
            <w:shd w:val="clear" w:color="auto" w:fill="D1D2D4"/>
          </w:tcPr>
          <w:p>
            <w:pPr>
              <w:spacing w:after="0"/>
              <w:rPr>
                <w:sz w:val="20"/>
                <w:szCs w:val="20"/>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(8,216)</w:t>
            </w:r>
          </w:p>
        </w:tc>
      </w:tr>
      <w:tr>
        <w:trPr>
          <w:trHeight w:val="203"/>
        </w:trPr>
        <w:tc>
          <w:tcPr>
            <w:tcW w:w="6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43"/>
        </w:trPr>
        <w:tc>
          <w:tcPr>
            <w:tcW w:w="6840" w:type="dxa"/>
            <w:vAlign w:val="bottom"/>
            <w:shd w:val="clear" w:color="auto" w:fill="D1D2D4"/>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160" w:type="dxa"/>
            <w:vAlign w:val="bottom"/>
            <w:shd w:val="clear" w:color="auto" w:fill="D1D2D4"/>
          </w:tcPr>
          <w:p>
            <w:pPr>
              <w:spacing w:after="0"/>
              <w:rPr>
                <w:sz w:val="21"/>
                <w:szCs w:val="21"/>
                <w:color w:val="auto"/>
              </w:rPr>
            </w:pPr>
          </w:p>
        </w:tc>
        <w:tc>
          <w:tcPr>
            <w:tcW w:w="1300" w:type="dxa"/>
            <w:vAlign w:val="bottom"/>
            <w:shd w:val="clear" w:color="auto" w:fill="D1D2D4"/>
          </w:tcPr>
          <w:p>
            <w:pPr>
              <w:spacing w:after="0"/>
              <w:rPr>
                <w:sz w:val="21"/>
                <w:szCs w:val="21"/>
                <w:color w:val="auto"/>
              </w:rPr>
            </w:pPr>
          </w:p>
        </w:tc>
        <w:tc>
          <w:tcPr>
            <w:tcW w:w="220" w:type="dxa"/>
            <w:vAlign w:val="bottom"/>
            <w:shd w:val="clear" w:color="auto" w:fill="D1D2D4"/>
          </w:tcPr>
          <w:p>
            <w:pPr>
              <w:spacing w:after="0"/>
              <w:rPr>
                <w:sz w:val="21"/>
                <w:szCs w:val="21"/>
                <w:color w:val="auto"/>
              </w:rPr>
            </w:pPr>
          </w:p>
        </w:tc>
        <w:tc>
          <w:tcPr>
            <w:tcW w:w="1240" w:type="dxa"/>
            <w:vAlign w:val="bottom"/>
            <w:shd w:val="clear" w:color="auto" w:fill="D1D2D4"/>
          </w:tcPr>
          <w:p>
            <w:pPr>
              <w:spacing w:after="0"/>
              <w:rPr>
                <w:sz w:val="21"/>
                <w:szCs w:val="21"/>
                <w:color w:val="auto"/>
              </w:rPr>
            </w:pPr>
          </w:p>
        </w:tc>
        <w:tc>
          <w:tcPr>
            <w:tcW w:w="220" w:type="dxa"/>
            <w:vAlign w:val="bottom"/>
            <w:shd w:val="clear" w:color="auto" w:fill="D1D2D4"/>
          </w:tcPr>
          <w:p>
            <w:pPr>
              <w:spacing w:after="0"/>
              <w:rPr>
                <w:sz w:val="21"/>
                <w:szCs w:val="21"/>
                <w:color w:val="auto"/>
              </w:rPr>
            </w:pPr>
          </w:p>
        </w:tc>
        <w:tc>
          <w:tcPr>
            <w:tcW w:w="1260" w:type="dxa"/>
            <w:vAlign w:val="bottom"/>
            <w:shd w:val="clear" w:color="auto" w:fill="D1D2D4"/>
          </w:tcPr>
          <w:p>
            <w:pPr>
              <w:spacing w:after="0"/>
              <w:rPr>
                <w:sz w:val="21"/>
                <w:szCs w:val="21"/>
                <w:color w:val="auto"/>
              </w:rPr>
            </w:pPr>
          </w:p>
        </w:tc>
      </w:tr>
      <w:tr>
        <w:trPr>
          <w:trHeight w:val="233"/>
        </w:trPr>
        <w:tc>
          <w:tcPr>
            <w:tcW w:w="6840" w:type="dxa"/>
            <w:vAlign w:val="bottom"/>
          </w:tcPr>
          <w:p>
            <w:pPr>
              <w:ind w:left="20"/>
              <w:spacing w:after="0"/>
              <w:rPr>
                <w:sz w:val="20"/>
                <w:szCs w:val="20"/>
                <w:color w:val="auto"/>
              </w:rPr>
            </w:pPr>
            <w:r>
              <w:rPr>
                <w:rFonts w:ascii="Arial" w:cs="Arial" w:eastAsia="Arial" w:hAnsi="Arial"/>
                <w:sz w:val="16"/>
                <w:szCs w:val="16"/>
                <w:color w:val="auto"/>
              </w:rPr>
              <w:t>Repayments of debt</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(4,366)</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(3,340)</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(10,194)</w:t>
            </w:r>
          </w:p>
        </w:tc>
      </w:tr>
      <w:tr>
        <w:trPr>
          <w:trHeight w:val="253"/>
        </w:trPr>
        <w:tc>
          <w:tcPr>
            <w:tcW w:w="6840" w:type="dxa"/>
            <w:vAlign w:val="bottom"/>
            <w:shd w:val="clear" w:color="auto" w:fill="D1D2D4"/>
          </w:tcPr>
          <w:p>
            <w:pPr>
              <w:ind w:left="20"/>
              <w:spacing w:after="0"/>
              <w:rPr>
                <w:sz w:val="20"/>
                <w:szCs w:val="20"/>
                <w:color w:val="auto"/>
              </w:rPr>
            </w:pPr>
            <w:r>
              <w:rPr>
                <w:rFonts w:ascii="Arial" w:cs="Arial" w:eastAsia="Arial" w:hAnsi="Arial"/>
                <w:sz w:val="16"/>
                <w:szCs w:val="16"/>
                <w:color w:val="auto"/>
              </w:rPr>
              <w:t>Acquisition of noncontrolling interest in IMFT</w:t>
            </w:r>
          </w:p>
        </w:tc>
        <w:tc>
          <w:tcPr>
            <w:tcW w:w="160" w:type="dxa"/>
            <w:vAlign w:val="bottom"/>
            <w:shd w:val="clear" w:color="auto" w:fill="D1D2D4"/>
          </w:tcPr>
          <w:p>
            <w:pPr>
              <w:spacing w:after="0"/>
              <w:rPr>
                <w:sz w:val="21"/>
                <w:szCs w:val="21"/>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(744)</w:t>
            </w:r>
          </w:p>
        </w:tc>
        <w:tc>
          <w:tcPr>
            <w:tcW w:w="220" w:type="dxa"/>
            <w:vAlign w:val="bottom"/>
            <w:shd w:val="clear" w:color="auto" w:fill="D1D2D4"/>
          </w:tcPr>
          <w:p>
            <w:pPr>
              <w:spacing w:after="0"/>
              <w:rPr>
                <w:sz w:val="21"/>
                <w:szCs w:val="21"/>
                <w:color w:val="auto"/>
              </w:rPr>
            </w:pPr>
          </w:p>
        </w:tc>
        <w:tc>
          <w:tcPr>
            <w:tcW w:w="12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D1D2D4"/>
          </w:tcPr>
          <w:p>
            <w:pPr>
              <w:spacing w:after="0"/>
              <w:rPr>
                <w:sz w:val="21"/>
                <w:szCs w:val="21"/>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6840" w:type="dxa"/>
            <w:vAlign w:val="bottom"/>
          </w:tcPr>
          <w:p>
            <w:pPr>
              <w:ind w:left="20"/>
              <w:spacing w:after="0"/>
              <w:rPr>
                <w:sz w:val="20"/>
                <w:szCs w:val="20"/>
                <w:color w:val="auto"/>
              </w:rPr>
            </w:pPr>
            <w:r>
              <w:rPr>
                <w:rFonts w:ascii="Arial" w:cs="Arial" w:eastAsia="Arial" w:hAnsi="Arial"/>
                <w:sz w:val="16"/>
                <w:szCs w:val="16"/>
                <w:color w:val="auto"/>
              </w:rPr>
              <w:t>Payments to acquire treasury stock</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(251)</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(2,729)</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253"/>
        </w:trPr>
        <w:tc>
          <w:tcPr>
            <w:tcW w:w="6840" w:type="dxa"/>
            <w:vAlign w:val="bottom"/>
            <w:shd w:val="clear" w:color="auto" w:fill="D1D2D4"/>
          </w:tcPr>
          <w:p>
            <w:pPr>
              <w:ind w:left="20"/>
              <w:spacing w:after="0"/>
              <w:rPr>
                <w:sz w:val="20"/>
                <w:szCs w:val="20"/>
                <w:color w:val="auto"/>
              </w:rPr>
            </w:pPr>
            <w:r>
              <w:rPr>
                <w:rFonts w:ascii="Arial" w:cs="Arial" w:eastAsia="Arial" w:hAnsi="Arial"/>
                <w:sz w:val="16"/>
                <w:szCs w:val="16"/>
                <w:color w:val="auto"/>
              </w:rPr>
              <w:t>Payments on equipment purchase contracts</w:t>
            </w:r>
          </w:p>
        </w:tc>
        <w:tc>
          <w:tcPr>
            <w:tcW w:w="160" w:type="dxa"/>
            <w:vAlign w:val="bottom"/>
            <w:shd w:val="clear" w:color="auto" w:fill="D1D2D4"/>
          </w:tcPr>
          <w:p>
            <w:pPr>
              <w:spacing w:after="0"/>
              <w:rPr>
                <w:sz w:val="21"/>
                <w:szCs w:val="21"/>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(63)</w:t>
            </w:r>
          </w:p>
        </w:tc>
        <w:tc>
          <w:tcPr>
            <w:tcW w:w="220" w:type="dxa"/>
            <w:vAlign w:val="bottom"/>
            <w:shd w:val="clear" w:color="auto" w:fill="D1D2D4"/>
          </w:tcPr>
          <w:p>
            <w:pPr>
              <w:spacing w:after="0"/>
              <w:rPr>
                <w:sz w:val="21"/>
                <w:szCs w:val="21"/>
                <w:color w:val="auto"/>
              </w:rPr>
            </w:pPr>
          </w:p>
        </w:tc>
        <w:tc>
          <w:tcPr>
            <w:tcW w:w="12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(75)</w:t>
            </w:r>
          </w:p>
        </w:tc>
        <w:tc>
          <w:tcPr>
            <w:tcW w:w="220" w:type="dxa"/>
            <w:vAlign w:val="bottom"/>
            <w:shd w:val="clear" w:color="auto" w:fill="D1D2D4"/>
          </w:tcPr>
          <w:p>
            <w:pPr>
              <w:spacing w:after="0"/>
              <w:rPr>
                <w:sz w:val="21"/>
                <w:szCs w:val="21"/>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(206)</w:t>
            </w:r>
          </w:p>
        </w:tc>
      </w:tr>
      <w:tr>
        <w:trPr>
          <w:trHeight w:val="233"/>
        </w:trPr>
        <w:tc>
          <w:tcPr>
            <w:tcW w:w="6840" w:type="dxa"/>
            <w:vAlign w:val="bottom"/>
          </w:tcPr>
          <w:p>
            <w:pPr>
              <w:ind w:left="20"/>
              <w:spacing w:after="0"/>
              <w:rPr>
                <w:sz w:val="20"/>
                <w:szCs w:val="20"/>
                <w:color w:val="auto"/>
              </w:rPr>
            </w:pPr>
            <w:r>
              <w:rPr>
                <w:rFonts w:ascii="Arial" w:cs="Arial" w:eastAsia="Arial" w:hAnsi="Arial"/>
                <w:sz w:val="16"/>
                <w:szCs w:val="16"/>
                <w:color w:val="auto"/>
              </w:rPr>
              <w:t>Proceeds from issuance of debt</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5,000</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3,550</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1,009</w:t>
            </w:r>
          </w:p>
        </w:tc>
      </w:tr>
      <w:tr>
        <w:trPr>
          <w:trHeight w:val="253"/>
        </w:trPr>
        <w:tc>
          <w:tcPr>
            <w:tcW w:w="6840" w:type="dxa"/>
            <w:vAlign w:val="bottom"/>
            <w:shd w:val="clear" w:color="auto" w:fill="D1D2D4"/>
          </w:tcPr>
          <w:p>
            <w:pPr>
              <w:ind w:left="20"/>
              <w:spacing w:after="0"/>
              <w:rPr>
                <w:sz w:val="20"/>
                <w:szCs w:val="20"/>
                <w:color w:val="auto"/>
              </w:rPr>
            </w:pPr>
            <w:r>
              <w:rPr>
                <w:rFonts w:ascii="Arial" w:cs="Arial" w:eastAsia="Arial" w:hAnsi="Arial"/>
                <w:sz w:val="16"/>
                <w:szCs w:val="16"/>
                <w:color w:val="auto"/>
              </w:rPr>
              <w:t>Proceeds from issuance of stock</w:t>
            </w:r>
          </w:p>
        </w:tc>
        <w:tc>
          <w:tcPr>
            <w:tcW w:w="160" w:type="dxa"/>
            <w:vAlign w:val="bottom"/>
            <w:shd w:val="clear" w:color="auto" w:fill="D1D2D4"/>
          </w:tcPr>
          <w:p>
            <w:pPr>
              <w:spacing w:after="0"/>
              <w:rPr>
                <w:sz w:val="21"/>
                <w:szCs w:val="21"/>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225</w:t>
            </w:r>
          </w:p>
        </w:tc>
        <w:tc>
          <w:tcPr>
            <w:tcW w:w="220" w:type="dxa"/>
            <w:vAlign w:val="bottom"/>
            <w:shd w:val="clear" w:color="auto" w:fill="D1D2D4"/>
          </w:tcPr>
          <w:p>
            <w:pPr>
              <w:spacing w:after="0"/>
              <w:rPr>
                <w:sz w:val="21"/>
                <w:szCs w:val="21"/>
                <w:color w:val="auto"/>
              </w:rPr>
            </w:pPr>
          </w:p>
        </w:tc>
        <w:tc>
          <w:tcPr>
            <w:tcW w:w="12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179</w:t>
            </w:r>
          </w:p>
        </w:tc>
        <w:tc>
          <w:tcPr>
            <w:tcW w:w="220" w:type="dxa"/>
            <w:vAlign w:val="bottom"/>
            <w:shd w:val="clear" w:color="auto" w:fill="D1D2D4"/>
          </w:tcPr>
          <w:p>
            <w:pPr>
              <w:spacing w:after="0"/>
              <w:rPr>
                <w:sz w:val="21"/>
                <w:szCs w:val="21"/>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1,655</w:t>
            </w:r>
          </w:p>
        </w:tc>
      </w:tr>
      <w:tr>
        <w:trPr>
          <w:trHeight w:val="237"/>
        </w:trPr>
        <w:tc>
          <w:tcPr>
            <w:tcW w:w="6840" w:type="dxa"/>
            <w:vAlign w:val="bottom"/>
            <w:tcBorders>
              <w:bottom w:val="single" w:sz="8" w:color="D1D2D4"/>
            </w:tcBorders>
          </w:tcPr>
          <w:p>
            <w:pPr>
              <w:ind w:left="2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r>
      <w:tr>
        <w:trPr>
          <w:trHeight w:val="236"/>
        </w:trPr>
        <w:tc>
          <w:tcPr>
            <w:tcW w:w="6840" w:type="dxa"/>
            <w:vAlign w:val="bottom"/>
            <w:shd w:val="clear" w:color="auto" w:fill="D1D2D4"/>
          </w:tcPr>
          <w:p>
            <w:pPr>
              <w:ind w:left="120"/>
              <w:spacing w:after="0"/>
              <w:rPr>
                <w:sz w:val="20"/>
                <w:szCs w:val="20"/>
                <w:color w:val="auto"/>
              </w:rPr>
            </w:pPr>
            <w:r>
              <w:rPr>
                <w:rFonts w:ascii="Arial" w:cs="Arial" w:eastAsia="Arial" w:hAnsi="Arial"/>
                <w:sz w:val="16"/>
                <w:szCs w:val="16"/>
                <w:color w:val="auto"/>
              </w:rPr>
              <w:t>Net cash provided by (used for) financing activities</w:t>
            </w:r>
          </w:p>
        </w:tc>
        <w:tc>
          <w:tcPr>
            <w:tcW w:w="160" w:type="dxa"/>
            <w:vAlign w:val="bottom"/>
            <w:tcBorders>
              <w:bottom w:val="single" w:sz="8" w:color="auto"/>
            </w:tcBorders>
            <w:shd w:val="clear" w:color="auto" w:fill="D1D2D4"/>
          </w:tcPr>
          <w:p>
            <w:pPr>
              <w:spacing w:after="0"/>
              <w:rPr>
                <w:sz w:val="20"/>
                <w:szCs w:val="20"/>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(317)</w:t>
            </w:r>
          </w:p>
        </w:tc>
        <w:tc>
          <w:tcPr>
            <w:tcW w:w="220" w:type="dxa"/>
            <w:vAlign w:val="bottom"/>
            <w:tcBorders>
              <w:bottom w:val="single" w:sz="8" w:color="auto"/>
            </w:tcBorders>
            <w:shd w:val="clear" w:color="auto" w:fill="D1D2D4"/>
          </w:tcPr>
          <w:p>
            <w:pPr>
              <w:spacing w:after="0"/>
              <w:rPr>
                <w:sz w:val="20"/>
                <w:szCs w:val="20"/>
                <w:color w:val="auto"/>
              </w:rPr>
            </w:pPr>
          </w:p>
        </w:tc>
        <w:tc>
          <w:tcPr>
            <w:tcW w:w="12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(2,438)</w:t>
            </w:r>
          </w:p>
        </w:tc>
        <w:tc>
          <w:tcPr>
            <w:tcW w:w="220" w:type="dxa"/>
            <w:vAlign w:val="bottom"/>
            <w:tcBorders>
              <w:bottom w:val="single" w:sz="8" w:color="auto"/>
            </w:tcBorders>
            <w:shd w:val="clear" w:color="auto" w:fill="D1D2D4"/>
          </w:tcPr>
          <w:p>
            <w:pPr>
              <w:spacing w:after="0"/>
              <w:rPr>
                <w:sz w:val="20"/>
                <w:szCs w:val="20"/>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(7,776)</w:t>
            </w:r>
          </w:p>
        </w:tc>
      </w:tr>
      <w:tr>
        <w:trPr>
          <w:trHeight w:val="203"/>
        </w:trPr>
        <w:tc>
          <w:tcPr>
            <w:tcW w:w="6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43"/>
        </w:trPr>
        <w:tc>
          <w:tcPr>
            <w:tcW w:w="6840" w:type="dxa"/>
            <w:vAlign w:val="bottom"/>
            <w:shd w:val="clear" w:color="auto" w:fill="D1D2D4"/>
          </w:tcPr>
          <w:p>
            <w:pPr>
              <w:ind w:left="20"/>
              <w:spacing w:after="0"/>
              <w:rPr>
                <w:sz w:val="20"/>
                <w:szCs w:val="20"/>
                <w:color w:val="auto"/>
              </w:rPr>
            </w:pPr>
            <w:r>
              <w:rPr>
                <w:rFonts w:ascii="Arial" w:cs="Arial" w:eastAsia="Arial" w:hAnsi="Arial"/>
                <w:sz w:val="16"/>
                <w:szCs w:val="16"/>
                <w:color w:val="auto"/>
              </w:rPr>
              <w:t>Effect of changes in currency exchange rates on cash, cash equivalents, and restricted cash</w:t>
            </w:r>
          </w:p>
        </w:tc>
        <w:tc>
          <w:tcPr>
            <w:tcW w:w="160" w:type="dxa"/>
            <w:vAlign w:val="bottom"/>
            <w:shd w:val="clear" w:color="auto" w:fill="D1D2D4"/>
          </w:tcPr>
          <w:p>
            <w:pPr>
              <w:spacing w:after="0"/>
              <w:rPr>
                <w:sz w:val="21"/>
                <w:szCs w:val="21"/>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11</w:t>
            </w:r>
          </w:p>
        </w:tc>
        <w:tc>
          <w:tcPr>
            <w:tcW w:w="220" w:type="dxa"/>
            <w:vAlign w:val="bottom"/>
            <w:shd w:val="clear" w:color="auto" w:fill="D1D2D4"/>
          </w:tcPr>
          <w:p>
            <w:pPr>
              <w:spacing w:after="0"/>
              <w:rPr>
                <w:sz w:val="21"/>
                <w:szCs w:val="21"/>
                <w:color w:val="auto"/>
              </w:rPr>
            </w:pPr>
          </w:p>
        </w:tc>
        <w:tc>
          <w:tcPr>
            <w:tcW w:w="12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26</w:t>
            </w:r>
          </w:p>
        </w:tc>
        <w:tc>
          <w:tcPr>
            <w:tcW w:w="220" w:type="dxa"/>
            <w:vAlign w:val="bottom"/>
            <w:shd w:val="clear" w:color="auto" w:fill="D1D2D4"/>
          </w:tcPr>
          <w:p>
            <w:pPr>
              <w:spacing w:after="0"/>
              <w:rPr>
                <w:sz w:val="21"/>
                <w:szCs w:val="21"/>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(37)</w:t>
            </w:r>
          </w:p>
        </w:tc>
      </w:tr>
      <w:tr>
        <w:trPr>
          <w:trHeight w:val="216"/>
        </w:trPr>
        <w:tc>
          <w:tcPr>
            <w:tcW w:w="6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43"/>
        </w:trPr>
        <w:tc>
          <w:tcPr>
            <w:tcW w:w="6840" w:type="dxa"/>
            <w:vAlign w:val="bottom"/>
            <w:shd w:val="clear" w:color="auto" w:fill="D1D2D4"/>
          </w:tcPr>
          <w:p>
            <w:pPr>
              <w:ind w:left="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160" w:type="dxa"/>
            <w:vAlign w:val="bottom"/>
            <w:shd w:val="clear" w:color="auto" w:fill="D1D2D4"/>
          </w:tcPr>
          <w:p>
            <w:pPr>
              <w:spacing w:after="0"/>
              <w:rPr>
                <w:sz w:val="21"/>
                <w:szCs w:val="21"/>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411</w:t>
            </w:r>
          </w:p>
        </w:tc>
        <w:tc>
          <w:tcPr>
            <w:tcW w:w="220" w:type="dxa"/>
            <w:vAlign w:val="bottom"/>
            <w:shd w:val="clear" w:color="auto" w:fill="D1D2D4"/>
          </w:tcPr>
          <w:p>
            <w:pPr>
              <w:spacing w:after="0"/>
              <w:rPr>
                <w:sz w:val="21"/>
                <w:szCs w:val="21"/>
                <w:color w:val="auto"/>
              </w:rPr>
            </w:pPr>
          </w:p>
        </w:tc>
        <w:tc>
          <w:tcPr>
            <w:tcW w:w="12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692</w:t>
            </w:r>
          </w:p>
        </w:tc>
        <w:tc>
          <w:tcPr>
            <w:tcW w:w="220" w:type="dxa"/>
            <w:vAlign w:val="bottom"/>
            <w:shd w:val="clear" w:color="auto" w:fill="D1D2D4"/>
          </w:tcPr>
          <w:p>
            <w:pPr>
              <w:spacing w:after="0"/>
              <w:rPr>
                <w:sz w:val="21"/>
                <w:szCs w:val="21"/>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1,371</w:t>
            </w:r>
          </w:p>
        </w:tc>
      </w:tr>
      <w:tr>
        <w:trPr>
          <w:trHeight w:val="236"/>
        </w:trPr>
        <w:tc>
          <w:tcPr>
            <w:tcW w:w="6840" w:type="dxa"/>
            <w:vAlign w:val="bottom"/>
            <w:tcBorders>
              <w:bottom w:val="single" w:sz="8" w:color="D1D2D4"/>
            </w:tcBorders>
          </w:tcPr>
          <w:p>
            <w:pPr>
              <w:ind w:left="20"/>
              <w:spacing w:after="0"/>
              <w:rPr>
                <w:sz w:val="20"/>
                <w:szCs w:val="20"/>
                <w:color w:val="auto"/>
              </w:rPr>
            </w:pPr>
            <w:r>
              <w:rPr>
                <w:rFonts w:ascii="Arial" w:cs="Arial" w:eastAsia="Arial" w:hAnsi="Arial"/>
                <w:sz w:val="16"/>
                <w:szCs w:val="16"/>
                <w:color w:val="auto"/>
              </w:rPr>
              <w:t>Cash, cash equivalents, and restricted cash at beginning of period</w:t>
            </w: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7,279</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6,587</w:t>
            </w: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5,216</w:t>
            </w:r>
          </w:p>
        </w:tc>
      </w:tr>
      <w:tr>
        <w:trPr>
          <w:trHeight w:val="268"/>
        </w:trPr>
        <w:tc>
          <w:tcPr>
            <w:tcW w:w="684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6"/>
                <w:szCs w:val="16"/>
                <w:color w:val="auto"/>
              </w:rPr>
              <w:t>Cash, cash equivalents, and restricted cash at end of period</w:t>
            </w:r>
          </w:p>
        </w:tc>
        <w:tc>
          <w:tcPr>
            <w:tcW w:w="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7,690</w:t>
            </w:r>
          </w:p>
        </w:tc>
        <w:tc>
          <w:tcPr>
            <w:tcW w:w="220" w:type="dxa"/>
            <w:vAlign w:val="bottom"/>
            <w:tcBorders>
              <w:bottom w:val="single" w:sz="8" w:color="auto"/>
            </w:tcBorders>
            <w:shd w:val="clear" w:color="auto" w:fill="D1D2D4"/>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7,279</w:t>
            </w:r>
          </w:p>
        </w:tc>
        <w:tc>
          <w:tcPr>
            <w:tcW w:w="220" w:type="dxa"/>
            <w:vAlign w:val="bottom"/>
            <w:tcBorders>
              <w:bottom w:val="single" w:sz="8" w:color="auto"/>
            </w:tcBorders>
            <w:shd w:val="clear" w:color="auto" w:fill="D1D2D4"/>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6,587</w:t>
            </w:r>
          </w:p>
        </w:tc>
      </w:tr>
      <w:tr>
        <w:trPr>
          <w:trHeight w:val="20"/>
        </w:trPr>
        <w:tc>
          <w:tcPr>
            <w:tcW w:w="6840" w:type="dxa"/>
            <w:vAlign w:val="bottom"/>
            <w:tcBorders>
              <w:top w:val="single" w:sz="8" w:color="D1D2D4"/>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240" w:type="dxa"/>
            <w:vAlign w:val="bottom"/>
            <w:tcBorders>
              <w:top w:val="single" w:sz="8" w:color="D1D2D4"/>
              <w:bottom w:val="single" w:sz="8" w:color="auto"/>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260" w:type="dxa"/>
            <w:vAlign w:val="bottom"/>
            <w:tcBorders>
              <w:top w:val="single" w:sz="8" w:color="D1D2D4"/>
              <w:bottom w:val="single" w:sz="8" w:color="auto"/>
            </w:tcBorders>
          </w:tcPr>
          <w:p>
            <w:pPr>
              <w:spacing w:after="0" w:line="20" w:lineRule="exact"/>
              <w:rPr>
                <w:sz w:val="1"/>
                <w:szCs w:val="1"/>
                <w:color w:val="auto"/>
              </w:rPr>
            </w:pPr>
          </w:p>
        </w:tc>
      </w:tr>
      <w:tr>
        <w:trPr>
          <w:trHeight w:val="163"/>
        </w:trPr>
        <w:tc>
          <w:tcPr>
            <w:tcW w:w="6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43"/>
        </w:trPr>
        <w:tc>
          <w:tcPr>
            <w:tcW w:w="6840" w:type="dxa"/>
            <w:vAlign w:val="bottom"/>
            <w:shd w:val="clear" w:color="auto" w:fill="D1D2D4"/>
          </w:tcPr>
          <w:p>
            <w:pPr>
              <w:ind w:left="20"/>
              <w:spacing w:after="0"/>
              <w:rPr>
                <w:sz w:val="20"/>
                <w:szCs w:val="20"/>
                <w:color w:val="auto"/>
              </w:rPr>
            </w:pPr>
            <w:r>
              <w:rPr>
                <w:rFonts w:ascii="Arial" w:cs="Arial" w:eastAsia="Arial" w:hAnsi="Arial"/>
                <w:sz w:val="16"/>
                <w:szCs w:val="16"/>
                <w:b w:val="1"/>
                <w:bCs w:val="1"/>
                <w:color w:val="auto"/>
              </w:rPr>
              <w:t>Supplemental disclosures</w:t>
            </w:r>
          </w:p>
        </w:tc>
        <w:tc>
          <w:tcPr>
            <w:tcW w:w="160" w:type="dxa"/>
            <w:vAlign w:val="bottom"/>
            <w:shd w:val="clear" w:color="auto" w:fill="D1D2D4"/>
          </w:tcPr>
          <w:p>
            <w:pPr>
              <w:spacing w:after="0"/>
              <w:rPr>
                <w:sz w:val="21"/>
                <w:szCs w:val="21"/>
                <w:color w:val="auto"/>
              </w:rPr>
            </w:pPr>
          </w:p>
        </w:tc>
        <w:tc>
          <w:tcPr>
            <w:tcW w:w="1300" w:type="dxa"/>
            <w:vAlign w:val="bottom"/>
            <w:shd w:val="clear" w:color="auto" w:fill="D1D2D4"/>
          </w:tcPr>
          <w:p>
            <w:pPr>
              <w:spacing w:after="0"/>
              <w:rPr>
                <w:sz w:val="21"/>
                <w:szCs w:val="21"/>
                <w:color w:val="auto"/>
              </w:rPr>
            </w:pPr>
          </w:p>
        </w:tc>
        <w:tc>
          <w:tcPr>
            <w:tcW w:w="220" w:type="dxa"/>
            <w:vAlign w:val="bottom"/>
            <w:shd w:val="clear" w:color="auto" w:fill="D1D2D4"/>
          </w:tcPr>
          <w:p>
            <w:pPr>
              <w:spacing w:after="0"/>
              <w:rPr>
                <w:sz w:val="21"/>
                <w:szCs w:val="21"/>
                <w:color w:val="auto"/>
              </w:rPr>
            </w:pPr>
          </w:p>
        </w:tc>
        <w:tc>
          <w:tcPr>
            <w:tcW w:w="1240" w:type="dxa"/>
            <w:vAlign w:val="bottom"/>
            <w:shd w:val="clear" w:color="auto" w:fill="D1D2D4"/>
          </w:tcPr>
          <w:p>
            <w:pPr>
              <w:spacing w:after="0"/>
              <w:rPr>
                <w:sz w:val="21"/>
                <w:szCs w:val="21"/>
                <w:color w:val="auto"/>
              </w:rPr>
            </w:pPr>
          </w:p>
        </w:tc>
        <w:tc>
          <w:tcPr>
            <w:tcW w:w="220" w:type="dxa"/>
            <w:vAlign w:val="bottom"/>
            <w:shd w:val="clear" w:color="auto" w:fill="D1D2D4"/>
          </w:tcPr>
          <w:p>
            <w:pPr>
              <w:spacing w:after="0"/>
              <w:rPr>
                <w:sz w:val="21"/>
                <w:szCs w:val="21"/>
                <w:color w:val="auto"/>
              </w:rPr>
            </w:pPr>
          </w:p>
        </w:tc>
        <w:tc>
          <w:tcPr>
            <w:tcW w:w="1260" w:type="dxa"/>
            <w:vAlign w:val="bottom"/>
            <w:shd w:val="clear" w:color="auto" w:fill="D1D2D4"/>
          </w:tcPr>
          <w:p>
            <w:pPr>
              <w:spacing w:after="0"/>
              <w:rPr>
                <w:sz w:val="21"/>
                <w:szCs w:val="21"/>
                <w:color w:val="auto"/>
              </w:rPr>
            </w:pPr>
          </w:p>
        </w:tc>
      </w:tr>
      <w:tr>
        <w:trPr>
          <w:trHeight w:val="233"/>
        </w:trPr>
        <w:tc>
          <w:tcPr>
            <w:tcW w:w="6840" w:type="dxa"/>
            <w:vAlign w:val="bottom"/>
          </w:tcPr>
          <w:p>
            <w:pPr>
              <w:ind w:left="20"/>
              <w:spacing w:after="0"/>
              <w:rPr>
                <w:sz w:val="20"/>
                <w:szCs w:val="20"/>
                <w:color w:val="auto"/>
              </w:rPr>
            </w:pPr>
            <w:r>
              <w:rPr>
                <w:rFonts w:ascii="Arial" w:cs="Arial" w:eastAsia="Arial" w:hAnsi="Arial"/>
                <w:sz w:val="16"/>
                <w:szCs w:val="16"/>
                <w:color w:val="auto"/>
              </w:rPr>
              <w:t>Income taxes paid, net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(167)</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(524)</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(226)</w:t>
            </w:r>
          </w:p>
        </w:tc>
      </w:tr>
      <w:tr>
        <w:trPr>
          <w:trHeight w:val="253"/>
        </w:trPr>
        <w:tc>
          <w:tcPr>
            <w:tcW w:w="6840" w:type="dxa"/>
            <w:vAlign w:val="bottom"/>
            <w:shd w:val="clear" w:color="auto" w:fill="D1D2D4"/>
          </w:tcPr>
          <w:p>
            <w:pPr>
              <w:ind w:left="20"/>
              <w:spacing w:after="0"/>
              <w:rPr>
                <w:sz w:val="20"/>
                <w:szCs w:val="20"/>
                <w:color w:val="auto"/>
              </w:rPr>
            </w:pPr>
            <w:r>
              <w:rPr>
                <w:rFonts w:ascii="Arial" w:cs="Arial" w:eastAsia="Arial" w:hAnsi="Arial"/>
                <w:sz w:val="16"/>
                <w:szCs w:val="16"/>
                <w:color w:val="auto"/>
              </w:rPr>
              <w:t>Interest paid, net of amounts capitalized</w:t>
            </w:r>
          </w:p>
        </w:tc>
        <w:tc>
          <w:tcPr>
            <w:tcW w:w="160" w:type="dxa"/>
            <w:vAlign w:val="bottom"/>
            <w:shd w:val="clear" w:color="auto" w:fill="D1D2D4"/>
          </w:tcPr>
          <w:p>
            <w:pPr>
              <w:spacing w:after="0"/>
              <w:rPr>
                <w:sz w:val="21"/>
                <w:szCs w:val="21"/>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(165)</w:t>
            </w:r>
          </w:p>
        </w:tc>
        <w:tc>
          <w:tcPr>
            <w:tcW w:w="220" w:type="dxa"/>
            <w:vAlign w:val="bottom"/>
            <w:shd w:val="clear" w:color="auto" w:fill="D1D2D4"/>
          </w:tcPr>
          <w:p>
            <w:pPr>
              <w:spacing w:after="0"/>
              <w:rPr>
                <w:sz w:val="21"/>
                <w:szCs w:val="21"/>
                <w:color w:val="auto"/>
              </w:rPr>
            </w:pPr>
          </w:p>
        </w:tc>
        <w:tc>
          <w:tcPr>
            <w:tcW w:w="12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(53)</w:t>
            </w:r>
          </w:p>
        </w:tc>
        <w:tc>
          <w:tcPr>
            <w:tcW w:w="220" w:type="dxa"/>
            <w:vAlign w:val="bottom"/>
            <w:shd w:val="clear" w:color="auto" w:fill="D1D2D4"/>
          </w:tcPr>
          <w:p>
            <w:pPr>
              <w:spacing w:after="0"/>
              <w:rPr>
                <w:sz w:val="21"/>
                <w:szCs w:val="21"/>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(312)</w:t>
            </w:r>
          </w:p>
        </w:tc>
      </w:tr>
      <w:tr>
        <w:trPr>
          <w:trHeight w:val="223"/>
        </w:trPr>
        <w:tc>
          <w:tcPr>
            <w:tcW w:w="6840" w:type="dxa"/>
            <w:vAlign w:val="bottom"/>
          </w:tcPr>
          <w:p>
            <w:pPr>
              <w:ind w:left="20"/>
              <w:spacing w:after="0"/>
              <w:rPr>
                <w:sz w:val="20"/>
                <w:szCs w:val="20"/>
                <w:color w:val="auto"/>
              </w:rPr>
            </w:pPr>
            <w:r>
              <w:rPr>
                <w:rFonts w:ascii="Arial" w:cs="Arial" w:eastAsia="Arial" w:hAnsi="Arial"/>
                <w:sz w:val="16"/>
                <w:szCs w:val="16"/>
                <w:color w:val="auto"/>
              </w:rPr>
              <w:t>Noncash equipment acquisitions on contracts payable</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278</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119</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84</w:t>
            </w:r>
          </w:p>
        </w:tc>
      </w:tr>
    </w:tbl>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240"/>
          </w:cols>
          <w:pgMar w:left="320" w:top="919"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21"/>
          <w:szCs w:val="21"/>
          <w:b w:val="1"/>
          <w:bCs w:val="1"/>
          <w:color w:val="0090DA"/>
        </w:rPr>
        <w:t>|</w:t>
      </w:r>
      <w:r>
        <w:rPr>
          <w:rFonts w:ascii="Arial" w:cs="Arial" w:eastAsia="Arial" w:hAnsi="Arial"/>
          <w:sz w:val="18"/>
          <w:szCs w:val="18"/>
          <w:color w:val="auto"/>
        </w:rPr>
        <w:t xml:space="preserve"> 2020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40"/>
          <w:szCs w:val="40"/>
          <w:b w:val="1"/>
          <w:bCs w:val="1"/>
          <w:color w:val="auto"/>
        </w:rPr>
        <w:t>Micron Technology, Inc.</w:t>
      </w:r>
    </w:p>
    <w:p>
      <w:pPr>
        <w:spacing w:after="0" w:line="4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NOTES TO CONSOLIDATED FINANCIAL STATEMENTS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(All tabular amounts in millions, except per share amounts)</w:t>
      </w:r>
    </w:p>
    <w:p>
      <w:pPr>
        <w:spacing w:after="0" w:line="223"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Significant Accounting Policies</w:t>
      </w:r>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Basis of Presentation</w:t>
      </w:r>
    </w:p>
    <w:p>
      <w:pPr>
        <w:spacing w:after="0" w:line="265"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Micron Technology, Inc., including its consolidated subsidiaries, is an industry leader in innovative memory and storage solutions. Through our global brands — Micron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Crucial</w:t>
      </w:r>
      <w:r>
        <w:rPr>
          <w:rFonts w:ascii="Arial" w:cs="Arial" w:eastAsia="Arial" w:hAnsi="Arial"/>
          <w:sz w:val="23"/>
          <w:szCs w:val="23"/>
          <w:color w:val="auto"/>
          <w:vertAlign w:val="superscript"/>
        </w:rPr>
        <w:t>®</w:t>
      </w:r>
      <w:r>
        <w:rPr>
          <w:rFonts w:ascii="Arial" w:cs="Arial" w:eastAsia="Arial" w:hAnsi="Arial"/>
          <w:sz w:val="18"/>
          <w:szCs w:val="18"/>
          <w:color w:val="auto"/>
        </w:rPr>
        <w:t xml:space="preserve"> — our broad portfolio of high-performance memory and storage technologies, including DRAM, NAND, 3D XPoint memory, and NOR, is transforming how the world uses information to enrich life </w:t>
      </w:r>
      <w:r>
        <w:rPr>
          <w:rFonts w:ascii="Arial" w:cs="Arial" w:eastAsia="Arial" w:hAnsi="Arial"/>
          <w:sz w:val="18"/>
          <w:szCs w:val="18"/>
          <w:i w:val="1"/>
          <w:iCs w:val="1"/>
          <w:color w:val="auto"/>
        </w:rPr>
        <w:t>for all</w:t>
      </w:r>
      <w:r>
        <w:rPr>
          <w:rFonts w:ascii="Arial" w:cs="Arial" w:eastAsia="Arial" w:hAnsi="Arial"/>
          <w:sz w:val="18"/>
          <w:szCs w:val="18"/>
          <w:color w:val="auto"/>
        </w:rPr>
        <w:t>. Backed by more than 40 years of technology leadership, our memory and storage solutions enable disruptive trends, including artificial intelligence, 5G, machine learning, and autonomous vehicles, in key market segments like mobile, data center, client, consumer, industrial, graphics, automotive, and networking.</w:t>
      </w:r>
    </w:p>
    <w:p>
      <w:pPr>
        <w:spacing w:after="0" w:line="244"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The accompanying consolidated financial statements include the accounts of Micron and our consolidated subsidiaries and have been prepared in accordance with accounting principles generally accepted in the United States of America. Intercompany balances and transactions have been eliminated in consolidation. Certain reclassifications have been made to prior period amounts to conform to current period presentation. See “Recently Adopted Accounting Standards.”</w:t>
      </w:r>
    </w:p>
    <w:p>
      <w:pPr>
        <w:spacing w:after="0" w:line="231"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Our fiscal year is the 52 or 53-week period ending on the Thursday closest to August 31. Fiscal 2020 contained 53 weeks and fiscal 2019 and 2018 each contained 52 weeks. Our fourth quarter of fiscal 2020 contained 14 weeks. All period references are to our fiscal periods unless otherwise indicated.</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Derivative and Hedging Instruments</w:t>
      </w:r>
    </w:p>
    <w:p>
      <w:pPr>
        <w:spacing w:after="0" w:line="265"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We use derivative instruments to manage our exposure to changes in currency exchange rates from (1) our monetary assets and liabilities denominated in currencies other than the U.S. dollar and (2) forecasted cash flows for certain capital expenditures and manufacturing costs. Derivative instruments are measured at their fair values and recognized as either assets or liabilities. The accounting for changes in the fair value of derivative instruments is based on the intended use of the derivative and the resulting designation. For derivative instruments that are not designated for hedge accounting, gains or losses from changes in fair values are recognized in other non-operating income (expense).</w:t>
      </w:r>
    </w:p>
    <w:p>
      <w:pPr>
        <w:spacing w:after="0" w:line="235"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For derivative instruments designated as cash flow hedges, gains or losses are included as a component of accumulated other comprehensive income and reclassified into earnings in the same line items and in the same periods in which the underlying transactions affect earnings.</w:t>
      </w:r>
    </w:p>
    <w:p>
      <w:pPr>
        <w:spacing w:after="0" w:line="229"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We enter into master netting arrangements with our counterparties to mitigate credit risk in derivative hedge transactions. These master netting arrangements allow us and our counterparties to net settle amounts owed to each other. Derivative assets and liabilities that can be net settled with each counterparty have been presented in our consolidated balance sheet on a net basis.</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Financial Instruments</w:t>
      </w:r>
    </w:p>
    <w:p>
      <w:pPr>
        <w:spacing w:after="0" w:line="26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Cash equivalents include highly liquid short-term investments with original maturities to us of three months or less that are readily convertible to known amounts of cash. Other investments with remaining maturities of less than one year are included in short-term investments. Investments with remaining maturities greater than one year are included in long-term marketable investments. The carrying value of investment securities sold is determined using the specific identification method.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right"/>
        <w:spacing w:after="0"/>
        <w:rPr>
          <w:sz w:val="20"/>
          <w:szCs w:val="20"/>
          <w:color w:val="auto"/>
        </w:rPr>
      </w:pPr>
      <w:r>
        <w:rPr>
          <w:sz w:val="1"/>
          <w:szCs w:val="1"/>
          <w:color w:val="auto"/>
        </w:rPr>
        <w:drawing>
          <wp:inline distT="0" distB="0" distL="0" distR="0">
            <wp:extent cx="608330" cy="171450"/>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8330" cy="171450"/>
                    </a:xfrm>
                    <a:prstGeom prst="rect">
                      <a:avLst/>
                    </a:prstGeom>
                    <a:noFill/>
                    <a:ln>
                      <a:noFill/>
                    </a:ln>
                  </pic:spPr>
                </pic:pic>
              </a:graphicData>
            </a:graphic>
          </wp:inline>
        </w:drawing>
      </w:r>
      <w:r>
        <w:rPr>
          <w:rFonts w:ascii="Arial" w:cs="Arial" w:eastAsia="Arial" w:hAnsi="Arial"/>
          <w:sz w:val="18"/>
          <w:szCs w:val="18"/>
          <w:color w:val="auto"/>
        </w:rPr>
        <w:t xml:space="preserve">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bookmarkStart w:id="55" w:name="page56"/>
    <w:bookmarkEnd w:id="55"/>
    <w:p>
      <w:pPr>
        <w:spacing w:after="0"/>
        <w:rPr>
          <w:sz w:val="20"/>
          <w:szCs w:val="20"/>
          <w:color w:val="auto"/>
        </w:rPr>
      </w:pPr>
      <w:r>
        <w:rPr>
          <w:rFonts w:ascii="Arial" w:cs="Arial" w:eastAsia="Arial" w:hAnsi="Arial"/>
          <w:sz w:val="22"/>
          <w:szCs w:val="22"/>
          <w:b w:val="1"/>
          <w:bCs w:val="1"/>
          <w:color w:val="0090DA"/>
        </w:rPr>
        <w:t>Functional Currency</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The U.S. dollar is the functional currency for us and all of our consolidated subsidiaries.</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Goodwill and Non-Amortizing Intangible Assets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We perform an annual impairment assessment for goodwill and non-amortizing intangible assets in our fourth quarter each year.</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Government Incentives</w:t>
      </w:r>
    </w:p>
    <w:p>
      <w:pPr>
        <w:spacing w:after="0" w:line="26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receive incentives from governmental entities related to expenses, assets, and other activities. Our government incentives may require that we meet or maintain specified spending levels and other operational metrics and may be subject to reimbursement if such conditions are not met or maintained. Government incentives are recorded in the financial statements in accordance with their purpose: as a reduction of expenses, a reduction of asset costs, or other income. Incentives related to specific operating activities are offset against the related expense in the period the expense is incurred. Incentives related to the acquisition or construction of fixed assets are recognized as a reduction in the carrying amounts of the related assets and reduce depreciation expense over the useful lives of the assets. Other incentives are recognized as other operating income. Government incentives received prior to being earned are recognized in current or noncurrent deferred income, whereas government incentives earned prior to being received are recognized in current or noncurrent receivables. Cash received from government incentives related to operating expenses is included as an operating activity in the statement of cash flows, whereas cash received from incentives related to the acquisition of property, plant, and equipment is included as an investing activity.</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Inventories</w:t>
      </w:r>
    </w:p>
    <w:p>
      <w:pPr>
        <w:spacing w:after="0" w:line="26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Inventories are stated at the lower of average cost or net realizable value. Cost includes depreciation, labor, material, and overhead costs, including product and process technology costs. When net realizable value (which requires projecting future average selling prices, sales volumes, and costs to complete products in work in process inventories) is below cost, we record a charge to cost of goods sold to write down inventories to their estimated net realizable value in advance of when inventories are actually sold. We review the major characteristics of product type and markets in determining the unit of account for which we perform the lower of average cost or net realizable value analysis and categorize all inventories (including DRAM, NAND, and other memory) as a single group. We remove amounts from inventory and charge such amounts to cost of goods sold on an average cost basis.</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Leases</w:t>
      </w:r>
    </w:p>
    <w:p>
      <w:pPr>
        <w:spacing w:after="0" w:line="247"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color w:val="auto"/>
        </w:rPr>
        <w:t xml:space="preserve">In the first quarter of 2020, we elected new accounting policies in connection with the adoption of ASC 842 – </w:t>
      </w:r>
      <w:r>
        <w:rPr>
          <w:rFonts w:ascii="Arial" w:cs="Arial" w:eastAsia="Arial" w:hAnsi="Arial"/>
          <w:sz w:val="18"/>
          <w:szCs w:val="18"/>
          <w:i w:val="1"/>
          <w:iCs w:val="1"/>
          <w:color w:val="auto"/>
        </w:rPr>
        <w:t>Leases</w:t>
      </w:r>
      <w:r>
        <w:rPr>
          <w:rFonts w:ascii="Arial" w:cs="Arial" w:eastAsia="Arial" w:hAnsi="Arial"/>
          <w:sz w:val="18"/>
          <w:szCs w:val="18"/>
          <w:color w:val="auto"/>
        </w:rPr>
        <w:t>. We do not recognize a right-of-use asset or a lease liability for leases with a term of 12 months or less. For real estate and gas plant leases entered into after adoption, we do not separate lease and non-lease components. Sublease income is presented within lease expense.</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Product and Process Technology</w:t>
      </w:r>
    </w:p>
    <w:p>
      <w:pPr>
        <w:spacing w:after="0" w:line="265" w:lineRule="exact"/>
        <w:rPr>
          <w:sz w:val="20"/>
          <w:szCs w:val="20"/>
          <w:color w:val="auto"/>
        </w:rPr>
      </w:pPr>
    </w:p>
    <w:p>
      <w:pPr>
        <w:jc w:val="both"/>
        <w:ind w:right="40"/>
        <w:spacing w:after="0" w:line="250" w:lineRule="auto"/>
        <w:rPr>
          <w:sz w:val="20"/>
          <w:szCs w:val="20"/>
          <w:color w:val="auto"/>
        </w:rPr>
      </w:pPr>
      <w:r>
        <w:rPr>
          <w:rFonts w:ascii="Arial" w:cs="Arial" w:eastAsia="Arial" w:hAnsi="Arial"/>
          <w:sz w:val="18"/>
          <w:szCs w:val="18"/>
          <w:color w:val="auto"/>
        </w:rPr>
        <w:t>Costs incurred to (1) acquire product and process technology, (2) patent technology, and (3) maintain patent technology, are capitalized and amortized on a straight-line basis over periods ranging up to 12.5 years. We capitalize a portion of costs incurred to patent technology based on historical data of patents issued as a percent of patents we file. Product and process technology costs are amortized over the shorter of</w:t>
      </w:r>
    </w:p>
    <w:p>
      <w:pPr>
        <w:spacing w:after="0" w:line="1" w:lineRule="exact"/>
        <w:rPr>
          <w:sz w:val="20"/>
          <w:szCs w:val="20"/>
          <w:color w:val="auto"/>
        </w:rPr>
      </w:pPr>
    </w:p>
    <w:p>
      <w:pPr>
        <w:ind w:right="280" w:firstLine="8"/>
        <w:spacing w:after="0" w:line="261" w:lineRule="auto"/>
        <w:tabs>
          <w:tab w:leader="none" w:pos="27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estimated useful life of the technology, (2) the patent term, or (3) the term of the technology agreement. Fully-amortized assets are removed from product and process technology and accumulated amortization.</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Product Warranty</w:t>
      </w:r>
    </w:p>
    <w:p>
      <w:pPr>
        <w:spacing w:after="0" w:line="265"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We generally provide a limited warranty that our products are in compliance with applicable specifications existing at the time of delivery. Under our standard terms and conditions of sale, liability for certain failures of product during a stated warranty period is usually limited to repair or replacement of defective items or return of, or a credit with</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53 </w:t>
      </w:r>
      <w:r>
        <w:rPr>
          <w:rFonts w:ascii="Arial" w:cs="Arial" w:eastAsia="Arial" w:hAnsi="Arial"/>
          <w:sz w:val="21"/>
          <w:szCs w:val="21"/>
          <w:b w:val="1"/>
          <w:bCs w:val="1"/>
          <w:color w:val="0090DA"/>
        </w:rPr>
        <w:t>|</w:t>
      </w:r>
      <w:r>
        <w:rPr>
          <w:rFonts w:ascii="Arial" w:cs="Arial" w:eastAsia="Arial" w:hAnsi="Arial"/>
          <w:sz w:val="18"/>
          <w:szCs w:val="18"/>
          <w:color w:val="auto"/>
        </w:rPr>
        <w:t xml:space="preserve"> 2020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56" w:name="page57"/>
    <w:bookmarkEnd w:id="56"/>
    <w:p>
      <w:pPr>
        <w:ind w:right="620"/>
        <w:spacing w:after="0" w:line="261" w:lineRule="auto"/>
        <w:rPr>
          <w:sz w:val="20"/>
          <w:szCs w:val="20"/>
          <w:color w:val="auto"/>
        </w:rPr>
      </w:pPr>
      <w:r>
        <w:rPr>
          <w:rFonts w:ascii="Arial" w:cs="Arial" w:eastAsia="Arial" w:hAnsi="Arial"/>
          <w:sz w:val="18"/>
          <w:szCs w:val="18"/>
          <w:color w:val="auto"/>
        </w:rPr>
        <w:t>respect to, amounts paid for such items. Under certain circumstances, we provide more extensive limited warranty coverage than that provided under our standard terms and conditions. Our warranty obligations are not material.</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Property, Plant, and Equipment</w:t>
      </w:r>
    </w:p>
    <w:p>
      <w:pPr>
        <w:spacing w:after="0" w:line="26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Property, plant, and equipment is stated at cost and depreciated using the straight-line method over estimated useful lives of generally 10 to 30 years for buildings, 5 to 7 years for equipment, and 3 to 5 years for software. Assets held for sale are carried at the lower of cost or estimated fair value and are included in other noncurrent assets. When property, plant, or equipment is retired or otherwise disposed, the net book value is removed and we recognize any gain or loss in results of operations.</w:t>
      </w:r>
    </w:p>
    <w:p>
      <w:pPr>
        <w:spacing w:after="0" w:line="231"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We capitalize interest on borrowings during the period of time we carry out the activities necessary to bring assets to the condition of their intended use and location. Capitalized interest becomes part of the cost of assets.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Research and Development</w:t>
      </w:r>
    </w:p>
    <w:p>
      <w:pPr>
        <w:spacing w:after="0" w:line="26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Costs related to the conceptual formulation and design of products and processes are charged to R&amp;D expense as incurred. Development of a product is deemed complete when it is qualified through reviews and tests for performance and reliability. Subsequent to product qualification, product costs are included in cost of goods sold. Amounts from cost-sharing arrangements are reflected as a reduction of R&amp;D expense.</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Revenue Recognition</w:t>
      </w:r>
    </w:p>
    <w:p>
      <w:pPr>
        <w:spacing w:after="0" w:line="265"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Revenue is primarily recognized at a point in time when control of the promised goods is transferred to our customers in an amount that reflects the consideration we expect to be entitled to in exchange for those goods. Contracts with our customers are generally short-term in duration at fixed, negotiated prices with payment generally due shortly after delivery. We estimate a liability for returns using the expected value method based on historical rates of return. In addition, we generally offer price protection to our distributors, which is a form of variable consideration that decreases the transaction price. We use the expected value method, based on historical price adjustments and current pricing trends, to estimate the amount of revenue recognized from sales to distributors. Differences between the estimated and actual amounts are recognized as adjustments to revenue.</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Stock-based Compensation</w:t>
      </w:r>
    </w:p>
    <w:p>
      <w:pPr>
        <w:spacing w:after="0" w:line="265"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Stock-based compensation is measured at the grant date, based on the fair value of the award, and recognized as expense under the straight-line attribution method over the requisite service period. We account for forfeitures as they occur. We issue new shares upon the exercise of stock options or conversion of share units.</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Treasury Stock</w:t>
      </w:r>
    </w:p>
    <w:p>
      <w:pPr>
        <w:spacing w:after="0" w:line="265"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Treasury stock is carried at cost. When we retire our treasury stock, any excess of the repurchase price paid over par value is allocated between additional capital and retained earnings.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Use of Estimates</w:t>
      </w:r>
    </w:p>
    <w:p>
      <w:pPr>
        <w:spacing w:after="0" w:line="265"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The preparation of financial statements and related disclosures in conformity with accounting principles generally accepted in the United States of America requires our management to make estimates and judgments that affect the reported amounts of assets, liabilities, revenues, expenses, and related disclosures. Estimates and judgments are based on historical experience, forecasted events, and various other assumptions that we believe to be reasonable under the circumstances. Estimates and judgments may differ under different assumptions or conditions. We evaluate our estimates and judgments on an ongoing basis. Actual results could differ from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sz w:val="1"/>
          <w:szCs w:val="1"/>
          <w:color w:val="auto"/>
        </w:rPr>
        <w:drawing>
          <wp:inline distT="0" distB="0" distL="0" distR="0">
            <wp:extent cx="608330" cy="171450"/>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8330" cy="171450"/>
                    </a:xfrm>
                    <a:prstGeom prst="rect">
                      <a:avLst/>
                    </a:prstGeom>
                    <a:noFill/>
                    <a:ln>
                      <a:noFill/>
                    </a:ln>
                  </pic:spPr>
                </pic:pic>
              </a:graphicData>
            </a:graphic>
          </wp:inline>
        </w:drawing>
      </w:r>
      <w:r>
        <w:rPr>
          <w:rFonts w:ascii="Arial" w:cs="Arial" w:eastAsia="Arial" w:hAnsi="Arial"/>
          <w:sz w:val="18"/>
          <w:szCs w:val="18"/>
          <w:color w:val="auto"/>
        </w:rPr>
        <w:t xml:space="preserve">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57" w:name="page58"/>
    <w:bookmarkEnd w:id="57"/>
    <w:p>
      <w:pPr>
        <w:spacing w:after="0"/>
        <w:rPr>
          <w:sz w:val="20"/>
          <w:szCs w:val="20"/>
          <w:color w:val="auto"/>
        </w:rPr>
      </w:pPr>
      <w:r>
        <w:rPr>
          <w:rFonts w:ascii="Arial" w:cs="Arial" w:eastAsia="Arial" w:hAnsi="Arial"/>
          <w:sz w:val="40"/>
          <w:szCs w:val="40"/>
          <w:b w:val="1"/>
          <w:bCs w:val="1"/>
          <w:color w:val="auto"/>
        </w:rPr>
        <w:t>Variable Interest Entities</w:t>
      </w:r>
    </w:p>
    <w:p>
      <w:pPr>
        <w:spacing w:after="0" w:line="285"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have interests in entities that are variable interest entities (“VIEs”). If we are the primary beneficiary of a VIE, we are required to consolidate it. To determine if we are the primary beneficiary, we evaluate whether we have the power to direct the activities that most significantly impact the VIE’s economic performance and the obligation to absorb losses or the right to receive benefits of the VIE that could potentially be significant to the VIE. Our evaluation includes identification of significant activities and an assessment of our ability to direct those activities based on governance provisions and arrangements to provide or receive product and process technology, product supply, operations services, equity funding, financing, and other applicable agreements and circumstances. Our assessments of whether we are the primary beneficiary of our VIEs require significant assumptions and judgments.</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Unconsolidated VIE</w:t>
      </w:r>
    </w:p>
    <w:p>
      <w:pPr>
        <w:spacing w:after="0" w:line="243"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PTI Xi’an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Powertech Technology Inc. Xi’an (“PTI Xi’an”) is a wholly-owned subsidiary of Powertech Technology Inc. (“PTI”) and was created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provide assembly services to us at our manufacturing site in Xi’an, China. We do not have an equity interest in PTI Xi’an. PTI Xi’an is a VIE because of the terms of its service agreement with us and its dependency on PTI to finance its operations. We do not have the power to direct the activities of PTI Xi’an that most significantly impact its economic performance, primarily because we do not have governance rights. Therefore, we do not consolidate PTI Xi’an. Our agreement for PTI to provide assembly services to us is deemed to contain an embedded lease for accounting purposes. As a result, as of September 3, 2020 and August 29, 2019, the accompanying consolidated balance sheets included net property, plant, and equipment of $38 million and $50 million, respectively, and finance lease obligations of $35 million and $47 million, respectively, in connection with this agreement.</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Consolidated VIE</w:t>
      </w:r>
    </w:p>
    <w:p>
      <w:pPr>
        <w:spacing w:after="0" w:line="243"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b w:val="1"/>
          <w:bCs w:val="1"/>
          <w:i w:val="1"/>
          <w:iCs w:val="1"/>
          <w:color w:val="auto"/>
        </w:rPr>
        <w:t>IMFT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Through October 31, 2019, IMFT was a VIE because all of its costs were passed to us and its other member, Intel, through product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purchase agreements and because IMFT was dependent upon us or Intel for additional cash requirements. The primary activities of IMFT were driven by the constant introduction of product and process technology. Because we performed a significant majority of the technology development, we had the power to direct its key activities. We consolidated IMFT due to this power and our obligation to absorb losses and the right to receive benefits from IMFT that could have been potentially significant to it.</w:t>
      </w:r>
    </w:p>
    <w:p>
      <w:pPr>
        <w:spacing w:after="0" w:line="228"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We acquired Intel’s interest in IMFT on October 31, 2019, at which time IMFT, now known as MTU, became a wholly-owned subsidiary. (See “Equity – Noncontrolling Interest in Subsidiary.”)</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Recently Adopted Accounting Standards</w:t>
      </w:r>
    </w:p>
    <w:p>
      <w:pPr>
        <w:spacing w:after="0" w:line="26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In February 2016, the Financial Accounting Standards Board (“FASB”) issued ASU 2016-02 –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 amended, “ASC 842”), which amends a number of aspects of lease accounting, including requiring lessees to recognize operating leases with a term greater than one year on their balance sheet as a right-of-use asset and corresponding lease liability, measured at the present value of lease payments. We adopted ASC 842 in the first quarter of 2020 under the modified retrospective method and elected to not recast prior periods. We elected the practical expedients available under the transition guidance, including but not limited to, not reassessing past lease accounting or using hindsight to evaluate lease term. In addition, we elected to not separate lease and non-lease components for real estate or gas plant leases. As a result of adopting ASC 842, we recognized $567 million for operating lease liabilities and right-of-use assets and reclassified an additional $66 million of other balances to right-of-use assets to conform to the new presentation requirements of ASC 842.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55 </w:t>
      </w:r>
      <w:r>
        <w:rPr>
          <w:rFonts w:ascii="Arial" w:cs="Arial" w:eastAsia="Arial" w:hAnsi="Arial"/>
          <w:sz w:val="21"/>
          <w:szCs w:val="21"/>
          <w:b w:val="1"/>
          <w:bCs w:val="1"/>
          <w:color w:val="0090DA"/>
        </w:rPr>
        <w:t>|</w:t>
      </w:r>
      <w:r>
        <w:rPr>
          <w:rFonts w:ascii="Arial" w:cs="Arial" w:eastAsia="Arial" w:hAnsi="Arial"/>
          <w:sz w:val="18"/>
          <w:szCs w:val="18"/>
          <w:color w:val="auto"/>
        </w:rPr>
        <w:t xml:space="preserve"> 2020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bookmarkStart w:id="58" w:name="page59"/>
    <w:bookmarkEnd w:id="58"/>
    <w:p>
      <w:pPr>
        <w:spacing w:after="0"/>
        <w:rPr>
          <w:sz w:val="20"/>
          <w:szCs w:val="20"/>
          <w:color w:val="auto"/>
        </w:rPr>
      </w:pPr>
      <w:r>
        <w:rPr>
          <w:rFonts w:ascii="Arial" w:cs="Arial" w:eastAsia="Arial" w:hAnsi="Arial"/>
          <w:sz w:val="40"/>
          <w:szCs w:val="40"/>
          <w:b w:val="1"/>
          <w:bCs w:val="1"/>
          <w:color w:val="auto"/>
        </w:rPr>
        <w:t>Recently Issued Accounting Standards</w:t>
      </w:r>
    </w:p>
    <w:p>
      <w:pPr>
        <w:spacing w:after="0" w:line="26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In August 2020, the FASB issued ASU 2020-06 – </w:t>
      </w:r>
      <w:r>
        <w:rPr>
          <w:rFonts w:ascii="Arial" w:cs="Arial" w:eastAsia="Arial" w:hAnsi="Arial"/>
          <w:sz w:val="18"/>
          <w:szCs w:val="18"/>
          <w:i w:val="1"/>
          <w:iCs w:val="1"/>
          <w:color w:val="auto"/>
        </w:rPr>
        <w:t>Debt - Debt with Conversion and Other Options and Derivatives and Hedging - Contracts in</w:t>
      </w:r>
      <w:r>
        <w:rPr>
          <w:rFonts w:ascii="Arial" w:cs="Arial" w:eastAsia="Arial" w:hAnsi="Arial"/>
          <w:sz w:val="18"/>
          <w:szCs w:val="18"/>
          <w:color w:val="auto"/>
        </w:rPr>
        <w:t xml:space="preserve"> </w:t>
      </w:r>
      <w:r>
        <w:rPr>
          <w:rFonts w:ascii="Arial" w:cs="Arial" w:eastAsia="Arial" w:hAnsi="Arial"/>
          <w:sz w:val="18"/>
          <w:szCs w:val="18"/>
          <w:i w:val="1"/>
          <w:iCs w:val="1"/>
          <w:color w:val="auto"/>
        </w:rPr>
        <w:t>Entity’s Own Equity</w:t>
      </w:r>
      <w:r>
        <w:rPr>
          <w:rFonts w:ascii="Arial" w:cs="Arial" w:eastAsia="Arial" w:hAnsi="Arial"/>
          <w:sz w:val="18"/>
          <w:szCs w:val="18"/>
          <w:color w:val="auto"/>
        </w:rPr>
        <w:t>, which simplifies the accounting for convertible debt instruments by reducing the number of accounting models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embedded conversion features that could be recognized separately from the primary contract. This ASU requires a convertible debt instrument to be accounted for as a single liability measured at its amortized cost, as long as no other features require bifurcation and recognition as derivatives. This ASU requires an entity to use the if-converted method in the diluted earnings per share calculation for convertible instruments. This ASU will be effective for us in the first quarter of 2023, with early adoption permitted beginning in the first quarter of 2022, and permits the use of either the modified retrospective or fully retrospective method of transition. We are evaluating the timing and effects of our adoption of this ASU on our financial statements.</w:t>
      </w:r>
    </w:p>
    <w:p>
      <w:pPr>
        <w:spacing w:after="0" w:line="21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 xml:space="preserve">In November 2018, the FASB issued ASU 2018-18 – </w:t>
      </w:r>
      <w:r>
        <w:rPr>
          <w:rFonts w:ascii="Arial" w:cs="Arial" w:eastAsia="Arial" w:hAnsi="Arial"/>
          <w:sz w:val="18"/>
          <w:szCs w:val="18"/>
          <w:i w:val="1"/>
          <w:iCs w:val="1"/>
          <w:color w:val="auto"/>
        </w:rPr>
        <w:t>Collaborative Arrangements</w:t>
      </w:r>
      <w:r>
        <w:rPr>
          <w:rFonts w:ascii="Arial" w:cs="Arial" w:eastAsia="Arial" w:hAnsi="Arial"/>
          <w:sz w:val="18"/>
          <w:szCs w:val="18"/>
          <w:color w:val="auto"/>
        </w:rPr>
        <w:t>, which clarifies that certain transactions between collaborative arrangement participants should be accounted for as revenue when the collaborative arrangement participant is a customer in the context of a unit of account and precludes recognizing as revenue consideration received from a collaborative arrangement participant if the participant is not a customer. This ASU is effective for us in the first quarter of 2021 and requires retrospective adoption to the date we adopted ASC 606, which was August 31, 2018, by recognizing a cumulative-effect adjustment to the opening balance of retained earnings of the earliest annual period presented. We do not anticipate the adoption of this ASU will have a significant impact on our financial statements.</w:t>
      </w:r>
    </w:p>
    <w:p>
      <w:pPr>
        <w:spacing w:after="0" w:line="21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In June 2016, the FASB issued ASU 2016-13 – </w:t>
      </w:r>
      <w:r>
        <w:rPr>
          <w:rFonts w:ascii="Arial" w:cs="Arial" w:eastAsia="Arial" w:hAnsi="Arial"/>
          <w:sz w:val="18"/>
          <w:szCs w:val="18"/>
          <w:i w:val="1"/>
          <w:iCs w:val="1"/>
          <w:color w:val="auto"/>
        </w:rPr>
        <w:t>Measurement of Credit Losses on Financial Instruments</w:t>
      </w:r>
      <w:r>
        <w:rPr>
          <w:rFonts w:ascii="Arial" w:cs="Arial" w:eastAsia="Arial" w:hAnsi="Arial"/>
          <w:sz w:val="18"/>
          <w:szCs w:val="18"/>
          <w:color w:val="auto"/>
        </w:rPr>
        <w:t>, which requires a financial asset (or a group of financial assets) measured on the basis of amortized cost to be presented at the net amount expected to be collected. This ASU requires that the income statement reflect the measurement of credit losses for newly recognized financial assets as well as the increases or decreases of expected credit losses that have taken place during the period. This ASU requires that credit losses of debt securities designated as available-for-sale be recorded through an allowance for credit losses and limits the credit loss to the amount by which fair value is below amortized cost. This ASU is effective for us in the first quarter of 2021 and requires modified retrospective adoption, with prospective adoption for debt securities for which an other-than-temporary impairment had been recognized before the effective date. We do not anticipate the adoption of this ASU will have a significant impact on our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sz w:val="1"/>
          <w:szCs w:val="1"/>
          <w:color w:val="auto"/>
        </w:rPr>
        <w:drawing>
          <wp:inline distT="0" distB="0" distL="0" distR="0">
            <wp:extent cx="608330" cy="171450"/>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8330" cy="171450"/>
                    </a:xfrm>
                    <a:prstGeom prst="rect">
                      <a:avLst/>
                    </a:prstGeom>
                    <a:noFill/>
                    <a:ln>
                      <a:noFill/>
                    </a:ln>
                  </pic:spPr>
                </pic:pic>
              </a:graphicData>
            </a:graphic>
          </wp:inline>
        </w:drawing>
      </w:r>
      <w:r>
        <w:rPr>
          <w:rFonts w:ascii="Arial" w:cs="Arial" w:eastAsia="Arial" w:hAnsi="Arial"/>
          <w:sz w:val="18"/>
          <w:szCs w:val="18"/>
          <w:color w:val="auto"/>
        </w:rPr>
        <w:t xml:space="preserve">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bookmarkStart w:id="59" w:name="page60"/>
    <w:bookmarkEnd w:id="59"/>
    <w:p>
      <w:pPr>
        <w:spacing w:after="0"/>
        <w:rPr>
          <w:sz w:val="20"/>
          <w:szCs w:val="20"/>
          <w:color w:val="auto"/>
        </w:rPr>
      </w:pPr>
      <w:r>
        <w:rPr>
          <w:rFonts w:ascii="Arial" w:cs="Arial" w:eastAsia="Arial" w:hAnsi="Arial"/>
          <w:sz w:val="40"/>
          <w:szCs w:val="40"/>
          <w:b w:val="1"/>
          <w:bCs w:val="1"/>
          <w:color w:val="auto"/>
        </w:rPr>
        <w:t>Cash and Investments</w:t>
      </w:r>
    </w:p>
    <w:p>
      <w:pPr>
        <w:spacing w:after="0" w:line="285"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Substantially all of our marketable debt and equity investments were classified as available-for-sale as of the dates noted below. Cash and equivalents and the fair values of our available-for-sale investments, which approximated amortized costs, were as follows: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1900" w:type="dxa"/>
            <w:vAlign w:val="bottom"/>
          </w:tcPr>
          <w:p>
            <w:pPr>
              <w:spacing w:after="0"/>
              <w:rPr>
                <w:sz w:val="21"/>
                <w:szCs w:val="21"/>
                <w:color w:val="auto"/>
              </w:rPr>
            </w:pPr>
          </w:p>
        </w:tc>
        <w:tc>
          <w:tcPr>
            <w:tcW w:w="140" w:type="dxa"/>
            <w:vAlign w:val="bottom"/>
            <w:tcBorders>
              <w:bottom w:val="single" w:sz="8" w:color="0090DA"/>
            </w:tcBorders>
          </w:tcPr>
          <w:p>
            <w:pPr>
              <w:spacing w:after="0"/>
              <w:rPr>
                <w:sz w:val="21"/>
                <w:szCs w:val="21"/>
                <w:color w:val="auto"/>
              </w:rPr>
            </w:pPr>
          </w:p>
        </w:tc>
        <w:tc>
          <w:tcPr>
            <w:tcW w:w="1000" w:type="dxa"/>
            <w:vAlign w:val="bottom"/>
            <w:tcBorders>
              <w:bottom w:val="single" w:sz="8" w:color="0090DA"/>
            </w:tcBorders>
          </w:tcPr>
          <w:p>
            <w:pPr>
              <w:spacing w:after="0"/>
              <w:rPr>
                <w:sz w:val="21"/>
                <w:szCs w:val="21"/>
                <w:color w:val="auto"/>
              </w:rPr>
            </w:pPr>
          </w:p>
        </w:tc>
        <w:tc>
          <w:tcPr>
            <w:tcW w:w="140" w:type="dxa"/>
            <w:vAlign w:val="bottom"/>
            <w:tcBorders>
              <w:bottom w:val="single" w:sz="8" w:color="0090DA"/>
            </w:tcBorders>
          </w:tcPr>
          <w:p>
            <w:pPr>
              <w:spacing w:after="0"/>
              <w:rPr>
                <w:sz w:val="21"/>
                <w:szCs w:val="21"/>
                <w:color w:val="auto"/>
              </w:rPr>
            </w:pPr>
          </w:p>
        </w:tc>
        <w:tc>
          <w:tcPr>
            <w:tcW w:w="1260" w:type="dxa"/>
            <w:vAlign w:val="bottom"/>
            <w:tcBorders>
              <w:bottom w:val="single" w:sz="8" w:color="0090DA"/>
            </w:tcBorders>
            <w:gridSpan w:val="2"/>
          </w:tcPr>
          <w:p>
            <w:pPr>
              <w:jc w:val="right"/>
              <w:spacing w:after="0"/>
              <w:rPr>
                <w:sz w:val="20"/>
                <w:szCs w:val="20"/>
                <w:color w:val="auto"/>
              </w:rPr>
            </w:pPr>
            <w:r>
              <w:rPr>
                <w:rFonts w:ascii="Arial" w:cs="Arial" w:eastAsia="Arial" w:hAnsi="Arial"/>
                <w:sz w:val="18"/>
                <w:szCs w:val="18"/>
                <w:b w:val="1"/>
                <w:bCs w:val="1"/>
                <w:color w:val="auto"/>
              </w:rPr>
              <w:t>2020</w:t>
            </w:r>
          </w:p>
        </w:tc>
        <w:tc>
          <w:tcPr>
            <w:tcW w:w="1160" w:type="dxa"/>
            <w:vAlign w:val="bottom"/>
            <w:tcBorders>
              <w:bottom w:val="single" w:sz="8" w:color="0090DA"/>
            </w:tcBorders>
          </w:tcPr>
          <w:p>
            <w:pPr>
              <w:spacing w:after="0"/>
              <w:rPr>
                <w:sz w:val="21"/>
                <w:szCs w:val="21"/>
                <w:color w:val="auto"/>
              </w:rPr>
            </w:pPr>
          </w:p>
        </w:tc>
        <w:tc>
          <w:tcPr>
            <w:tcW w:w="200" w:type="dxa"/>
            <w:vAlign w:val="bottom"/>
            <w:tcBorders>
              <w:bottom w:val="single" w:sz="8" w:color="0090DA"/>
            </w:tcBorders>
          </w:tcPr>
          <w:p>
            <w:pPr>
              <w:spacing w:after="0"/>
              <w:rPr>
                <w:sz w:val="21"/>
                <w:szCs w:val="21"/>
                <w:color w:val="auto"/>
              </w:rPr>
            </w:pPr>
          </w:p>
        </w:tc>
        <w:tc>
          <w:tcPr>
            <w:tcW w:w="720" w:type="dxa"/>
            <w:vAlign w:val="bottom"/>
            <w:tcBorders>
              <w:bottom w:val="single" w:sz="8" w:color="0090DA"/>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0090DA"/>
            </w:tcBorders>
          </w:tcPr>
          <w:p>
            <w:pPr>
              <w:spacing w:after="0"/>
              <w:rPr>
                <w:sz w:val="21"/>
                <w:szCs w:val="21"/>
                <w:color w:val="auto"/>
              </w:rPr>
            </w:pPr>
          </w:p>
        </w:tc>
        <w:tc>
          <w:tcPr>
            <w:tcW w:w="1020" w:type="dxa"/>
            <w:vAlign w:val="bottom"/>
            <w:tcBorders>
              <w:bottom w:val="single" w:sz="8" w:color="0090DA"/>
            </w:tcBorders>
          </w:tcPr>
          <w:p>
            <w:pPr>
              <w:spacing w:after="0"/>
              <w:rPr>
                <w:sz w:val="21"/>
                <w:szCs w:val="21"/>
                <w:color w:val="auto"/>
              </w:rPr>
            </w:pPr>
          </w:p>
        </w:tc>
        <w:tc>
          <w:tcPr>
            <w:tcW w:w="120" w:type="dxa"/>
            <w:vAlign w:val="bottom"/>
            <w:tcBorders>
              <w:bottom w:val="single" w:sz="8" w:color="0090DA"/>
            </w:tcBorders>
          </w:tcPr>
          <w:p>
            <w:pPr>
              <w:spacing w:after="0"/>
              <w:rPr>
                <w:sz w:val="21"/>
                <w:szCs w:val="21"/>
                <w:color w:val="auto"/>
              </w:rPr>
            </w:pPr>
          </w:p>
        </w:tc>
        <w:tc>
          <w:tcPr>
            <w:tcW w:w="1260" w:type="dxa"/>
            <w:vAlign w:val="bottom"/>
            <w:tcBorders>
              <w:bottom w:val="single" w:sz="8" w:color="0090DA"/>
            </w:tcBorders>
            <w:gridSpan w:val="2"/>
          </w:tcPr>
          <w:p>
            <w:pPr>
              <w:jc w:val="right"/>
              <w:spacing w:after="0"/>
              <w:rPr>
                <w:sz w:val="20"/>
                <w:szCs w:val="20"/>
                <w:color w:val="auto"/>
              </w:rPr>
            </w:pPr>
            <w:r>
              <w:rPr>
                <w:rFonts w:ascii="Arial" w:cs="Arial" w:eastAsia="Arial" w:hAnsi="Arial"/>
                <w:sz w:val="18"/>
                <w:szCs w:val="18"/>
                <w:b w:val="1"/>
                <w:bCs w:val="1"/>
                <w:color w:val="auto"/>
              </w:rPr>
              <w:t>2019</w:t>
            </w:r>
          </w:p>
        </w:tc>
        <w:tc>
          <w:tcPr>
            <w:tcW w:w="1160" w:type="dxa"/>
            <w:vAlign w:val="bottom"/>
            <w:tcBorders>
              <w:bottom w:val="single" w:sz="8" w:color="0090DA"/>
            </w:tcBorders>
          </w:tcPr>
          <w:p>
            <w:pPr>
              <w:spacing w:after="0"/>
              <w:rPr>
                <w:sz w:val="21"/>
                <w:szCs w:val="21"/>
                <w:color w:val="auto"/>
              </w:rPr>
            </w:pPr>
          </w:p>
        </w:tc>
        <w:tc>
          <w:tcPr>
            <w:tcW w:w="200" w:type="dxa"/>
            <w:vAlign w:val="bottom"/>
            <w:tcBorders>
              <w:bottom w:val="single" w:sz="8" w:color="0090DA"/>
            </w:tcBorders>
          </w:tcPr>
          <w:p>
            <w:pPr>
              <w:spacing w:after="0"/>
              <w:rPr>
                <w:sz w:val="21"/>
                <w:szCs w:val="21"/>
                <w:color w:val="auto"/>
              </w:rPr>
            </w:pPr>
          </w:p>
        </w:tc>
        <w:tc>
          <w:tcPr>
            <w:tcW w:w="720" w:type="dxa"/>
            <w:vAlign w:val="bottom"/>
            <w:tcBorders>
              <w:bottom w:val="single" w:sz="8" w:color="0090DA"/>
            </w:tcBorders>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1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Cash and</w:t>
            </w:r>
          </w:p>
        </w:tc>
        <w:tc>
          <w:tcPr>
            <w:tcW w:w="140" w:type="dxa"/>
            <w:vAlign w:val="bottom"/>
          </w:tcPr>
          <w:p>
            <w:pPr>
              <w:spacing w:after="0"/>
              <w:rPr>
                <w:sz w:val="15"/>
                <w:szCs w:val="15"/>
                <w:color w:val="auto"/>
              </w:rPr>
            </w:pPr>
          </w:p>
        </w:tc>
        <w:tc>
          <w:tcPr>
            <w:tcW w:w="104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97"/>
              </w:rPr>
              <w:t>Short-term</w:t>
            </w:r>
          </w:p>
        </w:tc>
        <w:tc>
          <w:tcPr>
            <w:tcW w:w="220" w:type="dxa"/>
            <w:vAlign w:val="bottom"/>
          </w:tcPr>
          <w:p>
            <w:pPr>
              <w:spacing w:after="0"/>
              <w:rPr>
                <w:sz w:val="15"/>
                <w:szCs w:val="15"/>
                <w:color w:val="auto"/>
              </w:rPr>
            </w:pPr>
          </w:p>
        </w:tc>
        <w:tc>
          <w:tcPr>
            <w:tcW w:w="116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98"/>
              </w:rPr>
              <w:t>Long-term</w:t>
            </w:r>
          </w:p>
        </w:tc>
        <w:tc>
          <w:tcPr>
            <w:tcW w:w="1020" w:type="dxa"/>
            <w:vAlign w:val="bottom"/>
            <w:gridSpan w:val="3"/>
            <w:vMerge w:val="restart"/>
          </w:tcPr>
          <w:p>
            <w:pPr>
              <w:jc w:val="center"/>
              <w:ind w:right="60"/>
              <w:spacing w:after="0"/>
              <w:rPr>
                <w:sz w:val="20"/>
                <w:szCs w:val="20"/>
                <w:color w:val="auto"/>
              </w:rPr>
            </w:pPr>
            <w:r>
              <w:rPr>
                <w:rFonts w:ascii="Arial" w:cs="Arial" w:eastAsia="Arial" w:hAnsi="Arial"/>
                <w:sz w:val="18"/>
                <w:szCs w:val="18"/>
                <w:b w:val="1"/>
                <w:bCs w:val="1"/>
                <w:color w:val="auto"/>
                <w:w w:val="98"/>
              </w:rPr>
              <w:t>Total Fair</w:t>
            </w:r>
          </w:p>
        </w:tc>
        <w:tc>
          <w:tcPr>
            <w:tcW w:w="140" w:type="dxa"/>
            <w:vAlign w:val="bottom"/>
          </w:tcPr>
          <w:p>
            <w:pPr>
              <w:spacing w:after="0"/>
              <w:rPr>
                <w:sz w:val="15"/>
                <w:szCs w:val="15"/>
                <w:color w:val="auto"/>
              </w:rPr>
            </w:pPr>
          </w:p>
        </w:tc>
        <w:tc>
          <w:tcPr>
            <w:tcW w:w="102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Cash and</w:t>
            </w:r>
          </w:p>
        </w:tc>
        <w:tc>
          <w:tcPr>
            <w:tcW w:w="120" w:type="dxa"/>
            <w:vAlign w:val="bottom"/>
          </w:tcPr>
          <w:p>
            <w:pPr>
              <w:spacing w:after="0"/>
              <w:rPr>
                <w:sz w:val="15"/>
                <w:szCs w:val="15"/>
                <w:color w:val="auto"/>
              </w:rPr>
            </w:pPr>
          </w:p>
        </w:tc>
        <w:tc>
          <w:tcPr>
            <w:tcW w:w="10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99"/>
              </w:rPr>
              <w:t>Short-term</w:t>
            </w:r>
          </w:p>
        </w:tc>
        <w:tc>
          <w:tcPr>
            <w:tcW w:w="220" w:type="dxa"/>
            <w:vAlign w:val="bottom"/>
          </w:tcPr>
          <w:p>
            <w:pPr>
              <w:spacing w:after="0"/>
              <w:rPr>
                <w:sz w:val="15"/>
                <w:szCs w:val="15"/>
                <w:color w:val="auto"/>
              </w:rPr>
            </w:pPr>
          </w:p>
        </w:tc>
        <w:tc>
          <w:tcPr>
            <w:tcW w:w="116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rPr>
              <w:t>Long-term</w:t>
            </w:r>
          </w:p>
        </w:tc>
        <w:tc>
          <w:tcPr>
            <w:tcW w:w="9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Total Fair</w:t>
            </w:r>
          </w:p>
        </w:tc>
        <w:tc>
          <w:tcPr>
            <w:tcW w:w="0" w:type="dxa"/>
            <w:vAlign w:val="bottom"/>
          </w:tcPr>
          <w:p>
            <w:pPr>
              <w:spacing w:after="0"/>
              <w:rPr>
                <w:sz w:val="1"/>
                <w:szCs w:val="1"/>
                <w:color w:val="auto"/>
              </w:rPr>
            </w:pPr>
          </w:p>
        </w:tc>
      </w:tr>
      <w:tr>
        <w:trPr>
          <w:trHeight w:val="175"/>
        </w:trPr>
        <w:tc>
          <w:tcPr>
            <w:tcW w:w="19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1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9"/>
              </w:rPr>
              <w:t>Marketable</w:t>
            </w:r>
          </w:p>
        </w:tc>
        <w:tc>
          <w:tcPr>
            <w:tcW w:w="102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9"/>
              </w:rPr>
              <w:t>Marketable</w:t>
            </w:r>
          </w:p>
        </w:tc>
        <w:tc>
          <w:tcPr>
            <w:tcW w:w="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900" w:type="dxa"/>
            <w:vAlign w:val="bottom"/>
            <w:vMerge w:val="continue"/>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Equivalents</w:t>
            </w: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rPr>
              <w:t>Investments</w:t>
            </w:r>
          </w:p>
        </w:tc>
        <w:tc>
          <w:tcPr>
            <w:tcW w:w="1380" w:type="dxa"/>
            <w:vAlign w:val="bottom"/>
            <w:gridSpan w:val="2"/>
          </w:tcPr>
          <w:p>
            <w:pPr>
              <w:jc w:val="center"/>
              <w:spacing w:after="0" w:line="230" w:lineRule="exact"/>
              <w:rPr>
                <w:sz w:val="20"/>
                <w:szCs w:val="20"/>
                <w:color w:val="auto"/>
              </w:rPr>
            </w:pPr>
            <w:r>
              <w:rPr>
                <w:rFonts w:ascii="Arial" w:cs="Arial" w:eastAsia="Arial" w:hAnsi="Arial"/>
                <w:sz w:val="18"/>
                <w:szCs w:val="18"/>
                <w:b w:val="1"/>
                <w:bCs w:val="1"/>
                <w:color w:val="auto"/>
                <w:w w:val="96"/>
              </w:rPr>
              <w:t>Investments</w:t>
            </w:r>
            <w:r>
              <w:rPr>
                <w:rFonts w:ascii="Arial" w:cs="Arial" w:eastAsia="Arial" w:hAnsi="Arial"/>
                <w:sz w:val="23"/>
                <w:szCs w:val="23"/>
                <w:color w:val="auto"/>
                <w:w w:val="96"/>
                <w:vertAlign w:val="superscript"/>
              </w:rPr>
              <w:t>(1)</w:t>
            </w:r>
          </w:p>
        </w:tc>
        <w:tc>
          <w:tcPr>
            <w:tcW w:w="200" w:type="dxa"/>
            <w:vAlign w:val="bottom"/>
          </w:tcPr>
          <w:p>
            <w:pPr>
              <w:spacing w:after="0"/>
              <w:rPr>
                <w:sz w:val="19"/>
                <w:szCs w:val="19"/>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Value</w:t>
            </w: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Equivalents</w:t>
            </w: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Investments</w:t>
            </w:r>
          </w:p>
        </w:tc>
        <w:tc>
          <w:tcPr>
            <w:tcW w:w="1380" w:type="dxa"/>
            <w:vAlign w:val="bottom"/>
            <w:gridSpan w:val="2"/>
          </w:tcPr>
          <w:p>
            <w:pPr>
              <w:jc w:val="center"/>
              <w:spacing w:after="0" w:line="230" w:lineRule="exact"/>
              <w:rPr>
                <w:sz w:val="20"/>
                <w:szCs w:val="20"/>
                <w:color w:val="auto"/>
              </w:rPr>
            </w:pPr>
            <w:r>
              <w:rPr>
                <w:rFonts w:ascii="Arial" w:cs="Arial" w:eastAsia="Arial" w:hAnsi="Arial"/>
                <w:sz w:val="18"/>
                <w:szCs w:val="18"/>
                <w:b w:val="1"/>
                <w:bCs w:val="1"/>
                <w:color w:val="auto"/>
                <w:w w:val="95"/>
              </w:rPr>
              <w:t>Investments</w:t>
            </w:r>
            <w:r>
              <w:rPr>
                <w:rFonts w:ascii="Arial" w:cs="Arial" w:eastAsia="Arial" w:hAnsi="Arial"/>
                <w:sz w:val="23"/>
                <w:szCs w:val="23"/>
                <w:color w:val="auto"/>
                <w:w w:val="95"/>
                <w:vertAlign w:val="superscript"/>
              </w:rPr>
              <w:t>(1)</w:t>
            </w:r>
          </w:p>
        </w:tc>
        <w:tc>
          <w:tcPr>
            <w:tcW w:w="200" w:type="dxa"/>
            <w:vAlign w:val="bottom"/>
          </w:tcPr>
          <w:p>
            <w:pPr>
              <w:spacing w:after="0"/>
              <w:rPr>
                <w:sz w:val="19"/>
                <w:szCs w:val="19"/>
                <w:color w:val="auto"/>
              </w:rPr>
            </w:pPr>
          </w:p>
        </w:tc>
        <w:tc>
          <w:tcPr>
            <w:tcW w:w="720" w:type="dxa"/>
            <w:vAlign w:val="bottom"/>
          </w:tcPr>
          <w:p>
            <w:pPr>
              <w:jc w:val="right"/>
              <w:ind w:right="11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34"/>
        </w:trPr>
        <w:tc>
          <w:tcPr>
            <w:tcW w:w="1900" w:type="dxa"/>
            <w:vAlign w:val="bottom"/>
            <w:tcBorders>
              <w:top w:val="single" w:sz="8" w:color="0090DA"/>
            </w:tcBorders>
          </w:tcPr>
          <w:p>
            <w:pPr>
              <w:spacing w:after="0"/>
              <w:rPr>
                <w:sz w:val="2"/>
                <w:szCs w:val="2"/>
                <w:color w:val="auto"/>
              </w:rPr>
            </w:pPr>
          </w:p>
        </w:tc>
        <w:tc>
          <w:tcPr>
            <w:tcW w:w="140" w:type="dxa"/>
            <w:vAlign w:val="bottom"/>
            <w:tcBorders>
              <w:top w:val="single" w:sz="8" w:color="0090DA"/>
            </w:tcBorders>
          </w:tcPr>
          <w:p>
            <w:pPr>
              <w:spacing w:after="0"/>
              <w:rPr>
                <w:sz w:val="2"/>
                <w:szCs w:val="2"/>
                <w:color w:val="auto"/>
              </w:rPr>
            </w:pPr>
          </w:p>
        </w:tc>
        <w:tc>
          <w:tcPr>
            <w:tcW w:w="1000" w:type="dxa"/>
            <w:vAlign w:val="bottom"/>
            <w:tcBorders>
              <w:top w:val="single" w:sz="8" w:color="0090DA"/>
            </w:tcBorders>
          </w:tcPr>
          <w:p>
            <w:pPr>
              <w:spacing w:after="0"/>
              <w:rPr>
                <w:sz w:val="2"/>
                <w:szCs w:val="2"/>
                <w:color w:val="auto"/>
              </w:rPr>
            </w:pPr>
          </w:p>
        </w:tc>
        <w:tc>
          <w:tcPr>
            <w:tcW w:w="140" w:type="dxa"/>
            <w:vAlign w:val="bottom"/>
            <w:tcBorders>
              <w:top w:val="single" w:sz="8" w:color="0090DA"/>
            </w:tcBorders>
          </w:tcPr>
          <w:p>
            <w:pPr>
              <w:spacing w:after="0"/>
              <w:rPr>
                <w:sz w:val="2"/>
                <w:szCs w:val="2"/>
                <w:color w:val="auto"/>
              </w:rPr>
            </w:pPr>
          </w:p>
        </w:tc>
        <w:tc>
          <w:tcPr>
            <w:tcW w:w="1040" w:type="dxa"/>
            <w:vAlign w:val="bottom"/>
            <w:tcBorders>
              <w:top w:val="single" w:sz="8" w:color="0090DA"/>
            </w:tcBorders>
          </w:tcPr>
          <w:p>
            <w:pPr>
              <w:spacing w:after="0"/>
              <w:rPr>
                <w:sz w:val="2"/>
                <w:szCs w:val="2"/>
                <w:color w:val="auto"/>
              </w:rPr>
            </w:pPr>
          </w:p>
        </w:tc>
        <w:tc>
          <w:tcPr>
            <w:tcW w:w="220" w:type="dxa"/>
            <w:vAlign w:val="bottom"/>
            <w:tcBorders>
              <w:top w:val="single" w:sz="8" w:color="0090DA"/>
            </w:tcBorders>
          </w:tcPr>
          <w:p>
            <w:pPr>
              <w:spacing w:after="0"/>
              <w:rPr>
                <w:sz w:val="2"/>
                <w:szCs w:val="2"/>
                <w:color w:val="auto"/>
              </w:rPr>
            </w:pPr>
          </w:p>
        </w:tc>
        <w:tc>
          <w:tcPr>
            <w:tcW w:w="1160" w:type="dxa"/>
            <w:vAlign w:val="bottom"/>
            <w:tcBorders>
              <w:top w:val="single" w:sz="8" w:color="0090DA"/>
            </w:tcBorders>
          </w:tcPr>
          <w:p>
            <w:pPr>
              <w:spacing w:after="0"/>
              <w:rPr>
                <w:sz w:val="2"/>
                <w:szCs w:val="2"/>
                <w:color w:val="auto"/>
              </w:rPr>
            </w:pPr>
          </w:p>
        </w:tc>
        <w:tc>
          <w:tcPr>
            <w:tcW w:w="200" w:type="dxa"/>
            <w:vAlign w:val="bottom"/>
            <w:tcBorders>
              <w:top w:val="single" w:sz="8" w:color="0090DA"/>
            </w:tcBorders>
          </w:tcPr>
          <w:p>
            <w:pPr>
              <w:spacing w:after="0"/>
              <w:rPr>
                <w:sz w:val="2"/>
                <w:szCs w:val="2"/>
                <w:color w:val="auto"/>
              </w:rPr>
            </w:pPr>
          </w:p>
        </w:tc>
        <w:tc>
          <w:tcPr>
            <w:tcW w:w="720" w:type="dxa"/>
            <w:vAlign w:val="bottom"/>
            <w:tcBorders>
              <w:top w:val="single" w:sz="8" w:color="0090DA"/>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0090DA"/>
            </w:tcBorders>
          </w:tcPr>
          <w:p>
            <w:pPr>
              <w:spacing w:after="0"/>
              <w:rPr>
                <w:sz w:val="2"/>
                <w:szCs w:val="2"/>
                <w:color w:val="auto"/>
              </w:rPr>
            </w:pPr>
          </w:p>
        </w:tc>
        <w:tc>
          <w:tcPr>
            <w:tcW w:w="1020" w:type="dxa"/>
            <w:vAlign w:val="bottom"/>
            <w:tcBorders>
              <w:top w:val="single" w:sz="8" w:color="0090DA"/>
            </w:tcBorders>
          </w:tcPr>
          <w:p>
            <w:pPr>
              <w:spacing w:after="0"/>
              <w:rPr>
                <w:sz w:val="2"/>
                <w:szCs w:val="2"/>
                <w:color w:val="auto"/>
              </w:rPr>
            </w:pPr>
          </w:p>
        </w:tc>
        <w:tc>
          <w:tcPr>
            <w:tcW w:w="120" w:type="dxa"/>
            <w:vAlign w:val="bottom"/>
            <w:tcBorders>
              <w:top w:val="single" w:sz="8" w:color="0090DA"/>
            </w:tcBorders>
          </w:tcPr>
          <w:p>
            <w:pPr>
              <w:spacing w:after="0"/>
              <w:rPr>
                <w:sz w:val="2"/>
                <w:szCs w:val="2"/>
                <w:color w:val="auto"/>
              </w:rPr>
            </w:pPr>
          </w:p>
        </w:tc>
        <w:tc>
          <w:tcPr>
            <w:tcW w:w="1040" w:type="dxa"/>
            <w:vAlign w:val="bottom"/>
            <w:tcBorders>
              <w:top w:val="single" w:sz="8" w:color="0090DA"/>
            </w:tcBorders>
          </w:tcPr>
          <w:p>
            <w:pPr>
              <w:spacing w:after="0"/>
              <w:rPr>
                <w:sz w:val="2"/>
                <w:szCs w:val="2"/>
                <w:color w:val="auto"/>
              </w:rPr>
            </w:pPr>
          </w:p>
        </w:tc>
        <w:tc>
          <w:tcPr>
            <w:tcW w:w="220" w:type="dxa"/>
            <w:vAlign w:val="bottom"/>
            <w:tcBorders>
              <w:top w:val="single" w:sz="8" w:color="0090DA"/>
            </w:tcBorders>
          </w:tcPr>
          <w:p>
            <w:pPr>
              <w:spacing w:after="0"/>
              <w:rPr>
                <w:sz w:val="2"/>
                <w:szCs w:val="2"/>
                <w:color w:val="auto"/>
              </w:rPr>
            </w:pPr>
          </w:p>
        </w:tc>
        <w:tc>
          <w:tcPr>
            <w:tcW w:w="1160" w:type="dxa"/>
            <w:vAlign w:val="bottom"/>
            <w:tcBorders>
              <w:top w:val="single" w:sz="8" w:color="0090DA"/>
            </w:tcBorders>
          </w:tcPr>
          <w:p>
            <w:pPr>
              <w:spacing w:after="0"/>
              <w:rPr>
                <w:sz w:val="2"/>
                <w:szCs w:val="2"/>
                <w:color w:val="auto"/>
              </w:rPr>
            </w:pPr>
          </w:p>
        </w:tc>
        <w:tc>
          <w:tcPr>
            <w:tcW w:w="200" w:type="dxa"/>
            <w:vAlign w:val="bottom"/>
            <w:tcBorders>
              <w:top w:val="single" w:sz="8" w:color="0090DA"/>
            </w:tcBorders>
          </w:tcPr>
          <w:p>
            <w:pPr>
              <w:spacing w:after="0"/>
              <w:rPr>
                <w:sz w:val="2"/>
                <w:szCs w:val="2"/>
                <w:color w:val="auto"/>
              </w:rPr>
            </w:pPr>
          </w:p>
        </w:tc>
        <w:tc>
          <w:tcPr>
            <w:tcW w:w="720" w:type="dxa"/>
            <w:vAlign w:val="bottom"/>
            <w:tcBorders>
              <w:top w:val="single" w:sz="8" w:color="0090DA"/>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1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Cash</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3,996</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136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7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3,996</w:t>
            </w:r>
          </w:p>
        </w:tc>
        <w:tc>
          <w:tcPr>
            <w:tcW w:w="100" w:type="dxa"/>
            <w:vAlign w:val="bottom"/>
            <w:shd w:val="clear" w:color="auto" w:fill="D1D2D4"/>
          </w:tcPr>
          <w:p>
            <w:pPr>
              <w:spacing w:after="0"/>
              <w:rPr>
                <w:sz w:val="22"/>
                <w:szCs w:val="22"/>
                <w:color w:val="auto"/>
              </w:rPr>
            </w:pP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2,388</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136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7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2,388</w:t>
            </w:r>
          </w:p>
        </w:tc>
        <w:tc>
          <w:tcPr>
            <w:tcW w:w="0" w:type="dxa"/>
            <w:vAlign w:val="bottom"/>
          </w:tcPr>
          <w:p>
            <w:pPr>
              <w:spacing w:after="0"/>
              <w:rPr>
                <w:sz w:val="1"/>
                <w:szCs w:val="1"/>
                <w:color w:val="auto"/>
              </w:rPr>
            </w:pPr>
          </w:p>
        </w:tc>
      </w:tr>
      <w:tr>
        <w:trPr>
          <w:trHeight w:val="230"/>
        </w:trPr>
        <w:tc>
          <w:tcPr>
            <w:tcW w:w="1900" w:type="dxa"/>
            <w:vAlign w:val="bottom"/>
          </w:tcPr>
          <w:p>
            <w:pPr>
              <w:ind w:left="20"/>
              <w:spacing w:after="0" w:line="230" w:lineRule="exact"/>
              <w:rPr>
                <w:sz w:val="20"/>
                <w:szCs w:val="20"/>
                <w:color w:val="auto"/>
              </w:rPr>
            </w:pPr>
            <w:r>
              <w:rPr>
                <w:rFonts w:ascii="Arial" w:cs="Arial" w:eastAsia="Arial" w:hAnsi="Arial"/>
                <w:sz w:val="18"/>
                <w:szCs w:val="18"/>
                <w:color w:val="auto"/>
              </w:rPr>
              <w:t>Level 1</w:t>
            </w:r>
            <w:r>
              <w:rPr>
                <w:rFonts w:ascii="Arial" w:cs="Arial" w:eastAsia="Arial" w:hAnsi="Arial"/>
                <w:sz w:val="23"/>
                <w:szCs w:val="23"/>
                <w:color w:val="auto"/>
                <w:vertAlign w:val="superscript"/>
              </w:rPr>
              <w:t>(2)</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1900" w:type="dxa"/>
            <w:vAlign w:val="bottom"/>
            <w:shd w:val="clear" w:color="auto" w:fill="D1D2D4"/>
          </w:tcPr>
          <w:p>
            <w:pPr>
              <w:ind w:left="120"/>
              <w:spacing w:after="0"/>
              <w:rPr>
                <w:sz w:val="20"/>
                <w:szCs w:val="20"/>
                <w:color w:val="auto"/>
              </w:rPr>
            </w:pPr>
            <w:r>
              <w:rPr>
                <w:rFonts w:ascii="Arial" w:cs="Arial" w:eastAsia="Arial" w:hAnsi="Arial"/>
                <w:sz w:val="18"/>
                <w:szCs w:val="18"/>
                <w:color w:val="auto"/>
              </w:rPr>
              <w:t>Money market funds</w:t>
            </w:r>
          </w:p>
        </w:tc>
        <w:tc>
          <w:tcPr>
            <w:tcW w:w="140" w:type="dxa"/>
            <w:vAlign w:val="bottom"/>
            <w:shd w:val="clear" w:color="auto" w:fill="D1D2D4"/>
          </w:tcPr>
          <w:p>
            <w:pPr>
              <w:spacing w:after="0"/>
              <w:rPr>
                <w:sz w:val="22"/>
                <w:szCs w:val="22"/>
                <w:color w:val="auto"/>
              </w:rPr>
            </w:pPr>
          </w:p>
        </w:tc>
        <w:tc>
          <w:tcPr>
            <w:tcW w:w="10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1,828</w:t>
            </w:r>
          </w:p>
        </w:tc>
        <w:tc>
          <w:tcPr>
            <w:tcW w:w="140" w:type="dxa"/>
            <w:vAlign w:val="bottom"/>
            <w:shd w:val="clear" w:color="auto" w:fill="D1D2D4"/>
          </w:tcPr>
          <w:p>
            <w:pPr>
              <w:spacing w:after="0"/>
              <w:rPr>
                <w:sz w:val="22"/>
                <w:szCs w:val="22"/>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D1D2D4"/>
          </w:tcPr>
          <w:p>
            <w:pPr>
              <w:spacing w:after="0"/>
              <w:rPr>
                <w:sz w:val="22"/>
                <w:szCs w:val="22"/>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22"/>
                <w:szCs w:val="22"/>
                <w:color w:val="auto"/>
              </w:rPr>
            </w:pPr>
          </w:p>
        </w:tc>
        <w:tc>
          <w:tcPr>
            <w:tcW w:w="7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1,828</w:t>
            </w:r>
          </w:p>
        </w:tc>
        <w:tc>
          <w:tcPr>
            <w:tcW w:w="100" w:type="dxa"/>
            <w:vAlign w:val="bottom"/>
            <w:shd w:val="clear" w:color="auto" w:fill="D1D2D4"/>
          </w:tcPr>
          <w:p>
            <w:pPr>
              <w:spacing w:after="0"/>
              <w:rPr>
                <w:sz w:val="22"/>
                <w:szCs w:val="22"/>
                <w:color w:val="auto"/>
              </w:rPr>
            </w:pPr>
          </w:p>
        </w:tc>
        <w:tc>
          <w:tcPr>
            <w:tcW w:w="140" w:type="dxa"/>
            <w:vAlign w:val="bottom"/>
            <w:shd w:val="clear" w:color="auto" w:fill="D1D2D4"/>
          </w:tcPr>
          <w:p>
            <w:pPr>
              <w:spacing w:after="0"/>
              <w:rPr>
                <w:sz w:val="22"/>
                <w:szCs w:val="22"/>
                <w:color w:val="auto"/>
              </w:rPr>
            </w:pPr>
          </w:p>
        </w:tc>
        <w:tc>
          <w:tcPr>
            <w:tcW w:w="10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3,418</w:t>
            </w:r>
          </w:p>
        </w:tc>
        <w:tc>
          <w:tcPr>
            <w:tcW w:w="120" w:type="dxa"/>
            <w:vAlign w:val="bottom"/>
            <w:shd w:val="clear" w:color="auto" w:fill="D1D2D4"/>
          </w:tcPr>
          <w:p>
            <w:pPr>
              <w:spacing w:after="0"/>
              <w:rPr>
                <w:sz w:val="22"/>
                <w:szCs w:val="22"/>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D1D2D4"/>
          </w:tcPr>
          <w:p>
            <w:pPr>
              <w:spacing w:after="0"/>
              <w:rPr>
                <w:sz w:val="22"/>
                <w:szCs w:val="22"/>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22"/>
                <w:szCs w:val="22"/>
                <w:color w:val="auto"/>
              </w:rPr>
            </w:pPr>
          </w:p>
        </w:tc>
        <w:tc>
          <w:tcPr>
            <w:tcW w:w="7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3,418</w:t>
            </w:r>
          </w:p>
        </w:tc>
        <w:tc>
          <w:tcPr>
            <w:tcW w:w="0" w:type="dxa"/>
            <w:vAlign w:val="bottom"/>
          </w:tcPr>
          <w:p>
            <w:pPr>
              <w:spacing w:after="0"/>
              <w:rPr>
                <w:sz w:val="1"/>
                <w:szCs w:val="1"/>
                <w:color w:val="auto"/>
              </w:rPr>
            </w:pPr>
          </w:p>
        </w:tc>
      </w:tr>
      <w:tr>
        <w:trPr>
          <w:trHeight w:val="230"/>
        </w:trPr>
        <w:tc>
          <w:tcPr>
            <w:tcW w:w="1900" w:type="dxa"/>
            <w:vAlign w:val="bottom"/>
          </w:tcPr>
          <w:p>
            <w:pPr>
              <w:ind w:left="20"/>
              <w:spacing w:after="0" w:line="230" w:lineRule="exact"/>
              <w:rPr>
                <w:sz w:val="20"/>
                <w:szCs w:val="20"/>
                <w:color w:val="auto"/>
              </w:rPr>
            </w:pPr>
            <w:r>
              <w:rPr>
                <w:rFonts w:ascii="Arial" w:cs="Arial" w:eastAsia="Arial" w:hAnsi="Arial"/>
                <w:sz w:val="18"/>
                <w:szCs w:val="18"/>
                <w:color w:val="auto"/>
              </w:rPr>
              <w:t>Level 2</w:t>
            </w:r>
            <w:r>
              <w:rPr>
                <w:rFonts w:ascii="Arial" w:cs="Arial" w:eastAsia="Arial" w:hAnsi="Arial"/>
                <w:sz w:val="23"/>
                <w:szCs w:val="23"/>
                <w:color w:val="auto"/>
                <w:vertAlign w:val="superscript"/>
              </w:rPr>
              <w:t>(3)</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900" w:type="dxa"/>
            <w:vAlign w:val="bottom"/>
            <w:shd w:val="clear" w:color="auto" w:fill="D1D2D4"/>
          </w:tcPr>
          <w:p>
            <w:pPr>
              <w:ind w:left="120"/>
              <w:spacing w:after="0"/>
              <w:rPr>
                <w:sz w:val="20"/>
                <w:szCs w:val="20"/>
                <w:color w:val="auto"/>
              </w:rPr>
            </w:pPr>
            <w:r>
              <w:rPr>
                <w:rFonts w:ascii="Arial" w:cs="Arial" w:eastAsia="Arial" w:hAnsi="Arial"/>
                <w:sz w:val="18"/>
                <w:szCs w:val="18"/>
                <w:color w:val="auto"/>
              </w:rPr>
              <w:t>Certificates of</w:t>
            </w:r>
          </w:p>
        </w:tc>
        <w:tc>
          <w:tcPr>
            <w:tcW w:w="140" w:type="dxa"/>
            <w:vAlign w:val="bottom"/>
            <w:shd w:val="clear" w:color="auto" w:fill="D1D2D4"/>
          </w:tcPr>
          <w:p>
            <w:pPr>
              <w:spacing w:after="0"/>
              <w:rPr>
                <w:sz w:val="19"/>
                <w:szCs w:val="19"/>
                <w:color w:val="auto"/>
              </w:rPr>
            </w:pPr>
          </w:p>
        </w:tc>
        <w:tc>
          <w:tcPr>
            <w:tcW w:w="10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04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160" w:type="dxa"/>
            <w:vAlign w:val="bottom"/>
            <w:shd w:val="clear" w:color="auto" w:fill="D1D2D4"/>
          </w:tcPr>
          <w:p>
            <w:pPr>
              <w:spacing w:after="0"/>
              <w:rPr>
                <w:sz w:val="19"/>
                <w:szCs w:val="19"/>
                <w:color w:val="auto"/>
              </w:rPr>
            </w:pPr>
          </w:p>
        </w:tc>
        <w:tc>
          <w:tcPr>
            <w:tcW w:w="200" w:type="dxa"/>
            <w:vAlign w:val="bottom"/>
            <w:shd w:val="clear" w:color="auto" w:fill="D1D2D4"/>
          </w:tcPr>
          <w:p>
            <w:pPr>
              <w:spacing w:after="0"/>
              <w:rPr>
                <w:sz w:val="19"/>
                <w:szCs w:val="19"/>
                <w:color w:val="auto"/>
              </w:rPr>
            </w:pPr>
          </w:p>
        </w:tc>
        <w:tc>
          <w:tcPr>
            <w:tcW w:w="72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02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04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160" w:type="dxa"/>
            <w:vAlign w:val="bottom"/>
            <w:shd w:val="clear" w:color="auto" w:fill="D1D2D4"/>
          </w:tcPr>
          <w:p>
            <w:pPr>
              <w:spacing w:after="0"/>
              <w:rPr>
                <w:sz w:val="19"/>
                <w:szCs w:val="19"/>
                <w:color w:val="auto"/>
              </w:rPr>
            </w:pPr>
          </w:p>
        </w:tc>
        <w:tc>
          <w:tcPr>
            <w:tcW w:w="200" w:type="dxa"/>
            <w:vAlign w:val="bottom"/>
            <w:shd w:val="clear" w:color="auto" w:fill="D1D2D4"/>
          </w:tcPr>
          <w:p>
            <w:pPr>
              <w:spacing w:after="0"/>
              <w:rPr>
                <w:sz w:val="19"/>
                <w:szCs w:val="19"/>
                <w:color w:val="auto"/>
              </w:rPr>
            </w:pPr>
          </w:p>
        </w:tc>
        <w:tc>
          <w:tcPr>
            <w:tcW w:w="72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00" w:type="dxa"/>
            <w:vAlign w:val="bottom"/>
            <w:shd w:val="clear" w:color="auto" w:fill="D1D2D4"/>
          </w:tcPr>
          <w:p>
            <w:pPr>
              <w:ind w:left="120"/>
              <w:spacing w:after="0"/>
              <w:rPr>
                <w:sz w:val="20"/>
                <w:szCs w:val="20"/>
                <w:color w:val="auto"/>
              </w:rPr>
            </w:pPr>
            <w:r>
              <w:rPr>
                <w:rFonts w:ascii="Arial" w:cs="Arial" w:eastAsia="Arial" w:hAnsi="Arial"/>
                <w:sz w:val="18"/>
                <w:szCs w:val="18"/>
                <w:color w:val="auto"/>
              </w:rPr>
              <w:t>deposits</w:t>
            </w:r>
          </w:p>
        </w:tc>
        <w:tc>
          <w:tcPr>
            <w:tcW w:w="140" w:type="dxa"/>
            <w:vAlign w:val="bottom"/>
            <w:shd w:val="clear" w:color="auto" w:fill="D1D2D4"/>
          </w:tcPr>
          <w:p>
            <w:pPr>
              <w:spacing w:after="0"/>
              <w:rPr>
                <w:sz w:val="20"/>
                <w:szCs w:val="20"/>
                <w:color w:val="auto"/>
              </w:rPr>
            </w:pPr>
          </w:p>
        </w:tc>
        <w:tc>
          <w:tcPr>
            <w:tcW w:w="10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1,740</w:t>
            </w:r>
          </w:p>
        </w:tc>
        <w:tc>
          <w:tcPr>
            <w:tcW w:w="140" w:type="dxa"/>
            <w:vAlign w:val="bottom"/>
            <w:shd w:val="clear" w:color="auto" w:fill="D1D2D4"/>
          </w:tcPr>
          <w:p>
            <w:pPr>
              <w:spacing w:after="0"/>
              <w:rPr>
                <w:sz w:val="20"/>
                <w:szCs w:val="20"/>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D1D2D4"/>
          </w:tcPr>
          <w:p>
            <w:pPr>
              <w:spacing w:after="0"/>
              <w:rPr>
                <w:sz w:val="20"/>
                <w:szCs w:val="20"/>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D1D2D4"/>
          </w:tcPr>
          <w:p>
            <w:pPr>
              <w:spacing w:after="0"/>
              <w:rPr>
                <w:sz w:val="20"/>
                <w:szCs w:val="20"/>
                <w:color w:val="auto"/>
              </w:rPr>
            </w:pPr>
          </w:p>
        </w:tc>
        <w:tc>
          <w:tcPr>
            <w:tcW w:w="7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1,752</w:t>
            </w:r>
          </w:p>
        </w:tc>
        <w:tc>
          <w:tcPr>
            <w:tcW w:w="100" w:type="dxa"/>
            <w:vAlign w:val="bottom"/>
            <w:shd w:val="clear" w:color="auto" w:fill="D1D2D4"/>
          </w:tcPr>
          <w:p>
            <w:pPr>
              <w:spacing w:after="0"/>
              <w:rPr>
                <w:sz w:val="20"/>
                <w:szCs w:val="20"/>
                <w:color w:val="auto"/>
              </w:rPr>
            </w:pPr>
          </w:p>
        </w:tc>
        <w:tc>
          <w:tcPr>
            <w:tcW w:w="140" w:type="dxa"/>
            <w:vAlign w:val="bottom"/>
            <w:shd w:val="clear" w:color="auto" w:fill="D1D2D4"/>
          </w:tcPr>
          <w:p>
            <w:pPr>
              <w:spacing w:after="0"/>
              <w:rPr>
                <w:sz w:val="20"/>
                <w:szCs w:val="20"/>
                <w:color w:val="auto"/>
              </w:rPr>
            </w:pPr>
          </w:p>
        </w:tc>
        <w:tc>
          <w:tcPr>
            <w:tcW w:w="10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1,292</w:t>
            </w:r>
          </w:p>
        </w:tc>
        <w:tc>
          <w:tcPr>
            <w:tcW w:w="120" w:type="dxa"/>
            <w:vAlign w:val="bottom"/>
            <w:shd w:val="clear" w:color="auto" w:fill="D1D2D4"/>
          </w:tcPr>
          <w:p>
            <w:pPr>
              <w:spacing w:after="0"/>
              <w:rPr>
                <w:sz w:val="20"/>
                <w:szCs w:val="20"/>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D1D2D4"/>
          </w:tcPr>
          <w:p>
            <w:pPr>
              <w:spacing w:after="0"/>
              <w:rPr>
                <w:sz w:val="20"/>
                <w:szCs w:val="20"/>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D1D2D4"/>
          </w:tcPr>
          <w:p>
            <w:pPr>
              <w:spacing w:after="0"/>
              <w:rPr>
                <w:sz w:val="20"/>
                <w:szCs w:val="20"/>
                <w:color w:val="auto"/>
              </w:rPr>
            </w:pPr>
          </w:p>
        </w:tc>
        <w:tc>
          <w:tcPr>
            <w:tcW w:w="7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1,306</w:t>
            </w:r>
          </w:p>
        </w:tc>
        <w:tc>
          <w:tcPr>
            <w:tcW w:w="0" w:type="dxa"/>
            <w:vAlign w:val="bottom"/>
          </w:tcPr>
          <w:p>
            <w:pPr>
              <w:spacing w:after="0"/>
              <w:rPr>
                <w:sz w:val="1"/>
                <w:szCs w:val="1"/>
                <w:color w:val="auto"/>
              </w:rPr>
            </w:pPr>
          </w:p>
        </w:tc>
      </w:tr>
      <w:tr>
        <w:trPr>
          <w:trHeight w:val="250"/>
        </w:trPr>
        <w:tc>
          <w:tcPr>
            <w:tcW w:w="1900" w:type="dxa"/>
            <w:vAlign w:val="bottom"/>
          </w:tcPr>
          <w:p>
            <w:pPr>
              <w:ind w:left="120"/>
              <w:spacing w:after="0"/>
              <w:rPr>
                <w:sz w:val="20"/>
                <w:szCs w:val="20"/>
                <w:color w:val="auto"/>
              </w:rPr>
            </w:pPr>
            <w:r>
              <w:rPr>
                <w:rFonts w:ascii="Arial" w:cs="Arial" w:eastAsia="Arial" w:hAnsi="Arial"/>
                <w:sz w:val="18"/>
                <w:szCs w:val="18"/>
                <w:color w:val="auto"/>
              </w:rPr>
              <w:t>Corporate bonds</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266</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592</w:t>
            </w:r>
          </w:p>
        </w:tc>
        <w:tc>
          <w:tcPr>
            <w:tcW w:w="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861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550</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689</w:t>
            </w:r>
          </w:p>
        </w:tc>
        <w:tc>
          <w:tcPr>
            <w:tcW w:w="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1,239</w:t>
            </w:r>
          </w:p>
        </w:tc>
        <w:tc>
          <w:tcPr>
            <w:tcW w:w="0" w:type="dxa"/>
            <w:vAlign w:val="bottom"/>
          </w:tcPr>
          <w:p>
            <w:pPr>
              <w:spacing w:after="0"/>
              <w:rPr>
                <w:sz w:val="1"/>
                <w:szCs w:val="1"/>
                <w:color w:val="auto"/>
              </w:rPr>
            </w:pPr>
          </w:p>
        </w:tc>
      </w:tr>
      <w:tr>
        <w:trPr>
          <w:trHeight w:val="235"/>
        </w:trPr>
        <w:tc>
          <w:tcPr>
            <w:tcW w:w="1900" w:type="dxa"/>
            <w:vAlign w:val="bottom"/>
            <w:shd w:val="clear" w:color="auto" w:fill="D1D2D4"/>
          </w:tcPr>
          <w:p>
            <w:pPr>
              <w:ind w:left="120"/>
              <w:spacing w:after="0"/>
              <w:rPr>
                <w:sz w:val="20"/>
                <w:szCs w:val="20"/>
                <w:color w:val="auto"/>
              </w:rPr>
            </w:pPr>
            <w:r>
              <w:rPr>
                <w:rFonts w:ascii="Arial" w:cs="Arial" w:eastAsia="Arial" w:hAnsi="Arial"/>
                <w:sz w:val="18"/>
                <w:szCs w:val="18"/>
                <w:color w:val="auto"/>
              </w:rPr>
              <w:t>Government</w:t>
            </w:r>
          </w:p>
        </w:tc>
        <w:tc>
          <w:tcPr>
            <w:tcW w:w="140" w:type="dxa"/>
            <w:vAlign w:val="bottom"/>
            <w:shd w:val="clear" w:color="auto" w:fill="D1D2D4"/>
          </w:tcPr>
          <w:p>
            <w:pPr>
              <w:spacing w:after="0"/>
              <w:rPr>
                <w:sz w:val="20"/>
                <w:szCs w:val="20"/>
                <w:color w:val="auto"/>
              </w:rPr>
            </w:pPr>
          </w:p>
        </w:tc>
        <w:tc>
          <w:tcPr>
            <w:tcW w:w="1000" w:type="dxa"/>
            <w:vAlign w:val="bottom"/>
            <w:shd w:val="clear" w:color="auto" w:fill="D1D2D4"/>
          </w:tcPr>
          <w:p>
            <w:pPr>
              <w:spacing w:after="0"/>
              <w:rPr>
                <w:sz w:val="20"/>
                <w:szCs w:val="20"/>
                <w:color w:val="auto"/>
              </w:rPr>
            </w:pPr>
          </w:p>
        </w:tc>
        <w:tc>
          <w:tcPr>
            <w:tcW w:w="140" w:type="dxa"/>
            <w:vAlign w:val="bottom"/>
            <w:shd w:val="clear" w:color="auto" w:fill="D1D2D4"/>
          </w:tcPr>
          <w:p>
            <w:pPr>
              <w:spacing w:after="0"/>
              <w:rPr>
                <w:sz w:val="20"/>
                <w:szCs w:val="20"/>
                <w:color w:val="auto"/>
              </w:rPr>
            </w:pPr>
          </w:p>
        </w:tc>
        <w:tc>
          <w:tcPr>
            <w:tcW w:w="1040" w:type="dxa"/>
            <w:vAlign w:val="bottom"/>
            <w:shd w:val="clear" w:color="auto" w:fill="D1D2D4"/>
          </w:tcPr>
          <w:p>
            <w:pPr>
              <w:spacing w:after="0"/>
              <w:rPr>
                <w:sz w:val="20"/>
                <w:szCs w:val="20"/>
                <w:color w:val="auto"/>
              </w:rPr>
            </w:pPr>
          </w:p>
        </w:tc>
        <w:tc>
          <w:tcPr>
            <w:tcW w:w="220" w:type="dxa"/>
            <w:vAlign w:val="bottom"/>
            <w:shd w:val="clear" w:color="auto" w:fill="D1D2D4"/>
          </w:tcPr>
          <w:p>
            <w:pPr>
              <w:spacing w:after="0"/>
              <w:rPr>
                <w:sz w:val="20"/>
                <w:szCs w:val="20"/>
                <w:color w:val="auto"/>
              </w:rPr>
            </w:pPr>
          </w:p>
        </w:tc>
        <w:tc>
          <w:tcPr>
            <w:tcW w:w="1160" w:type="dxa"/>
            <w:vAlign w:val="bottom"/>
            <w:shd w:val="clear" w:color="auto" w:fill="D1D2D4"/>
          </w:tcPr>
          <w:p>
            <w:pPr>
              <w:spacing w:after="0"/>
              <w:rPr>
                <w:sz w:val="20"/>
                <w:szCs w:val="20"/>
                <w:color w:val="auto"/>
              </w:rPr>
            </w:pPr>
          </w:p>
        </w:tc>
        <w:tc>
          <w:tcPr>
            <w:tcW w:w="200" w:type="dxa"/>
            <w:vAlign w:val="bottom"/>
            <w:shd w:val="clear" w:color="auto" w:fill="D1D2D4"/>
          </w:tcPr>
          <w:p>
            <w:pPr>
              <w:spacing w:after="0"/>
              <w:rPr>
                <w:sz w:val="20"/>
                <w:szCs w:val="20"/>
                <w:color w:val="auto"/>
              </w:rPr>
            </w:pPr>
          </w:p>
        </w:tc>
        <w:tc>
          <w:tcPr>
            <w:tcW w:w="720" w:type="dxa"/>
            <w:vAlign w:val="bottom"/>
            <w:shd w:val="clear" w:color="auto" w:fill="D1D2D4"/>
          </w:tcPr>
          <w:p>
            <w:pPr>
              <w:spacing w:after="0"/>
              <w:rPr>
                <w:sz w:val="20"/>
                <w:szCs w:val="20"/>
                <w:color w:val="auto"/>
              </w:rPr>
            </w:pPr>
          </w:p>
        </w:tc>
        <w:tc>
          <w:tcPr>
            <w:tcW w:w="100" w:type="dxa"/>
            <w:vAlign w:val="bottom"/>
            <w:shd w:val="clear" w:color="auto" w:fill="D1D2D4"/>
          </w:tcPr>
          <w:p>
            <w:pPr>
              <w:spacing w:after="0"/>
              <w:rPr>
                <w:sz w:val="20"/>
                <w:szCs w:val="20"/>
                <w:color w:val="auto"/>
              </w:rPr>
            </w:pPr>
          </w:p>
        </w:tc>
        <w:tc>
          <w:tcPr>
            <w:tcW w:w="140" w:type="dxa"/>
            <w:vAlign w:val="bottom"/>
            <w:shd w:val="clear" w:color="auto" w:fill="D1D2D4"/>
          </w:tcPr>
          <w:p>
            <w:pPr>
              <w:spacing w:after="0"/>
              <w:rPr>
                <w:sz w:val="20"/>
                <w:szCs w:val="20"/>
                <w:color w:val="auto"/>
              </w:rPr>
            </w:pPr>
          </w:p>
        </w:tc>
        <w:tc>
          <w:tcPr>
            <w:tcW w:w="1020" w:type="dxa"/>
            <w:vAlign w:val="bottom"/>
            <w:shd w:val="clear" w:color="auto" w:fill="D1D2D4"/>
          </w:tcPr>
          <w:p>
            <w:pPr>
              <w:spacing w:after="0"/>
              <w:rPr>
                <w:sz w:val="20"/>
                <w:szCs w:val="20"/>
                <w:color w:val="auto"/>
              </w:rPr>
            </w:pPr>
          </w:p>
        </w:tc>
        <w:tc>
          <w:tcPr>
            <w:tcW w:w="120" w:type="dxa"/>
            <w:vAlign w:val="bottom"/>
            <w:shd w:val="clear" w:color="auto" w:fill="D1D2D4"/>
          </w:tcPr>
          <w:p>
            <w:pPr>
              <w:spacing w:after="0"/>
              <w:rPr>
                <w:sz w:val="20"/>
                <w:szCs w:val="20"/>
                <w:color w:val="auto"/>
              </w:rPr>
            </w:pPr>
          </w:p>
        </w:tc>
        <w:tc>
          <w:tcPr>
            <w:tcW w:w="1040" w:type="dxa"/>
            <w:vAlign w:val="bottom"/>
            <w:shd w:val="clear" w:color="auto" w:fill="D1D2D4"/>
          </w:tcPr>
          <w:p>
            <w:pPr>
              <w:spacing w:after="0"/>
              <w:rPr>
                <w:sz w:val="20"/>
                <w:szCs w:val="20"/>
                <w:color w:val="auto"/>
              </w:rPr>
            </w:pPr>
          </w:p>
        </w:tc>
        <w:tc>
          <w:tcPr>
            <w:tcW w:w="220" w:type="dxa"/>
            <w:vAlign w:val="bottom"/>
            <w:shd w:val="clear" w:color="auto" w:fill="D1D2D4"/>
          </w:tcPr>
          <w:p>
            <w:pPr>
              <w:spacing w:after="0"/>
              <w:rPr>
                <w:sz w:val="20"/>
                <w:szCs w:val="20"/>
                <w:color w:val="auto"/>
              </w:rPr>
            </w:pPr>
          </w:p>
        </w:tc>
        <w:tc>
          <w:tcPr>
            <w:tcW w:w="1160" w:type="dxa"/>
            <w:vAlign w:val="bottom"/>
            <w:shd w:val="clear" w:color="auto" w:fill="D1D2D4"/>
          </w:tcPr>
          <w:p>
            <w:pPr>
              <w:spacing w:after="0"/>
              <w:rPr>
                <w:sz w:val="20"/>
                <w:szCs w:val="20"/>
                <w:color w:val="auto"/>
              </w:rPr>
            </w:pPr>
          </w:p>
        </w:tc>
        <w:tc>
          <w:tcPr>
            <w:tcW w:w="200" w:type="dxa"/>
            <w:vAlign w:val="bottom"/>
            <w:shd w:val="clear" w:color="auto" w:fill="D1D2D4"/>
          </w:tcPr>
          <w:p>
            <w:pPr>
              <w:spacing w:after="0"/>
              <w:rPr>
                <w:sz w:val="20"/>
                <w:szCs w:val="20"/>
                <w:color w:val="auto"/>
              </w:rPr>
            </w:pPr>
          </w:p>
        </w:tc>
        <w:tc>
          <w:tcPr>
            <w:tcW w:w="720" w:type="dxa"/>
            <w:vAlign w:val="bottom"/>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900" w:type="dxa"/>
            <w:vAlign w:val="bottom"/>
            <w:shd w:val="clear" w:color="auto" w:fill="D1D2D4"/>
          </w:tcPr>
          <w:p>
            <w:pPr>
              <w:ind w:left="120"/>
              <w:spacing w:after="0"/>
              <w:rPr>
                <w:sz w:val="20"/>
                <w:szCs w:val="20"/>
                <w:color w:val="auto"/>
              </w:rPr>
            </w:pPr>
            <w:r>
              <w:rPr>
                <w:rFonts w:ascii="Arial" w:cs="Arial" w:eastAsia="Arial" w:hAnsi="Arial"/>
                <w:sz w:val="18"/>
                <w:szCs w:val="18"/>
                <w:color w:val="auto"/>
              </w:rPr>
              <w:t>securities</w:t>
            </w:r>
          </w:p>
        </w:tc>
        <w:tc>
          <w:tcPr>
            <w:tcW w:w="140" w:type="dxa"/>
            <w:vAlign w:val="bottom"/>
            <w:shd w:val="clear" w:color="auto" w:fill="D1D2D4"/>
          </w:tcPr>
          <w:p>
            <w:pPr>
              <w:spacing w:after="0"/>
              <w:rPr>
                <w:sz w:val="20"/>
                <w:szCs w:val="20"/>
                <w:color w:val="auto"/>
              </w:rPr>
            </w:pPr>
          </w:p>
        </w:tc>
        <w:tc>
          <w:tcPr>
            <w:tcW w:w="10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D1D2D4"/>
          </w:tcPr>
          <w:p>
            <w:pPr>
              <w:spacing w:after="0"/>
              <w:rPr>
                <w:sz w:val="20"/>
                <w:szCs w:val="20"/>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115</w:t>
            </w:r>
          </w:p>
        </w:tc>
        <w:tc>
          <w:tcPr>
            <w:tcW w:w="220" w:type="dxa"/>
            <w:vAlign w:val="bottom"/>
            <w:shd w:val="clear" w:color="auto" w:fill="D1D2D4"/>
          </w:tcPr>
          <w:p>
            <w:pPr>
              <w:spacing w:after="0"/>
              <w:rPr>
                <w:sz w:val="20"/>
                <w:szCs w:val="20"/>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243</w:t>
            </w:r>
          </w:p>
        </w:tc>
        <w:tc>
          <w:tcPr>
            <w:tcW w:w="200" w:type="dxa"/>
            <w:vAlign w:val="bottom"/>
            <w:shd w:val="clear" w:color="auto" w:fill="D1D2D4"/>
          </w:tcPr>
          <w:p>
            <w:pPr>
              <w:spacing w:after="0"/>
              <w:rPr>
                <w:sz w:val="20"/>
                <w:szCs w:val="20"/>
                <w:color w:val="auto"/>
              </w:rPr>
            </w:pPr>
          </w:p>
        </w:tc>
        <w:tc>
          <w:tcPr>
            <w:tcW w:w="7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364</w:t>
            </w:r>
          </w:p>
        </w:tc>
        <w:tc>
          <w:tcPr>
            <w:tcW w:w="100" w:type="dxa"/>
            <w:vAlign w:val="bottom"/>
            <w:shd w:val="clear" w:color="auto" w:fill="D1D2D4"/>
          </w:tcPr>
          <w:p>
            <w:pPr>
              <w:spacing w:after="0"/>
              <w:rPr>
                <w:sz w:val="20"/>
                <w:szCs w:val="20"/>
                <w:color w:val="auto"/>
              </w:rPr>
            </w:pPr>
          </w:p>
        </w:tc>
        <w:tc>
          <w:tcPr>
            <w:tcW w:w="140" w:type="dxa"/>
            <w:vAlign w:val="bottom"/>
            <w:shd w:val="clear" w:color="auto" w:fill="D1D2D4"/>
          </w:tcPr>
          <w:p>
            <w:pPr>
              <w:spacing w:after="0"/>
              <w:rPr>
                <w:sz w:val="20"/>
                <w:szCs w:val="20"/>
                <w:color w:val="auto"/>
              </w:rPr>
            </w:pPr>
          </w:p>
        </w:tc>
        <w:tc>
          <w:tcPr>
            <w:tcW w:w="10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36</w:t>
            </w:r>
          </w:p>
        </w:tc>
        <w:tc>
          <w:tcPr>
            <w:tcW w:w="120" w:type="dxa"/>
            <w:vAlign w:val="bottom"/>
            <w:shd w:val="clear" w:color="auto" w:fill="D1D2D4"/>
          </w:tcPr>
          <w:p>
            <w:pPr>
              <w:spacing w:after="0"/>
              <w:rPr>
                <w:sz w:val="20"/>
                <w:szCs w:val="20"/>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149</w:t>
            </w:r>
          </w:p>
        </w:tc>
        <w:tc>
          <w:tcPr>
            <w:tcW w:w="220" w:type="dxa"/>
            <w:vAlign w:val="bottom"/>
            <w:shd w:val="clear" w:color="auto" w:fill="D1D2D4"/>
          </w:tcPr>
          <w:p>
            <w:pPr>
              <w:spacing w:after="0"/>
              <w:rPr>
                <w:sz w:val="20"/>
                <w:szCs w:val="20"/>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232</w:t>
            </w:r>
          </w:p>
        </w:tc>
        <w:tc>
          <w:tcPr>
            <w:tcW w:w="200" w:type="dxa"/>
            <w:vAlign w:val="bottom"/>
            <w:shd w:val="clear" w:color="auto" w:fill="D1D2D4"/>
          </w:tcPr>
          <w:p>
            <w:pPr>
              <w:spacing w:after="0"/>
              <w:rPr>
                <w:sz w:val="20"/>
                <w:szCs w:val="20"/>
                <w:color w:val="auto"/>
              </w:rPr>
            </w:pPr>
          </w:p>
        </w:tc>
        <w:tc>
          <w:tcPr>
            <w:tcW w:w="7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29"/>
        </w:trPr>
        <w:tc>
          <w:tcPr>
            <w:tcW w:w="1900" w:type="dxa"/>
            <w:vAlign w:val="bottom"/>
          </w:tcPr>
          <w:p>
            <w:pPr>
              <w:ind w:left="120"/>
              <w:spacing w:after="0"/>
              <w:rPr>
                <w:sz w:val="20"/>
                <w:szCs w:val="20"/>
                <w:color w:val="auto"/>
              </w:rPr>
            </w:pPr>
            <w:r>
              <w:rPr>
                <w:rFonts w:ascii="Arial" w:cs="Arial" w:eastAsia="Arial" w:hAnsi="Arial"/>
                <w:sz w:val="18"/>
                <w:szCs w:val="18"/>
                <w:color w:val="auto"/>
              </w:rPr>
              <w:t>Asset-backed</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900" w:type="dxa"/>
            <w:vAlign w:val="bottom"/>
          </w:tcPr>
          <w:p>
            <w:pPr>
              <w:ind w:left="120"/>
              <w:spacing w:after="0"/>
              <w:rPr>
                <w:sz w:val="20"/>
                <w:szCs w:val="20"/>
                <w:color w:val="auto"/>
              </w:rPr>
            </w:pPr>
            <w:r>
              <w:rPr>
                <w:rFonts w:ascii="Arial" w:cs="Arial" w:eastAsia="Arial" w:hAnsi="Arial"/>
                <w:sz w:val="18"/>
                <w:szCs w:val="18"/>
                <w:color w:val="auto"/>
              </w:rPr>
              <w:t>securities</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211</w:t>
            </w:r>
          </w:p>
        </w:tc>
        <w:tc>
          <w:tcPr>
            <w:tcW w:w="200" w:type="dxa"/>
            <w:vAlign w:val="bottom"/>
          </w:tcPr>
          <w:p>
            <w:pPr>
              <w:spacing w:after="0"/>
              <w:rPr>
                <w:sz w:val="19"/>
                <w:szCs w:val="19"/>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242</w:t>
            </w:r>
          </w:p>
        </w:tc>
        <w:tc>
          <w:tcPr>
            <w:tcW w:w="200" w:type="dxa"/>
            <w:vAlign w:val="bottom"/>
          </w:tcPr>
          <w:p>
            <w:pPr>
              <w:spacing w:after="0"/>
              <w:rPr>
                <w:sz w:val="19"/>
                <w:szCs w:val="19"/>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57"/>
        </w:trPr>
        <w:tc>
          <w:tcPr>
            <w:tcW w:w="1900" w:type="dxa"/>
            <w:vAlign w:val="bottom"/>
            <w:shd w:val="clear" w:color="auto" w:fill="D1D2D4"/>
          </w:tcPr>
          <w:p>
            <w:pPr>
              <w:ind w:left="120"/>
              <w:spacing w:after="0"/>
              <w:rPr>
                <w:sz w:val="20"/>
                <w:szCs w:val="20"/>
                <w:color w:val="auto"/>
              </w:rPr>
            </w:pPr>
            <w:r>
              <w:rPr>
                <w:rFonts w:ascii="Arial" w:cs="Arial" w:eastAsia="Arial" w:hAnsi="Arial"/>
                <w:sz w:val="18"/>
                <w:szCs w:val="18"/>
                <w:color w:val="auto"/>
              </w:rPr>
              <w:t>Commercial paper</w:t>
            </w:r>
          </w:p>
        </w:tc>
        <w:tc>
          <w:tcPr>
            <w:tcW w:w="140" w:type="dxa"/>
            <w:vAlign w:val="bottom"/>
            <w:tcBorders>
              <w:bottom w:val="single" w:sz="8" w:color="auto"/>
            </w:tcBorders>
            <w:shd w:val="clear" w:color="auto" w:fill="D1D2D4"/>
          </w:tcPr>
          <w:p>
            <w:pPr>
              <w:spacing w:after="0"/>
              <w:rPr>
                <w:sz w:val="22"/>
                <w:szCs w:val="22"/>
                <w:color w:val="auto"/>
              </w:rPr>
            </w:pPr>
          </w:p>
        </w:tc>
        <w:tc>
          <w:tcPr>
            <w:tcW w:w="10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50</w:t>
            </w:r>
          </w:p>
        </w:tc>
        <w:tc>
          <w:tcPr>
            <w:tcW w:w="140" w:type="dxa"/>
            <w:vAlign w:val="bottom"/>
            <w:tcBorders>
              <w:bottom w:val="single" w:sz="8" w:color="auto"/>
            </w:tcBorders>
            <w:shd w:val="clear" w:color="auto" w:fill="D1D2D4"/>
          </w:tcPr>
          <w:p>
            <w:pPr>
              <w:spacing w:after="0"/>
              <w:rPr>
                <w:sz w:val="22"/>
                <w:szCs w:val="22"/>
                <w:color w:val="auto"/>
              </w:rPr>
            </w:pP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96</w:t>
            </w:r>
          </w:p>
        </w:tc>
        <w:tc>
          <w:tcPr>
            <w:tcW w:w="220" w:type="dxa"/>
            <w:vAlign w:val="bottom"/>
            <w:tcBorders>
              <w:bottom w:val="single" w:sz="8" w:color="auto"/>
            </w:tcBorders>
            <w:shd w:val="clear" w:color="auto" w:fill="D1D2D4"/>
          </w:tcPr>
          <w:p>
            <w:pPr>
              <w:spacing w:after="0"/>
              <w:rPr>
                <w:sz w:val="22"/>
                <w:szCs w:val="22"/>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D1D2D4"/>
          </w:tcPr>
          <w:p>
            <w:pPr>
              <w:spacing w:after="0"/>
              <w:rPr>
                <w:sz w:val="22"/>
                <w:szCs w:val="22"/>
                <w:color w:val="auto"/>
              </w:rPr>
            </w:pPr>
          </w:p>
        </w:tc>
        <w:tc>
          <w:tcPr>
            <w:tcW w:w="72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D1D2D4"/>
          </w:tcPr>
          <w:p>
            <w:pPr>
              <w:spacing w:after="0"/>
              <w:rPr>
                <w:sz w:val="22"/>
                <w:szCs w:val="22"/>
                <w:color w:val="auto"/>
              </w:rPr>
            </w:pPr>
          </w:p>
        </w:tc>
        <w:tc>
          <w:tcPr>
            <w:tcW w:w="140" w:type="dxa"/>
            <w:vAlign w:val="bottom"/>
            <w:tcBorders>
              <w:bottom w:val="single" w:sz="8" w:color="auto"/>
            </w:tcBorders>
            <w:shd w:val="clear" w:color="auto" w:fill="D1D2D4"/>
          </w:tcPr>
          <w:p>
            <w:pPr>
              <w:spacing w:after="0"/>
              <w:rPr>
                <w:sz w:val="22"/>
                <w:szCs w:val="22"/>
                <w:color w:val="auto"/>
              </w:rPr>
            </w:pPr>
          </w:p>
        </w:tc>
        <w:tc>
          <w:tcPr>
            <w:tcW w:w="102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auto"/>
            </w:tcBorders>
            <w:shd w:val="clear" w:color="auto" w:fill="D1D2D4"/>
          </w:tcPr>
          <w:p>
            <w:pPr>
              <w:spacing w:after="0"/>
              <w:rPr>
                <w:sz w:val="22"/>
                <w:szCs w:val="22"/>
                <w:color w:val="auto"/>
              </w:rPr>
            </w:pP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24</w:t>
            </w:r>
          </w:p>
        </w:tc>
        <w:tc>
          <w:tcPr>
            <w:tcW w:w="220" w:type="dxa"/>
            <w:vAlign w:val="bottom"/>
            <w:tcBorders>
              <w:bottom w:val="single" w:sz="8" w:color="auto"/>
            </w:tcBorders>
            <w:shd w:val="clear" w:color="auto" w:fill="D1D2D4"/>
          </w:tcPr>
          <w:p>
            <w:pPr>
              <w:spacing w:after="0"/>
              <w:rPr>
                <w:sz w:val="22"/>
                <w:szCs w:val="22"/>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D1D2D4"/>
          </w:tcPr>
          <w:p>
            <w:pPr>
              <w:spacing w:after="0"/>
              <w:rPr>
                <w:sz w:val="22"/>
                <w:szCs w:val="22"/>
                <w:color w:val="auto"/>
              </w:rPr>
            </w:pPr>
          </w:p>
        </w:tc>
        <w:tc>
          <w:tcPr>
            <w:tcW w:w="72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56"/>
        </w:trPr>
        <w:tc>
          <w:tcPr>
            <w:tcW w:w="1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7,624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9,190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7,152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9,119</w:t>
            </w:r>
          </w:p>
        </w:tc>
        <w:tc>
          <w:tcPr>
            <w:tcW w:w="0" w:type="dxa"/>
            <w:vAlign w:val="bottom"/>
          </w:tcPr>
          <w:p>
            <w:pPr>
              <w:spacing w:after="0"/>
              <w:rPr>
                <w:sz w:val="1"/>
                <w:szCs w:val="1"/>
                <w:color w:val="auto"/>
              </w:rPr>
            </w:pPr>
          </w:p>
        </w:tc>
      </w:tr>
      <w:tr>
        <w:trPr>
          <w:trHeight w:val="20"/>
        </w:trPr>
        <w:tc>
          <w:tcPr>
            <w:tcW w:w="1900" w:type="dxa"/>
            <w:vAlign w:val="bottom"/>
            <w:tcBorders>
              <w:bottom w:val="single" w:sz="8" w:color="D1D2D4"/>
            </w:tcBorders>
          </w:tcPr>
          <w:p>
            <w:pPr>
              <w:spacing w:after="0" w:line="20" w:lineRule="exact"/>
              <w:rPr>
                <w:sz w:val="1"/>
                <w:szCs w:val="1"/>
                <w:color w:val="auto"/>
              </w:rPr>
            </w:pPr>
          </w:p>
        </w:tc>
        <w:tc>
          <w:tcPr>
            <w:tcW w:w="140" w:type="dxa"/>
            <w:vAlign w:val="bottom"/>
            <w:tcBorders>
              <w:bottom w:val="single" w:sz="8" w:color="D1D2D4"/>
            </w:tcBorders>
          </w:tcPr>
          <w:p>
            <w:pPr>
              <w:spacing w:after="0" w:line="20" w:lineRule="exact"/>
              <w:rPr>
                <w:sz w:val="1"/>
                <w:szCs w:val="1"/>
                <w:color w:val="auto"/>
              </w:rPr>
            </w:pPr>
          </w:p>
        </w:tc>
        <w:tc>
          <w:tcPr>
            <w:tcW w:w="1000" w:type="dxa"/>
            <w:vAlign w:val="bottom"/>
            <w:tcBorders>
              <w:bottom w:val="single" w:sz="8" w:color="D1D2D4"/>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1D2D4"/>
            </w:tcBorders>
          </w:tcPr>
          <w:p>
            <w:pPr>
              <w:spacing w:after="0" w:line="20" w:lineRule="exact"/>
              <w:rPr>
                <w:sz w:val="1"/>
                <w:szCs w:val="1"/>
                <w:color w:val="auto"/>
              </w:rPr>
            </w:pPr>
          </w:p>
        </w:tc>
        <w:tc>
          <w:tcPr>
            <w:tcW w:w="140" w:type="dxa"/>
            <w:vAlign w:val="bottom"/>
            <w:tcBorders>
              <w:bottom w:val="single" w:sz="8" w:color="D1D2D4"/>
            </w:tcBorders>
          </w:tcPr>
          <w:p>
            <w:pPr>
              <w:spacing w:after="0" w:line="20" w:lineRule="exact"/>
              <w:rPr>
                <w:sz w:val="1"/>
                <w:szCs w:val="1"/>
                <w:color w:val="auto"/>
              </w:rPr>
            </w:pPr>
          </w:p>
        </w:tc>
        <w:tc>
          <w:tcPr>
            <w:tcW w:w="1020" w:type="dxa"/>
            <w:vAlign w:val="bottom"/>
            <w:tcBorders>
              <w:bottom w:val="single" w:sz="8" w:color="D1D2D4"/>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900" w:type="dxa"/>
            <w:vAlign w:val="bottom"/>
            <w:shd w:val="clear" w:color="auto" w:fill="D1D2D4"/>
          </w:tcPr>
          <w:p>
            <w:pPr>
              <w:ind w:left="20"/>
              <w:spacing w:after="0" w:line="223" w:lineRule="exact"/>
              <w:rPr>
                <w:sz w:val="20"/>
                <w:szCs w:val="20"/>
                <w:color w:val="auto"/>
              </w:rPr>
            </w:pPr>
            <w:r>
              <w:rPr>
                <w:rFonts w:ascii="Arial" w:cs="Arial" w:eastAsia="Arial" w:hAnsi="Arial"/>
                <w:sz w:val="18"/>
                <w:szCs w:val="18"/>
                <w:color w:val="auto"/>
              </w:rPr>
              <w:t>Restricted cash</w:t>
            </w:r>
            <w:r>
              <w:rPr>
                <w:rFonts w:ascii="Arial" w:cs="Arial" w:eastAsia="Arial" w:hAnsi="Arial"/>
                <w:sz w:val="23"/>
                <w:szCs w:val="23"/>
                <w:color w:val="auto"/>
                <w:vertAlign w:val="superscript"/>
              </w:rPr>
              <w:t>(4)</w:t>
            </w:r>
          </w:p>
        </w:tc>
        <w:tc>
          <w:tcPr>
            <w:tcW w:w="140" w:type="dxa"/>
            <w:vAlign w:val="bottom"/>
            <w:tcBorders>
              <w:bottom w:val="single" w:sz="8" w:color="auto"/>
            </w:tcBorders>
            <w:shd w:val="clear" w:color="auto" w:fill="D1D2D4"/>
          </w:tcPr>
          <w:p>
            <w:pPr>
              <w:spacing w:after="0"/>
              <w:rPr>
                <w:sz w:val="19"/>
                <w:szCs w:val="19"/>
                <w:color w:val="auto"/>
              </w:rPr>
            </w:pPr>
          </w:p>
        </w:tc>
        <w:tc>
          <w:tcPr>
            <w:tcW w:w="10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66</w:t>
            </w:r>
          </w:p>
        </w:tc>
        <w:tc>
          <w:tcPr>
            <w:tcW w:w="140" w:type="dxa"/>
            <w:vAlign w:val="bottom"/>
            <w:shd w:val="clear" w:color="auto" w:fill="D1D2D4"/>
          </w:tcPr>
          <w:p>
            <w:pPr>
              <w:spacing w:after="0"/>
              <w:rPr>
                <w:sz w:val="19"/>
                <w:szCs w:val="19"/>
                <w:color w:val="auto"/>
              </w:rPr>
            </w:pPr>
          </w:p>
        </w:tc>
        <w:tc>
          <w:tcPr>
            <w:tcW w:w="104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160" w:type="dxa"/>
            <w:vAlign w:val="bottom"/>
            <w:shd w:val="clear" w:color="auto" w:fill="D1D2D4"/>
          </w:tcPr>
          <w:p>
            <w:pPr>
              <w:spacing w:after="0"/>
              <w:rPr>
                <w:sz w:val="19"/>
                <w:szCs w:val="19"/>
                <w:color w:val="auto"/>
              </w:rPr>
            </w:pPr>
          </w:p>
        </w:tc>
        <w:tc>
          <w:tcPr>
            <w:tcW w:w="200" w:type="dxa"/>
            <w:vAlign w:val="bottom"/>
            <w:shd w:val="clear" w:color="auto" w:fill="D1D2D4"/>
          </w:tcPr>
          <w:p>
            <w:pPr>
              <w:spacing w:after="0"/>
              <w:rPr>
                <w:sz w:val="19"/>
                <w:szCs w:val="19"/>
                <w:color w:val="auto"/>
              </w:rPr>
            </w:pPr>
          </w:p>
        </w:tc>
        <w:tc>
          <w:tcPr>
            <w:tcW w:w="72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40" w:type="dxa"/>
            <w:vAlign w:val="bottom"/>
            <w:tcBorders>
              <w:bottom w:val="single" w:sz="8" w:color="auto"/>
            </w:tcBorders>
            <w:shd w:val="clear" w:color="auto" w:fill="D1D2D4"/>
          </w:tcPr>
          <w:p>
            <w:pPr>
              <w:spacing w:after="0"/>
              <w:rPr>
                <w:sz w:val="19"/>
                <w:szCs w:val="19"/>
                <w:color w:val="auto"/>
              </w:rPr>
            </w:pPr>
          </w:p>
        </w:tc>
        <w:tc>
          <w:tcPr>
            <w:tcW w:w="102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D1D2D4"/>
          </w:tcPr>
          <w:p>
            <w:pPr>
              <w:spacing w:after="0"/>
              <w:rPr>
                <w:sz w:val="19"/>
                <w:szCs w:val="19"/>
                <w:color w:val="auto"/>
              </w:rPr>
            </w:pPr>
          </w:p>
        </w:tc>
        <w:tc>
          <w:tcPr>
            <w:tcW w:w="104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160" w:type="dxa"/>
            <w:vAlign w:val="bottom"/>
            <w:shd w:val="clear" w:color="auto" w:fill="D1D2D4"/>
          </w:tcPr>
          <w:p>
            <w:pPr>
              <w:spacing w:after="0"/>
              <w:rPr>
                <w:sz w:val="19"/>
                <w:szCs w:val="19"/>
                <w:color w:val="auto"/>
              </w:rPr>
            </w:pPr>
          </w:p>
        </w:tc>
        <w:tc>
          <w:tcPr>
            <w:tcW w:w="200" w:type="dxa"/>
            <w:vAlign w:val="bottom"/>
            <w:shd w:val="clear" w:color="auto" w:fill="D1D2D4"/>
          </w:tcPr>
          <w:p>
            <w:pPr>
              <w:spacing w:after="0"/>
              <w:rPr>
                <w:sz w:val="19"/>
                <w:szCs w:val="19"/>
                <w:color w:val="auto"/>
              </w:rPr>
            </w:pPr>
          </w:p>
        </w:tc>
        <w:tc>
          <w:tcPr>
            <w:tcW w:w="72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900" w:type="dxa"/>
            <w:vAlign w:val="bottom"/>
          </w:tcPr>
          <w:p>
            <w:pPr>
              <w:ind w:left="20"/>
              <w:spacing w:after="0"/>
              <w:rPr>
                <w:sz w:val="20"/>
                <w:szCs w:val="20"/>
                <w:color w:val="auto"/>
              </w:rPr>
            </w:pPr>
            <w:r>
              <w:rPr>
                <w:rFonts w:ascii="Arial" w:cs="Arial" w:eastAsia="Arial" w:hAnsi="Arial"/>
                <w:sz w:val="18"/>
                <w:szCs w:val="18"/>
                <w:color w:val="auto"/>
              </w:rPr>
              <w:t>Cash, cash</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900" w:type="dxa"/>
            <w:vAlign w:val="bottom"/>
          </w:tcPr>
          <w:p>
            <w:pPr>
              <w:ind w:left="20"/>
              <w:spacing w:after="0" w:line="202" w:lineRule="exact"/>
              <w:rPr>
                <w:sz w:val="20"/>
                <w:szCs w:val="20"/>
                <w:color w:val="auto"/>
              </w:rPr>
            </w:pPr>
            <w:r>
              <w:rPr>
                <w:rFonts w:ascii="Arial" w:cs="Arial" w:eastAsia="Arial" w:hAnsi="Arial"/>
                <w:sz w:val="18"/>
                <w:szCs w:val="18"/>
                <w:color w:val="auto"/>
              </w:rPr>
              <w:t>equivalents, and</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7,690</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right"/>
              <w:ind w:right="10"/>
              <w:spacing w:after="0"/>
              <w:rPr>
                <w:sz w:val="20"/>
                <w:szCs w:val="20"/>
                <w:color w:val="auto"/>
              </w:rPr>
            </w:pPr>
            <w:r>
              <w:rPr>
                <w:rFonts w:ascii="Arial" w:cs="Arial" w:eastAsia="Arial" w:hAnsi="Arial"/>
                <w:sz w:val="18"/>
                <w:szCs w:val="18"/>
                <w:color w:val="auto"/>
              </w:rPr>
              <w:t>7,279</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900" w:type="dxa"/>
            <w:vAlign w:val="bottom"/>
          </w:tcPr>
          <w:p>
            <w:pPr>
              <w:ind w:left="20"/>
              <w:spacing w:after="0" w:line="203" w:lineRule="exact"/>
              <w:rPr>
                <w:sz w:val="20"/>
                <w:szCs w:val="20"/>
                <w:color w:val="auto"/>
              </w:rPr>
            </w:pPr>
            <w:r>
              <w:rPr>
                <w:rFonts w:ascii="Arial" w:cs="Arial" w:eastAsia="Arial" w:hAnsi="Arial"/>
                <w:sz w:val="18"/>
                <w:szCs w:val="18"/>
                <w:color w:val="auto"/>
              </w:rPr>
              <w:t>restricted cash</w:t>
            </w:r>
          </w:p>
        </w:tc>
        <w:tc>
          <w:tcPr>
            <w:tcW w:w="140" w:type="dxa"/>
            <w:vAlign w:val="bottom"/>
            <w:tcBorders>
              <w:bottom w:val="single" w:sz="8" w:color="auto"/>
            </w:tcBorders>
            <w:vMerge w:val="continue"/>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240" w:hanging="232"/>
        <w:spacing w:after="0"/>
        <w:tabs>
          <w:tab w:leader="none" w:pos="240" w:val="left"/>
        </w:tabs>
        <w:numPr>
          <w:ilvl w:val="0"/>
          <w:numId w:val="26"/>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The maturities of long-term marketable securities range from one to four years.</w:t>
      </w:r>
    </w:p>
    <w:p>
      <w:pPr>
        <w:ind w:left="240" w:hanging="232"/>
        <w:spacing w:after="0" w:line="196" w:lineRule="auto"/>
        <w:tabs>
          <w:tab w:leader="none" w:pos="240" w:val="left"/>
        </w:tabs>
        <w:numPr>
          <w:ilvl w:val="0"/>
          <w:numId w:val="26"/>
        </w:numPr>
        <w:rPr>
          <w:rFonts w:ascii="Arial" w:cs="Arial" w:eastAsia="Arial" w:hAnsi="Arial"/>
          <w:sz w:val="23"/>
          <w:szCs w:val="23"/>
          <w:color w:val="auto"/>
          <w:vertAlign w:val="superscript"/>
        </w:rPr>
      </w:pPr>
      <w:r>
        <w:rPr>
          <w:rFonts w:ascii="Arial" w:cs="Arial" w:eastAsia="Arial" w:hAnsi="Arial"/>
          <w:sz w:val="18"/>
          <w:szCs w:val="18"/>
          <w:i w:val="1"/>
          <w:iCs w:val="1"/>
          <w:color w:val="auto"/>
        </w:rPr>
        <w:t>The fair value of Level 1 securities is measured based on quoted prices in active markets for identical assets.</w:t>
      </w:r>
    </w:p>
    <w:p>
      <w:pPr>
        <w:ind w:left="260" w:right="260" w:hanging="252"/>
        <w:spacing w:after="0" w:line="237" w:lineRule="auto"/>
        <w:tabs>
          <w:tab w:leader="none" w:pos="254" w:val="left"/>
        </w:tabs>
        <w:numPr>
          <w:ilvl w:val="0"/>
          <w:numId w:val="26"/>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The fair value of Level 2 securities is measured using information obtained from pricing services, which obtain quoted market prices for similar instruments, non-binding market consensus prices that are corroborated by observable market data, or various other methodologies, to determine the appropriate value at the measurement date. We perform supplemental analysis to validate information obtained from these pricing services. No adjustments were made to the fair values indicated by such pricing information as of September 3, 2020 or August 29, 2019.</w:t>
      </w:r>
    </w:p>
    <w:p>
      <w:pPr>
        <w:spacing w:after="0" w:line="1" w:lineRule="exact"/>
        <w:rPr>
          <w:rFonts w:ascii="Arial" w:cs="Arial" w:eastAsia="Arial" w:hAnsi="Arial"/>
          <w:sz w:val="23"/>
          <w:szCs w:val="23"/>
          <w:i w:val="1"/>
          <w:iCs w:val="1"/>
          <w:color w:val="auto"/>
          <w:vertAlign w:val="superscript"/>
        </w:rPr>
      </w:pPr>
    </w:p>
    <w:p>
      <w:pPr>
        <w:jc w:val="both"/>
        <w:ind w:left="260" w:right="580" w:hanging="252"/>
        <w:spacing w:after="0" w:line="229" w:lineRule="auto"/>
        <w:tabs>
          <w:tab w:leader="none" w:pos="254" w:val="left"/>
        </w:tabs>
        <w:numPr>
          <w:ilvl w:val="0"/>
          <w:numId w:val="26"/>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Restricted cash is included in other noncurrent assets and primarily relates to certain government incentives received prior to being earned and for which restrictions lapse upon achieving certain performance conditions. Restricted cash as of August 29, 2019 also included amounts related to the corporate reorganization proceedings of MMJ.</w:t>
      </w:r>
    </w:p>
    <w:p>
      <w:pPr>
        <w:spacing w:after="0" w:line="244"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Gross realized gains and losses from sales of available-for-sale securities were not significant for any period presented. As of September 3, 2020, there were no available-for-sale securities that had been in a loss position for longer than 12 months.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Receivables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30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As of</w:t>
            </w:r>
          </w:p>
        </w:tc>
        <w:tc>
          <w:tcPr>
            <w:tcW w:w="320" w:type="dxa"/>
            <w:vAlign w:val="bottom"/>
            <w:tcBorders>
              <w:bottom w:val="single" w:sz="8" w:color="0090DA"/>
            </w:tcBorders>
          </w:tcPr>
          <w:p>
            <w:pPr>
              <w:spacing w:after="0"/>
              <w:rPr>
                <w:sz w:val="21"/>
                <w:szCs w:val="21"/>
                <w:color w:val="auto"/>
              </w:rPr>
            </w:pPr>
          </w:p>
        </w:tc>
        <w:tc>
          <w:tcPr>
            <w:tcW w:w="1120" w:type="dxa"/>
            <w:vAlign w:val="bottom"/>
            <w:tcBorders>
              <w:bottom w:val="single" w:sz="8" w:color="0090DA"/>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360" w:type="dxa"/>
            <w:vAlign w:val="bottom"/>
            <w:tcBorders>
              <w:bottom w:val="single" w:sz="8" w:color="0090DA"/>
            </w:tcBorders>
          </w:tcPr>
          <w:p>
            <w:pPr>
              <w:spacing w:after="0"/>
              <w:rPr>
                <w:sz w:val="21"/>
                <w:szCs w:val="21"/>
                <w:color w:val="auto"/>
              </w:rPr>
            </w:pPr>
          </w:p>
        </w:tc>
        <w:tc>
          <w:tcPr>
            <w:tcW w:w="1140" w:type="dxa"/>
            <w:vAlign w:val="bottom"/>
            <w:tcBorders>
              <w:bottom w:val="single" w:sz="8" w:color="0090DA"/>
            </w:tcBorders>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41"/>
        </w:trPr>
        <w:tc>
          <w:tcPr>
            <w:tcW w:w="83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56"/>
        </w:trPr>
        <w:tc>
          <w:tcPr>
            <w:tcW w:w="8300" w:type="dxa"/>
            <w:vAlign w:val="bottom"/>
            <w:shd w:val="clear" w:color="auto" w:fill="D1D2D4"/>
          </w:tcPr>
          <w:p>
            <w:pPr>
              <w:ind w:left="20"/>
              <w:spacing w:after="0"/>
              <w:rPr>
                <w:sz w:val="20"/>
                <w:szCs w:val="20"/>
                <w:color w:val="auto"/>
              </w:rPr>
            </w:pPr>
            <w:r>
              <w:rPr>
                <w:rFonts w:ascii="Arial" w:cs="Arial" w:eastAsia="Arial" w:hAnsi="Arial"/>
                <w:sz w:val="18"/>
                <w:szCs w:val="18"/>
                <w:color w:val="auto"/>
              </w:rPr>
              <w:t>Trade receivables</w:t>
            </w:r>
          </w:p>
        </w:tc>
        <w:tc>
          <w:tcPr>
            <w:tcW w:w="32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3,494</w:t>
            </w:r>
          </w:p>
        </w:tc>
        <w:tc>
          <w:tcPr>
            <w:tcW w:w="36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2,778</w:t>
            </w:r>
          </w:p>
        </w:tc>
      </w:tr>
      <w:tr>
        <w:trPr>
          <w:trHeight w:val="250"/>
        </w:trPr>
        <w:tc>
          <w:tcPr>
            <w:tcW w:w="8300" w:type="dxa"/>
            <w:vAlign w:val="bottom"/>
          </w:tcPr>
          <w:p>
            <w:pPr>
              <w:ind w:left="20"/>
              <w:spacing w:after="0"/>
              <w:rPr>
                <w:sz w:val="20"/>
                <w:szCs w:val="20"/>
                <w:color w:val="auto"/>
              </w:rPr>
            </w:pPr>
            <w:r>
              <w:rPr>
                <w:rFonts w:ascii="Arial" w:cs="Arial" w:eastAsia="Arial" w:hAnsi="Arial"/>
                <w:sz w:val="18"/>
                <w:szCs w:val="18"/>
                <w:color w:val="auto"/>
              </w:rPr>
              <w:t>Income and other taxes</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232</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242</w:t>
            </w:r>
          </w:p>
        </w:tc>
      </w:tr>
      <w:tr>
        <w:trPr>
          <w:trHeight w:val="257"/>
        </w:trPr>
        <w:tc>
          <w:tcPr>
            <w:tcW w:w="830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D1D2D4"/>
          </w:tcPr>
          <w:p>
            <w:pPr>
              <w:spacing w:after="0"/>
              <w:rPr>
                <w:sz w:val="22"/>
                <w:szCs w:val="22"/>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186</w:t>
            </w:r>
          </w:p>
        </w:tc>
        <w:tc>
          <w:tcPr>
            <w:tcW w:w="360" w:type="dxa"/>
            <w:vAlign w:val="bottom"/>
            <w:tcBorders>
              <w:bottom w:val="single" w:sz="8" w:color="auto"/>
            </w:tcBorders>
            <w:shd w:val="clear" w:color="auto" w:fill="D1D2D4"/>
          </w:tcPr>
          <w:p>
            <w:pPr>
              <w:spacing w:after="0"/>
              <w:rPr>
                <w:sz w:val="22"/>
                <w:szCs w:val="22"/>
                <w:color w:val="auto"/>
              </w:rPr>
            </w:pPr>
          </w:p>
        </w:tc>
        <w:tc>
          <w:tcPr>
            <w:tcW w:w="114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175</w:t>
            </w:r>
          </w:p>
        </w:tc>
      </w:tr>
      <w:tr>
        <w:trPr>
          <w:trHeight w:val="250"/>
        </w:trPr>
        <w:tc>
          <w:tcPr>
            <w:tcW w:w="830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3,912</w:t>
            </w: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3,195</w:t>
            </w:r>
          </w:p>
        </w:tc>
      </w:tr>
      <w:tr>
        <w:trPr>
          <w:trHeight w:val="27"/>
        </w:trPr>
        <w:tc>
          <w:tcPr>
            <w:tcW w:w="83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9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57 </w:t>
      </w:r>
      <w:r>
        <w:rPr>
          <w:rFonts w:ascii="Arial" w:cs="Arial" w:eastAsia="Arial" w:hAnsi="Arial"/>
          <w:sz w:val="21"/>
          <w:szCs w:val="21"/>
          <w:b w:val="1"/>
          <w:bCs w:val="1"/>
          <w:color w:val="0090DA"/>
        </w:rPr>
        <w:t>|</w:t>
      </w:r>
      <w:r>
        <w:rPr>
          <w:rFonts w:ascii="Arial" w:cs="Arial" w:eastAsia="Arial" w:hAnsi="Arial"/>
          <w:sz w:val="18"/>
          <w:szCs w:val="18"/>
          <w:color w:val="auto"/>
        </w:rPr>
        <w:t xml:space="preserve"> 2020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40"/>
          <w:szCs w:val="40"/>
          <w:b w:val="1"/>
          <w:bCs w:val="1"/>
          <w:color w:val="auto"/>
        </w:rPr>
        <w:t>Inventories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30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As of</w:t>
            </w:r>
          </w:p>
        </w:tc>
        <w:tc>
          <w:tcPr>
            <w:tcW w:w="320" w:type="dxa"/>
            <w:vAlign w:val="bottom"/>
            <w:tcBorders>
              <w:bottom w:val="single" w:sz="8" w:color="0090DA"/>
            </w:tcBorders>
          </w:tcPr>
          <w:p>
            <w:pPr>
              <w:spacing w:after="0"/>
              <w:rPr>
                <w:sz w:val="21"/>
                <w:szCs w:val="21"/>
                <w:color w:val="auto"/>
              </w:rPr>
            </w:pPr>
          </w:p>
        </w:tc>
        <w:tc>
          <w:tcPr>
            <w:tcW w:w="1120" w:type="dxa"/>
            <w:vAlign w:val="bottom"/>
            <w:tcBorders>
              <w:bottom w:val="single" w:sz="8" w:color="0090DA"/>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360" w:type="dxa"/>
            <w:vAlign w:val="bottom"/>
            <w:tcBorders>
              <w:bottom w:val="single" w:sz="8" w:color="0090DA"/>
            </w:tcBorders>
          </w:tcPr>
          <w:p>
            <w:pPr>
              <w:spacing w:after="0"/>
              <w:rPr>
                <w:sz w:val="21"/>
                <w:szCs w:val="21"/>
                <w:color w:val="auto"/>
              </w:rPr>
            </w:pPr>
          </w:p>
        </w:tc>
        <w:tc>
          <w:tcPr>
            <w:tcW w:w="1140" w:type="dxa"/>
            <w:vAlign w:val="bottom"/>
            <w:tcBorders>
              <w:bottom w:val="single" w:sz="8" w:color="0090DA"/>
            </w:tcBorders>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40"/>
        </w:trPr>
        <w:tc>
          <w:tcPr>
            <w:tcW w:w="83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57"/>
        </w:trPr>
        <w:tc>
          <w:tcPr>
            <w:tcW w:w="8300" w:type="dxa"/>
            <w:vAlign w:val="bottom"/>
            <w:shd w:val="clear" w:color="auto" w:fill="D1D2D4"/>
          </w:tcPr>
          <w:p>
            <w:pPr>
              <w:ind w:left="20"/>
              <w:spacing w:after="0"/>
              <w:rPr>
                <w:sz w:val="20"/>
                <w:szCs w:val="20"/>
                <w:color w:val="auto"/>
              </w:rPr>
            </w:pPr>
            <w:r>
              <w:rPr>
                <w:rFonts w:ascii="Arial" w:cs="Arial" w:eastAsia="Arial" w:hAnsi="Arial"/>
                <w:sz w:val="18"/>
                <w:szCs w:val="18"/>
                <w:color w:val="auto"/>
              </w:rPr>
              <w:t>Finished goods</w:t>
            </w:r>
          </w:p>
        </w:tc>
        <w:tc>
          <w:tcPr>
            <w:tcW w:w="32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1,001</w:t>
            </w:r>
          </w:p>
        </w:tc>
        <w:tc>
          <w:tcPr>
            <w:tcW w:w="36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757</w:t>
            </w:r>
          </w:p>
        </w:tc>
      </w:tr>
      <w:tr>
        <w:trPr>
          <w:trHeight w:val="250"/>
        </w:trPr>
        <w:tc>
          <w:tcPr>
            <w:tcW w:w="830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3,854</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3,825</w:t>
            </w:r>
          </w:p>
        </w:tc>
      </w:tr>
      <w:tr>
        <w:trPr>
          <w:trHeight w:val="257"/>
        </w:trPr>
        <w:tc>
          <w:tcPr>
            <w:tcW w:w="8300" w:type="dxa"/>
            <w:vAlign w:val="bottom"/>
            <w:shd w:val="clear" w:color="auto" w:fill="D1D2D4"/>
          </w:tcPr>
          <w:p>
            <w:pPr>
              <w:ind w:left="20"/>
              <w:spacing w:after="0"/>
              <w:rPr>
                <w:sz w:val="20"/>
                <w:szCs w:val="20"/>
                <w:color w:val="auto"/>
              </w:rPr>
            </w:pPr>
            <w:r>
              <w:rPr>
                <w:rFonts w:ascii="Arial" w:cs="Arial" w:eastAsia="Arial" w:hAnsi="Arial"/>
                <w:sz w:val="18"/>
                <w:szCs w:val="18"/>
                <w:color w:val="auto"/>
              </w:rPr>
              <w:t>Raw materials and supplies</w:t>
            </w:r>
          </w:p>
        </w:tc>
        <w:tc>
          <w:tcPr>
            <w:tcW w:w="320" w:type="dxa"/>
            <w:vAlign w:val="bottom"/>
            <w:tcBorders>
              <w:bottom w:val="single" w:sz="8" w:color="auto"/>
            </w:tcBorders>
            <w:shd w:val="clear" w:color="auto" w:fill="D1D2D4"/>
          </w:tcPr>
          <w:p>
            <w:pPr>
              <w:spacing w:after="0"/>
              <w:rPr>
                <w:sz w:val="22"/>
                <w:szCs w:val="22"/>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752</w:t>
            </w:r>
          </w:p>
        </w:tc>
        <w:tc>
          <w:tcPr>
            <w:tcW w:w="360" w:type="dxa"/>
            <w:vAlign w:val="bottom"/>
            <w:tcBorders>
              <w:bottom w:val="single" w:sz="8" w:color="auto"/>
            </w:tcBorders>
            <w:shd w:val="clear" w:color="auto" w:fill="D1D2D4"/>
          </w:tcPr>
          <w:p>
            <w:pPr>
              <w:spacing w:after="0"/>
              <w:rPr>
                <w:sz w:val="22"/>
                <w:szCs w:val="22"/>
                <w:color w:val="auto"/>
              </w:rPr>
            </w:pPr>
          </w:p>
        </w:tc>
        <w:tc>
          <w:tcPr>
            <w:tcW w:w="114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536</w:t>
            </w:r>
          </w:p>
        </w:tc>
      </w:tr>
      <w:tr>
        <w:trPr>
          <w:trHeight w:val="250"/>
        </w:trPr>
        <w:tc>
          <w:tcPr>
            <w:tcW w:w="830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5,607</w:t>
            </w: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5,118</w:t>
            </w:r>
          </w:p>
        </w:tc>
      </w:tr>
      <w:tr>
        <w:trPr>
          <w:trHeight w:val="27"/>
        </w:trPr>
        <w:tc>
          <w:tcPr>
            <w:tcW w:w="83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Property, Plant, and Equipment</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44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As of</w:t>
            </w:r>
          </w:p>
        </w:tc>
        <w:tc>
          <w:tcPr>
            <w:tcW w:w="300" w:type="dxa"/>
            <w:vAlign w:val="bottom"/>
            <w:tcBorders>
              <w:bottom w:val="single" w:sz="8" w:color="0090DA"/>
            </w:tcBorders>
          </w:tcPr>
          <w:p>
            <w:pPr>
              <w:spacing w:after="0"/>
              <w:rPr>
                <w:sz w:val="21"/>
                <w:szCs w:val="21"/>
                <w:color w:val="auto"/>
              </w:rPr>
            </w:pPr>
          </w:p>
        </w:tc>
        <w:tc>
          <w:tcPr>
            <w:tcW w:w="1080" w:type="dxa"/>
            <w:vAlign w:val="bottom"/>
            <w:tcBorders>
              <w:bottom w:val="single" w:sz="8" w:color="0090DA"/>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0090DA"/>
            </w:tcBorders>
          </w:tcPr>
          <w:p>
            <w:pPr>
              <w:spacing w:after="0"/>
              <w:rPr>
                <w:sz w:val="21"/>
                <w:szCs w:val="21"/>
                <w:color w:val="auto"/>
              </w:rPr>
            </w:pPr>
          </w:p>
        </w:tc>
        <w:tc>
          <w:tcPr>
            <w:tcW w:w="1100" w:type="dxa"/>
            <w:vAlign w:val="bottom"/>
            <w:tcBorders>
              <w:bottom w:val="single" w:sz="8" w:color="0090DA"/>
            </w:tcBorders>
          </w:tcPr>
          <w:p>
            <w:pPr>
              <w:jc w:val="right"/>
              <w:ind w:right="410"/>
              <w:spacing w:after="0"/>
              <w:rPr>
                <w:sz w:val="20"/>
                <w:szCs w:val="20"/>
                <w:color w:val="auto"/>
              </w:rPr>
            </w:pPr>
            <w:r>
              <w:rPr>
                <w:rFonts w:ascii="Arial" w:cs="Arial" w:eastAsia="Arial" w:hAnsi="Arial"/>
                <w:sz w:val="18"/>
                <w:szCs w:val="18"/>
                <w:b w:val="1"/>
                <w:bCs w:val="1"/>
                <w:color w:val="auto"/>
              </w:rPr>
              <w:t>2019</w:t>
            </w:r>
          </w:p>
        </w:tc>
      </w:tr>
      <w:tr>
        <w:trPr>
          <w:trHeight w:val="41"/>
        </w:trPr>
        <w:tc>
          <w:tcPr>
            <w:tcW w:w="8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56"/>
        </w:trPr>
        <w:tc>
          <w:tcPr>
            <w:tcW w:w="8440" w:type="dxa"/>
            <w:vAlign w:val="bottom"/>
            <w:shd w:val="clear" w:color="auto" w:fill="D1D2D4"/>
          </w:tcPr>
          <w:p>
            <w:pPr>
              <w:ind w:left="20"/>
              <w:spacing w:after="0"/>
              <w:rPr>
                <w:sz w:val="20"/>
                <w:szCs w:val="20"/>
                <w:color w:val="auto"/>
              </w:rPr>
            </w:pPr>
            <w:r>
              <w:rPr>
                <w:rFonts w:ascii="Arial" w:cs="Arial" w:eastAsia="Arial" w:hAnsi="Arial"/>
                <w:sz w:val="18"/>
                <w:szCs w:val="18"/>
                <w:color w:val="auto"/>
              </w:rPr>
              <w:t>Land</w:t>
            </w:r>
          </w:p>
        </w:tc>
        <w:tc>
          <w:tcPr>
            <w:tcW w:w="300" w:type="dxa"/>
            <w:vAlign w:val="bottom"/>
            <w:shd w:val="clear" w:color="auto" w:fill="D1D2D4"/>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352</w:t>
            </w:r>
          </w:p>
        </w:tc>
        <w:tc>
          <w:tcPr>
            <w:tcW w:w="320" w:type="dxa"/>
            <w:vAlign w:val="bottom"/>
            <w:shd w:val="clear" w:color="auto" w:fill="D1D2D4"/>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352</w:t>
            </w:r>
          </w:p>
        </w:tc>
      </w:tr>
      <w:tr>
        <w:trPr>
          <w:trHeight w:val="250"/>
        </w:trPr>
        <w:tc>
          <w:tcPr>
            <w:tcW w:w="8440" w:type="dxa"/>
            <w:vAlign w:val="bottom"/>
          </w:tcPr>
          <w:p>
            <w:pPr>
              <w:ind w:left="20"/>
              <w:spacing w:after="0"/>
              <w:rPr>
                <w:sz w:val="20"/>
                <w:szCs w:val="20"/>
                <w:color w:val="auto"/>
              </w:rPr>
            </w:pPr>
            <w:r>
              <w:rPr>
                <w:rFonts w:ascii="Arial" w:cs="Arial" w:eastAsia="Arial" w:hAnsi="Arial"/>
                <w:sz w:val="18"/>
                <w:szCs w:val="18"/>
                <w:color w:val="auto"/>
              </w:rPr>
              <w:t>Buildings</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13,981</w:t>
            </w: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10,931</w:t>
            </w:r>
          </w:p>
        </w:tc>
      </w:tr>
      <w:tr>
        <w:trPr>
          <w:trHeight w:val="263"/>
        </w:trPr>
        <w:tc>
          <w:tcPr>
            <w:tcW w:w="8440" w:type="dxa"/>
            <w:vAlign w:val="bottom"/>
            <w:shd w:val="clear" w:color="auto" w:fill="D1D2D4"/>
          </w:tcPr>
          <w:p>
            <w:pPr>
              <w:ind w:left="20"/>
              <w:spacing w:after="0" w:line="263" w:lineRule="exact"/>
              <w:rPr>
                <w:sz w:val="20"/>
                <w:szCs w:val="20"/>
                <w:color w:val="auto"/>
              </w:rPr>
            </w:pPr>
            <w:r>
              <w:rPr>
                <w:rFonts w:ascii="Arial" w:cs="Arial" w:eastAsia="Arial" w:hAnsi="Arial"/>
                <w:sz w:val="18"/>
                <w:szCs w:val="18"/>
                <w:color w:val="auto"/>
              </w:rPr>
              <w:t>Equipment</w:t>
            </w:r>
            <w:r>
              <w:rPr>
                <w:rFonts w:ascii="Arial" w:cs="Arial" w:eastAsia="Arial" w:hAnsi="Arial"/>
                <w:sz w:val="23"/>
                <w:szCs w:val="23"/>
                <w:color w:val="auto"/>
                <w:vertAlign w:val="superscript"/>
              </w:rPr>
              <w:t>(1)</w:t>
            </w:r>
          </w:p>
        </w:tc>
        <w:tc>
          <w:tcPr>
            <w:tcW w:w="300" w:type="dxa"/>
            <w:vAlign w:val="bottom"/>
            <w:shd w:val="clear" w:color="auto" w:fill="D1D2D4"/>
          </w:tcPr>
          <w:p>
            <w:pPr>
              <w:spacing w:after="0"/>
              <w:rPr>
                <w:sz w:val="22"/>
                <w:szCs w:val="22"/>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48,525</w:t>
            </w:r>
          </w:p>
        </w:tc>
        <w:tc>
          <w:tcPr>
            <w:tcW w:w="320" w:type="dxa"/>
            <w:vAlign w:val="bottom"/>
            <w:shd w:val="clear" w:color="auto" w:fill="D1D2D4"/>
          </w:tcPr>
          <w:p>
            <w:pPr>
              <w:spacing w:after="0"/>
              <w:rPr>
                <w:sz w:val="22"/>
                <w:szCs w:val="22"/>
                <w:color w:val="auto"/>
              </w:rPr>
            </w:pPr>
          </w:p>
        </w:tc>
        <w:tc>
          <w:tcPr>
            <w:tcW w:w="110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44,051</w:t>
            </w:r>
          </w:p>
        </w:tc>
      </w:tr>
      <w:tr>
        <w:trPr>
          <w:trHeight w:val="257"/>
        </w:trPr>
        <w:tc>
          <w:tcPr>
            <w:tcW w:w="8440" w:type="dxa"/>
            <w:vAlign w:val="bottom"/>
          </w:tcPr>
          <w:p>
            <w:pPr>
              <w:ind w:left="20"/>
              <w:spacing w:after="0" w:line="256" w:lineRule="exact"/>
              <w:rPr>
                <w:sz w:val="20"/>
                <w:szCs w:val="20"/>
                <w:color w:val="auto"/>
              </w:rPr>
            </w:pPr>
            <w:r>
              <w:rPr>
                <w:rFonts w:ascii="Arial" w:cs="Arial" w:eastAsia="Arial" w:hAnsi="Arial"/>
                <w:sz w:val="18"/>
                <w:szCs w:val="18"/>
                <w:color w:val="auto"/>
              </w:rPr>
              <w:t>Construction in progress</w:t>
            </w:r>
            <w:r>
              <w:rPr>
                <w:rFonts w:ascii="Arial" w:cs="Arial" w:eastAsia="Arial" w:hAnsi="Arial"/>
                <w:sz w:val="23"/>
                <w:szCs w:val="23"/>
                <w:color w:val="auto"/>
                <w:vertAlign w:val="superscript"/>
              </w:rPr>
              <w:t>(2)</w:t>
            </w:r>
          </w:p>
        </w:tc>
        <w:tc>
          <w:tcPr>
            <w:tcW w:w="3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1,600</w:t>
            </w:r>
          </w:p>
        </w:tc>
        <w:tc>
          <w:tcPr>
            <w:tcW w:w="320" w:type="dxa"/>
            <w:vAlign w:val="bottom"/>
          </w:tcPr>
          <w:p>
            <w:pPr>
              <w:spacing w:after="0"/>
              <w:rPr>
                <w:sz w:val="22"/>
                <w:szCs w:val="22"/>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1,700</w:t>
            </w:r>
          </w:p>
        </w:tc>
      </w:tr>
      <w:tr>
        <w:trPr>
          <w:trHeight w:val="250"/>
        </w:trPr>
        <w:tc>
          <w:tcPr>
            <w:tcW w:w="8440" w:type="dxa"/>
            <w:vAlign w:val="bottom"/>
            <w:shd w:val="clear" w:color="auto" w:fill="D1D2D4"/>
          </w:tcPr>
          <w:p>
            <w:pPr>
              <w:ind w:left="20"/>
              <w:spacing w:after="0"/>
              <w:rPr>
                <w:sz w:val="20"/>
                <w:szCs w:val="20"/>
                <w:color w:val="auto"/>
              </w:rPr>
            </w:pPr>
            <w:r>
              <w:rPr>
                <w:rFonts w:ascii="Arial" w:cs="Arial" w:eastAsia="Arial" w:hAnsi="Arial"/>
                <w:sz w:val="18"/>
                <w:szCs w:val="18"/>
                <w:color w:val="auto"/>
              </w:rPr>
              <w:t>Software</w:t>
            </w:r>
          </w:p>
        </w:tc>
        <w:tc>
          <w:tcPr>
            <w:tcW w:w="300" w:type="dxa"/>
            <w:vAlign w:val="bottom"/>
            <w:tcBorders>
              <w:bottom w:val="single" w:sz="8" w:color="auto"/>
            </w:tcBorders>
            <w:shd w:val="clear" w:color="auto" w:fill="D1D2D4"/>
          </w:tcPr>
          <w:p>
            <w:pPr>
              <w:spacing w:after="0"/>
              <w:rPr>
                <w:sz w:val="21"/>
                <w:szCs w:val="21"/>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873</w:t>
            </w:r>
          </w:p>
        </w:tc>
        <w:tc>
          <w:tcPr>
            <w:tcW w:w="320" w:type="dxa"/>
            <w:vAlign w:val="bottom"/>
            <w:tcBorders>
              <w:bottom w:val="single" w:sz="8" w:color="auto"/>
            </w:tcBorders>
            <w:shd w:val="clear" w:color="auto" w:fill="D1D2D4"/>
          </w:tcPr>
          <w:p>
            <w:pPr>
              <w:spacing w:after="0"/>
              <w:rPr>
                <w:sz w:val="21"/>
                <w:szCs w:val="21"/>
                <w:color w:val="auto"/>
              </w:rPr>
            </w:pPr>
          </w:p>
        </w:tc>
        <w:tc>
          <w:tcPr>
            <w:tcW w:w="110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790</w:t>
            </w:r>
          </w:p>
        </w:tc>
      </w:tr>
      <w:tr>
        <w:trPr>
          <w:trHeight w:val="250"/>
        </w:trPr>
        <w:tc>
          <w:tcPr>
            <w:tcW w:w="8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65,331</w:t>
            </w: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57,824</w:t>
            </w:r>
          </w:p>
        </w:tc>
      </w:tr>
      <w:tr>
        <w:trPr>
          <w:trHeight w:val="257"/>
        </w:trPr>
        <w:tc>
          <w:tcPr>
            <w:tcW w:w="8440" w:type="dxa"/>
            <w:vAlign w:val="bottom"/>
            <w:shd w:val="clear" w:color="auto" w:fill="D1D2D4"/>
          </w:tcPr>
          <w:p>
            <w:pPr>
              <w:ind w:left="20"/>
              <w:spacing w:after="0"/>
              <w:rPr>
                <w:sz w:val="20"/>
                <w:szCs w:val="20"/>
                <w:color w:val="auto"/>
              </w:rPr>
            </w:pPr>
            <w:r>
              <w:rPr>
                <w:rFonts w:ascii="Arial" w:cs="Arial" w:eastAsia="Arial" w:hAnsi="Arial"/>
                <w:sz w:val="18"/>
                <w:szCs w:val="18"/>
                <w:color w:val="auto"/>
              </w:rPr>
              <w:t>Accumulated depreciation</w:t>
            </w:r>
          </w:p>
        </w:tc>
        <w:tc>
          <w:tcPr>
            <w:tcW w:w="300" w:type="dxa"/>
            <w:vAlign w:val="bottom"/>
            <w:tcBorders>
              <w:bottom w:val="single" w:sz="8" w:color="auto"/>
            </w:tcBorders>
            <w:shd w:val="clear" w:color="auto" w:fill="D1D2D4"/>
          </w:tcPr>
          <w:p>
            <w:pPr>
              <w:spacing w:after="0"/>
              <w:rPr>
                <w:sz w:val="22"/>
                <w:szCs w:val="22"/>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(34,300)</w:t>
            </w:r>
          </w:p>
        </w:tc>
        <w:tc>
          <w:tcPr>
            <w:tcW w:w="320" w:type="dxa"/>
            <w:vAlign w:val="bottom"/>
            <w:tcBorders>
              <w:bottom w:val="single" w:sz="8" w:color="auto"/>
            </w:tcBorders>
            <w:shd w:val="clear" w:color="auto" w:fill="D1D2D4"/>
          </w:tcPr>
          <w:p>
            <w:pPr>
              <w:spacing w:after="0"/>
              <w:rPr>
                <w:sz w:val="22"/>
                <w:szCs w:val="22"/>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(29,584)</w:t>
            </w:r>
          </w:p>
        </w:tc>
      </w:tr>
      <w:tr>
        <w:trPr>
          <w:trHeight w:val="250"/>
        </w:trPr>
        <w:tc>
          <w:tcPr>
            <w:tcW w:w="844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31,031</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28,240</w:t>
            </w:r>
          </w:p>
        </w:tc>
      </w:tr>
      <w:tr>
        <w:trPr>
          <w:trHeight w:val="27"/>
        </w:trPr>
        <w:tc>
          <w:tcPr>
            <w:tcW w:w="8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89" w:lineRule="exact"/>
        <w:rPr>
          <w:sz w:val="20"/>
          <w:szCs w:val="20"/>
          <w:color w:val="auto"/>
        </w:rPr>
      </w:pPr>
    </w:p>
    <w:p>
      <w:pPr>
        <w:ind w:left="260" w:right="380" w:hanging="252"/>
        <w:spacing w:after="0" w:line="229" w:lineRule="auto"/>
        <w:tabs>
          <w:tab w:leader="none" w:pos="254" w:val="left"/>
        </w:tabs>
        <w:numPr>
          <w:ilvl w:val="0"/>
          <w:numId w:val="27"/>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Included costs related to equipment not placed into service of $1.63 billion as of September 3, 2020 and $2.33 billion as of August 29, 2019.</w:t>
      </w:r>
    </w:p>
    <w:p>
      <w:pPr>
        <w:ind w:left="240" w:hanging="232"/>
        <w:spacing w:after="0" w:line="196" w:lineRule="auto"/>
        <w:tabs>
          <w:tab w:leader="none" w:pos="240" w:val="left"/>
        </w:tabs>
        <w:numPr>
          <w:ilvl w:val="0"/>
          <w:numId w:val="27"/>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Included building-related construction, tool installation, and software costs for assets not placed into service.</w:t>
      </w:r>
    </w:p>
    <w:p>
      <w:pPr>
        <w:spacing w:after="0" w:line="243"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Depreciation expense was $5.57 billion, $ 5.34 billion, and $4.66 billion for 2020, 2019, and 2018, respectively. Interest capitalized as part of the cost of property, plant, and equipment was $77 million, $103 million, and $44 million for 2020, 2019, and 2018, respectively.</w:t>
      </w:r>
    </w:p>
    <w:p>
      <w:pPr>
        <w:spacing w:after="0" w:line="225"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We periodically assess the estimated useful lives of our property, plant, and equipment. Based on our assessment of planned technology node transitions, capital spending, and re -use rates, we revised the estimated useful lives of the existing equipment in our NAND wafer fabrication facilities and our research and development (“R&amp;D”) facilities from five years to seven years as of the beginning of the first quarter of 2020. This revision reduced our aggregate depreciation expense by approximately $675 million in 2020, of which approximately</w:t>
      </w:r>
    </w:p>
    <w:p>
      <w:pPr>
        <w:spacing w:after="0" w:line="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$165 million remained capitalized in inventory as of the end of 2020. After adjusting for the effect of the reduced amount of depreciation expense remaining in inventory, the revision in estimated useful lives benefited both operating income and net income by approximately $510 million and diluted earnings per share by approximately $0.45 for 2020.</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Intangible Assets and Goodwill</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280" w:type="dxa"/>
            <w:vAlign w:val="bottom"/>
          </w:tcPr>
          <w:p>
            <w:pPr>
              <w:spacing w:after="0"/>
              <w:rPr>
                <w:sz w:val="21"/>
                <w:szCs w:val="21"/>
                <w:color w:val="auto"/>
              </w:rPr>
            </w:pPr>
          </w:p>
        </w:tc>
        <w:tc>
          <w:tcPr>
            <w:tcW w:w="1060" w:type="dxa"/>
            <w:vAlign w:val="bottom"/>
            <w:tcBorders>
              <w:bottom w:val="single" w:sz="8" w:color="0090DA"/>
            </w:tcBorders>
          </w:tcPr>
          <w:p>
            <w:pPr>
              <w:spacing w:after="0"/>
              <w:rPr>
                <w:sz w:val="21"/>
                <w:szCs w:val="21"/>
                <w:color w:val="auto"/>
              </w:rPr>
            </w:pPr>
          </w:p>
        </w:tc>
        <w:tc>
          <w:tcPr>
            <w:tcW w:w="1860" w:type="dxa"/>
            <w:vAlign w:val="bottom"/>
            <w:tcBorders>
              <w:bottom w:val="single" w:sz="8" w:color="0090DA"/>
            </w:tcBorders>
            <w:gridSpan w:val="3"/>
          </w:tcPr>
          <w:p>
            <w:pPr>
              <w:jc w:val="right"/>
              <w:ind w:right="11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1"/>
                <w:szCs w:val="21"/>
                <w:color w:val="auto"/>
              </w:rPr>
            </w:pPr>
          </w:p>
        </w:tc>
        <w:tc>
          <w:tcPr>
            <w:tcW w:w="240" w:type="dxa"/>
            <w:vAlign w:val="bottom"/>
            <w:tcBorders>
              <w:bottom w:val="single" w:sz="8" w:color="0090DA"/>
            </w:tcBorders>
          </w:tcPr>
          <w:p>
            <w:pPr>
              <w:spacing w:after="0"/>
              <w:rPr>
                <w:sz w:val="21"/>
                <w:szCs w:val="21"/>
                <w:color w:val="auto"/>
              </w:rPr>
            </w:pPr>
          </w:p>
        </w:tc>
        <w:tc>
          <w:tcPr>
            <w:tcW w:w="2680" w:type="dxa"/>
            <w:vAlign w:val="bottom"/>
            <w:tcBorders>
              <w:bottom w:val="single" w:sz="8" w:color="0090DA"/>
            </w:tcBorders>
            <w:gridSpan w:val="3"/>
          </w:tcPr>
          <w:p>
            <w:pPr>
              <w:jc w:val="right"/>
              <w:ind w:right="1170"/>
              <w:spacing w:after="0"/>
              <w:rPr>
                <w:sz w:val="20"/>
                <w:szCs w:val="20"/>
                <w:color w:val="auto"/>
              </w:rPr>
            </w:pPr>
            <w:r>
              <w:rPr>
                <w:rFonts w:ascii="Arial" w:cs="Arial" w:eastAsia="Arial" w:hAnsi="Arial"/>
                <w:sz w:val="18"/>
                <w:szCs w:val="18"/>
                <w:b w:val="1"/>
                <w:bCs w:val="1"/>
                <w:color w:val="auto"/>
              </w:rPr>
              <w:t>2019</w:t>
            </w:r>
          </w:p>
        </w:tc>
      </w:tr>
      <w:tr>
        <w:trPr>
          <w:trHeight w:val="207"/>
        </w:trPr>
        <w:tc>
          <w:tcPr>
            <w:tcW w:w="5280" w:type="dxa"/>
            <w:vAlign w:val="bottom"/>
          </w:tcPr>
          <w:p>
            <w:pPr>
              <w:spacing w:after="0"/>
              <w:rPr>
                <w:sz w:val="17"/>
                <w:szCs w:val="17"/>
                <w:color w:val="auto"/>
              </w:rPr>
            </w:pPr>
          </w:p>
        </w:tc>
        <w:tc>
          <w:tcPr>
            <w:tcW w:w="1060" w:type="dxa"/>
            <w:vAlign w:val="bottom"/>
          </w:tcPr>
          <w:p>
            <w:pPr>
              <w:jc w:val="center"/>
              <w:ind w:left="290"/>
              <w:spacing w:after="0"/>
              <w:rPr>
                <w:sz w:val="20"/>
                <w:szCs w:val="20"/>
                <w:color w:val="auto"/>
              </w:rPr>
            </w:pPr>
            <w:r>
              <w:rPr>
                <w:rFonts w:ascii="Arial" w:cs="Arial" w:eastAsia="Arial" w:hAnsi="Arial"/>
                <w:sz w:val="18"/>
                <w:szCs w:val="18"/>
                <w:b w:val="1"/>
                <w:bCs w:val="1"/>
                <w:color w:val="auto"/>
                <w:w w:val="99"/>
              </w:rPr>
              <w:t>Gross</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ind w:left="20"/>
              <w:spacing w:after="0"/>
              <w:rPr>
                <w:sz w:val="20"/>
                <w:szCs w:val="20"/>
                <w:color w:val="auto"/>
              </w:rPr>
            </w:pPr>
            <w:r>
              <w:rPr>
                <w:rFonts w:ascii="Arial" w:cs="Arial" w:eastAsia="Arial" w:hAnsi="Arial"/>
                <w:sz w:val="18"/>
                <w:szCs w:val="18"/>
                <w:b w:val="1"/>
                <w:bCs w:val="1"/>
                <w:color w:val="auto"/>
              </w:rPr>
              <w:t>Accumulated</w:t>
            </w:r>
          </w:p>
        </w:tc>
        <w:tc>
          <w:tcPr>
            <w:tcW w:w="240" w:type="dxa"/>
            <w:vAlign w:val="bottom"/>
          </w:tcPr>
          <w:p>
            <w:pPr>
              <w:spacing w:after="0"/>
              <w:rPr>
                <w:sz w:val="17"/>
                <w:szCs w:val="17"/>
                <w:color w:val="auto"/>
              </w:rPr>
            </w:pPr>
          </w:p>
        </w:tc>
        <w:tc>
          <w:tcPr>
            <w:tcW w:w="1180" w:type="dxa"/>
            <w:vAlign w:val="bottom"/>
          </w:tcPr>
          <w:p>
            <w:pPr>
              <w:jc w:val="right"/>
              <w:ind w:right="350"/>
              <w:spacing w:after="0"/>
              <w:rPr>
                <w:sz w:val="20"/>
                <w:szCs w:val="20"/>
                <w:color w:val="auto"/>
              </w:rPr>
            </w:pPr>
            <w:r>
              <w:rPr>
                <w:rFonts w:ascii="Arial" w:cs="Arial" w:eastAsia="Arial" w:hAnsi="Arial"/>
                <w:sz w:val="18"/>
                <w:szCs w:val="18"/>
                <w:b w:val="1"/>
                <w:bCs w:val="1"/>
                <w:color w:val="auto"/>
              </w:rPr>
              <w:t>Gross</w:t>
            </w:r>
          </w:p>
        </w:tc>
        <w:tc>
          <w:tcPr>
            <w:tcW w:w="180" w:type="dxa"/>
            <w:vAlign w:val="bottom"/>
          </w:tcPr>
          <w:p>
            <w:pPr>
              <w:spacing w:after="0"/>
              <w:rPr>
                <w:sz w:val="17"/>
                <w:szCs w:val="17"/>
                <w:color w:val="auto"/>
              </w:rPr>
            </w:pPr>
          </w:p>
        </w:tc>
        <w:tc>
          <w:tcPr>
            <w:tcW w:w="1320" w:type="dxa"/>
            <w:vAlign w:val="bottom"/>
          </w:tcPr>
          <w:p>
            <w:pPr>
              <w:ind w:left="20"/>
              <w:spacing w:after="0"/>
              <w:rPr>
                <w:sz w:val="20"/>
                <w:szCs w:val="20"/>
                <w:color w:val="auto"/>
              </w:rPr>
            </w:pPr>
            <w:r>
              <w:rPr>
                <w:rFonts w:ascii="Arial" w:cs="Arial" w:eastAsia="Arial" w:hAnsi="Arial"/>
                <w:sz w:val="18"/>
                <w:szCs w:val="18"/>
                <w:b w:val="1"/>
                <w:bCs w:val="1"/>
                <w:color w:val="auto"/>
              </w:rPr>
              <w:t>Accumulated</w:t>
            </w:r>
          </w:p>
        </w:tc>
      </w:tr>
      <w:tr>
        <w:trPr>
          <w:trHeight w:val="246"/>
        </w:trPr>
        <w:tc>
          <w:tcPr>
            <w:tcW w:w="5280" w:type="dxa"/>
            <w:vAlign w:val="bottom"/>
          </w:tcPr>
          <w:p>
            <w:pPr>
              <w:ind w:left="20"/>
              <w:spacing w:after="0"/>
              <w:rPr>
                <w:sz w:val="20"/>
                <w:szCs w:val="20"/>
                <w:color w:val="auto"/>
              </w:rPr>
            </w:pPr>
            <w:r>
              <w:rPr>
                <w:rFonts w:ascii="Arial" w:cs="Arial" w:eastAsia="Arial" w:hAnsi="Arial"/>
                <w:sz w:val="18"/>
                <w:szCs w:val="18"/>
                <w:b w:val="1"/>
                <w:bCs w:val="1"/>
                <w:color w:val="auto"/>
              </w:rPr>
              <w:t>As of</w:t>
            </w:r>
          </w:p>
        </w:tc>
        <w:tc>
          <w:tcPr>
            <w:tcW w:w="1060" w:type="dxa"/>
            <w:vAlign w:val="bottom"/>
          </w:tcPr>
          <w:p>
            <w:pPr>
              <w:jc w:val="center"/>
              <w:ind w:left="290"/>
              <w:spacing w:after="0"/>
              <w:rPr>
                <w:sz w:val="20"/>
                <w:szCs w:val="20"/>
                <w:color w:val="auto"/>
              </w:rPr>
            </w:pPr>
            <w:r>
              <w:rPr>
                <w:rFonts w:ascii="Arial" w:cs="Arial" w:eastAsia="Arial" w:hAnsi="Arial"/>
                <w:sz w:val="18"/>
                <w:szCs w:val="18"/>
                <w:b w:val="1"/>
                <w:bCs w:val="1"/>
                <w:color w:val="auto"/>
                <w:w w:val="99"/>
              </w:rPr>
              <w:t>Amount</w:t>
            </w: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Amortization</w:t>
            </w:r>
          </w:p>
        </w:tc>
        <w:tc>
          <w:tcPr>
            <w:tcW w:w="240" w:type="dxa"/>
            <w:vAlign w:val="bottom"/>
          </w:tcPr>
          <w:p>
            <w:pPr>
              <w:spacing w:after="0"/>
              <w:rPr>
                <w:sz w:val="21"/>
                <w:szCs w:val="21"/>
                <w:color w:val="auto"/>
              </w:rPr>
            </w:pPr>
          </w:p>
        </w:tc>
        <w:tc>
          <w:tcPr>
            <w:tcW w:w="1180" w:type="dxa"/>
            <w:vAlign w:val="bottom"/>
          </w:tcPr>
          <w:p>
            <w:pPr>
              <w:jc w:val="right"/>
              <w:ind w:right="270"/>
              <w:spacing w:after="0"/>
              <w:rPr>
                <w:sz w:val="20"/>
                <w:szCs w:val="20"/>
                <w:color w:val="auto"/>
              </w:rPr>
            </w:pPr>
            <w:r>
              <w:rPr>
                <w:rFonts w:ascii="Arial" w:cs="Arial" w:eastAsia="Arial" w:hAnsi="Arial"/>
                <w:sz w:val="18"/>
                <w:szCs w:val="18"/>
                <w:b w:val="1"/>
                <w:bCs w:val="1"/>
                <w:color w:val="auto"/>
              </w:rPr>
              <w:t>Amount</w:t>
            </w:r>
          </w:p>
        </w:tc>
        <w:tc>
          <w:tcPr>
            <w:tcW w:w="180" w:type="dxa"/>
            <w:vAlign w:val="bottom"/>
          </w:tcPr>
          <w:p>
            <w:pPr>
              <w:spacing w:after="0"/>
              <w:rPr>
                <w:sz w:val="21"/>
                <w:szCs w:val="21"/>
                <w:color w:val="auto"/>
              </w:rPr>
            </w:pPr>
          </w:p>
        </w:tc>
        <w:tc>
          <w:tcPr>
            <w:tcW w:w="1320" w:type="dxa"/>
            <w:vAlign w:val="bottom"/>
          </w:tcPr>
          <w:p>
            <w:pPr>
              <w:ind w:left="40"/>
              <w:spacing w:after="0"/>
              <w:rPr>
                <w:sz w:val="20"/>
                <w:szCs w:val="20"/>
                <w:color w:val="auto"/>
              </w:rPr>
            </w:pPr>
            <w:r>
              <w:rPr>
                <w:rFonts w:ascii="Arial" w:cs="Arial" w:eastAsia="Arial" w:hAnsi="Arial"/>
                <w:sz w:val="18"/>
                <w:szCs w:val="18"/>
                <w:b w:val="1"/>
                <w:bCs w:val="1"/>
                <w:color w:val="auto"/>
              </w:rPr>
              <w:t>Amortization</w:t>
            </w:r>
          </w:p>
        </w:tc>
      </w:tr>
      <w:tr>
        <w:trPr>
          <w:trHeight w:val="40"/>
        </w:trPr>
        <w:tc>
          <w:tcPr>
            <w:tcW w:w="5280" w:type="dxa"/>
            <w:vAlign w:val="bottom"/>
            <w:tcBorders>
              <w:top w:val="single" w:sz="8" w:color="0090DA"/>
            </w:tcBorders>
          </w:tcPr>
          <w:p>
            <w:pPr>
              <w:spacing w:after="0"/>
              <w:rPr>
                <w:sz w:val="3"/>
                <w:szCs w:val="3"/>
                <w:color w:val="auto"/>
              </w:rPr>
            </w:pPr>
          </w:p>
        </w:tc>
        <w:tc>
          <w:tcPr>
            <w:tcW w:w="1060" w:type="dxa"/>
            <w:vAlign w:val="bottom"/>
            <w:tcBorders>
              <w:top w:val="single" w:sz="8" w:color="0090DA"/>
            </w:tcBorders>
          </w:tcPr>
          <w:p>
            <w:pPr>
              <w:spacing w:after="0"/>
              <w:rPr>
                <w:sz w:val="3"/>
                <w:szCs w:val="3"/>
                <w:color w:val="auto"/>
              </w:rPr>
            </w:pPr>
          </w:p>
        </w:tc>
        <w:tc>
          <w:tcPr>
            <w:tcW w:w="360" w:type="dxa"/>
            <w:vAlign w:val="bottom"/>
            <w:tcBorders>
              <w:top w:val="single" w:sz="8" w:color="0090DA"/>
            </w:tcBorders>
          </w:tcPr>
          <w:p>
            <w:pPr>
              <w:spacing w:after="0"/>
              <w:rPr>
                <w:sz w:val="3"/>
                <w:szCs w:val="3"/>
                <w:color w:val="auto"/>
              </w:rPr>
            </w:pPr>
          </w:p>
        </w:tc>
        <w:tc>
          <w:tcPr>
            <w:tcW w:w="180" w:type="dxa"/>
            <w:vAlign w:val="bottom"/>
            <w:tcBorders>
              <w:top w:val="single" w:sz="8" w:color="0090DA"/>
            </w:tcBorders>
          </w:tcPr>
          <w:p>
            <w:pPr>
              <w:spacing w:after="0"/>
              <w:rPr>
                <w:sz w:val="3"/>
                <w:szCs w:val="3"/>
                <w:color w:val="auto"/>
              </w:rPr>
            </w:pPr>
          </w:p>
        </w:tc>
        <w:tc>
          <w:tcPr>
            <w:tcW w:w="1320" w:type="dxa"/>
            <w:vAlign w:val="bottom"/>
            <w:tcBorders>
              <w:top w:val="single" w:sz="8" w:color="0090DA"/>
            </w:tcBorders>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top w:val="single" w:sz="8" w:color="0090DA"/>
            </w:tcBorders>
          </w:tcPr>
          <w:p>
            <w:pPr>
              <w:spacing w:after="0"/>
              <w:rPr>
                <w:sz w:val="3"/>
                <w:szCs w:val="3"/>
                <w:color w:val="auto"/>
              </w:rPr>
            </w:pPr>
          </w:p>
        </w:tc>
        <w:tc>
          <w:tcPr>
            <w:tcW w:w="1180" w:type="dxa"/>
            <w:vAlign w:val="bottom"/>
            <w:tcBorders>
              <w:top w:val="single" w:sz="8" w:color="0090DA"/>
            </w:tcBorders>
          </w:tcPr>
          <w:p>
            <w:pPr>
              <w:spacing w:after="0"/>
              <w:rPr>
                <w:sz w:val="3"/>
                <w:szCs w:val="3"/>
                <w:color w:val="auto"/>
              </w:rPr>
            </w:pPr>
          </w:p>
        </w:tc>
        <w:tc>
          <w:tcPr>
            <w:tcW w:w="180" w:type="dxa"/>
            <w:vAlign w:val="bottom"/>
            <w:tcBorders>
              <w:top w:val="single" w:sz="8" w:color="0090DA"/>
            </w:tcBorders>
          </w:tcPr>
          <w:p>
            <w:pPr>
              <w:spacing w:after="0"/>
              <w:rPr>
                <w:sz w:val="3"/>
                <w:szCs w:val="3"/>
                <w:color w:val="auto"/>
              </w:rPr>
            </w:pPr>
          </w:p>
        </w:tc>
        <w:tc>
          <w:tcPr>
            <w:tcW w:w="1320" w:type="dxa"/>
            <w:vAlign w:val="bottom"/>
            <w:tcBorders>
              <w:top w:val="single" w:sz="8" w:color="0090DA"/>
            </w:tcBorders>
          </w:tcPr>
          <w:p>
            <w:pPr>
              <w:spacing w:after="0"/>
              <w:rPr>
                <w:sz w:val="3"/>
                <w:szCs w:val="3"/>
                <w:color w:val="auto"/>
              </w:rPr>
            </w:pPr>
          </w:p>
        </w:tc>
      </w:tr>
      <w:tr>
        <w:trPr>
          <w:trHeight w:val="256"/>
        </w:trPr>
        <w:tc>
          <w:tcPr>
            <w:tcW w:w="528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Product and process technology</w:t>
            </w:r>
          </w:p>
        </w:tc>
        <w:tc>
          <w:tcPr>
            <w:tcW w:w="1060" w:type="dxa"/>
            <w:vAlign w:val="bottom"/>
            <w:shd w:val="clear" w:color="auto" w:fill="D1D2D4"/>
          </w:tcPr>
          <w:p>
            <w:pPr>
              <w:jc w:val="right"/>
              <w:ind w:right="85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3"/>
              </w:rPr>
              <w:t>616</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(282)</w:t>
            </w:r>
          </w:p>
        </w:tc>
        <w:tc>
          <w:tcPr>
            <w:tcW w:w="120" w:type="dxa"/>
            <w:vAlign w:val="bottom"/>
            <w:shd w:val="clear" w:color="auto" w:fill="D1D2D4"/>
          </w:tcPr>
          <w:p>
            <w:pPr>
              <w:spacing w:after="0"/>
              <w:rPr>
                <w:sz w:val="22"/>
                <w:szCs w:val="22"/>
                <w:color w:val="auto"/>
              </w:rPr>
            </w:pPr>
          </w:p>
        </w:tc>
        <w:tc>
          <w:tcPr>
            <w:tcW w:w="24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583</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(243)</w:t>
            </w: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color w:val="auto"/>
              </w:rPr>
              <w:t>Goodwill</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1,228</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1,228</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r>
    </w:tbl>
    <w:p>
      <w:pPr>
        <w:spacing w:after="0" w:line="36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In 2020, 2019, and 2018, we capitalized $73 million, $91 million, and $48 million, respectively, for product and process technology with weighted-average useful lives of 10 years, 8 years, and 10 years, respectively. In 2019, we placed $108 million of in-process R&amp;D in service and began amortizing it on a straight-line basis over six years.</w:t>
      </w:r>
    </w:p>
    <w:p>
      <w:pPr>
        <w:sectPr>
          <w:pgSz w:w="11900" w:h="16838" w:orient="portrait"/>
          <w:cols w:equalWidth="0" w:num="1">
            <w:col w:w="11240"/>
          </w:cols>
          <w:pgMar w:left="320" w:top="919" w:right="33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ind w:left="10040"/>
        <w:spacing w:after="0"/>
        <w:rPr>
          <w:sz w:val="20"/>
          <w:szCs w:val="20"/>
          <w:color w:val="auto"/>
        </w:rPr>
      </w:pPr>
      <w:r>
        <w:rPr>
          <w:sz w:val="1"/>
          <w:szCs w:val="1"/>
          <w:color w:val="auto"/>
        </w:rPr>
        <w:drawing>
          <wp:inline distT="0" distB="0" distL="0" distR="0">
            <wp:extent cx="608330" cy="171450"/>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8330" cy="171450"/>
                    </a:xfrm>
                    <a:prstGeom prst="rect">
                      <a:avLst/>
                    </a:prstGeom>
                    <a:noFill/>
                    <a:ln>
                      <a:noFill/>
                    </a:ln>
                  </pic:spPr>
                </pic:pic>
              </a:graphicData>
            </a:graphic>
          </wp:inline>
        </w:drawing>
      </w:r>
      <w:r>
        <w:rPr>
          <w:rFonts w:ascii="Arial" w:cs="Arial" w:eastAsia="Arial" w:hAnsi="Arial"/>
          <w:sz w:val="13"/>
          <w:szCs w:val="13"/>
          <w:color w:val="auto"/>
        </w:rPr>
        <w:t xml:space="preserve">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type w:val="continuous"/>
        </w:sectPr>
      </w:pPr>
    </w:p>
    <w:bookmarkStart w:id="61" w:name="page62"/>
    <w:bookmarkEnd w:id="61"/>
    <w:p>
      <w:pPr>
        <w:ind w:right="340"/>
        <w:spacing w:after="0" w:line="261" w:lineRule="auto"/>
        <w:rPr>
          <w:sz w:val="20"/>
          <w:szCs w:val="20"/>
          <w:color w:val="auto"/>
        </w:rPr>
      </w:pPr>
      <w:r>
        <w:rPr>
          <w:rFonts w:ascii="Arial" w:cs="Arial" w:eastAsia="Arial" w:hAnsi="Arial"/>
          <w:sz w:val="18"/>
          <w:szCs w:val="18"/>
          <w:color w:val="auto"/>
        </w:rPr>
        <w:t>Expected amortization expense is $73 million for 2021, $57 million for 2022, $51 million for 2023, $44 million for 2024, and $24 million for 2025.</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Leases</w:t>
      </w:r>
    </w:p>
    <w:p>
      <w:pPr>
        <w:spacing w:after="0" w:line="28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have finance and operating leases through which we acquire or utilize equipment and facilities in our manufacturing operations and R&amp;D activities as well as office space and other facilities used in our SG&amp;A functions. Our finance leases consist primarily of gas or other supply agreements that are deemed to contain embedded leases in which we effectively control the underlying gas plants or other assets used to fulfill the supply agreements. Our operating leases consist primarily of offices, other facilities, and land used in SG&amp;A, R&amp;D, and certain of our manufacturing operations. Certain of our operating leases include one or more options to extend the lease term for periods from one year to 10 years for real estate and one year to 30 years for land.</w:t>
      </w:r>
    </w:p>
    <w:p>
      <w:pPr>
        <w:spacing w:after="0" w:line="235"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Certain supply or service agreements require us to exercise significant judgment to determine whether the agreement contains a lease of a right-of-use asset. Our assessment includes determining whether we or the supplier control the assets used to fulfill the supply or service agreement by identifying whether we or the supplier have the right to change the type, quantity, timing, or location of the output of the assets. Our gas supply arrangements generally are deemed to contain a lease because we have the right to substantially all of the output of the assets used to produce the supply and we have the right to change the quantity and timing of the output of those assets. In determining the lease term, we assess whether we are reasonably certain to exercise options to renew or terminate a lease, and when or whether we would exercise an option to purchase the right-of-use asset. Measuring the present value of the initial lease liability requires exercising judgment to determine the discount rate, which we base on interest rates for similar borrowings issued by entities with credit ratings similar to ours.</w:t>
      </w:r>
    </w:p>
    <w:p>
      <w:pPr>
        <w:spacing w:after="0" w:line="221"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Short-term and variable lease expenses were not significant and are presented within operating lease costs in the table below. Sublease income was not significant in 2020. The components of lease expense are presented below:</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988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For the year ended</w:t>
            </w:r>
          </w:p>
        </w:tc>
        <w:tc>
          <w:tcPr>
            <w:tcW w:w="300" w:type="dxa"/>
            <w:vAlign w:val="bottom"/>
            <w:tcBorders>
              <w:bottom w:val="single" w:sz="8" w:color="0090DA"/>
            </w:tcBorders>
          </w:tcPr>
          <w:p>
            <w:pPr>
              <w:spacing w:after="0"/>
              <w:rPr>
                <w:sz w:val="21"/>
                <w:szCs w:val="21"/>
                <w:color w:val="auto"/>
              </w:rPr>
            </w:pPr>
          </w:p>
        </w:tc>
        <w:tc>
          <w:tcPr>
            <w:tcW w:w="1060" w:type="dxa"/>
            <w:vAlign w:val="bottom"/>
            <w:tcBorders>
              <w:bottom w:val="single" w:sz="8" w:color="0090DA"/>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41"/>
        </w:trPr>
        <w:tc>
          <w:tcPr>
            <w:tcW w:w="98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9880" w:type="dxa"/>
            <w:vAlign w:val="bottom"/>
            <w:shd w:val="clear" w:color="auto" w:fill="DDDDDD"/>
          </w:tcPr>
          <w:p>
            <w:pPr>
              <w:ind w:left="20"/>
              <w:spacing w:after="0"/>
              <w:rPr>
                <w:sz w:val="20"/>
                <w:szCs w:val="20"/>
                <w:color w:val="auto"/>
              </w:rPr>
            </w:pPr>
            <w:r>
              <w:rPr>
                <w:rFonts w:ascii="Arial" w:cs="Arial" w:eastAsia="Arial" w:hAnsi="Arial"/>
                <w:sz w:val="18"/>
                <w:szCs w:val="18"/>
                <w:color w:val="auto"/>
              </w:rPr>
              <w:t>Finance lease cost</w:t>
            </w:r>
          </w:p>
        </w:tc>
        <w:tc>
          <w:tcPr>
            <w:tcW w:w="300" w:type="dxa"/>
            <w:vAlign w:val="bottom"/>
            <w:shd w:val="clear" w:color="auto" w:fill="DDDDDD"/>
          </w:tcPr>
          <w:p>
            <w:pPr>
              <w:spacing w:after="0"/>
              <w:rPr>
                <w:sz w:val="22"/>
                <w:szCs w:val="22"/>
                <w:color w:val="auto"/>
              </w:rPr>
            </w:pPr>
          </w:p>
        </w:tc>
        <w:tc>
          <w:tcPr>
            <w:tcW w:w="1060" w:type="dxa"/>
            <w:vAlign w:val="bottom"/>
            <w:shd w:val="clear" w:color="auto" w:fill="DDDDDD"/>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9880" w:type="dxa"/>
            <w:vAlign w:val="bottom"/>
          </w:tcPr>
          <w:p>
            <w:pPr>
              <w:ind w:left="120"/>
              <w:spacing w:after="0"/>
              <w:rPr>
                <w:sz w:val="20"/>
                <w:szCs w:val="20"/>
                <w:color w:val="auto"/>
              </w:rPr>
            </w:pPr>
            <w:r>
              <w:rPr>
                <w:rFonts w:ascii="Arial" w:cs="Arial" w:eastAsia="Arial" w:hAnsi="Arial"/>
                <w:sz w:val="18"/>
                <w:szCs w:val="18"/>
                <w:color w:val="auto"/>
              </w:rPr>
              <w:t>Amortization of right-of-use asset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63"/>
        </w:trPr>
        <w:tc>
          <w:tcPr>
            <w:tcW w:w="9880" w:type="dxa"/>
            <w:vAlign w:val="bottom"/>
            <w:shd w:val="clear" w:color="auto" w:fill="DDDDDD"/>
          </w:tcPr>
          <w:p>
            <w:pPr>
              <w:ind w:left="120"/>
              <w:spacing w:after="0"/>
              <w:rPr>
                <w:sz w:val="20"/>
                <w:szCs w:val="20"/>
                <w:color w:val="auto"/>
              </w:rPr>
            </w:pPr>
            <w:r>
              <w:rPr>
                <w:rFonts w:ascii="Arial" w:cs="Arial" w:eastAsia="Arial" w:hAnsi="Arial"/>
                <w:sz w:val="18"/>
                <w:szCs w:val="18"/>
                <w:color w:val="auto"/>
              </w:rPr>
              <w:t>Interest on lease liability</w:t>
            </w:r>
          </w:p>
        </w:tc>
        <w:tc>
          <w:tcPr>
            <w:tcW w:w="300" w:type="dxa"/>
            <w:vAlign w:val="bottom"/>
            <w:shd w:val="clear" w:color="auto" w:fill="DDDDDD"/>
          </w:tcPr>
          <w:p>
            <w:pPr>
              <w:spacing w:after="0"/>
              <w:rPr>
                <w:sz w:val="22"/>
                <w:szCs w:val="22"/>
                <w:color w:val="auto"/>
              </w:rPr>
            </w:pPr>
          </w:p>
        </w:tc>
        <w:tc>
          <w:tcPr>
            <w:tcW w:w="106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50"/>
        </w:trPr>
        <w:tc>
          <w:tcPr>
            <w:tcW w:w="9880" w:type="dxa"/>
            <w:vAlign w:val="bottom"/>
            <w:tcBorders>
              <w:bottom w:val="single" w:sz="8" w:color="DDDDDD"/>
            </w:tcBorders>
          </w:tcPr>
          <w:p>
            <w:pPr>
              <w:ind w:left="20"/>
              <w:spacing w:after="0"/>
              <w:rPr>
                <w:sz w:val="20"/>
                <w:szCs w:val="20"/>
                <w:color w:val="auto"/>
              </w:rPr>
            </w:pPr>
            <w:r>
              <w:rPr>
                <w:rFonts w:ascii="Arial" w:cs="Arial" w:eastAsia="Arial" w:hAnsi="Arial"/>
                <w:sz w:val="18"/>
                <w:szCs w:val="18"/>
                <w:color w:val="auto"/>
              </w:rPr>
              <w:t>Operating lease cost</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5"/>
        </w:trPr>
        <w:tc>
          <w:tcPr>
            <w:tcW w:w="9880" w:type="dxa"/>
            <w:vAlign w:val="bottom"/>
            <w:tcBorders>
              <w:bottom w:val="single" w:sz="8" w:color="DDDDDD"/>
            </w:tcBorders>
            <w:shd w:val="clear" w:color="auto" w:fill="DDDDDD"/>
          </w:tcPr>
          <w:p>
            <w:pPr>
              <w:spacing w:after="0"/>
              <w:rPr>
                <w:sz w:val="23"/>
                <w:szCs w:val="23"/>
                <w:color w:val="auto"/>
              </w:rPr>
            </w:pPr>
          </w:p>
        </w:tc>
        <w:tc>
          <w:tcPr>
            <w:tcW w:w="300" w:type="dxa"/>
            <w:vAlign w:val="bottom"/>
            <w:tcBorders>
              <w:bottom w:val="single" w:sz="8" w:color="auto"/>
            </w:tcBorders>
            <w:shd w:val="clear" w:color="auto" w:fill="DDDDDD"/>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DDDDDD"/>
          </w:tcPr>
          <w:p>
            <w:pPr>
              <w:jc w:val="right"/>
              <w:ind w:right="1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0"/>
        </w:trPr>
        <w:tc>
          <w:tcPr>
            <w:tcW w:w="9880" w:type="dxa"/>
            <w:vAlign w:val="bottom"/>
            <w:tcBorders>
              <w:top w:val="single" w:sz="8" w:color="DDDDDD"/>
              <w:bottom w:val="single" w:sz="8" w:color="DDDDDD"/>
            </w:tcBorders>
            <w:vMerge w:val="restart"/>
          </w:tcPr>
          <w:p>
            <w:pPr>
              <w:spacing w:after="0"/>
              <w:rPr>
                <w:sz w:val="20"/>
                <w:szCs w:val="20"/>
                <w:color w:val="auto"/>
              </w:rPr>
            </w:pPr>
            <w:r>
              <w:rPr>
                <w:rFonts w:ascii="Arial" w:cs="Arial" w:eastAsia="Arial" w:hAnsi="Arial"/>
                <w:sz w:val="18"/>
                <w:szCs w:val="18"/>
                <w:color w:val="auto"/>
              </w:rPr>
              <w:t>Other information related to our leases were as follows:</w:t>
            </w:r>
          </w:p>
        </w:tc>
        <w:tc>
          <w:tcPr>
            <w:tcW w:w="300" w:type="dxa"/>
            <w:vAlign w:val="bottom"/>
            <w:tcBorders>
              <w:top w:val="single" w:sz="8" w:color="DDDDDD"/>
              <w:bottom w:val="single" w:sz="8" w:color="auto"/>
            </w:tcBorders>
          </w:tcPr>
          <w:p>
            <w:pPr>
              <w:spacing w:after="0" w:line="20" w:lineRule="exact"/>
              <w:rPr>
                <w:sz w:val="1"/>
                <w:szCs w:val="1"/>
                <w:color w:val="auto"/>
              </w:rPr>
            </w:pPr>
          </w:p>
        </w:tc>
        <w:tc>
          <w:tcPr>
            <w:tcW w:w="1060" w:type="dxa"/>
            <w:vAlign w:val="bottom"/>
            <w:tcBorders>
              <w:top w:val="single" w:sz="8" w:color="DDDDD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98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988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For the year ended</w:t>
            </w:r>
          </w:p>
        </w:tc>
        <w:tc>
          <w:tcPr>
            <w:tcW w:w="300" w:type="dxa"/>
            <w:vAlign w:val="bottom"/>
            <w:tcBorders>
              <w:bottom w:val="single" w:sz="8" w:color="0090DA"/>
            </w:tcBorders>
          </w:tcPr>
          <w:p>
            <w:pPr>
              <w:spacing w:after="0"/>
              <w:rPr>
                <w:sz w:val="24"/>
                <w:szCs w:val="24"/>
                <w:color w:val="auto"/>
              </w:rPr>
            </w:pPr>
          </w:p>
        </w:tc>
        <w:tc>
          <w:tcPr>
            <w:tcW w:w="1060" w:type="dxa"/>
            <w:vAlign w:val="bottom"/>
            <w:tcBorders>
              <w:bottom w:val="single" w:sz="8" w:color="0090DA"/>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40"/>
        </w:trPr>
        <w:tc>
          <w:tcPr>
            <w:tcW w:w="98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9880" w:type="dxa"/>
            <w:vAlign w:val="bottom"/>
            <w:shd w:val="clear" w:color="auto" w:fill="DDDDDD"/>
          </w:tcPr>
          <w:p>
            <w:pPr>
              <w:ind w:left="20"/>
              <w:spacing w:after="0"/>
              <w:rPr>
                <w:sz w:val="20"/>
                <w:szCs w:val="20"/>
                <w:color w:val="auto"/>
              </w:rPr>
            </w:pPr>
            <w:r>
              <w:rPr>
                <w:rFonts w:ascii="Arial" w:cs="Arial" w:eastAsia="Arial" w:hAnsi="Arial"/>
                <w:sz w:val="18"/>
                <w:szCs w:val="18"/>
                <w:color w:val="auto"/>
              </w:rPr>
              <w:t>Cash flows used for operating activities</w:t>
            </w:r>
          </w:p>
        </w:tc>
        <w:tc>
          <w:tcPr>
            <w:tcW w:w="300" w:type="dxa"/>
            <w:vAlign w:val="bottom"/>
            <w:shd w:val="clear" w:color="auto" w:fill="DDDDDD"/>
          </w:tcPr>
          <w:p>
            <w:pPr>
              <w:spacing w:after="0"/>
              <w:rPr>
                <w:sz w:val="22"/>
                <w:szCs w:val="22"/>
                <w:color w:val="auto"/>
              </w:rPr>
            </w:pPr>
          </w:p>
        </w:tc>
        <w:tc>
          <w:tcPr>
            <w:tcW w:w="1060" w:type="dxa"/>
            <w:vAlign w:val="bottom"/>
            <w:shd w:val="clear" w:color="auto" w:fill="DDDDDD"/>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9880" w:type="dxa"/>
            <w:vAlign w:val="bottom"/>
          </w:tcPr>
          <w:p>
            <w:pPr>
              <w:ind w:left="140"/>
              <w:spacing w:after="0"/>
              <w:rPr>
                <w:sz w:val="20"/>
                <w:szCs w:val="20"/>
                <w:color w:val="auto"/>
              </w:rPr>
            </w:pPr>
            <w:r>
              <w:rPr>
                <w:rFonts w:ascii="Arial" w:cs="Arial" w:eastAsia="Arial" w:hAnsi="Arial"/>
                <w:sz w:val="18"/>
                <w:szCs w:val="18"/>
                <w:color w:val="auto"/>
              </w:rPr>
              <w:t>Finance leases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57"/>
        </w:trPr>
        <w:tc>
          <w:tcPr>
            <w:tcW w:w="9880" w:type="dxa"/>
            <w:vAlign w:val="bottom"/>
            <w:shd w:val="clear" w:color="auto" w:fill="DDDDDD"/>
          </w:tcPr>
          <w:p>
            <w:pPr>
              <w:ind w:left="140"/>
              <w:spacing w:after="0" w:line="256" w:lineRule="exact"/>
              <w:rPr>
                <w:sz w:val="20"/>
                <w:szCs w:val="20"/>
                <w:color w:val="auto"/>
              </w:rPr>
            </w:pPr>
            <w:r>
              <w:rPr>
                <w:rFonts w:ascii="Arial" w:cs="Arial" w:eastAsia="Arial" w:hAnsi="Arial"/>
                <w:sz w:val="18"/>
                <w:szCs w:val="18"/>
                <w:color w:val="auto"/>
              </w:rPr>
              <w:t>Operating leases</w:t>
            </w:r>
            <w:r>
              <w:rPr>
                <w:rFonts w:ascii="Arial" w:cs="Arial" w:eastAsia="Arial" w:hAnsi="Arial"/>
                <w:sz w:val="23"/>
                <w:szCs w:val="23"/>
                <w:color w:val="auto"/>
                <w:vertAlign w:val="superscript"/>
              </w:rPr>
              <w:t>(1)</w:t>
            </w:r>
          </w:p>
        </w:tc>
        <w:tc>
          <w:tcPr>
            <w:tcW w:w="300" w:type="dxa"/>
            <w:vAlign w:val="bottom"/>
            <w:shd w:val="clear" w:color="auto" w:fill="DDDDDD"/>
          </w:tcPr>
          <w:p>
            <w:pPr>
              <w:spacing w:after="0"/>
              <w:rPr>
                <w:sz w:val="22"/>
                <w:szCs w:val="22"/>
                <w:color w:val="auto"/>
              </w:rPr>
            </w:pPr>
          </w:p>
        </w:tc>
        <w:tc>
          <w:tcPr>
            <w:tcW w:w="106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50"/>
        </w:trPr>
        <w:tc>
          <w:tcPr>
            <w:tcW w:w="9880" w:type="dxa"/>
            <w:vAlign w:val="bottom"/>
          </w:tcPr>
          <w:p>
            <w:pPr>
              <w:ind w:left="20"/>
              <w:spacing w:after="0"/>
              <w:rPr>
                <w:sz w:val="20"/>
                <w:szCs w:val="20"/>
                <w:color w:val="auto"/>
              </w:rPr>
            </w:pPr>
            <w:r>
              <w:rPr>
                <w:rFonts w:ascii="Arial" w:cs="Arial" w:eastAsia="Arial" w:hAnsi="Arial"/>
                <w:sz w:val="18"/>
                <w:szCs w:val="18"/>
                <w:color w:val="auto"/>
              </w:rPr>
              <w:t>Cash flows used for financing activities from financing leases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63"/>
        </w:trPr>
        <w:tc>
          <w:tcPr>
            <w:tcW w:w="9880" w:type="dxa"/>
            <w:vAlign w:val="bottom"/>
            <w:shd w:val="clear" w:color="auto" w:fill="DDDDDD"/>
          </w:tcPr>
          <w:p>
            <w:pPr>
              <w:ind w:left="20"/>
              <w:spacing w:after="0"/>
              <w:rPr>
                <w:sz w:val="20"/>
                <w:szCs w:val="20"/>
                <w:color w:val="auto"/>
              </w:rPr>
            </w:pPr>
            <w:r>
              <w:rPr>
                <w:rFonts w:ascii="Arial" w:cs="Arial" w:eastAsia="Arial" w:hAnsi="Arial"/>
                <w:sz w:val="18"/>
                <w:szCs w:val="18"/>
                <w:color w:val="auto"/>
              </w:rPr>
              <w:t>Noncash acquisitions of right-of-use assets</w:t>
            </w:r>
          </w:p>
        </w:tc>
        <w:tc>
          <w:tcPr>
            <w:tcW w:w="300" w:type="dxa"/>
            <w:vAlign w:val="bottom"/>
            <w:shd w:val="clear" w:color="auto" w:fill="DDDDDD"/>
          </w:tcPr>
          <w:p>
            <w:pPr>
              <w:spacing w:after="0"/>
              <w:rPr>
                <w:sz w:val="22"/>
                <w:szCs w:val="22"/>
                <w:color w:val="auto"/>
              </w:rPr>
            </w:pPr>
          </w:p>
        </w:tc>
        <w:tc>
          <w:tcPr>
            <w:tcW w:w="1060" w:type="dxa"/>
            <w:vAlign w:val="bottom"/>
            <w:shd w:val="clear" w:color="auto" w:fill="DDDDDD"/>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9880" w:type="dxa"/>
            <w:vAlign w:val="bottom"/>
          </w:tcPr>
          <w:p>
            <w:pPr>
              <w:ind w:left="120"/>
              <w:spacing w:after="0"/>
              <w:rPr>
                <w:sz w:val="20"/>
                <w:szCs w:val="20"/>
                <w:color w:val="auto"/>
              </w:rPr>
            </w:pPr>
            <w:r>
              <w:rPr>
                <w:rFonts w:ascii="Arial" w:cs="Arial" w:eastAsia="Arial" w:hAnsi="Arial"/>
                <w:sz w:val="18"/>
                <w:szCs w:val="18"/>
                <w:color w:val="auto"/>
              </w:rPr>
              <w:t>Finance leases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63"/>
        </w:trPr>
        <w:tc>
          <w:tcPr>
            <w:tcW w:w="9880" w:type="dxa"/>
            <w:vAlign w:val="bottom"/>
            <w:shd w:val="clear" w:color="auto" w:fill="DDDDDD"/>
          </w:tcPr>
          <w:p>
            <w:pPr>
              <w:ind w:left="140"/>
              <w:spacing w:after="0"/>
              <w:rPr>
                <w:sz w:val="20"/>
                <w:szCs w:val="20"/>
                <w:color w:val="auto"/>
              </w:rPr>
            </w:pPr>
            <w:r>
              <w:rPr>
                <w:rFonts w:ascii="Arial" w:cs="Arial" w:eastAsia="Arial" w:hAnsi="Arial"/>
                <w:sz w:val="18"/>
                <w:szCs w:val="18"/>
                <w:color w:val="auto"/>
              </w:rPr>
              <w:t>Operating leases</w:t>
            </w:r>
          </w:p>
        </w:tc>
        <w:tc>
          <w:tcPr>
            <w:tcW w:w="300" w:type="dxa"/>
            <w:vAlign w:val="bottom"/>
            <w:shd w:val="clear" w:color="auto" w:fill="DDDDDD"/>
          </w:tcPr>
          <w:p>
            <w:pPr>
              <w:spacing w:after="0"/>
              <w:rPr>
                <w:sz w:val="22"/>
                <w:szCs w:val="22"/>
                <w:color w:val="auto"/>
              </w:rPr>
            </w:pPr>
          </w:p>
        </w:tc>
        <w:tc>
          <w:tcPr>
            <w:tcW w:w="10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160" w:hanging="152"/>
        <w:spacing w:after="0"/>
        <w:tabs>
          <w:tab w:leader="none" w:pos="160" w:val="left"/>
        </w:tabs>
        <w:numPr>
          <w:ilvl w:val="0"/>
          <w:numId w:val="28"/>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Included $48 million of reimbursements received for tenant improvements.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59 </w:t>
      </w:r>
      <w:r>
        <w:rPr>
          <w:rFonts w:ascii="Arial" w:cs="Arial" w:eastAsia="Arial" w:hAnsi="Arial"/>
          <w:sz w:val="21"/>
          <w:szCs w:val="21"/>
          <w:b w:val="1"/>
          <w:bCs w:val="1"/>
          <w:color w:val="0090DA"/>
        </w:rPr>
        <w:t>|</w:t>
      </w:r>
      <w:r>
        <w:rPr>
          <w:rFonts w:ascii="Arial" w:cs="Arial" w:eastAsia="Arial" w:hAnsi="Arial"/>
          <w:sz w:val="18"/>
          <w:szCs w:val="18"/>
          <w:color w:val="auto"/>
        </w:rPr>
        <w:t xml:space="preserve"> 2020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62" w:name="page63"/>
    <w:bookmarkEnd w:id="62"/>
    <w:p>
      <w:pPr>
        <w:ind w:left="20"/>
        <w:spacing w:after="0"/>
        <w:rPr>
          <w:sz w:val="20"/>
          <w:szCs w:val="20"/>
          <w:color w:val="auto"/>
        </w:rPr>
      </w:pPr>
      <w:r>
        <w:rPr>
          <w:rFonts w:ascii="Arial" w:cs="Arial" w:eastAsia="Arial" w:hAnsi="Arial"/>
          <w:sz w:val="18"/>
          <w:szCs w:val="18"/>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1631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7"/>
          <w:szCs w:val="17"/>
          <w:color w:val="auto"/>
        </w:rPr>
        <w:t>Finance lease right-of-use asset (included in property, plant, and equipment)</w:t>
      </w:r>
      <w:r>
        <w:rPr>
          <w:rFonts w:ascii="Arial" w:cs="Arial" w:eastAsia="Arial" w:hAnsi="Arial"/>
          <w:sz w:val="22"/>
          <w:szCs w:val="22"/>
          <w:color w:val="auto"/>
          <w:vertAlign w:val="superscript"/>
        </w:rPr>
        <w:t>(</w:t>
      </w:r>
      <w:r>
        <w:rPr>
          <w:rFonts w:ascii="Arial" w:cs="Arial" w:eastAsia="Arial" w:hAnsi="Arial"/>
          <w:sz w:val="22"/>
          <w:szCs w:val="22"/>
          <w:i w:val="1"/>
          <w:iCs w:val="1"/>
          <w:color w:val="auto"/>
          <w:vertAlign w:val="superscript"/>
        </w:rPr>
        <w:t>1)</w:t>
      </w:r>
    </w:p>
    <w:p>
      <w:pPr>
        <w:ind w:left="20"/>
        <w:spacing w:after="0"/>
        <w:rPr>
          <w:sz w:val="20"/>
          <w:szCs w:val="20"/>
          <w:color w:val="auto"/>
        </w:rPr>
      </w:pPr>
      <w:r>
        <w:rPr>
          <w:rFonts w:ascii="Arial" w:cs="Arial" w:eastAsia="Arial" w:hAnsi="Arial"/>
          <w:sz w:val="18"/>
          <w:szCs w:val="18"/>
          <w:color w:val="auto"/>
        </w:rPr>
        <w:t>Weighted-average remaining lease term (in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4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Finance leases</w:t>
      </w:r>
    </w:p>
    <w:p>
      <w:pPr>
        <w:spacing w:after="0" w:line="5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631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Weighted-average discount rate</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Finance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631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Operating leases</w:t>
      </w:r>
    </w:p>
    <w:p>
      <w:pPr>
        <w:spacing w:after="0" w:line="20" w:lineRule="exact"/>
        <w:rPr>
          <w:sz w:val="20"/>
          <w:szCs w:val="20"/>
          <w:color w:val="auto"/>
        </w:rPr>
      </w:pPr>
      <w:r>
        <w:rPr>
          <w:sz w:val="20"/>
          <w:szCs w:val="20"/>
          <w:color w:val="auto"/>
        </w:rPr>
        <w:br w:type="column"/>
      </w:r>
    </w:p>
    <w:p>
      <w:pPr>
        <w:ind w:left="540"/>
        <w:spacing w:after="0"/>
        <w:rPr>
          <w:sz w:val="20"/>
          <w:szCs w:val="20"/>
          <w:color w:val="auto"/>
        </w:rPr>
      </w:pPr>
      <w:r>
        <w:rPr>
          <w:rFonts w:ascii="Arial" w:cs="Arial" w:eastAsia="Arial" w:hAnsi="Arial"/>
          <w:sz w:val="18"/>
          <w:szCs w:val="18"/>
          <w:b w:val="1"/>
          <w:bCs w:val="1"/>
          <w:color w:val="auto"/>
        </w:rPr>
        <w:t>2020</w:t>
      </w:r>
    </w:p>
    <w:p>
      <w:pPr>
        <w:spacing w:after="0" w:line="126" w:lineRule="exact"/>
        <w:rPr>
          <w:sz w:val="20"/>
          <w:szCs w:val="20"/>
          <w:color w:val="auto"/>
        </w:rPr>
      </w:pPr>
    </w:p>
    <w:p>
      <w:pPr>
        <w:ind w:left="940" w:hanging="934"/>
        <w:spacing w:after="0"/>
        <w:tabs>
          <w:tab w:leader="none" w:pos="9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426</w:t>
      </w:r>
    </w:p>
    <w:p>
      <w:pPr>
        <w:spacing w:after="0" w:line="306"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5</w:t>
      </w:r>
    </w:p>
    <w:p>
      <w:pPr>
        <w:spacing w:after="0" w:line="50"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7</w:t>
      </w:r>
    </w:p>
    <w:p>
      <w:pPr>
        <w:spacing w:after="0" w:line="306"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4.51 %</w:t>
      </w:r>
    </w:p>
    <w:p>
      <w:pPr>
        <w:spacing w:after="0" w:line="50"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2.67 %</w:t>
      </w:r>
    </w:p>
    <w:p>
      <w:pPr>
        <w:spacing w:after="0" w:line="82" w:lineRule="exact"/>
        <w:rPr>
          <w:sz w:val="20"/>
          <w:szCs w:val="20"/>
          <w:color w:val="auto"/>
        </w:rPr>
      </w:pPr>
    </w:p>
    <w:p>
      <w:pPr>
        <w:sectPr>
          <w:pgSz w:w="11900" w:h="16838" w:orient="portrait"/>
          <w:cols w:equalWidth="0" w:num="2">
            <w:col w:w="9020" w:space="720"/>
            <w:col w:w="1500"/>
          </w:cols>
          <w:pgMar w:left="320" w:top="981" w:right="339" w:bottom="1440" w:gutter="0" w:footer="0" w:header="0"/>
        </w:sectPr>
      </w:pPr>
    </w:p>
    <w:p>
      <w:pPr>
        <w:ind w:left="200" w:hanging="192"/>
        <w:spacing w:after="0"/>
        <w:tabs>
          <w:tab w:leader="none" w:pos="200" w:val="left"/>
        </w:tabs>
        <w:numPr>
          <w:ilvl w:val="0"/>
          <w:numId w:val="30"/>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As of August 29, 2019, prior to our adoption of ASC 842, property, plant, and equipment included $700 million for finance leases.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520" w:type="dxa"/>
            <w:vAlign w:val="bottom"/>
          </w:tcPr>
          <w:p>
            <w:pPr>
              <w:spacing w:after="0"/>
              <w:rPr>
                <w:sz w:val="20"/>
                <w:szCs w:val="20"/>
                <w:color w:val="auto"/>
              </w:rPr>
            </w:pPr>
            <w:r>
              <w:rPr>
                <w:rFonts w:ascii="Arial" w:cs="Arial" w:eastAsia="Arial" w:hAnsi="Arial"/>
                <w:sz w:val="18"/>
                <w:szCs w:val="18"/>
                <w:color w:val="auto"/>
              </w:rPr>
              <w:t>Maturities of lease liabilities existing as of September 3, 2020 were as follows:</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4"/>
        </w:trPr>
        <w:tc>
          <w:tcPr>
            <w:tcW w:w="8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230"/>
              <w:spacing w:after="0"/>
              <w:rPr>
                <w:sz w:val="20"/>
                <w:szCs w:val="20"/>
                <w:color w:val="auto"/>
              </w:rPr>
            </w:pPr>
            <w:r>
              <w:rPr>
                <w:rFonts w:ascii="Arial" w:cs="Arial" w:eastAsia="Arial" w:hAnsi="Arial"/>
                <w:sz w:val="18"/>
                <w:szCs w:val="18"/>
                <w:b w:val="1"/>
                <w:bCs w:val="1"/>
                <w:color w:val="auto"/>
              </w:rPr>
              <w:t>Finance</w:t>
            </w:r>
          </w:p>
        </w:tc>
        <w:tc>
          <w:tcPr>
            <w:tcW w:w="200" w:type="dxa"/>
            <w:vAlign w:val="bottom"/>
          </w:tcPr>
          <w:p>
            <w:pPr>
              <w:spacing w:after="0"/>
              <w:rPr>
                <w:sz w:val="20"/>
                <w:szCs w:val="20"/>
                <w:color w:val="auto"/>
              </w:rPr>
            </w:pPr>
          </w:p>
        </w:tc>
        <w:tc>
          <w:tcPr>
            <w:tcW w:w="1180" w:type="dxa"/>
            <w:vAlign w:val="bottom"/>
          </w:tcPr>
          <w:p>
            <w:pPr>
              <w:jc w:val="right"/>
              <w:ind w:right="170"/>
              <w:spacing w:after="0"/>
              <w:rPr>
                <w:sz w:val="20"/>
                <w:szCs w:val="20"/>
                <w:color w:val="auto"/>
              </w:rPr>
            </w:pPr>
            <w:r>
              <w:rPr>
                <w:rFonts w:ascii="Arial" w:cs="Arial" w:eastAsia="Arial" w:hAnsi="Arial"/>
                <w:sz w:val="18"/>
                <w:szCs w:val="18"/>
                <w:b w:val="1"/>
                <w:bCs w:val="1"/>
                <w:color w:val="auto"/>
              </w:rPr>
              <w:t>Operating</w:t>
            </w:r>
          </w:p>
        </w:tc>
      </w:tr>
      <w:tr>
        <w:trPr>
          <w:trHeight w:val="246"/>
        </w:trPr>
        <w:tc>
          <w:tcPr>
            <w:tcW w:w="852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For the year ending</w:t>
            </w:r>
          </w:p>
        </w:tc>
        <w:tc>
          <w:tcPr>
            <w:tcW w:w="220" w:type="dxa"/>
            <w:vAlign w:val="bottom"/>
            <w:tcBorders>
              <w:bottom w:val="single" w:sz="8" w:color="0090DA"/>
            </w:tcBorders>
          </w:tcPr>
          <w:p>
            <w:pPr>
              <w:spacing w:after="0"/>
              <w:rPr>
                <w:sz w:val="21"/>
                <w:szCs w:val="21"/>
                <w:color w:val="auto"/>
              </w:rPr>
            </w:pPr>
          </w:p>
        </w:tc>
        <w:tc>
          <w:tcPr>
            <w:tcW w:w="1120" w:type="dxa"/>
            <w:vAlign w:val="bottom"/>
            <w:tcBorders>
              <w:bottom w:val="single" w:sz="8" w:color="0090DA"/>
            </w:tcBorders>
          </w:tcPr>
          <w:p>
            <w:pPr>
              <w:jc w:val="right"/>
              <w:ind w:right="270"/>
              <w:spacing w:after="0"/>
              <w:rPr>
                <w:sz w:val="20"/>
                <w:szCs w:val="20"/>
                <w:color w:val="auto"/>
              </w:rPr>
            </w:pPr>
            <w:r>
              <w:rPr>
                <w:rFonts w:ascii="Arial" w:cs="Arial" w:eastAsia="Arial" w:hAnsi="Arial"/>
                <w:sz w:val="18"/>
                <w:szCs w:val="18"/>
                <w:b w:val="1"/>
                <w:bCs w:val="1"/>
                <w:color w:val="auto"/>
              </w:rPr>
              <w:t>Leases</w:t>
            </w:r>
          </w:p>
        </w:tc>
        <w:tc>
          <w:tcPr>
            <w:tcW w:w="200" w:type="dxa"/>
            <w:vAlign w:val="bottom"/>
            <w:tcBorders>
              <w:bottom w:val="single" w:sz="8" w:color="0090DA"/>
            </w:tcBorders>
          </w:tcPr>
          <w:p>
            <w:pPr>
              <w:spacing w:after="0"/>
              <w:rPr>
                <w:sz w:val="21"/>
                <w:szCs w:val="21"/>
                <w:color w:val="auto"/>
              </w:rPr>
            </w:pPr>
          </w:p>
        </w:tc>
        <w:tc>
          <w:tcPr>
            <w:tcW w:w="1180" w:type="dxa"/>
            <w:vAlign w:val="bottom"/>
            <w:tcBorders>
              <w:bottom w:val="single" w:sz="8" w:color="0090DA"/>
            </w:tcBorders>
          </w:tcPr>
          <w:p>
            <w:pPr>
              <w:jc w:val="right"/>
              <w:ind w:right="290"/>
              <w:spacing w:after="0"/>
              <w:rPr>
                <w:sz w:val="20"/>
                <w:szCs w:val="20"/>
                <w:color w:val="auto"/>
              </w:rPr>
            </w:pPr>
            <w:r>
              <w:rPr>
                <w:rFonts w:ascii="Arial" w:cs="Arial" w:eastAsia="Arial" w:hAnsi="Arial"/>
                <w:sz w:val="18"/>
                <w:szCs w:val="18"/>
                <w:b w:val="1"/>
                <w:bCs w:val="1"/>
                <w:color w:val="auto"/>
              </w:rPr>
              <w:t>Leases</w:t>
            </w:r>
          </w:p>
        </w:tc>
      </w:tr>
      <w:tr>
        <w:trPr>
          <w:trHeight w:val="41"/>
        </w:trPr>
        <w:tc>
          <w:tcPr>
            <w:tcW w:w="8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56"/>
        </w:trPr>
        <w:tc>
          <w:tcPr>
            <w:tcW w:w="852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2021</w:t>
            </w:r>
          </w:p>
        </w:tc>
        <w:tc>
          <w:tcPr>
            <w:tcW w:w="2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90</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70</w:t>
            </w:r>
          </w:p>
        </w:tc>
      </w:tr>
      <w:tr>
        <w:trPr>
          <w:trHeight w:val="250"/>
        </w:trPr>
        <w:tc>
          <w:tcPr>
            <w:tcW w:w="8520" w:type="dxa"/>
            <w:vAlign w:val="bottom"/>
          </w:tcPr>
          <w:p>
            <w:pPr>
              <w:ind w:left="20"/>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w:t>
            </w:r>
          </w:p>
        </w:tc>
        <w:tc>
          <w:tcPr>
            <w:tcW w:w="2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69</w:t>
            </w:r>
          </w:p>
        </w:tc>
      </w:tr>
      <w:tr>
        <w:trPr>
          <w:trHeight w:val="263"/>
        </w:trPr>
        <w:tc>
          <w:tcPr>
            <w:tcW w:w="852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2023</w:t>
            </w:r>
          </w:p>
        </w:tc>
        <w:tc>
          <w:tcPr>
            <w:tcW w:w="220" w:type="dxa"/>
            <w:vAlign w:val="bottom"/>
            <w:shd w:val="clear" w:color="auto" w:fill="D1D2D4"/>
          </w:tcPr>
          <w:p>
            <w:pPr>
              <w:spacing w:after="0"/>
              <w:rPr>
                <w:sz w:val="22"/>
                <w:szCs w:val="22"/>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70</w:t>
            </w:r>
          </w:p>
        </w:tc>
        <w:tc>
          <w:tcPr>
            <w:tcW w:w="200" w:type="dxa"/>
            <w:vAlign w:val="bottom"/>
            <w:shd w:val="clear" w:color="auto" w:fill="D1D2D4"/>
          </w:tcPr>
          <w:p>
            <w:pPr>
              <w:spacing w:after="0"/>
              <w:rPr>
                <w:sz w:val="22"/>
                <w:szCs w:val="22"/>
                <w:color w:val="auto"/>
              </w:rPr>
            </w:pPr>
          </w:p>
        </w:tc>
        <w:tc>
          <w:tcPr>
            <w:tcW w:w="118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65</w:t>
            </w:r>
          </w:p>
        </w:tc>
      </w:tr>
      <w:tr>
        <w:trPr>
          <w:trHeight w:val="250"/>
        </w:trPr>
        <w:tc>
          <w:tcPr>
            <w:tcW w:w="8520" w:type="dxa"/>
            <w:vAlign w:val="bottom"/>
          </w:tcPr>
          <w:p>
            <w:pPr>
              <w:ind w:left="20"/>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55</w:t>
            </w:r>
          </w:p>
        </w:tc>
      </w:tr>
      <w:tr>
        <w:trPr>
          <w:trHeight w:val="263"/>
        </w:trPr>
        <w:tc>
          <w:tcPr>
            <w:tcW w:w="852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2025</w:t>
            </w:r>
          </w:p>
        </w:tc>
        <w:tc>
          <w:tcPr>
            <w:tcW w:w="220" w:type="dxa"/>
            <w:vAlign w:val="bottom"/>
            <w:shd w:val="clear" w:color="auto" w:fill="D1D2D4"/>
          </w:tcPr>
          <w:p>
            <w:pPr>
              <w:spacing w:after="0"/>
              <w:rPr>
                <w:sz w:val="22"/>
                <w:szCs w:val="22"/>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38</w:t>
            </w:r>
          </w:p>
        </w:tc>
        <w:tc>
          <w:tcPr>
            <w:tcW w:w="200" w:type="dxa"/>
            <w:vAlign w:val="bottom"/>
            <w:shd w:val="clear" w:color="auto" w:fill="D1D2D4"/>
          </w:tcPr>
          <w:p>
            <w:pPr>
              <w:spacing w:after="0"/>
              <w:rPr>
                <w:sz w:val="22"/>
                <w:szCs w:val="22"/>
                <w:color w:val="auto"/>
              </w:rPr>
            </w:pPr>
          </w:p>
        </w:tc>
        <w:tc>
          <w:tcPr>
            <w:tcW w:w="118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47</w:t>
            </w:r>
          </w:p>
        </w:tc>
      </w:tr>
      <w:tr>
        <w:trPr>
          <w:trHeight w:val="250"/>
        </w:trPr>
        <w:tc>
          <w:tcPr>
            <w:tcW w:w="8520" w:type="dxa"/>
            <w:vAlign w:val="bottom"/>
          </w:tcPr>
          <w:p>
            <w:pPr>
              <w:ind w:left="20"/>
              <w:spacing w:after="0"/>
              <w:rPr>
                <w:sz w:val="20"/>
                <w:szCs w:val="20"/>
                <w:color w:val="auto"/>
              </w:rPr>
            </w:pPr>
            <w:r>
              <w:rPr>
                <w:rFonts w:ascii="Arial" w:cs="Arial" w:eastAsia="Arial" w:hAnsi="Arial"/>
                <w:sz w:val="18"/>
                <w:szCs w:val="18"/>
                <w:color w:val="auto"/>
              </w:rPr>
              <w:t>2026 and thereafter</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248</w:t>
            </w:r>
          </w:p>
        </w:tc>
        <w:tc>
          <w:tcPr>
            <w:tcW w:w="2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401</w:t>
            </w:r>
          </w:p>
        </w:tc>
      </w:tr>
      <w:tr>
        <w:trPr>
          <w:trHeight w:val="257"/>
        </w:trPr>
        <w:tc>
          <w:tcPr>
            <w:tcW w:w="8520" w:type="dxa"/>
            <w:vAlign w:val="bottom"/>
            <w:shd w:val="clear" w:color="auto" w:fill="D1D2D4"/>
          </w:tcPr>
          <w:p>
            <w:pPr>
              <w:ind w:left="20"/>
              <w:spacing w:after="0"/>
              <w:rPr>
                <w:sz w:val="20"/>
                <w:szCs w:val="20"/>
                <w:color w:val="auto"/>
              </w:rPr>
            </w:pPr>
            <w:r>
              <w:rPr>
                <w:rFonts w:ascii="Arial" w:cs="Arial" w:eastAsia="Arial" w:hAnsi="Arial"/>
                <w:sz w:val="18"/>
                <w:szCs w:val="18"/>
                <w:color w:val="auto"/>
              </w:rPr>
              <w:t>Less imputed interest</w:t>
            </w:r>
          </w:p>
        </w:tc>
        <w:tc>
          <w:tcPr>
            <w:tcW w:w="220" w:type="dxa"/>
            <w:vAlign w:val="bottom"/>
            <w:tcBorders>
              <w:bottom w:val="single" w:sz="8" w:color="auto"/>
            </w:tcBorders>
            <w:shd w:val="clear" w:color="auto" w:fill="D1D2D4"/>
          </w:tcPr>
          <w:p>
            <w:pPr>
              <w:spacing w:after="0"/>
              <w:rPr>
                <w:sz w:val="22"/>
                <w:szCs w:val="22"/>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(103)</w:t>
            </w:r>
          </w:p>
        </w:tc>
        <w:tc>
          <w:tcPr>
            <w:tcW w:w="200" w:type="dxa"/>
            <w:vAlign w:val="bottom"/>
            <w:tcBorders>
              <w:bottom w:val="single" w:sz="8" w:color="auto"/>
            </w:tcBorders>
            <w:shd w:val="clear" w:color="auto" w:fill="D1D2D4"/>
          </w:tcPr>
          <w:p>
            <w:pPr>
              <w:spacing w:after="0"/>
              <w:rPr>
                <w:sz w:val="22"/>
                <w:szCs w:val="22"/>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(120)</w:t>
            </w:r>
          </w:p>
        </w:tc>
      </w:tr>
      <w:tr>
        <w:trPr>
          <w:trHeight w:val="250"/>
        </w:trPr>
        <w:tc>
          <w:tcPr>
            <w:tcW w:w="852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587</w:t>
            </w:r>
          </w:p>
        </w:tc>
      </w:tr>
      <w:tr>
        <w:trPr>
          <w:trHeight w:val="27"/>
        </w:trPr>
        <w:tc>
          <w:tcPr>
            <w:tcW w:w="85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35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table above excludes any lease liabilities for leases that have been executed but have not yet commenced. As of September 3, 2020, we had such lease liabilities relating to 1) operating lease payment obligations of $148 million for the initial 10-year lease term for a building, which may, at our election, be terminated after 3 years or extended for an additional 10 years, and 2) finance lease obligations of $838 million over a weighted-average period of 15 years for gas supply arrangements deemed to contain embedded leases. We will recognize right-of-use assets and associated lease liabilities at the time such assets become available for our use.</w:t>
      </w:r>
    </w:p>
    <w:p>
      <w:pPr>
        <w:spacing w:after="0" w:line="23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As of August 29, 2019, prior to our adoption of ASC 842, future minimum operating lease commitments with an initial term in excess of one year were $54 million for 2020, $64 million for 2021, $63 million for 2022, $59 million for 2023, $53 million for 2024, and $459 million in 2025 and thereafter.</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Accounts Payable and Accrued Expenses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30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As of</w:t>
            </w:r>
          </w:p>
        </w:tc>
        <w:tc>
          <w:tcPr>
            <w:tcW w:w="320" w:type="dxa"/>
            <w:vAlign w:val="bottom"/>
            <w:tcBorders>
              <w:bottom w:val="single" w:sz="8" w:color="0090DA"/>
            </w:tcBorders>
          </w:tcPr>
          <w:p>
            <w:pPr>
              <w:spacing w:after="0"/>
              <w:rPr>
                <w:sz w:val="21"/>
                <w:szCs w:val="21"/>
                <w:color w:val="auto"/>
              </w:rPr>
            </w:pPr>
          </w:p>
        </w:tc>
        <w:tc>
          <w:tcPr>
            <w:tcW w:w="1120" w:type="dxa"/>
            <w:vAlign w:val="bottom"/>
            <w:tcBorders>
              <w:bottom w:val="single" w:sz="8" w:color="0090DA"/>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360" w:type="dxa"/>
            <w:vAlign w:val="bottom"/>
            <w:tcBorders>
              <w:bottom w:val="single" w:sz="8" w:color="0090DA"/>
            </w:tcBorders>
          </w:tcPr>
          <w:p>
            <w:pPr>
              <w:spacing w:after="0"/>
              <w:rPr>
                <w:sz w:val="21"/>
                <w:szCs w:val="21"/>
                <w:color w:val="auto"/>
              </w:rPr>
            </w:pPr>
          </w:p>
        </w:tc>
        <w:tc>
          <w:tcPr>
            <w:tcW w:w="1140" w:type="dxa"/>
            <w:vAlign w:val="bottom"/>
            <w:tcBorders>
              <w:bottom w:val="single" w:sz="8" w:color="0090DA"/>
            </w:tcBorders>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41"/>
        </w:trPr>
        <w:tc>
          <w:tcPr>
            <w:tcW w:w="83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56"/>
        </w:trPr>
        <w:tc>
          <w:tcPr>
            <w:tcW w:w="8300" w:type="dxa"/>
            <w:vAlign w:val="bottom"/>
            <w:shd w:val="clear" w:color="auto" w:fill="D1D2D4"/>
          </w:tcPr>
          <w:p>
            <w:pPr>
              <w:ind w:left="2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2,191</w:t>
            </w:r>
          </w:p>
        </w:tc>
        <w:tc>
          <w:tcPr>
            <w:tcW w:w="36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1,677</w:t>
            </w:r>
          </w:p>
        </w:tc>
      </w:tr>
      <w:tr>
        <w:trPr>
          <w:trHeight w:val="250"/>
        </w:trPr>
        <w:tc>
          <w:tcPr>
            <w:tcW w:w="830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2,374</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1,782</w:t>
            </w:r>
          </w:p>
        </w:tc>
      </w:tr>
      <w:tr>
        <w:trPr>
          <w:trHeight w:val="263"/>
        </w:trPr>
        <w:tc>
          <w:tcPr>
            <w:tcW w:w="8300" w:type="dxa"/>
            <w:vAlign w:val="bottom"/>
            <w:shd w:val="clear" w:color="auto" w:fill="D1D2D4"/>
          </w:tcPr>
          <w:p>
            <w:pPr>
              <w:ind w:left="20"/>
              <w:spacing w:after="0"/>
              <w:rPr>
                <w:sz w:val="20"/>
                <w:szCs w:val="20"/>
                <w:color w:val="auto"/>
              </w:rPr>
            </w:pPr>
            <w:r>
              <w:rPr>
                <w:rFonts w:ascii="Arial" w:cs="Arial" w:eastAsia="Arial" w:hAnsi="Arial"/>
                <w:sz w:val="18"/>
                <w:szCs w:val="18"/>
                <w:color w:val="auto"/>
              </w:rPr>
              <w:t>Salaries, wages, and benefits</w:t>
            </w:r>
          </w:p>
        </w:tc>
        <w:tc>
          <w:tcPr>
            <w:tcW w:w="320" w:type="dxa"/>
            <w:vAlign w:val="bottom"/>
            <w:shd w:val="clear" w:color="auto" w:fill="D1D2D4"/>
          </w:tcPr>
          <w:p>
            <w:pPr>
              <w:spacing w:after="0"/>
              <w:rPr>
                <w:sz w:val="22"/>
                <w:szCs w:val="22"/>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849</w:t>
            </w:r>
          </w:p>
        </w:tc>
        <w:tc>
          <w:tcPr>
            <w:tcW w:w="360" w:type="dxa"/>
            <w:vAlign w:val="bottom"/>
            <w:shd w:val="clear" w:color="auto" w:fill="D1D2D4"/>
          </w:tcPr>
          <w:p>
            <w:pPr>
              <w:spacing w:after="0"/>
              <w:rPr>
                <w:sz w:val="22"/>
                <w:szCs w:val="22"/>
                <w:color w:val="auto"/>
              </w:rPr>
            </w:pPr>
          </w:p>
        </w:tc>
        <w:tc>
          <w:tcPr>
            <w:tcW w:w="11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695</w:t>
            </w:r>
          </w:p>
        </w:tc>
      </w:tr>
      <w:tr>
        <w:trPr>
          <w:trHeight w:val="250"/>
        </w:trPr>
        <w:tc>
          <w:tcPr>
            <w:tcW w:w="8300" w:type="dxa"/>
            <w:vAlign w:val="bottom"/>
          </w:tcPr>
          <w:p>
            <w:pPr>
              <w:ind w:left="20"/>
              <w:spacing w:after="0"/>
              <w:rPr>
                <w:sz w:val="20"/>
                <w:szCs w:val="20"/>
                <w:color w:val="auto"/>
              </w:rPr>
            </w:pPr>
            <w:r>
              <w:rPr>
                <w:rFonts w:ascii="Arial" w:cs="Arial" w:eastAsia="Arial" w:hAnsi="Arial"/>
                <w:sz w:val="18"/>
                <w:szCs w:val="18"/>
                <w:color w:val="auto"/>
              </w:rPr>
              <w:t>Income and other taxes</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237</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309</w:t>
            </w:r>
          </w:p>
        </w:tc>
      </w:tr>
      <w:tr>
        <w:trPr>
          <w:trHeight w:val="257"/>
        </w:trPr>
        <w:tc>
          <w:tcPr>
            <w:tcW w:w="830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D1D2D4"/>
          </w:tcPr>
          <w:p>
            <w:pPr>
              <w:spacing w:after="0"/>
              <w:rPr>
                <w:sz w:val="22"/>
                <w:szCs w:val="22"/>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166</w:t>
            </w:r>
          </w:p>
        </w:tc>
        <w:tc>
          <w:tcPr>
            <w:tcW w:w="360" w:type="dxa"/>
            <w:vAlign w:val="bottom"/>
            <w:tcBorders>
              <w:bottom w:val="single" w:sz="8" w:color="auto"/>
            </w:tcBorders>
            <w:shd w:val="clear" w:color="auto" w:fill="D1D2D4"/>
          </w:tcPr>
          <w:p>
            <w:pPr>
              <w:spacing w:after="0"/>
              <w:rPr>
                <w:sz w:val="22"/>
                <w:szCs w:val="22"/>
                <w:color w:val="auto"/>
              </w:rPr>
            </w:pPr>
          </w:p>
        </w:tc>
        <w:tc>
          <w:tcPr>
            <w:tcW w:w="114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163</w:t>
            </w:r>
          </w:p>
        </w:tc>
      </w:tr>
      <w:tr>
        <w:trPr>
          <w:trHeight w:val="250"/>
        </w:trPr>
        <w:tc>
          <w:tcPr>
            <w:tcW w:w="830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5,817</w:t>
            </w: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4,626</w:t>
            </w:r>
          </w:p>
        </w:tc>
      </w:tr>
      <w:tr>
        <w:trPr>
          <w:trHeight w:val="27"/>
        </w:trPr>
        <w:tc>
          <w:tcPr>
            <w:tcW w:w="83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sz w:val="1"/>
          <w:szCs w:val="1"/>
          <w:color w:val="auto"/>
        </w:rPr>
        <w:drawing>
          <wp:inline distT="0" distB="0" distL="0" distR="0">
            <wp:extent cx="608330" cy="171450"/>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8330" cy="171450"/>
                    </a:xfrm>
                    <a:prstGeom prst="rect">
                      <a:avLst/>
                    </a:prstGeom>
                    <a:noFill/>
                    <a:ln>
                      <a:noFill/>
                    </a:ln>
                  </pic:spPr>
                </pic:pic>
              </a:graphicData>
            </a:graphic>
          </wp:inline>
        </w:drawing>
      </w:r>
      <w:r>
        <w:rPr>
          <w:rFonts w:ascii="Arial" w:cs="Arial" w:eastAsia="Arial" w:hAnsi="Arial"/>
          <w:sz w:val="18"/>
          <w:szCs w:val="18"/>
          <w:color w:val="auto"/>
        </w:rPr>
        <w:t xml:space="preserve">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40"/>
          <w:szCs w:val="40"/>
          <w:b w:val="1"/>
          <w:bCs w:val="1"/>
          <w:color w:val="auto"/>
        </w:rPr>
        <w:t>Debt</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1920" w:type="dxa"/>
            <w:vAlign w:val="bottom"/>
          </w:tcPr>
          <w:p>
            <w:pPr>
              <w:spacing w:after="0"/>
              <w:rPr>
                <w:sz w:val="21"/>
                <w:szCs w:val="21"/>
                <w:color w:val="auto"/>
              </w:rPr>
            </w:pPr>
          </w:p>
        </w:tc>
        <w:tc>
          <w:tcPr>
            <w:tcW w:w="980" w:type="dxa"/>
            <w:vAlign w:val="bottom"/>
            <w:tcBorders>
              <w:bottom w:val="single" w:sz="8" w:color="0090DA"/>
            </w:tcBorders>
          </w:tcPr>
          <w:p>
            <w:pPr>
              <w:spacing w:after="0"/>
              <w:rPr>
                <w:sz w:val="21"/>
                <w:szCs w:val="21"/>
                <w:color w:val="auto"/>
              </w:rPr>
            </w:pPr>
          </w:p>
        </w:tc>
        <w:tc>
          <w:tcPr>
            <w:tcW w:w="980" w:type="dxa"/>
            <w:vAlign w:val="bottom"/>
            <w:tcBorders>
              <w:bottom w:val="single" w:sz="8" w:color="0090DA"/>
            </w:tcBorders>
          </w:tcPr>
          <w:p>
            <w:pPr>
              <w:spacing w:after="0"/>
              <w:rPr>
                <w:sz w:val="21"/>
                <w:szCs w:val="21"/>
                <w:color w:val="auto"/>
              </w:rPr>
            </w:pPr>
          </w:p>
        </w:tc>
        <w:tc>
          <w:tcPr>
            <w:tcW w:w="260" w:type="dxa"/>
            <w:vAlign w:val="bottom"/>
            <w:tcBorders>
              <w:bottom w:val="single" w:sz="8" w:color="0090DA"/>
            </w:tcBorders>
          </w:tcPr>
          <w:p>
            <w:pPr>
              <w:spacing w:after="0"/>
              <w:rPr>
                <w:sz w:val="21"/>
                <w:szCs w:val="21"/>
                <w:color w:val="auto"/>
              </w:rPr>
            </w:pPr>
          </w:p>
        </w:tc>
        <w:tc>
          <w:tcPr>
            <w:tcW w:w="820" w:type="dxa"/>
            <w:vAlign w:val="bottom"/>
            <w:tcBorders>
              <w:bottom w:val="single" w:sz="8" w:color="0090DA"/>
            </w:tcBorders>
            <w:gridSpan w:val="2"/>
          </w:tcPr>
          <w:p>
            <w:pPr>
              <w:jc w:val="right"/>
              <w:spacing w:after="0"/>
              <w:rPr>
                <w:sz w:val="20"/>
                <w:szCs w:val="20"/>
                <w:color w:val="auto"/>
              </w:rPr>
            </w:pPr>
            <w:r>
              <w:rPr>
                <w:rFonts w:ascii="Arial" w:cs="Arial" w:eastAsia="Arial" w:hAnsi="Arial"/>
                <w:sz w:val="18"/>
                <w:szCs w:val="18"/>
                <w:b w:val="1"/>
                <w:bCs w:val="1"/>
                <w:color w:val="auto"/>
              </w:rPr>
              <w:t>2020</w:t>
            </w:r>
          </w:p>
        </w:tc>
        <w:tc>
          <w:tcPr>
            <w:tcW w:w="740" w:type="dxa"/>
            <w:vAlign w:val="bottom"/>
            <w:tcBorders>
              <w:bottom w:val="single" w:sz="8" w:color="0090DA"/>
            </w:tcBorders>
          </w:tcPr>
          <w:p>
            <w:pPr>
              <w:spacing w:after="0"/>
              <w:rPr>
                <w:sz w:val="21"/>
                <w:szCs w:val="21"/>
                <w:color w:val="auto"/>
              </w:rPr>
            </w:pPr>
          </w:p>
        </w:tc>
        <w:tc>
          <w:tcPr>
            <w:tcW w:w="180" w:type="dxa"/>
            <w:vAlign w:val="bottom"/>
            <w:tcBorders>
              <w:bottom w:val="single" w:sz="8" w:color="0090DA"/>
            </w:tcBorders>
          </w:tcPr>
          <w:p>
            <w:pPr>
              <w:spacing w:after="0"/>
              <w:rPr>
                <w:sz w:val="21"/>
                <w:szCs w:val="21"/>
                <w:color w:val="auto"/>
              </w:rPr>
            </w:pPr>
          </w:p>
        </w:tc>
        <w:tc>
          <w:tcPr>
            <w:tcW w:w="700" w:type="dxa"/>
            <w:vAlign w:val="bottom"/>
            <w:tcBorders>
              <w:bottom w:val="single" w:sz="8" w:color="0090DA"/>
            </w:tcBorders>
          </w:tcPr>
          <w:p>
            <w:pPr>
              <w:spacing w:after="0"/>
              <w:rPr>
                <w:sz w:val="21"/>
                <w:szCs w:val="21"/>
                <w:color w:val="auto"/>
              </w:rPr>
            </w:pPr>
          </w:p>
        </w:tc>
        <w:tc>
          <w:tcPr>
            <w:tcW w:w="220" w:type="dxa"/>
            <w:vAlign w:val="bottom"/>
            <w:tcBorders>
              <w:bottom w:val="single" w:sz="8" w:color="0090DA"/>
            </w:tcBorders>
          </w:tcPr>
          <w:p>
            <w:pPr>
              <w:spacing w:after="0"/>
              <w:rPr>
                <w:sz w:val="21"/>
                <w:szCs w:val="21"/>
                <w:color w:val="auto"/>
              </w:rPr>
            </w:pPr>
          </w:p>
        </w:tc>
        <w:tc>
          <w:tcPr>
            <w:tcW w:w="720" w:type="dxa"/>
            <w:vAlign w:val="bottom"/>
            <w:tcBorders>
              <w:bottom w:val="single" w:sz="8" w:color="0090DA"/>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0090DA"/>
            </w:tcBorders>
          </w:tcPr>
          <w:p>
            <w:pPr>
              <w:spacing w:after="0"/>
              <w:rPr>
                <w:sz w:val="21"/>
                <w:szCs w:val="21"/>
                <w:color w:val="auto"/>
              </w:rPr>
            </w:pPr>
          </w:p>
        </w:tc>
        <w:tc>
          <w:tcPr>
            <w:tcW w:w="680" w:type="dxa"/>
            <w:vAlign w:val="bottom"/>
            <w:tcBorders>
              <w:bottom w:val="single" w:sz="8" w:color="0090DA"/>
            </w:tcBorders>
          </w:tcPr>
          <w:p>
            <w:pPr>
              <w:spacing w:after="0"/>
              <w:rPr>
                <w:sz w:val="21"/>
                <w:szCs w:val="21"/>
                <w:color w:val="auto"/>
              </w:rPr>
            </w:pPr>
          </w:p>
        </w:tc>
        <w:tc>
          <w:tcPr>
            <w:tcW w:w="120" w:type="dxa"/>
            <w:vAlign w:val="bottom"/>
            <w:tcBorders>
              <w:bottom w:val="single" w:sz="8" w:color="0090DA"/>
            </w:tcBorders>
          </w:tcPr>
          <w:p>
            <w:pPr>
              <w:spacing w:after="0"/>
              <w:rPr>
                <w:sz w:val="21"/>
                <w:szCs w:val="21"/>
                <w:color w:val="auto"/>
              </w:rPr>
            </w:pPr>
          </w:p>
        </w:tc>
        <w:tc>
          <w:tcPr>
            <w:tcW w:w="960" w:type="dxa"/>
            <w:vAlign w:val="bottom"/>
            <w:tcBorders>
              <w:bottom w:val="single" w:sz="8" w:color="0090DA"/>
            </w:tcBorders>
            <w:gridSpan w:val="2"/>
          </w:tcPr>
          <w:p>
            <w:pPr>
              <w:jc w:val="right"/>
              <w:spacing w:after="0"/>
              <w:rPr>
                <w:sz w:val="20"/>
                <w:szCs w:val="20"/>
                <w:color w:val="auto"/>
              </w:rPr>
            </w:pPr>
            <w:r>
              <w:rPr>
                <w:rFonts w:ascii="Arial" w:cs="Arial" w:eastAsia="Arial" w:hAnsi="Arial"/>
                <w:sz w:val="18"/>
                <w:szCs w:val="18"/>
                <w:b w:val="1"/>
                <w:bCs w:val="1"/>
                <w:color w:val="auto"/>
              </w:rPr>
              <w:t>2019</w:t>
            </w:r>
          </w:p>
        </w:tc>
        <w:tc>
          <w:tcPr>
            <w:tcW w:w="680" w:type="dxa"/>
            <w:vAlign w:val="bottom"/>
            <w:tcBorders>
              <w:bottom w:val="single" w:sz="8" w:color="0090DA"/>
            </w:tcBorders>
          </w:tcPr>
          <w:p>
            <w:pPr>
              <w:spacing w:after="0"/>
              <w:rPr>
                <w:sz w:val="21"/>
                <w:szCs w:val="21"/>
                <w:color w:val="auto"/>
              </w:rPr>
            </w:pPr>
          </w:p>
        </w:tc>
        <w:tc>
          <w:tcPr>
            <w:tcW w:w="200" w:type="dxa"/>
            <w:vAlign w:val="bottom"/>
            <w:tcBorders>
              <w:bottom w:val="single" w:sz="8" w:color="0090DA"/>
            </w:tcBorders>
          </w:tcPr>
          <w:p>
            <w:pPr>
              <w:spacing w:after="0"/>
              <w:rPr>
                <w:sz w:val="21"/>
                <w:szCs w:val="21"/>
                <w:color w:val="auto"/>
              </w:rPr>
            </w:pPr>
          </w:p>
        </w:tc>
        <w:tc>
          <w:tcPr>
            <w:tcW w:w="720" w:type="dxa"/>
            <w:vAlign w:val="bottom"/>
            <w:tcBorders>
              <w:bottom w:val="single" w:sz="8" w:color="0090DA"/>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9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60" w:type="dxa"/>
            <w:vAlign w:val="bottom"/>
            <w:gridSpan w:val="6"/>
          </w:tcPr>
          <w:p>
            <w:pPr>
              <w:jc w:val="center"/>
              <w:ind w:right="240"/>
              <w:spacing w:after="0"/>
              <w:rPr>
                <w:sz w:val="20"/>
                <w:szCs w:val="20"/>
                <w:color w:val="auto"/>
              </w:rPr>
            </w:pPr>
            <w:r>
              <w:rPr>
                <w:rFonts w:ascii="Arial" w:cs="Arial" w:eastAsia="Arial" w:hAnsi="Arial"/>
                <w:sz w:val="18"/>
                <w:szCs w:val="18"/>
                <w:b w:val="1"/>
                <w:bCs w:val="1"/>
                <w:color w:val="auto"/>
              </w:rPr>
              <w:t>Net Carrying Amount</w:t>
            </w: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60" w:type="dxa"/>
            <w:vAlign w:val="bottom"/>
            <w:gridSpan w:val="5"/>
          </w:tcPr>
          <w:p>
            <w:pPr>
              <w:jc w:val="center"/>
              <w:ind w:right="30"/>
              <w:spacing w:after="0"/>
              <w:rPr>
                <w:sz w:val="20"/>
                <w:szCs w:val="20"/>
                <w:color w:val="auto"/>
              </w:rPr>
            </w:pPr>
            <w:r>
              <w:rPr>
                <w:rFonts w:ascii="Arial" w:cs="Arial" w:eastAsia="Arial" w:hAnsi="Arial"/>
                <w:sz w:val="18"/>
                <w:szCs w:val="18"/>
                <w:b w:val="1"/>
                <w:bCs w:val="1"/>
                <w:color w:val="auto"/>
                <w:w w:val="99"/>
              </w:rPr>
              <w:t>Net Carrying Amount</w:t>
            </w:r>
          </w:p>
        </w:tc>
        <w:tc>
          <w:tcPr>
            <w:tcW w:w="0" w:type="dxa"/>
            <w:vAlign w:val="bottom"/>
          </w:tcPr>
          <w:p>
            <w:pPr>
              <w:spacing w:after="0"/>
              <w:rPr>
                <w:sz w:val="1"/>
                <w:szCs w:val="1"/>
                <w:color w:val="auto"/>
              </w:rPr>
            </w:pPr>
          </w:p>
        </w:tc>
      </w:tr>
      <w:tr>
        <w:trPr>
          <w:trHeight w:val="207"/>
        </w:trPr>
        <w:tc>
          <w:tcPr>
            <w:tcW w:w="1920" w:type="dxa"/>
            <w:vAlign w:val="bottom"/>
          </w:tcPr>
          <w:p>
            <w:pPr>
              <w:spacing w:after="0"/>
              <w:rPr>
                <w:sz w:val="17"/>
                <w:szCs w:val="17"/>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b w:val="1"/>
                <w:bCs w:val="1"/>
                <w:color w:val="auto"/>
              </w:rPr>
              <w:t>Stated</w:t>
            </w:r>
          </w:p>
        </w:tc>
        <w:tc>
          <w:tcPr>
            <w:tcW w:w="980" w:type="dxa"/>
            <w:vAlign w:val="bottom"/>
          </w:tcPr>
          <w:p>
            <w:pPr>
              <w:jc w:val="right"/>
              <w:ind w:right="50"/>
              <w:spacing w:after="0"/>
              <w:rPr>
                <w:sz w:val="20"/>
                <w:szCs w:val="20"/>
                <w:color w:val="auto"/>
              </w:rPr>
            </w:pPr>
            <w:r>
              <w:rPr>
                <w:rFonts w:ascii="Arial" w:cs="Arial" w:eastAsia="Arial" w:hAnsi="Arial"/>
                <w:sz w:val="18"/>
                <w:szCs w:val="18"/>
                <w:b w:val="1"/>
                <w:bCs w:val="1"/>
                <w:color w:val="auto"/>
              </w:rPr>
              <w:t>Effective</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Borders>
              <w:top w:val="single" w:sz="8" w:color="0090DA"/>
            </w:tcBorders>
          </w:tcPr>
          <w:p>
            <w:pPr>
              <w:spacing w:after="0"/>
              <w:rPr>
                <w:sz w:val="17"/>
                <w:szCs w:val="17"/>
                <w:color w:val="auto"/>
              </w:rPr>
            </w:pPr>
          </w:p>
        </w:tc>
        <w:tc>
          <w:tcPr>
            <w:tcW w:w="740" w:type="dxa"/>
            <w:vAlign w:val="bottom"/>
            <w:tcBorders>
              <w:top w:val="single" w:sz="8" w:color="0090DA"/>
            </w:tcBorders>
          </w:tcPr>
          <w:p>
            <w:pPr>
              <w:spacing w:after="0"/>
              <w:rPr>
                <w:sz w:val="17"/>
                <w:szCs w:val="17"/>
                <w:color w:val="auto"/>
              </w:rPr>
            </w:pPr>
          </w:p>
        </w:tc>
        <w:tc>
          <w:tcPr>
            <w:tcW w:w="180" w:type="dxa"/>
            <w:vAlign w:val="bottom"/>
            <w:tcBorders>
              <w:top w:val="single" w:sz="8" w:color="0090DA"/>
            </w:tcBorders>
          </w:tcPr>
          <w:p>
            <w:pPr>
              <w:spacing w:after="0"/>
              <w:rPr>
                <w:sz w:val="17"/>
                <w:szCs w:val="17"/>
                <w:color w:val="auto"/>
              </w:rPr>
            </w:pPr>
          </w:p>
        </w:tc>
        <w:tc>
          <w:tcPr>
            <w:tcW w:w="700" w:type="dxa"/>
            <w:vAlign w:val="bottom"/>
            <w:tcBorders>
              <w:top w:val="single" w:sz="8" w:color="0090DA"/>
            </w:tcBorders>
          </w:tcPr>
          <w:p>
            <w:pPr>
              <w:jc w:val="center"/>
              <w:ind w:right="30"/>
              <w:spacing w:after="0"/>
              <w:rPr>
                <w:sz w:val="20"/>
                <w:szCs w:val="20"/>
                <w:color w:val="auto"/>
              </w:rPr>
            </w:pPr>
            <w:r>
              <w:rPr>
                <w:rFonts w:ascii="Arial" w:cs="Arial" w:eastAsia="Arial" w:hAnsi="Arial"/>
                <w:sz w:val="18"/>
                <w:szCs w:val="18"/>
                <w:b w:val="1"/>
                <w:bCs w:val="1"/>
                <w:color w:val="auto"/>
                <w:w w:val="99"/>
              </w:rPr>
              <w:t>Long-</w:t>
            </w:r>
          </w:p>
        </w:tc>
        <w:tc>
          <w:tcPr>
            <w:tcW w:w="220" w:type="dxa"/>
            <w:vAlign w:val="bottom"/>
            <w:tcBorders>
              <w:top w:val="single" w:sz="8" w:color="0090DA"/>
            </w:tcBorders>
          </w:tcPr>
          <w:p>
            <w:pPr>
              <w:spacing w:after="0"/>
              <w:rPr>
                <w:sz w:val="17"/>
                <w:szCs w:val="17"/>
                <w:color w:val="auto"/>
              </w:rPr>
            </w:pPr>
          </w:p>
        </w:tc>
        <w:tc>
          <w:tcPr>
            <w:tcW w:w="720" w:type="dxa"/>
            <w:vAlign w:val="bottom"/>
            <w:tcBorders>
              <w:top w:val="single" w:sz="8" w:color="0090DA"/>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Borders>
              <w:top w:val="single" w:sz="8" w:color="0090DA"/>
            </w:tcBorders>
          </w:tcPr>
          <w:p>
            <w:pPr>
              <w:spacing w:after="0"/>
              <w:rPr>
                <w:sz w:val="17"/>
                <w:szCs w:val="17"/>
                <w:color w:val="auto"/>
              </w:rPr>
            </w:pPr>
          </w:p>
        </w:tc>
        <w:tc>
          <w:tcPr>
            <w:tcW w:w="740" w:type="dxa"/>
            <w:vAlign w:val="bottom"/>
            <w:tcBorders>
              <w:top w:val="single" w:sz="8" w:color="0090DA"/>
            </w:tcBorders>
          </w:tcPr>
          <w:p>
            <w:pPr>
              <w:spacing w:after="0"/>
              <w:rPr>
                <w:sz w:val="17"/>
                <w:szCs w:val="17"/>
                <w:color w:val="auto"/>
              </w:rPr>
            </w:pPr>
          </w:p>
        </w:tc>
        <w:tc>
          <w:tcPr>
            <w:tcW w:w="220" w:type="dxa"/>
            <w:vAlign w:val="bottom"/>
            <w:tcBorders>
              <w:top w:val="single" w:sz="8" w:color="0090DA"/>
            </w:tcBorders>
          </w:tcPr>
          <w:p>
            <w:pPr>
              <w:spacing w:after="0"/>
              <w:rPr>
                <w:sz w:val="17"/>
                <w:szCs w:val="17"/>
                <w:color w:val="auto"/>
              </w:rPr>
            </w:pPr>
          </w:p>
        </w:tc>
        <w:tc>
          <w:tcPr>
            <w:tcW w:w="680" w:type="dxa"/>
            <w:vAlign w:val="bottom"/>
            <w:tcBorders>
              <w:top w:val="single" w:sz="8" w:color="0090DA"/>
            </w:tcBorders>
          </w:tcPr>
          <w:p>
            <w:pPr>
              <w:jc w:val="center"/>
              <w:ind w:right="50"/>
              <w:spacing w:after="0"/>
              <w:rPr>
                <w:sz w:val="20"/>
                <w:szCs w:val="20"/>
                <w:color w:val="auto"/>
              </w:rPr>
            </w:pPr>
            <w:r>
              <w:rPr>
                <w:rFonts w:ascii="Arial" w:cs="Arial" w:eastAsia="Arial" w:hAnsi="Arial"/>
                <w:sz w:val="18"/>
                <w:szCs w:val="18"/>
                <w:b w:val="1"/>
                <w:bCs w:val="1"/>
                <w:color w:val="auto"/>
                <w:w w:val="99"/>
              </w:rPr>
              <w:t>Long-</w:t>
            </w:r>
          </w:p>
        </w:tc>
        <w:tc>
          <w:tcPr>
            <w:tcW w:w="200" w:type="dxa"/>
            <w:vAlign w:val="bottom"/>
            <w:tcBorders>
              <w:top w:val="single" w:sz="8" w:color="0090DA"/>
            </w:tcBorders>
          </w:tcPr>
          <w:p>
            <w:pPr>
              <w:spacing w:after="0"/>
              <w:rPr>
                <w:sz w:val="17"/>
                <w:szCs w:val="17"/>
                <w:color w:val="auto"/>
              </w:rPr>
            </w:pPr>
          </w:p>
        </w:tc>
        <w:tc>
          <w:tcPr>
            <w:tcW w:w="720" w:type="dxa"/>
            <w:vAlign w:val="bottom"/>
            <w:tcBorders>
              <w:top w:val="single" w:sz="8" w:color="0090DA"/>
            </w:tcBorders>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1920" w:type="dxa"/>
            <w:vAlign w:val="bottom"/>
          </w:tcPr>
          <w:p>
            <w:pPr>
              <w:ind w:left="20"/>
              <w:spacing w:after="0"/>
              <w:rPr>
                <w:sz w:val="20"/>
                <w:szCs w:val="20"/>
                <w:color w:val="auto"/>
              </w:rPr>
            </w:pPr>
            <w:r>
              <w:rPr>
                <w:rFonts w:ascii="Arial" w:cs="Arial" w:eastAsia="Arial" w:hAnsi="Arial"/>
                <w:sz w:val="18"/>
                <w:szCs w:val="18"/>
                <w:b w:val="1"/>
                <w:bCs w:val="1"/>
                <w:color w:val="auto"/>
              </w:rPr>
              <w:t>As of</w:t>
            </w:r>
          </w:p>
        </w:tc>
        <w:tc>
          <w:tcPr>
            <w:tcW w:w="980" w:type="dxa"/>
            <w:vAlign w:val="bottom"/>
          </w:tcPr>
          <w:p>
            <w:pPr>
              <w:jc w:val="right"/>
              <w:ind w:right="230"/>
              <w:spacing w:after="0"/>
              <w:rPr>
                <w:sz w:val="20"/>
                <w:szCs w:val="20"/>
                <w:color w:val="auto"/>
              </w:rPr>
            </w:pPr>
            <w:r>
              <w:rPr>
                <w:rFonts w:ascii="Arial" w:cs="Arial" w:eastAsia="Arial" w:hAnsi="Arial"/>
                <w:sz w:val="18"/>
                <w:szCs w:val="18"/>
                <w:b w:val="1"/>
                <w:bCs w:val="1"/>
                <w:color w:val="auto"/>
              </w:rPr>
              <w:t>Rate</w:t>
            </w:r>
          </w:p>
        </w:tc>
        <w:tc>
          <w:tcPr>
            <w:tcW w:w="980" w:type="dxa"/>
            <w:vAlign w:val="bottom"/>
          </w:tcPr>
          <w:p>
            <w:pPr>
              <w:jc w:val="right"/>
              <w:ind w:right="230"/>
              <w:spacing w:after="0"/>
              <w:rPr>
                <w:sz w:val="20"/>
                <w:szCs w:val="20"/>
                <w:color w:val="auto"/>
              </w:rPr>
            </w:pPr>
            <w:r>
              <w:rPr>
                <w:rFonts w:ascii="Arial" w:cs="Arial" w:eastAsia="Arial" w:hAnsi="Arial"/>
                <w:sz w:val="18"/>
                <w:szCs w:val="18"/>
                <w:b w:val="1"/>
                <w:bCs w:val="1"/>
                <w:color w:val="auto"/>
              </w:rPr>
              <w:t>Rate</w:t>
            </w: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Principal</w:t>
            </w:r>
          </w:p>
        </w:tc>
        <w:tc>
          <w:tcPr>
            <w:tcW w:w="14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b w:val="1"/>
                <w:bCs w:val="1"/>
                <w:color w:val="auto"/>
                <w:w w:val="95"/>
              </w:rPr>
              <w:t>Current</w:t>
            </w:r>
          </w:p>
        </w:tc>
        <w:tc>
          <w:tcPr>
            <w:tcW w:w="180" w:type="dxa"/>
            <w:vAlign w:val="bottom"/>
          </w:tcPr>
          <w:p>
            <w:pPr>
              <w:spacing w:after="0"/>
              <w:rPr>
                <w:sz w:val="21"/>
                <w:szCs w:val="21"/>
                <w:color w:val="auto"/>
              </w:rPr>
            </w:pPr>
          </w:p>
        </w:tc>
        <w:tc>
          <w:tcPr>
            <w:tcW w:w="700" w:type="dxa"/>
            <w:vAlign w:val="bottom"/>
          </w:tcPr>
          <w:p>
            <w:pPr>
              <w:jc w:val="center"/>
              <w:ind w:right="10"/>
              <w:spacing w:after="0"/>
              <w:rPr>
                <w:sz w:val="20"/>
                <w:szCs w:val="20"/>
                <w:color w:val="auto"/>
              </w:rPr>
            </w:pPr>
            <w:r>
              <w:rPr>
                <w:rFonts w:ascii="Arial" w:cs="Arial" w:eastAsia="Arial" w:hAnsi="Arial"/>
                <w:sz w:val="18"/>
                <w:szCs w:val="18"/>
                <w:b w:val="1"/>
                <w:bCs w:val="1"/>
                <w:color w:val="auto"/>
                <w:w w:val="99"/>
              </w:rPr>
              <w:t>Term</w:t>
            </w:r>
          </w:p>
        </w:tc>
        <w:tc>
          <w:tcPr>
            <w:tcW w:w="220" w:type="dxa"/>
            <w:vAlign w:val="bottom"/>
          </w:tcPr>
          <w:p>
            <w:pPr>
              <w:spacing w:after="0"/>
              <w:rPr>
                <w:sz w:val="21"/>
                <w:szCs w:val="21"/>
                <w:color w:val="auto"/>
              </w:rPr>
            </w:pPr>
          </w:p>
        </w:tc>
        <w:tc>
          <w:tcPr>
            <w:tcW w:w="820" w:type="dxa"/>
            <w:vAlign w:val="bottom"/>
            <w:gridSpan w:val="2"/>
          </w:tcPr>
          <w:p>
            <w:pPr>
              <w:ind w:left="60"/>
              <w:spacing w:after="0"/>
              <w:rPr>
                <w:sz w:val="20"/>
                <w:szCs w:val="20"/>
                <w:color w:val="auto"/>
              </w:rPr>
            </w:pPr>
            <w:r>
              <w:rPr>
                <w:rFonts w:ascii="Arial" w:cs="Arial" w:eastAsia="Arial" w:hAnsi="Arial"/>
                <w:sz w:val="18"/>
                <w:szCs w:val="18"/>
                <w:b w:val="1"/>
                <w:bCs w:val="1"/>
                <w:color w:val="auto"/>
              </w:rPr>
              <w:t>Total</w:t>
            </w: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w w:val="98"/>
              </w:rPr>
              <w:t>Current</w:t>
            </w:r>
          </w:p>
        </w:tc>
        <w:tc>
          <w:tcPr>
            <w:tcW w:w="220" w:type="dxa"/>
            <w:vAlign w:val="bottom"/>
          </w:tcPr>
          <w:p>
            <w:pPr>
              <w:spacing w:after="0"/>
              <w:rPr>
                <w:sz w:val="21"/>
                <w:szCs w:val="21"/>
                <w:color w:val="auto"/>
              </w:rPr>
            </w:pPr>
          </w:p>
        </w:tc>
        <w:tc>
          <w:tcPr>
            <w:tcW w:w="68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Term</w:t>
            </w:r>
          </w:p>
        </w:tc>
        <w:tc>
          <w:tcPr>
            <w:tcW w:w="200" w:type="dxa"/>
            <w:vAlign w:val="bottom"/>
          </w:tcPr>
          <w:p>
            <w:pPr>
              <w:spacing w:after="0"/>
              <w:rPr>
                <w:sz w:val="21"/>
                <w:szCs w:val="21"/>
                <w:color w:val="auto"/>
              </w:rPr>
            </w:pPr>
          </w:p>
        </w:tc>
        <w:tc>
          <w:tcPr>
            <w:tcW w:w="720" w:type="dxa"/>
            <w:vAlign w:val="bottom"/>
          </w:tcPr>
          <w:p>
            <w:pPr>
              <w:jc w:val="right"/>
              <w:ind w:right="1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40"/>
        </w:trPr>
        <w:tc>
          <w:tcPr>
            <w:tcW w:w="1920" w:type="dxa"/>
            <w:vAlign w:val="bottom"/>
            <w:tcBorders>
              <w:top w:val="single" w:sz="8" w:color="0090DA"/>
            </w:tcBorders>
          </w:tcPr>
          <w:p>
            <w:pPr>
              <w:spacing w:after="0"/>
              <w:rPr>
                <w:sz w:val="3"/>
                <w:szCs w:val="3"/>
                <w:color w:val="auto"/>
              </w:rPr>
            </w:pPr>
          </w:p>
        </w:tc>
        <w:tc>
          <w:tcPr>
            <w:tcW w:w="980" w:type="dxa"/>
            <w:vAlign w:val="bottom"/>
            <w:tcBorders>
              <w:top w:val="single" w:sz="8" w:color="0090DA"/>
            </w:tcBorders>
          </w:tcPr>
          <w:p>
            <w:pPr>
              <w:spacing w:after="0"/>
              <w:rPr>
                <w:sz w:val="3"/>
                <w:szCs w:val="3"/>
                <w:color w:val="auto"/>
              </w:rPr>
            </w:pPr>
          </w:p>
        </w:tc>
        <w:tc>
          <w:tcPr>
            <w:tcW w:w="980" w:type="dxa"/>
            <w:vAlign w:val="bottom"/>
            <w:tcBorders>
              <w:top w:val="single" w:sz="8" w:color="0090DA"/>
            </w:tcBorders>
          </w:tcPr>
          <w:p>
            <w:pPr>
              <w:spacing w:after="0"/>
              <w:rPr>
                <w:sz w:val="3"/>
                <w:szCs w:val="3"/>
                <w:color w:val="auto"/>
              </w:rPr>
            </w:pPr>
          </w:p>
        </w:tc>
        <w:tc>
          <w:tcPr>
            <w:tcW w:w="260" w:type="dxa"/>
            <w:vAlign w:val="bottom"/>
            <w:tcBorders>
              <w:top w:val="single" w:sz="8" w:color="0090DA"/>
            </w:tcBorders>
          </w:tcPr>
          <w:p>
            <w:pPr>
              <w:spacing w:after="0"/>
              <w:rPr>
                <w:sz w:val="3"/>
                <w:szCs w:val="3"/>
                <w:color w:val="auto"/>
              </w:rPr>
            </w:pPr>
          </w:p>
        </w:tc>
        <w:tc>
          <w:tcPr>
            <w:tcW w:w="680" w:type="dxa"/>
            <w:vAlign w:val="bottom"/>
            <w:tcBorders>
              <w:top w:val="single" w:sz="8" w:color="0090DA"/>
            </w:tcBorders>
          </w:tcPr>
          <w:p>
            <w:pPr>
              <w:spacing w:after="0"/>
              <w:rPr>
                <w:sz w:val="3"/>
                <w:szCs w:val="3"/>
                <w:color w:val="auto"/>
              </w:rPr>
            </w:pPr>
          </w:p>
        </w:tc>
        <w:tc>
          <w:tcPr>
            <w:tcW w:w="140" w:type="dxa"/>
            <w:vAlign w:val="bottom"/>
            <w:tcBorders>
              <w:top w:val="single" w:sz="8" w:color="0090DA"/>
            </w:tcBorders>
          </w:tcPr>
          <w:p>
            <w:pPr>
              <w:spacing w:after="0"/>
              <w:rPr>
                <w:sz w:val="3"/>
                <w:szCs w:val="3"/>
                <w:color w:val="auto"/>
              </w:rPr>
            </w:pPr>
          </w:p>
        </w:tc>
        <w:tc>
          <w:tcPr>
            <w:tcW w:w="740" w:type="dxa"/>
            <w:vAlign w:val="bottom"/>
            <w:tcBorders>
              <w:top w:val="single" w:sz="8" w:color="0090DA"/>
            </w:tcBorders>
          </w:tcPr>
          <w:p>
            <w:pPr>
              <w:spacing w:after="0"/>
              <w:rPr>
                <w:sz w:val="3"/>
                <w:szCs w:val="3"/>
                <w:color w:val="auto"/>
              </w:rPr>
            </w:pPr>
          </w:p>
        </w:tc>
        <w:tc>
          <w:tcPr>
            <w:tcW w:w="180" w:type="dxa"/>
            <w:vAlign w:val="bottom"/>
            <w:tcBorders>
              <w:top w:val="single" w:sz="8" w:color="0090DA"/>
            </w:tcBorders>
          </w:tcPr>
          <w:p>
            <w:pPr>
              <w:spacing w:after="0"/>
              <w:rPr>
                <w:sz w:val="3"/>
                <w:szCs w:val="3"/>
                <w:color w:val="auto"/>
              </w:rPr>
            </w:pPr>
          </w:p>
        </w:tc>
        <w:tc>
          <w:tcPr>
            <w:tcW w:w="700" w:type="dxa"/>
            <w:vAlign w:val="bottom"/>
            <w:tcBorders>
              <w:top w:val="single" w:sz="8" w:color="0090DA"/>
            </w:tcBorders>
          </w:tcPr>
          <w:p>
            <w:pPr>
              <w:spacing w:after="0"/>
              <w:rPr>
                <w:sz w:val="3"/>
                <w:szCs w:val="3"/>
                <w:color w:val="auto"/>
              </w:rPr>
            </w:pPr>
          </w:p>
        </w:tc>
        <w:tc>
          <w:tcPr>
            <w:tcW w:w="220" w:type="dxa"/>
            <w:vAlign w:val="bottom"/>
            <w:tcBorders>
              <w:top w:val="single" w:sz="8" w:color="0090DA"/>
            </w:tcBorders>
          </w:tcPr>
          <w:p>
            <w:pPr>
              <w:spacing w:after="0"/>
              <w:rPr>
                <w:sz w:val="3"/>
                <w:szCs w:val="3"/>
                <w:color w:val="auto"/>
              </w:rPr>
            </w:pPr>
          </w:p>
        </w:tc>
        <w:tc>
          <w:tcPr>
            <w:tcW w:w="720" w:type="dxa"/>
            <w:vAlign w:val="bottom"/>
            <w:tcBorders>
              <w:top w:val="single" w:sz="8" w:color="0090DA"/>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top w:val="single" w:sz="8" w:color="0090DA"/>
            </w:tcBorders>
          </w:tcPr>
          <w:p>
            <w:pPr>
              <w:spacing w:after="0"/>
              <w:rPr>
                <w:sz w:val="3"/>
                <w:szCs w:val="3"/>
                <w:color w:val="auto"/>
              </w:rPr>
            </w:pPr>
          </w:p>
        </w:tc>
        <w:tc>
          <w:tcPr>
            <w:tcW w:w="680" w:type="dxa"/>
            <w:vAlign w:val="bottom"/>
            <w:tcBorders>
              <w:top w:val="single" w:sz="8" w:color="0090DA"/>
            </w:tcBorders>
          </w:tcPr>
          <w:p>
            <w:pPr>
              <w:spacing w:after="0"/>
              <w:rPr>
                <w:sz w:val="3"/>
                <w:szCs w:val="3"/>
                <w:color w:val="auto"/>
              </w:rPr>
            </w:pPr>
          </w:p>
        </w:tc>
        <w:tc>
          <w:tcPr>
            <w:tcW w:w="120" w:type="dxa"/>
            <w:vAlign w:val="bottom"/>
            <w:tcBorders>
              <w:top w:val="single" w:sz="8" w:color="0090DA"/>
            </w:tcBorders>
          </w:tcPr>
          <w:p>
            <w:pPr>
              <w:spacing w:after="0"/>
              <w:rPr>
                <w:sz w:val="3"/>
                <w:szCs w:val="3"/>
                <w:color w:val="auto"/>
              </w:rPr>
            </w:pPr>
          </w:p>
        </w:tc>
        <w:tc>
          <w:tcPr>
            <w:tcW w:w="740" w:type="dxa"/>
            <w:vAlign w:val="bottom"/>
            <w:tcBorders>
              <w:top w:val="single" w:sz="8" w:color="0090DA"/>
            </w:tcBorders>
          </w:tcPr>
          <w:p>
            <w:pPr>
              <w:spacing w:after="0"/>
              <w:rPr>
                <w:sz w:val="3"/>
                <w:szCs w:val="3"/>
                <w:color w:val="auto"/>
              </w:rPr>
            </w:pPr>
          </w:p>
        </w:tc>
        <w:tc>
          <w:tcPr>
            <w:tcW w:w="220" w:type="dxa"/>
            <w:vAlign w:val="bottom"/>
            <w:tcBorders>
              <w:top w:val="single" w:sz="8" w:color="0090DA"/>
            </w:tcBorders>
          </w:tcPr>
          <w:p>
            <w:pPr>
              <w:spacing w:after="0"/>
              <w:rPr>
                <w:sz w:val="3"/>
                <w:szCs w:val="3"/>
                <w:color w:val="auto"/>
              </w:rPr>
            </w:pPr>
          </w:p>
        </w:tc>
        <w:tc>
          <w:tcPr>
            <w:tcW w:w="680" w:type="dxa"/>
            <w:vAlign w:val="bottom"/>
            <w:tcBorders>
              <w:top w:val="single" w:sz="8" w:color="0090DA"/>
            </w:tcBorders>
          </w:tcPr>
          <w:p>
            <w:pPr>
              <w:spacing w:after="0"/>
              <w:rPr>
                <w:sz w:val="3"/>
                <w:szCs w:val="3"/>
                <w:color w:val="auto"/>
              </w:rPr>
            </w:pPr>
          </w:p>
        </w:tc>
        <w:tc>
          <w:tcPr>
            <w:tcW w:w="200" w:type="dxa"/>
            <w:vAlign w:val="bottom"/>
            <w:tcBorders>
              <w:top w:val="single" w:sz="8" w:color="0090DA"/>
            </w:tcBorders>
          </w:tcPr>
          <w:p>
            <w:pPr>
              <w:spacing w:after="0"/>
              <w:rPr>
                <w:sz w:val="3"/>
                <w:szCs w:val="3"/>
                <w:color w:val="auto"/>
              </w:rPr>
            </w:pPr>
          </w:p>
        </w:tc>
        <w:tc>
          <w:tcPr>
            <w:tcW w:w="720" w:type="dxa"/>
            <w:vAlign w:val="bottom"/>
            <w:tcBorders>
              <w:top w:val="single" w:sz="8" w:color="0090DA"/>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192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Finance lease</w:t>
            </w:r>
          </w:p>
        </w:tc>
        <w:tc>
          <w:tcPr>
            <w:tcW w:w="98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N/A</w:t>
            </w:r>
          </w:p>
        </w:tc>
        <w:tc>
          <w:tcPr>
            <w:tcW w:w="1240" w:type="dxa"/>
            <w:vAlign w:val="bottom"/>
            <w:gridSpan w:val="2"/>
            <w:vMerge w:val="restart"/>
            <w:shd w:val="clear" w:color="auto" w:fill="D1D2D4"/>
          </w:tcPr>
          <w:p>
            <w:pPr>
              <w:jc w:val="right"/>
              <w:ind w:right="50"/>
              <w:spacing w:after="0"/>
              <w:rPr>
                <w:sz w:val="20"/>
                <w:szCs w:val="20"/>
                <w:color w:val="auto"/>
              </w:rPr>
            </w:pPr>
            <w:r>
              <w:rPr>
                <w:rFonts w:ascii="Arial" w:cs="Arial" w:eastAsia="Arial" w:hAnsi="Arial"/>
                <w:sz w:val="18"/>
                <w:szCs w:val="18"/>
                <w:color w:val="auto"/>
              </w:rPr>
              <w:t>4.51 % $</w:t>
            </w:r>
          </w:p>
        </w:tc>
        <w:tc>
          <w:tcPr>
            <w:tcW w:w="68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486</w:t>
            </w:r>
          </w:p>
        </w:tc>
        <w:tc>
          <w:tcPr>
            <w:tcW w:w="14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76</w:t>
            </w:r>
          </w:p>
        </w:tc>
        <w:tc>
          <w:tcPr>
            <w:tcW w:w="18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410</w:t>
            </w:r>
          </w:p>
        </w:tc>
        <w:tc>
          <w:tcPr>
            <w:tcW w:w="22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20" w:type="dxa"/>
            <w:vAlign w:val="bottom"/>
            <w:vMerge w:val="restart"/>
            <w:shd w:val="clear" w:color="auto" w:fill="D1D2D4"/>
          </w:tcPr>
          <w:p>
            <w:pPr>
              <w:jc w:val="right"/>
              <w:ind w:right="10"/>
              <w:spacing w:after="0"/>
              <w:rPr>
                <w:sz w:val="20"/>
                <w:szCs w:val="20"/>
                <w:color w:val="auto"/>
              </w:rPr>
            </w:pPr>
            <w:r>
              <w:rPr>
                <w:rFonts w:ascii="Arial" w:cs="Arial" w:eastAsia="Arial" w:hAnsi="Arial"/>
                <w:sz w:val="18"/>
                <w:szCs w:val="18"/>
                <w:color w:val="auto"/>
              </w:rPr>
              <w:t>486</w:t>
            </w:r>
          </w:p>
        </w:tc>
        <w:tc>
          <w:tcPr>
            <w:tcW w:w="100" w:type="dxa"/>
            <w:vAlign w:val="bottom"/>
            <w:shd w:val="clear" w:color="auto" w:fill="D1D2D4"/>
          </w:tcPr>
          <w:p>
            <w:pPr>
              <w:spacing w:after="0"/>
              <w:rPr>
                <w:sz w:val="16"/>
                <w:szCs w:val="16"/>
                <w:color w:val="auto"/>
              </w:rPr>
            </w:pPr>
          </w:p>
        </w:tc>
        <w:tc>
          <w:tcPr>
            <w:tcW w:w="260" w:type="dxa"/>
            <w:vAlign w:val="bottom"/>
            <w:vMerge w:val="restart"/>
            <w:shd w:val="clear" w:color="auto" w:fill="D1D2D4"/>
          </w:tcPr>
          <w:p>
            <w:pPr>
              <w:jc w:val="right"/>
              <w:ind w:right="50"/>
              <w:spacing w:after="0"/>
              <w:rPr>
                <w:sz w:val="20"/>
                <w:szCs w:val="20"/>
                <w:color w:val="auto"/>
              </w:rPr>
            </w:pPr>
            <w:r>
              <w:rPr>
                <w:rFonts w:ascii="Arial" w:cs="Arial" w:eastAsia="Arial" w:hAnsi="Arial"/>
                <w:sz w:val="18"/>
                <w:szCs w:val="18"/>
                <w:color w:val="auto"/>
                <w:w w:val="99"/>
              </w:rPr>
              <w:t>$</w:t>
            </w:r>
          </w:p>
        </w:tc>
        <w:tc>
          <w:tcPr>
            <w:tcW w:w="68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591</w:t>
            </w:r>
          </w:p>
        </w:tc>
        <w:tc>
          <w:tcPr>
            <w:tcW w:w="12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223</w:t>
            </w:r>
          </w:p>
        </w:tc>
        <w:tc>
          <w:tcPr>
            <w:tcW w:w="22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68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368</w:t>
            </w:r>
          </w:p>
        </w:tc>
        <w:tc>
          <w:tcPr>
            <w:tcW w:w="2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20" w:type="dxa"/>
            <w:vAlign w:val="bottom"/>
            <w:vMerge w:val="restart"/>
            <w:shd w:val="clear" w:color="auto" w:fill="D1D2D4"/>
          </w:tcPr>
          <w:p>
            <w:pPr>
              <w:jc w:val="right"/>
              <w:ind w:right="10"/>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17"/>
        </w:trPr>
        <w:tc>
          <w:tcPr>
            <w:tcW w:w="1920" w:type="dxa"/>
            <w:vAlign w:val="bottom"/>
            <w:shd w:val="clear" w:color="auto" w:fill="D1D2D4"/>
          </w:tcPr>
          <w:p>
            <w:pPr>
              <w:ind w:left="100"/>
              <w:spacing w:after="0"/>
              <w:rPr>
                <w:sz w:val="20"/>
                <w:szCs w:val="20"/>
                <w:color w:val="auto"/>
              </w:rPr>
            </w:pPr>
            <w:r>
              <w:rPr>
                <w:rFonts w:ascii="Arial" w:cs="Arial" w:eastAsia="Arial" w:hAnsi="Arial"/>
                <w:sz w:val="18"/>
                <w:szCs w:val="18"/>
                <w:color w:val="auto"/>
              </w:rPr>
              <w:t>obligations</w:t>
            </w:r>
          </w:p>
        </w:tc>
        <w:tc>
          <w:tcPr>
            <w:tcW w:w="980" w:type="dxa"/>
            <w:vAlign w:val="bottom"/>
            <w:vMerge w:val="continue"/>
            <w:shd w:val="clear" w:color="auto" w:fill="D1D2D4"/>
          </w:tcPr>
          <w:p>
            <w:pPr>
              <w:spacing w:after="0"/>
              <w:rPr>
                <w:sz w:val="18"/>
                <w:szCs w:val="18"/>
                <w:color w:val="auto"/>
              </w:rPr>
            </w:pPr>
          </w:p>
        </w:tc>
        <w:tc>
          <w:tcPr>
            <w:tcW w:w="1240" w:type="dxa"/>
            <w:vAlign w:val="bottom"/>
            <w:gridSpan w:val="2"/>
            <w:vMerge w:val="continue"/>
            <w:shd w:val="clear" w:color="auto" w:fill="D1D2D4"/>
          </w:tcPr>
          <w:p>
            <w:pPr>
              <w:spacing w:after="0"/>
              <w:rPr>
                <w:sz w:val="18"/>
                <w:szCs w:val="18"/>
                <w:color w:val="auto"/>
              </w:rPr>
            </w:pPr>
          </w:p>
        </w:tc>
        <w:tc>
          <w:tcPr>
            <w:tcW w:w="680" w:type="dxa"/>
            <w:vAlign w:val="bottom"/>
            <w:vMerge w:val="continue"/>
            <w:shd w:val="clear" w:color="auto" w:fill="D1D2D4"/>
          </w:tcPr>
          <w:p>
            <w:pPr>
              <w:spacing w:after="0"/>
              <w:rPr>
                <w:sz w:val="18"/>
                <w:szCs w:val="18"/>
                <w:color w:val="auto"/>
              </w:rPr>
            </w:pPr>
          </w:p>
        </w:tc>
        <w:tc>
          <w:tcPr>
            <w:tcW w:w="140" w:type="dxa"/>
            <w:vAlign w:val="bottom"/>
            <w:vMerge w:val="continue"/>
            <w:shd w:val="clear" w:color="auto" w:fill="D1D2D4"/>
          </w:tcPr>
          <w:p>
            <w:pPr>
              <w:spacing w:after="0"/>
              <w:rPr>
                <w:sz w:val="18"/>
                <w:szCs w:val="18"/>
                <w:color w:val="auto"/>
              </w:rPr>
            </w:pPr>
          </w:p>
        </w:tc>
        <w:tc>
          <w:tcPr>
            <w:tcW w:w="740" w:type="dxa"/>
            <w:vAlign w:val="bottom"/>
            <w:vMerge w:val="continue"/>
            <w:shd w:val="clear" w:color="auto" w:fill="D1D2D4"/>
          </w:tcPr>
          <w:p>
            <w:pPr>
              <w:spacing w:after="0"/>
              <w:rPr>
                <w:sz w:val="18"/>
                <w:szCs w:val="18"/>
                <w:color w:val="auto"/>
              </w:rPr>
            </w:pPr>
          </w:p>
        </w:tc>
        <w:tc>
          <w:tcPr>
            <w:tcW w:w="180" w:type="dxa"/>
            <w:vAlign w:val="bottom"/>
            <w:vMerge w:val="continue"/>
            <w:shd w:val="clear" w:color="auto" w:fill="D1D2D4"/>
          </w:tcPr>
          <w:p>
            <w:pPr>
              <w:spacing w:after="0"/>
              <w:rPr>
                <w:sz w:val="18"/>
                <w:szCs w:val="18"/>
                <w:color w:val="auto"/>
              </w:rPr>
            </w:pPr>
          </w:p>
        </w:tc>
        <w:tc>
          <w:tcPr>
            <w:tcW w:w="700" w:type="dxa"/>
            <w:vAlign w:val="bottom"/>
            <w:vMerge w:val="continue"/>
            <w:shd w:val="clear" w:color="auto" w:fill="D1D2D4"/>
          </w:tcPr>
          <w:p>
            <w:pPr>
              <w:spacing w:after="0"/>
              <w:rPr>
                <w:sz w:val="18"/>
                <w:szCs w:val="18"/>
                <w:color w:val="auto"/>
              </w:rPr>
            </w:pPr>
          </w:p>
        </w:tc>
        <w:tc>
          <w:tcPr>
            <w:tcW w:w="220" w:type="dxa"/>
            <w:vAlign w:val="bottom"/>
            <w:vMerge w:val="continue"/>
            <w:shd w:val="clear" w:color="auto" w:fill="D1D2D4"/>
          </w:tcPr>
          <w:p>
            <w:pPr>
              <w:spacing w:after="0"/>
              <w:rPr>
                <w:sz w:val="18"/>
                <w:szCs w:val="18"/>
                <w:color w:val="auto"/>
              </w:rPr>
            </w:pPr>
          </w:p>
        </w:tc>
        <w:tc>
          <w:tcPr>
            <w:tcW w:w="720" w:type="dxa"/>
            <w:vAlign w:val="bottom"/>
            <w:vMerge w:val="continue"/>
            <w:shd w:val="clear" w:color="auto" w:fill="D1D2D4"/>
          </w:tcPr>
          <w:p>
            <w:pPr>
              <w:spacing w:after="0"/>
              <w:rPr>
                <w:sz w:val="18"/>
                <w:szCs w:val="18"/>
                <w:color w:val="auto"/>
              </w:rPr>
            </w:pPr>
          </w:p>
        </w:tc>
        <w:tc>
          <w:tcPr>
            <w:tcW w:w="100" w:type="dxa"/>
            <w:vAlign w:val="bottom"/>
            <w:shd w:val="clear" w:color="auto" w:fill="D1D2D4"/>
          </w:tcPr>
          <w:p>
            <w:pPr>
              <w:spacing w:after="0"/>
              <w:rPr>
                <w:sz w:val="18"/>
                <w:szCs w:val="18"/>
                <w:color w:val="auto"/>
              </w:rPr>
            </w:pPr>
          </w:p>
        </w:tc>
        <w:tc>
          <w:tcPr>
            <w:tcW w:w="260" w:type="dxa"/>
            <w:vAlign w:val="bottom"/>
            <w:vMerge w:val="continue"/>
            <w:shd w:val="clear" w:color="auto" w:fill="D1D2D4"/>
          </w:tcPr>
          <w:p>
            <w:pPr>
              <w:spacing w:after="0"/>
              <w:rPr>
                <w:sz w:val="18"/>
                <w:szCs w:val="18"/>
                <w:color w:val="auto"/>
              </w:rPr>
            </w:pPr>
          </w:p>
        </w:tc>
        <w:tc>
          <w:tcPr>
            <w:tcW w:w="680" w:type="dxa"/>
            <w:vAlign w:val="bottom"/>
            <w:vMerge w:val="continue"/>
            <w:shd w:val="clear" w:color="auto" w:fill="D1D2D4"/>
          </w:tcPr>
          <w:p>
            <w:pPr>
              <w:spacing w:after="0"/>
              <w:rPr>
                <w:sz w:val="18"/>
                <w:szCs w:val="18"/>
                <w:color w:val="auto"/>
              </w:rPr>
            </w:pPr>
          </w:p>
        </w:tc>
        <w:tc>
          <w:tcPr>
            <w:tcW w:w="120" w:type="dxa"/>
            <w:vAlign w:val="bottom"/>
            <w:vMerge w:val="continue"/>
            <w:shd w:val="clear" w:color="auto" w:fill="D1D2D4"/>
          </w:tcPr>
          <w:p>
            <w:pPr>
              <w:spacing w:after="0"/>
              <w:rPr>
                <w:sz w:val="18"/>
                <w:szCs w:val="18"/>
                <w:color w:val="auto"/>
              </w:rPr>
            </w:pPr>
          </w:p>
        </w:tc>
        <w:tc>
          <w:tcPr>
            <w:tcW w:w="740" w:type="dxa"/>
            <w:vAlign w:val="bottom"/>
            <w:vMerge w:val="continue"/>
            <w:shd w:val="clear" w:color="auto" w:fill="D1D2D4"/>
          </w:tcPr>
          <w:p>
            <w:pPr>
              <w:spacing w:after="0"/>
              <w:rPr>
                <w:sz w:val="18"/>
                <w:szCs w:val="18"/>
                <w:color w:val="auto"/>
              </w:rPr>
            </w:pPr>
          </w:p>
        </w:tc>
        <w:tc>
          <w:tcPr>
            <w:tcW w:w="220" w:type="dxa"/>
            <w:vAlign w:val="bottom"/>
            <w:vMerge w:val="continue"/>
            <w:shd w:val="clear" w:color="auto" w:fill="D1D2D4"/>
          </w:tcPr>
          <w:p>
            <w:pPr>
              <w:spacing w:after="0"/>
              <w:rPr>
                <w:sz w:val="18"/>
                <w:szCs w:val="18"/>
                <w:color w:val="auto"/>
              </w:rPr>
            </w:pPr>
          </w:p>
        </w:tc>
        <w:tc>
          <w:tcPr>
            <w:tcW w:w="680" w:type="dxa"/>
            <w:vAlign w:val="bottom"/>
            <w:vMerge w:val="continue"/>
            <w:shd w:val="clear" w:color="auto" w:fill="D1D2D4"/>
          </w:tcPr>
          <w:p>
            <w:pPr>
              <w:spacing w:after="0"/>
              <w:rPr>
                <w:sz w:val="18"/>
                <w:szCs w:val="18"/>
                <w:color w:val="auto"/>
              </w:rPr>
            </w:pPr>
          </w:p>
        </w:tc>
        <w:tc>
          <w:tcPr>
            <w:tcW w:w="200" w:type="dxa"/>
            <w:vAlign w:val="bottom"/>
            <w:vMerge w:val="continue"/>
            <w:shd w:val="clear" w:color="auto" w:fill="D1D2D4"/>
          </w:tcPr>
          <w:p>
            <w:pPr>
              <w:spacing w:after="0"/>
              <w:rPr>
                <w:sz w:val="18"/>
                <w:szCs w:val="18"/>
                <w:color w:val="auto"/>
              </w:rPr>
            </w:pPr>
          </w:p>
        </w:tc>
        <w:tc>
          <w:tcPr>
            <w:tcW w:w="720" w:type="dxa"/>
            <w:vAlign w:val="bottom"/>
            <w:vMerge w:val="continue"/>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920" w:type="dxa"/>
            <w:vAlign w:val="bottom"/>
          </w:tcPr>
          <w:p>
            <w:pPr>
              <w:ind w:left="20"/>
              <w:spacing w:after="0"/>
              <w:rPr>
                <w:sz w:val="20"/>
                <w:szCs w:val="20"/>
                <w:color w:val="auto"/>
              </w:rPr>
            </w:pPr>
            <w:r>
              <w:rPr>
                <w:rFonts w:ascii="Arial" w:cs="Arial" w:eastAsia="Arial" w:hAnsi="Arial"/>
                <w:sz w:val="18"/>
                <w:szCs w:val="18"/>
                <w:color w:val="auto"/>
              </w:rPr>
              <w:t>2023 Notes</w:t>
            </w:r>
          </w:p>
        </w:tc>
        <w:tc>
          <w:tcPr>
            <w:tcW w:w="980" w:type="dxa"/>
            <w:vAlign w:val="bottom"/>
          </w:tcPr>
          <w:p>
            <w:pPr>
              <w:jc w:val="right"/>
              <w:spacing w:after="0"/>
              <w:rPr>
                <w:sz w:val="20"/>
                <w:szCs w:val="20"/>
                <w:color w:val="auto"/>
              </w:rPr>
            </w:pPr>
            <w:r>
              <w:rPr>
                <w:rFonts w:ascii="Arial" w:cs="Arial" w:eastAsia="Arial" w:hAnsi="Arial"/>
                <w:sz w:val="18"/>
                <w:szCs w:val="18"/>
                <w:color w:val="auto"/>
              </w:rPr>
              <w:t>2.497 %</w:t>
            </w:r>
          </w:p>
        </w:tc>
        <w:tc>
          <w:tcPr>
            <w:tcW w:w="980" w:type="dxa"/>
            <w:vAlign w:val="bottom"/>
          </w:tcPr>
          <w:p>
            <w:pPr>
              <w:jc w:val="right"/>
              <w:spacing w:after="0"/>
              <w:rPr>
                <w:sz w:val="20"/>
                <w:szCs w:val="20"/>
                <w:color w:val="auto"/>
              </w:rPr>
            </w:pPr>
            <w:r>
              <w:rPr>
                <w:rFonts w:ascii="Arial" w:cs="Arial" w:eastAsia="Arial" w:hAnsi="Arial"/>
                <w:sz w:val="18"/>
                <w:szCs w:val="18"/>
                <w:color w:val="auto"/>
              </w:rPr>
              <w:t>2.64 %</w:t>
            </w: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1,250</w:t>
            </w: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1,245</w:t>
            </w:r>
          </w:p>
        </w:tc>
        <w:tc>
          <w:tcPr>
            <w:tcW w:w="2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1,245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192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2024 Notes</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4.640 %</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4.76 %</w:t>
            </w:r>
          </w:p>
        </w:tc>
        <w:tc>
          <w:tcPr>
            <w:tcW w:w="260" w:type="dxa"/>
            <w:vAlign w:val="bottom"/>
            <w:shd w:val="clear" w:color="auto" w:fill="D1D2D4"/>
          </w:tcPr>
          <w:p>
            <w:pPr>
              <w:spacing w:after="0"/>
              <w:rPr>
                <w:sz w:val="22"/>
                <w:szCs w:val="22"/>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600</w:t>
            </w:r>
          </w:p>
        </w:tc>
        <w:tc>
          <w:tcPr>
            <w:tcW w:w="140" w:type="dxa"/>
            <w:vAlign w:val="bottom"/>
            <w:shd w:val="clear" w:color="auto" w:fill="D1D2D4"/>
          </w:tcPr>
          <w:p>
            <w:pPr>
              <w:spacing w:after="0"/>
              <w:rPr>
                <w:sz w:val="22"/>
                <w:szCs w:val="22"/>
                <w:color w:val="auto"/>
              </w:rPr>
            </w:pP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22"/>
                <w:szCs w:val="22"/>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598</w:t>
            </w:r>
          </w:p>
        </w:tc>
        <w:tc>
          <w:tcPr>
            <w:tcW w:w="220" w:type="dxa"/>
            <w:vAlign w:val="bottom"/>
            <w:shd w:val="clear" w:color="auto" w:fill="D1D2D4"/>
          </w:tcPr>
          <w:p>
            <w:pPr>
              <w:spacing w:after="0"/>
              <w:rPr>
                <w:sz w:val="22"/>
                <w:szCs w:val="22"/>
                <w:color w:val="auto"/>
              </w:rPr>
            </w:pPr>
          </w:p>
        </w:tc>
        <w:tc>
          <w:tcPr>
            <w:tcW w:w="7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598</w:t>
            </w:r>
          </w:p>
        </w:tc>
        <w:tc>
          <w:tcPr>
            <w:tcW w:w="100" w:type="dxa"/>
            <w:vAlign w:val="bottom"/>
            <w:shd w:val="clear" w:color="auto" w:fill="D1D2D4"/>
          </w:tcPr>
          <w:p>
            <w:pPr>
              <w:spacing w:after="0"/>
              <w:rPr>
                <w:sz w:val="22"/>
                <w:szCs w:val="22"/>
                <w:color w:val="auto"/>
              </w:rPr>
            </w:pPr>
          </w:p>
        </w:tc>
        <w:tc>
          <w:tcPr>
            <w:tcW w:w="260" w:type="dxa"/>
            <w:vAlign w:val="bottom"/>
            <w:shd w:val="clear" w:color="auto" w:fill="D1D2D4"/>
          </w:tcPr>
          <w:p>
            <w:pPr>
              <w:spacing w:after="0"/>
              <w:rPr>
                <w:sz w:val="22"/>
                <w:szCs w:val="22"/>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600</w:t>
            </w:r>
          </w:p>
        </w:tc>
        <w:tc>
          <w:tcPr>
            <w:tcW w:w="120" w:type="dxa"/>
            <w:vAlign w:val="bottom"/>
            <w:shd w:val="clear" w:color="auto" w:fill="D1D2D4"/>
          </w:tcPr>
          <w:p>
            <w:pPr>
              <w:spacing w:after="0"/>
              <w:rPr>
                <w:sz w:val="22"/>
                <w:szCs w:val="22"/>
                <w:color w:val="auto"/>
              </w:rPr>
            </w:pP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D1D2D4"/>
          </w:tcPr>
          <w:p>
            <w:pPr>
              <w:spacing w:after="0"/>
              <w:rPr>
                <w:sz w:val="22"/>
                <w:szCs w:val="22"/>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597</w:t>
            </w:r>
          </w:p>
        </w:tc>
        <w:tc>
          <w:tcPr>
            <w:tcW w:w="200" w:type="dxa"/>
            <w:vAlign w:val="bottom"/>
            <w:shd w:val="clear" w:color="auto" w:fill="D1D2D4"/>
          </w:tcPr>
          <w:p>
            <w:pPr>
              <w:spacing w:after="0"/>
              <w:rPr>
                <w:sz w:val="22"/>
                <w:szCs w:val="22"/>
                <w:color w:val="auto"/>
              </w:rPr>
            </w:pPr>
          </w:p>
        </w:tc>
        <w:tc>
          <w:tcPr>
            <w:tcW w:w="7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50"/>
        </w:trPr>
        <w:tc>
          <w:tcPr>
            <w:tcW w:w="1920" w:type="dxa"/>
            <w:vAlign w:val="bottom"/>
          </w:tcPr>
          <w:p>
            <w:pPr>
              <w:ind w:left="20"/>
              <w:spacing w:after="0"/>
              <w:rPr>
                <w:sz w:val="20"/>
                <w:szCs w:val="20"/>
                <w:color w:val="auto"/>
              </w:rPr>
            </w:pPr>
            <w:r>
              <w:rPr>
                <w:rFonts w:ascii="Arial" w:cs="Arial" w:eastAsia="Arial" w:hAnsi="Arial"/>
                <w:sz w:val="18"/>
                <w:szCs w:val="18"/>
                <w:color w:val="auto"/>
              </w:rPr>
              <w:t>2024 Term Loan A</w:t>
            </w:r>
          </w:p>
        </w:tc>
        <w:tc>
          <w:tcPr>
            <w:tcW w:w="980" w:type="dxa"/>
            <w:vAlign w:val="bottom"/>
          </w:tcPr>
          <w:p>
            <w:pPr>
              <w:jc w:val="right"/>
              <w:spacing w:after="0"/>
              <w:rPr>
                <w:sz w:val="20"/>
                <w:szCs w:val="20"/>
                <w:color w:val="auto"/>
              </w:rPr>
            </w:pPr>
            <w:r>
              <w:rPr>
                <w:rFonts w:ascii="Arial" w:cs="Arial" w:eastAsia="Arial" w:hAnsi="Arial"/>
                <w:sz w:val="18"/>
                <w:szCs w:val="18"/>
                <w:color w:val="auto"/>
              </w:rPr>
              <w:t>1.420 %</w:t>
            </w:r>
          </w:p>
        </w:tc>
        <w:tc>
          <w:tcPr>
            <w:tcW w:w="980" w:type="dxa"/>
            <w:vAlign w:val="bottom"/>
          </w:tcPr>
          <w:p>
            <w:pPr>
              <w:jc w:val="right"/>
              <w:spacing w:after="0"/>
              <w:rPr>
                <w:sz w:val="20"/>
                <w:szCs w:val="20"/>
                <w:color w:val="auto"/>
              </w:rPr>
            </w:pPr>
            <w:r>
              <w:rPr>
                <w:rFonts w:ascii="Arial" w:cs="Arial" w:eastAsia="Arial" w:hAnsi="Arial"/>
                <w:sz w:val="18"/>
                <w:szCs w:val="18"/>
                <w:color w:val="auto"/>
              </w:rPr>
              <w:t>1.47 %</w:t>
            </w: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1,250</w:t>
            </w: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1,186</w:t>
            </w:r>
          </w:p>
        </w:tc>
        <w:tc>
          <w:tcPr>
            <w:tcW w:w="2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1,248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192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2026 Notes</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4.975 %</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5.07 %</w:t>
            </w:r>
          </w:p>
        </w:tc>
        <w:tc>
          <w:tcPr>
            <w:tcW w:w="260" w:type="dxa"/>
            <w:vAlign w:val="bottom"/>
            <w:shd w:val="clear" w:color="auto" w:fill="D1D2D4"/>
          </w:tcPr>
          <w:p>
            <w:pPr>
              <w:spacing w:after="0"/>
              <w:rPr>
                <w:sz w:val="22"/>
                <w:szCs w:val="22"/>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500</w:t>
            </w:r>
          </w:p>
        </w:tc>
        <w:tc>
          <w:tcPr>
            <w:tcW w:w="140" w:type="dxa"/>
            <w:vAlign w:val="bottom"/>
            <w:shd w:val="clear" w:color="auto" w:fill="D1D2D4"/>
          </w:tcPr>
          <w:p>
            <w:pPr>
              <w:spacing w:after="0"/>
              <w:rPr>
                <w:sz w:val="22"/>
                <w:szCs w:val="22"/>
                <w:color w:val="auto"/>
              </w:rPr>
            </w:pP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22"/>
                <w:szCs w:val="22"/>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498</w:t>
            </w:r>
          </w:p>
        </w:tc>
        <w:tc>
          <w:tcPr>
            <w:tcW w:w="220" w:type="dxa"/>
            <w:vAlign w:val="bottom"/>
            <w:shd w:val="clear" w:color="auto" w:fill="D1D2D4"/>
          </w:tcPr>
          <w:p>
            <w:pPr>
              <w:spacing w:after="0"/>
              <w:rPr>
                <w:sz w:val="22"/>
                <w:szCs w:val="22"/>
                <w:color w:val="auto"/>
              </w:rPr>
            </w:pPr>
          </w:p>
        </w:tc>
        <w:tc>
          <w:tcPr>
            <w:tcW w:w="7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498</w:t>
            </w:r>
          </w:p>
        </w:tc>
        <w:tc>
          <w:tcPr>
            <w:tcW w:w="100" w:type="dxa"/>
            <w:vAlign w:val="bottom"/>
            <w:shd w:val="clear" w:color="auto" w:fill="D1D2D4"/>
          </w:tcPr>
          <w:p>
            <w:pPr>
              <w:spacing w:after="0"/>
              <w:rPr>
                <w:sz w:val="22"/>
                <w:szCs w:val="22"/>
                <w:color w:val="auto"/>
              </w:rPr>
            </w:pPr>
          </w:p>
        </w:tc>
        <w:tc>
          <w:tcPr>
            <w:tcW w:w="260" w:type="dxa"/>
            <w:vAlign w:val="bottom"/>
            <w:shd w:val="clear" w:color="auto" w:fill="D1D2D4"/>
          </w:tcPr>
          <w:p>
            <w:pPr>
              <w:spacing w:after="0"/>
              <w:rPr>
                <w:sz w:val="22"/>
                <w:szCs w:val="22"/>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D1D2D4"/>
          </w:tcPr>
          <w:p>
            <w:pPr>
              <w:spacing w:after="0"/>
              <w:rPr>
                <w:sz w:val="22"/>
                <w:szCs w:val="22"/>
                <w:color w:val="auto"/>
              </w:rPr>
            </w:pP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D1D2D4"/>
          </w:tcPr>
          <w:p>
            <w:pPr>
              <w:spacing w:after="0"/>
              <w:rPr>
                <w:sz w:val="22"/>
                <w:szCs w:val="22"/>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497</w:t>
            </w:r>
          </w:p>
        </w:tc>
        <w:tc>
          <w:tcPr>
            <w:tcW w:w="200" w:type="dxa"/>
            <w:vAlign w:val="bottom"/>
            <w:shd w:val="clear" w:color="auto" w:fill="D1D2D4"/>
          </w:tcPr>
          <w:p>
            <w:pPr>
              <w:spacing w:after="0"/>
              <w:rPr>
                <w:sz w:val="22"/>
                <w:szCs w:val="22"/>
                <w:color w:val="auto"/>
              </w:rPr>
            </w:pPr>
          </w:p>
        </w:tc>
        <w:tc>
          <w:tcPr>
            <w:tcW w:w="7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57"/>
        </w:trPr>
        <w:tc>
          <w:tcPr>
            <w:tcW w:w="1920" w:type="dxa"/>
            <w:vAlign w:val="bottom"/>
          </w:tcPr>
          <w:p>
            <w:pPr>
              <w:ind w:left="20"/>
              <w:spacing w:after="0"/>
              <w:rPr>
                <w:sz w:val="20"/>
                <w:szCs w:val="20"/>
                <w:color w:val="auto"/>
              </w:rPr>
            </w:pPr>
            <w:r>
              <w:rPr>
                <w:rFonts w:ascii="Arial" w:cs="Arial" w:eastAsia="Arial" w:hAnsi="Arial"/>
                <w:sz w:val="18"/>
                <w:szCs w:val="18"/>
                <w:color w:val="auto"/>
              </w:rPr>
              <w:t>2027 Notes</w:t>
            </w:r>
          </w:p>
        </w:tc>
        <w:tc>
          <w:tcPr>
            <w:tcW w:w="980" w:type="dxa"/>
            <w:vAlign w:val="bottom"/>
          </w:tcPr>
          <w:p>
            <w:pPr>
              <w:jc w:val="right"/>
              <w:spacing w:after="0"/>
              <w:rPr>
                <w:sz w:val="20"/>
                <w:szCs w:val="20"/>
                <w:color w:val="auto"/>
              </w:rPr>
            </w:pPr>
            <w:r>
              <w:rPr>
                <w:rFonts w:ascii="Arial" w:cs="Arial" w:eastAsia="Arial" w:hAnsi="Arial"/>
                <w:sz w:val="18"/>
                <w:szCs w:val="18"/>
                <w:color w:val="auto"/>
              </w:rPr>
              <w:t>4.185 %</w:t>
            </w:r>
          </w:p>
        </w:tc>
        <w:tc>
          <w:tcPr>
            <w:tcW w:w="980" w:type="dxa"/>
            <w:vAlign w:val="bottom"/>
          </w:tcPr>
          <w:p>
            <w:pPr>
              <w:jc w:val="right"/>
              <w:spacing w:after="0"/>
              <w:rPr>
                <w:sz w:val="20"/>
                <w:szCs w:val="20"/>
                <w:color w:val="auto"/>
              </w:rPr>
            </w:pPr>
            <w:r>
              <w:rPr>
                <w:rFonts w:ascii="Arial" w:cs="Arial" w:eastAsia="Arial" w:hAnsi="Arial"/>
                <w:sz w:val="18"/>
                <w:szCs w:val="18"/>
                <w:color w:val="auto"/>
              </w:rPr>
              <w:t>4.27 %</w:t>
            </w:r>
          </w:p>
        </w:tc>
        <w:tc>
          <w:tcPr>
            <w:tcW w:w="2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900</w:t>
            </w:r>
          </w:p>
        </w:tc>
        <w:tc>
          <w:tcPr>
            <w:tcW w:w="1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895</w:t>
            </w:r>
          </w:p>
        </w:tc>
        <w:tc>
          <w:tcPr>
            <w:tcW w:w="220" w:type="dxa"/>
            <w:vAlign w:val="bottom"/>
          </w:tcPr>
          <w:p>
            <w:pPr>
              <w:spacing w:after="0"/>
              <w:rPr>
                <w:sz w:val="22"/>
                <w:szCs w:val="22"/>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895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900</w:t>
            </w:r>
          </w:p>
        </w:tc>
        <w:tc>
          <w:tcPr>
            <w:tcW w:w="1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895</w:t>
            </w:r>
          </w:p>
        </w:tc>
        <w:tc>
          <w:tcPr>
            <w:tcW w:w="200" w:type="dxa"/>
            <w:vAlign w:val="bottom"/>
          </w:tcPr>
          <w:p>
            <w:pPr>
              <w:spacing w:after="0"/>
              <w:rPr>
                <w:sz w:val="22"/>
                <w:szCs w:val="22"/>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57"/>
        </w:trPr>
        <w:tc>
          <w:tcPr>
            <w:tcW w:w="192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2029 Notes</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5.327 %</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5.40 %</w:t>
            </w:r>
          </w:p>
        </w:tc>
        <w:tc>
          <w:tcPr>
            <w:tcW w:w="260" w:type="dxa"/>
            <w:vAlign w:val="bottom"/>
            <w:shd w:val="clear" w:color="auto" w:fill="D1D2D4"/>
          </w:tcPr>
          <w:p>
            <w:pPr>
              <w:spacing w:after="0"/>
              <w:rPr>
                <w:sz w:val="22"/>
                <w:szCs w:val="22"/>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700</w:t>
            </w:r>
          </w:p>
        </w:tc>
        <w:tc>
          <w:tcPr>
            <w:tcW w:w="140" w:type="dxa"/>
            <w:vAlign w:val="bottom"/>
            <w:shd w:val="clear" w:color="auto" w:fill="D1D2D4"/>
          </w:tcPr>
          <w:p>
            <w:pPr>
              <w:spacing w:after="0"/>
              <w:rPr>
                <w:sz w:val="22"/>
                <w:szCs w:val="22"/>
                <w:color w:val="auto"/>
              </w:rPr>
            </w:pP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22"/>
                <w:szCs w:val="22"/>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696</w:t>
            </w:r>
          </w:p>
        </w:tc>
        <w:tc>
          <w:tcPr>
            <w:tcW w:w="220" w:type="dxa"/>
            <w:vAlign w:val="bottom"/>
            <w:shd w:val="clear" w:color="auto" w:fill="D1D2D4"/>
          </w:tcPr>
          <w:p>
            <w:pPr>
              <w:spacing w:after="0"/>
              <w:rPr>
                <w:sz w:val="22"/>
                <w:szCs w:val="22"/>
                <w:color w:val="auto"/>
              </w:rPr>
            </w:pPr>
          </w:p>
        </w:tc>
        <w:tc>
          <w:tcPr>
            <w:tcW w:w="7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696</w:t>
            </w:r>
          </w:p>
        </w:tc>
        <w:tc>
          <w:tcPr>
            <w:tcW w:w="100" w:type="dxa"/>
            <w:vAlign w:val="bottom"/>
            <w:shd w:val="clear" w:color="auto" w:fill="D1D2D4"/>
          </w:tcPr>
          <w:p>
            <w:pPr>
              <w:spacing w:after="0"/>
              <w:rPr>
                <w:sz w:val="22"/>
                <w:szCs w:val="22"/>
                <w:color w:val="auto"/>
              </w:rPr>
            </w:pPr>
          </w:p>
        </w:tc>
        <w:tc>
          <w:tcPr>
            <w:tcW w:w="260" w:type="dxa"/>
            <w:vAlign w:val="bottom"/>
            <w:shd w:val="clear" w:color="auto" w:fill="D1D2D4"/>
          </w:tcPr>
          <w:p>
            <w:pPr>
              <w:spacing w:after="0"/>
              <w:rPr>
                <w:sz w:val="22"/>
                <w:szCs w:val="22"/>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700</w:t>
            </w:r>
          </w:p>
        </w:tc>
        <w:tc>
          <w:tcPr>
            <w:tcW w:w="120" w:type="dxa"/>
            <w:vAlign w:val="bottom"/>
            <w:shd w:val="clear" w:color="auto" w:fill="D1D2D4"/>
          </w:tcPr>
          <w:p>
            <w:pPr>
              <w:spacing w:after="0"/>
              <w:rPr>
                <w:sz w:val="22"/>
                <w:szCs w:val="22"/>
                <w:color w:val="auto"/>
              </w:rPr>
            </w:pP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D1D2D4"/>
          </w:tcPr>
          <w:p>
            <w:pPr>
              <w:spacing w:after="0"/>
              <w:rPr>
                <w:sz w:val="22"/>
                <w:szCs w:val="22"/>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696</w:t>
            </w:r>
          </w:p>
        </w:tc>
        <w:tc>
          <w:tcPr>
            <w:tcW w:w="200" w:type="dxa"/>
            <w:vAlign w:val="bottom"/>
            <w:shd w:val="clear" w:color="auto" w:fill="D1D2D4"/>
          </w:tcPr>
          <w:p>
            <w:pPr>
              <w:spacing w:after="0"/>
              <w:rPr>
                <w:sz w:val="22"/>
                <w:szCs w:val="22"/>
                <w:color w:val="auto"/>
              </w:rPr>
            </w:pPr>
          </w:p>
        </w:tc>
        <w:tc>
          <w:tcPr>
            <w:tcW w:w="7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57"/>
        </w:trPr>
        <w:tc>
          <w:tcPr>
            <w:tcW w:w="1920" w:type="dxa"/>
            <w:vAlign w:val="bottom"/>
          </w:tcPr>
          <w:p>
            <w:pPr>
              <w:ind w:left="20"/>
              <w:spacing w:after="0"/>
              <w:rPr>
                <w:sz w:val="20"/>
                <w:szCs w:val="20"/>
                <w:color w:val="auto"/>
              </w:rPr>
            </w:pPr>
            <w:r>
              <w:rPr>
                <w:rFonts w:ascii="Arial" w:cs="Arial" w:eastAsia="Arial" w:hAnsi="Arial"/>
                <w:sz w:val="18"/>
                <w:szCs w:val="18"/>
                <w:color w:val="auto"/>
              </w:rPr>
              <w:t>2030 Notes</w:t>
            </w:r>
          </w:p>
        </w:tc>
        <w:tc>
          <w:tcPr>
            <w:tcW w:w="980" w:type="dxa"/>
            <w:vAlign w:val="bottom"/>
          </w:tcPr>
          <w:p>
            <w:pPr>
              <w:jc w:val="right"/>
              <w:spacing w:after="0"/>
              <w:rPr>
                <w:sz w:val="20"/>
                <w:szCs w:val="20"/>
                <w:color w:val="auto"/>
              </w:rPr>
            </w:pPr>
            <w:r>
              <w:rPr>
                <w:rFonts w:ascii="Arial" w:cs="Arial" w:eastAsia="Arial" w:hAnsi="Arial"/>
                <w:sz w:val="18"/>
                <w:szCs w:val="18"/>
                <w:color w:val="auto"/>
              </w:rPr>
              <w:t>4.663 %</w:t>
            </w:r>
          </w:p>
        </w:tc>
        <w:tc>
          <w:tcPr>
            <w:tcW w:w="980" w:type="dxa"/>
            <w:vAlign w:val="bottom"/>
          </w:tcPr>
          <w:p>
            <w:pPr>
              <w:jc w:val="right"/>
              <w:spacing w:after="0"/>
              <w:rPr>
                <w:sz w:val="20"/>
                <w:szCs w:val="20"/>
                <w:color w:val="auto"/>
              </w:rPr>
            </w:pPr>
            <w:r>
              <w:rPr>
                <w:rFonts w:ascii="Arial" w:cs="Arial" w:eastAsia="Arial" w:hAnsi="Arial"/>
                <w:sz w:val="18"/>
                <w:szCs w:val="18"/>
                <w:color w:val="auto"/>
              </w:rPr>
              <w:t>4.73 %</w:t>
            </w:r>
          </w:p>
        </w:tc>
        <w:tc>
          <w:tcPr>
            <w:tcW w:w="2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850</w:t>
            </w:r>
          </w:p>
        </w:tc>
        <w:tc>
          <w:tcPr>
            <w:tcW w:w="1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845</w:t>
            </w:r>
          </w:p>
        </w:tc>
        <w:tc>
          <w:tcPr>
            <w:tcW w:w="220" w:type="dxa"/>
            <w:vAlign w:val="bottom"/>
          </w:tcPr>
          <w:p>
            <w:pPr>
              <w:spacing w:after="0"/>
              <w:rPr>
                <w:sz w:val="22"/>
                <w:szCs w:val="22"/>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845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850</w:t>
            </w:r>
          </w:p>
        </w:tc>
        <w:tc>
          <w:tcPr>
            <w:tcW w:w="1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845</w:t>
            </w:r>
          </w:p>
        </w:tc>
        <w:tc>
          <w:tcPr>
            <w:tcW w:w="200" w:type="dxa"/>
            <w:vAlign w:val="bottom"/>
          </w:tcPr>
          <w:p>
            <w:pPr>
              <w:spacing w:after="0"/>
              <w:rPr>
                <w:sz w:val="22"/>
                <w:szCs w:val="22"/>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56"/>
        </w:trPr>
        <w:tc>
          <w:tcPr>
            <w:tcW w:w="192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2032D Notes</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3.125 %</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6.33 %</w:t>
            </w:r>
          </w:p>
        </w:tc>
        <w:tc>
          <w:tcPr>
            <w:tcW w:w="260" w:type="dxa"/>
            <w:vAlign w:val="bottom"/>
            <w:shd w:val="clear" w:color="auto" w:fill="D1D2D4"/>
          </w:tcPr>
          <w:p>
            <w:pPr>
              <w:spacing w:after="0"/>
              <w:rPr>
                <w:sz w:val="22"/>
                <w:szCs w:val="22"/>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134</w:t>
            </w:r>
          </w:p>
        </w:tc>
        <w:tc>
          <w:tcPr>
            <w:tcW w:w="140" w:type="dxa"/>
            <w:vAlign w:val="bottom"/>
            <w:shd w:val="clear" w:color="auto" w:fill="D1D2D4"/>
          </w:tcPr>
          <w:p>
            <w:pPr>
              <w:spacing w:after="0"/>
              <w:rPr>
                <w:sz w:val="22"/>
                <w:szCs w:val="22"/>
                <w:color w:val="auto"/>
              </w:rPr>
            </w:pP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131</w:t>
            </w:r>
          </w:p>
        </w:tc>
        <w:tc>
          <w:tcPr>
            <w:tcW w:w="180" w:type="dxa"/>
            <w:vAlign w:val="bottom"/>
            <w:shd w:val="clear" w:color="auto" w:fill="D1D2D4"/>
          </w:tcPr>
          <w:p>
            <w:pPr>
              <w:spacing w:after="0"/>
              <w:rPr>
                <w:sz w:val="22"/>
                <w:szCs w:val="22"/>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D1D2D4"/>
          </w:tcPr>
          <w:p>
            <w:pPr>
              <w:spacing w:after="0"/>
              <w:rPr>
                <w:sz w:val="22"/>
                <w:szCs w:val="22"/>
                <w:color w:val="auto"/>
              </w:rPr>
            </w:pPr>
          </w:p>
        </w:tc>
        <w:tc>
          <w:tcPr>
            <w:tcW w:w="7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D1D2D4"/>
          </w:tcPr>
          <w:p>
            <w:pPr>
              <w:spacing w:after="0"/>
              <w:rPr>
                <w:sz w:val="22"/>
                <w:szCs w:val="22"/>
                <w:color w:val="auto"/>
              </w:rPr>
            </w:pPr>
          </w:p>
        </w:tc>
        <w:tc>
          <w:tcPr>
            <w:tcW w:w="260" w:type="dxa"/>
            <w:vAlign w:val="bottom"/>
            <w:shd w:val="clear" w:color="auto" w:fill="D1D2D4"/>
          </w:tcPr>
          <w:p>
            <w:pPr>
              <w:spacing w:after="0"/>
              <w:rPr>
                <w:sz w:val="22"/>
                <w:szCs w:val="22"/>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D1D2D4"/>
          </w:tcPr>
          <w:p>
            <w:pPr>
              <w:spacing w:after="0"/>
              <w:rPr>
                <w:sz w:val="22"/>
                <w:szCs w:val="22"/>
                <w:color w:val="auto"/>
              </w:rPr>
            </w:pP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D1D2D4"/>
          </w:tcPr>
          <w:p>
            <w:pPr>
              <w:spacing w:after="0"/>
              <w:rPr>
                <w:sz w:val="22"/>
                <w:szCs w:val="22"/>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127</w:t>
            </w:r>
          </w:p>
        </w:tc>
        <w:tc>
          <w:tcPr>
            <w:tcW w:w="200" w:type="dxa"/>
            <w:vAlign w:val="bottom"/>
            <w:shd w:val="clear" w:color="auto" w:fill="D1D2D4"/>
          </w:tcPr>
          <w:p>
            <w:pPr>
              <w:spacing w:after="0"/>
              <w:rPr>
                <w:sz w:val="22"/>
                <w:szCs w:val="22"/>
                <w:color w:val="auto"/>
              </w:rPr>
            </w:pPr>
          </w:p>
        </w:tc>
        <w:tc>
          <w:tcPr>
            <w:tcW w:w="7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29"/>
        </w:trPr>
        <w:tc>
          <w:tcPr>
            <w:tcW w:w="1920" w:type="dxa"/>
            <w:vAlign w:val="bottom"/>
          </w:tcPr>
          <w:p>
            <w:pPr>
              <w:ind w:left="20"/>
              <w:spacing w:after="0"/>
              <w:rPr>
                <w:sz w:val="20"/>
                <w:szCs w:val="20"/>
                <w:color w:val="auto"/>
              </w:rPr>
            </w:pPr>
            <w:r>
              <w:rPr>
                <w:rFonts w:ascii="Arial" w:cs="Arial" w:eastAsia="Arial" w:hAnsi="Arial"/>
                <w:sz w:val="18"/>
                <w:szCs w:val="18"/>
                <w:color w:val="auto"/>
              </w:rPr>
              <w:t>MMJ Creditor</w:t>
            </w:r>
          </w:p>
        </w:tc>
        <w:tc>
          <w:tcPr>
            <w:tcW w:w="9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920" w:type="dxa"/>
            <w:vAlign w:val="bottom"/>
          </w:tcPr>
          <w:p>
            <w:pPr>
              <w:ind w:left="20"/>
              <w:spacing w:after="0"/>
              <w:rPr>
                <w:sz w:val="20"/>
                <w:szCs w:val="20"/>
                <w:color w:val="auto"/>
              </w:rPr>
            </w:pPr>
            <w:r>
              <w:rPr>
                <w:rFonts w:ascii="Arial" w:cs="Arial" w:eastAsia="Arial" w:hAnsi="Arial"/>
                <w:sz w:val="18"/>
                <w:szCs w:val="18"/>
                <w:color w:val="auto"/>
              </w:rPr>
              <w:t>Payments</w:t>
            </w:r>
          </w:p>
        </w:tc>
        <w:tc>
          <w:tcPr>
            <w:tcW w:w="980" w:type="dxa"/>
            <w:vAlign w:val="bottom"/>
          </w:tcPr>
          <w:p>
            <w:pPr>
              <w:jc w:val="right"/>
              <w:spacing w:after="0"/>
              <w:rPr>
                <w:sz w:val="20"/>
                <w:szCs w:val="20"/>
                <w:color w:val="auto"/>
              </w:rPr>
            </w:pPr>
            <w:r>
              <w:rPr>
                <w:rFonts w:ascii="Arial" w:cs="Arial" w:eastAsia="Arial" w:hAnsi="Arial"/>
                <w:sz w:val="18"/>
                <w:szCs w:val="18"/>
                <w:color w:val="auto"/>
              </w:rPr>
              <w:t>N/A</w:t>
            </w:r>
          </w:p>
        </w:tc>
        <w:tc>
          <w:tcPr>
            <w:tcW w:w="980" w:type="dxa"/>
            <w:vAlign w:val="bottom"/>
          </w:tcPr>
          <w:p>
            <w:pPr>
              <w:jc w:val="right"/>
              <w:spacing w:after="0"/>
              <w:rPr>
                <w:sz w:val="20"/>
                <w:szCs w:val="20"/>
                <w:color w:val="auto"/>
              </w:rPr>
            </w:pPr>
            <w:r>
              <w:rPr>
                <w:rFonts w:ascii="Arial" w:cs="Arial" w:eastAsia="Arial" w:hAnsi="Arial"/>
                <w:sz w:val="18"/>
                <w:szCs w:val="18"/>
                <w:color w:val="auto"/>
              </w:rPr>
              <w:t>N/A</w:t>
            </w: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198</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63"/>
        </w:trPr>
        <w:tc>
          <w:tcPr>
            <w:tcW w:w="1920" w:type="dxa"/>
            <w:vAlign w:val="bottom"/>
            <w:shd w:val="clear" w:color="auto" w:fill="D1D2D4"/>
          </w:tcPr>
          <w:p>
            <w:pPr>
              <w:ind w:left="20"/>
              <w:spacing w:after="0"/>
              <w:rPr>
                <w:sz w:val="20"/>
                <w:szCs w:val="20"/>
                <w:color w:val="auto"/>
              </w:rPr>
            </w:pPr>
            <w:r>
              <w:rPr>
                <w:rFonts w:ascii="Arial" w:cs="Arial" w:eastAsia="Arial" w:hAnsi="Arial"/>
                <w:sz w:val="18"/>
                <w:szCs w:val="18"/>
                <w:color w:val="auto"/>
              </w:rPr>
              <w:t>IMFT Member Debt</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N/A</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N/A</w:t>
            </w:r>
          </w:p>
        </w:tc>
        <w:tc>
          <w:tcPr>
            <w:tcW w:w="260" w:type="dxa"/>
            <w:vAlign w:val="bottom"/>
            <w:shd w:val="clear" w:color="auto" w:fill="D1D2D4"/>
          </w:tcPr>
          <w:p>
            <w:pPr>
              <w:spacing w:after="0"/>
              <w:rPr>
                <w:sz w:val="22"/>
                <w:szCs w:val="22"/>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22"/>
                <w:szCs w:val="22"/>
                <w:color w:val="auto"/>
              </w:rPr>
            </w:pP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22"/>
                <w:szCs w:val="22"/>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D1D2D4"/>
          </w:tcPr>
          <w:p>
            <w:pPr>
              <w:spacing w:after="0"/>
              <w:rPr>
                <w:sz w:val="22"/>
                <w:szCs w:val="22"/>
                <w:color w:val="auto"/>
              </w:rPr>
            </w:pPr>
          </w:p>
        </w:tc>
        <w:tc>
          <w:tcPr>
            <w:tcW w:w="820" w:type="dxa"/>
            <w:vAlign w:val="bottom"/>
            <w:gridSpan w:val="2"/>
            <w:shd w:val="clear" w:color="auto" w:fill="D1D2D4"/>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D1D2D4"/>
          </w:tcPr>
          <w:p>
            <w:pPr>
              <w:spacing w:after="0"/>
              <w:rPr>
                <w:sz w:val="22"/>
                <w:szCs w:val="22"/>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693</w:t>
            </w:r>
          </w:p>
        </w:tc>
        <w:tc>
          <w:tcPr>
            <w:tcW w:w="120" w:type="dxa"/>
            <w:vAlign w:val="bottom"/>
            <w:shd w:val="clear" w:color="auto" w:fill="D1D2D4"/>
          </w:tcPr>
          <w:p>
            <w:pPr>
              <w:spacing w:after="0"/>
              <w:rPr>
                <w:sz w:val="22"/>
                <w:szCs w:val="22"/>
                <w:color w:val="auto"/>
              </w:rPr>
            </w:pP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693</w:t>
            </w:r>
          </w:p>
        </w:tc>
        <w:tc>
          <w:tcPr>
            <w:tcW w:w="220" w:type="dxa"/>
            <w:vAlign w:val="bottom"/>
            <w:shd w:val="clear" w:color="auto" w:fill="D1D2D4"/>
          </w:tcPr>
          <w:p>
            <w:pPr>
              <w:spacing w:after="0"/>
              <w:rPr>
                <w:sz w:val="22"/>
                <w:szCs w:val="22"/>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22"/>
                <w:szCs w:val="22"/>
                <w:color w:val="auto"/>
              </w:rPr>
            </w:pPr>
          </w:p>
        </w:tc>
        <w:tc>
          <w:tcPr>
            <w:tcW w:w="7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50"/>
        </w:trPr>
        <w:tc>
          <w:tcPr>
            <w:tcW w:w="1920" w:type="dxa"/>
            <w:vAlign w:val="bottom"/>
          </w:tcPr>
          <w:p>
            <w:pPr>
              <w:ind w:left="20"/>
              <w:spacing w:after="0"/>
              <w:rPr>
                <w:sz w:val="20"/>
                <w:szCs w:val="20"/>
                <w:color w:val="auto"/>
              </w:rPr>
            </w:pPr>
            <w:r>
              <w:rPr>
                <w:rFonts w:ascii="Arial" w:cs="Arial" w:eastAsia="Arial" w:hAnsi="Arial"/>
                <w:sz w:val="18"/>
                <w:szCs w:val="18"/>
                <w:color w:val="auto"/>
              </w:rPr>
              <w:t>2025 Notes</w:t>
            </w:r>
          </w:p>
        </w:tc>
        <w:tc>
          <w:tcPr>
            <w:tcW w:w="980" w:type="dxa"/>
            <w:vAlign w:val="bottom"/>
          </w:tcPr>
          <w:p>
            <w:pPr>
              <w:jc w:val="right"/>
              <w:spacing w:after="0"/>
              <w:rPr>
                <w:sz w:val="20"/>
                <w:szCs w:val="20"/>
                <w:color w:val="auto"/>
              </w:rPr>
            </w:pPr>
            <w:r>
              <w:rPr>
                <w:rFonts w:ascii="Arial" w:cs="Arial" w:eastAsia="Arial" w:hAnsi="Arial"/>
                <w:sz w:val="18"/>
                <w:szCs w:val="18"/>
                <w:color w:val="auto"/>
              </w:rPr>
              <w:t>5.500 %</w:t>
            </w:r>
          </w:p>
        </w:tc>
        <w:tc>
          <w:tcPr>
            <w:tcW w:w="980" w:type="dxa"/>
            <w:vAlign w:val="bottom"/>
          </w:tcPr>
          <w:p>
            <w:pPr>
              <w:jc w:val="right"/>
              <w:spacing w:after="0"/>
              <w:rPr>
                <w:sz w:val="20"/>
                <w:szCs w:val="20"/>
                <w:color w:val="auto"/>
              </w:rPr>
            </w:pPr>
            <w:r>
              <w:rPr>
                <w:rFonts w:ascii="Arial" w:cs="Arial" w:eastAsia="Arial" w:hAnsi="Arial"/>
                <w:sz w:val="18"/>
                <w:szCs w:val="18"/>
                <w:color w:val="auto"/>
              </w:rPr>
              <w:t>5.56 %</w:t>
            </w: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519</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516</w:t>
            </w:r>
          </w:p>
        </w:tc>
        <w:tc>
          <w:tcPr>
            <w:tcW w:w="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63"/>
        </w:trPr>
        <w:tc>
          <w:tcPr>
            <w:tcW w:w="192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2033F Notes</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2.125 %</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2.13 %</w:t>
            </w:r>
          </w:p>
        </w:tc>
        <w:tc>
          <w:tcPr>
            <w:tcW w:w="260" w:type="dxa"/>
            <w:vAlign w:val="bottom"/>
            <w:shd w:val="clear" w:color="auto" w:fill="D1D2D4"/>
          </w:tcPr>
          <w:p>
            <w:pPr>
              <w:spacing w:after="0"/>
              <w:rPr>
                <w:sz w:val="22"/>
                <w:szCs w:val="22"/>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22"/>
                <w:szCs w:val="22"/>
                <w:color w:val="auto"/>
              </w:rPr>
            </w:pP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22"/>
                <w:szCs w:val="22"/>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D1D2D4"/>
          </w:tcPr>
          <w:p>
            <w:pPr>
              <w:spacing w:after="0"/>
              <w:rPr>
                <w:sz w:val="22"/>
                <w:szCs w:val="22"/>
                <w:color w:val="auto"/>
              </w:rPr>
            </w:pPr>
          </w:p>
        </w:tc>
        <w:tc>
          <w:tcPr>
            <w:tcW w:w="820" w:type="dxa"/>
            <w:vAlign w:val="bottom"/>
            <w:gridSpan w:val="2"/>
            <w:shd w:val="clear" w:color="auto" w:fill="D1D2D4"/>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D1D2D4"/>
          </w:tcPr>
          <w:p>
            <w:pPr>
              <w:spacing w:after="0"/>
              <w:rPr>
                <w:sz w:val="22"/>
                <w:szCs w:val="22"/>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D1D2D4"/>
          </w:tcPr>
          <w:p>
            <w:pPr>
              <w:spacing w:after="0"/>
              <w:rPr>
                <w:sz w:val="22"/>
                <w:szCs w:val="22"/>
                <w:color w:val="auto"/>
              </w:rPr>
            </w:pP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196</w:t>
            </w:r>
          </w:p>
        </w:tc>
        <w:tc>
          <w:tcPr>
            <w:tcW w:w="220" w:type="dxa"/>
            <w:vAlign w:val="bottom"/>
            <w:shd w:val="clear" w:color="auto" w:fill="D1D2D4"/>
          </w:tcPr>
          <w:p>
            <w:pPr>
              <w:spacing w:after="0"/>
              <w:rPr>
                <w:sz w:val="22"/>
                <w:szCs w:val="22"/>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22"/>
                <w:szCs w:val="22"/>
                <w:color w:val="auto"/>
              </w:rPr>
            </w:pPr>
          </w:p>
        </w:tc>
        <w:tc>
          <w:tcPr>
            <w:tcW w:w="7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43"/>
        </w:trPr>
        <w:tc>
          <w:tcPr>
            <w:tcW w:w="19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6,671</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6,373</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6,643</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5,755</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1,310</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4,541</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5,851</w:t>
            </w:r>
          </w:p>
        </w:tc>
        <w:tc>
          <w:tcPr>
            <w:tcW w:w="0" w:type="dxa"/>
            <w:vAlign w:val="bottom"/>
          </w:tcPr>
          <w:p>
            <w:pPr>
              <w:spacing w:after="0"/>
              <w:rPr>
                <w:sz w:val="1"/>
                <w:szCs w:val="1"/>
                <w:color w:val="auto"/>
              </w:rPr>
            </w:pPr>
          </w:p>
        </w:tc>
      </w:tr>
      <w:tr>
        <w:trPr>
          <w:trHeight w:val="27"/>
        </w:trPr>
        <w:tc>
          <w:tcPr>
            <w:tcW w:w="1920" w:type="dxa"/>
            <w:vAlign w:val="bottom"/>
          </w:tcPr>
          <w:p>
            <w:pPr>
              <w:spacing w:after="0"/>
              <w:rPr>
                <w:sz w:val="2"/>
                <w:szCs w:val="2"/>
                <w:color w:val="auto"/>
              </w:rPr>
            </w:pPr>
          </w:p>
        </w:tc>
        <w:tc>
          <w:tcPr>
            <w:tcW w:w="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As of September 3, 2020, all of our debt, other than our finance leases, are unsecured obligations that rank equally in right of payment with all of our other existing and future unsecured indebtedness and are effectively subordinated to all of our other existing and future secured indebtedness, to the extent of the value of the assets securing such indebtedness. As of September 3, 2020, Micron had $ 6.16 billion of unsecured debt (net of unamortized discount and debt issuance costs) that was structurally subordinated to all liabilities of its subsidiaries, including trade payables. The terms of our indebtedness generally contain cross payment default and cross acceleration provisions. Micron’s guarantees of its subsidiary debt obligations are unsecured obligations ranking equally in right of payment with all of Micron’s other existing and future unsecured indebtedness.</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Senior Unsecured Notes</w:t>
      </w:r>
    </w:p>
    <w:p>
      <w:pPr>
        <w:spacing w:after="0" w:line="26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2023 Notes, 2024 Notes, 2026 Notes, 2027 Notes, 2029 Notes, and 2030 Notes (the “Senior Unsecured Notes”) each contain covenants that, among other things, limit, in certain circumstances, our ability and/or the ability of our restricted subsidiaries (which are generally domestic subsidiaries in which we own at least 80% of the voting stock and which own principal property, as defined in the indenture governing such notes) to (1) create or incur certain liens; (2) enter into certain sale and lease-back transactions; and (3) consolidate with or merge with or into, or convey, transfer, or lease all or substantially all of our properties and assets, to another entity. These covenants are subject to a number of limitations and exceptions. Additionally, if a change of control triggering event occurs, as defined in the indentures governing our senior unsecured notes, we will be required to offer to purchase such notes at 101% of the outstanding aggregate principal amount plus accrued interest up to the purchase date.</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Credit Facility</w:t>
      </w:r>
    </w:p>
    <w:p>
      <w:pPr>
        <w:spacing w:after="0" w:line="26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Our credit facility provides for our Revolving Credit Facility and our 2024 Term Loan A, each of which generally bears interest at a rate equal to LIBOR plus 1.25% to 2.00%, depending on our corporate credit ratings or leverage ratio. Under the terms of the credit facility, we must maintain ratios, calculated as of the last day of each fiscal quarter, of total indebtedness to adjusted EBITDA not to exceed 2.75 to 1.00 and adjusted EBITDA to net interest expense of not less than 3.50 to 1.00.</w:t>
      </w:r>
    </w:p>
    <w:p>
      <w:pPr>
        <w:sectPr>
          <w:pgSz w:w="11900" w:h="16838" w:orient="portrait"/>
          <w:cols w:equalWidth="0" w:num="1">
            <w:col w:w="11240"/>
          </w:cols>
          <w:pgMar w:left="320" w:top="9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61 </w:t>
      </w:r>
      <w:r>
        <w:rPr>
          <w:rFonts w:ascii="Arial" w:cs="Arial" w:eastAsia="Arial" w:hAnsi="Arial"/>
          <w:sz w:val="21"/>
          <w:szCs w:val="21"/>
          <w:b w:val="1"/>
          <w:bCs w:val="1"/>
          <w:color w:val="0090DA"/>
        </w:rPr>
        <w:t>|</w:t>
      </w:r>
      <w:r>
        <w:rPr>
          <w:rFonts w:ascii="Arial" w:cs="Arial" w:eastAsia="Arial" w:hAnsi="Arial"/>
          <w:sz w:val="18"/>
          <w:szCs w:val="18"/>
          <w:color w:val="auto"/>
        </w:rPr>
        <w:t xml:space="preserve"> 2020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type w:val="continuous"/>
        </w:sectPr>
      </w:pPr>
    </w:p>
    <w:bookmarkStart w:id="64" w:name="page65"/>
    <w:bookmarkEnd w:id="64"/>
    <w:p>
      <w:pPr>
        <w:ind w:right="40"/>
        <w:spacing w:after="0" w:line="252" w:lineRule="auto"/>
        <w:rPr>
          <w:sz w:val="20"/>
          <w:szCs w:val="20"/>
          <w:color w:val="auto"/>
        </w:rPr>
      </w:pPr>
      <w:r>
        <w:rPr>
          <w:rFonts w:ascii="Arial" w:cs="Arial" w:eastAsia="Arial" w:hAnsi="Arial"/>
          <w:sz w:val="18"/>
          <w:szCs w:val="18"/>
          <w:color w:val="auto"/>
        </w:rPr>
        <w:t>As of September 3, 2020, borrowings under the credit facility were unsecured; however, a security interest may be automatically instated upon a decline below a certain level in our corporate credit rating. If the security interest is instated, any amounts drawn under the credit agreement would be collateralized by substantially all of the assets of Micron and MSP, subject to certain permitted liens. The credit agreement contains other covenants that, among other things, limit, in certain circumstances, our ability and/or the ability of our restricted subsidiaries to (1) create or incur certain liens and enter into sale and lease-back transactions, (2) create, assume, incur, or guarantee certain additional secured indebtedness and unsecured indebtedness of our restricted subsidiaries, and (3) consolidate with or merge with or into, or convey, transfer, lease, or otherwise dispose of all or substantially all of our assets, to another entity. These covenants are subject to a number of limitations, exceptions, and qualifications.</w:t>
      </w:r>
    </w:p>
    <w:p>
      <w:pPr>
        <w:spacing w:after="0" w:line="210"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b w:val="1"/>
          <w:bCs w:val="1"/>
          <w:i w:val="1"/>
          <w:iCs w:val="1"/>
          <w:color w:val="auto"/>
        </w:rPr>
        <w:t>Revolving Credit Facility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March 13, 2020, we drew the $2.50 billion available under our Revolving Credit Facility and on April 24, 2020,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repaid the $ 2.50 billion. As of September 3, 2020, no amounts were outstanding under the Revolving Credit Facility and $2.50 billion was available to us. Any amounts outstanding under the Revolving Credit Facility would mature in July 2023 and we may repay amounts borrowed any time without penalty. The Revolving Credit Facility bears interest at a rate equal to LIBOR plus 1.25% based on our current corporate credit rating and leverage ratio.</w:t>
      </w:r>
    </w:p>
    <w:p>
      <w:pPr>
        <w:spacing w:after="0" w:line="203" w:lineRule="exact"/>
        <w:rPr>
          <w:sz w:val="20"/>
          <w:szCs w:val="20"/>
          <w:color w:val="auto"/>
        </w:rPr>
      </w:pPr>
    </w:p>
    <w:p>
      <w:pPr>
        <w:jc w:val="both"/>
        <w:ind w:right="80"/>
        <w:spacing w:after="0" w:line="291" w:lineRule="auto"/>
        <w:rPr>
          <w:sz w:val="20"/>
          <w:szCs w:val="20"/>
          <w:color w:val="auto"/>
        </w:rPr>
      </w:pPr>
      <w:r>
        <w:rPr>
          <w:rFonts w:ascii="Arial" w:cs="Arial" w:eastAsia="Arial" w:hAnsi="Arial"/>
          <w:sz w:val="17"/>
          <w:szCs w:val="17"/>
          <w:b w:val="1"/>
          <w:bCs w:val="1"/>
          <w:i w:val="1"/>
          <w:iCs w:val="1"/>
          <w:color w:val="auto"/>
        </w:rPr>
        <w:t>2024 Term Loan A</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October 30, 2019, we drew the $ 1.25 billion available under our 2024 Term Loan A credit facility. Principal payments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are due annually in an amount equal to 5.0% of the initial principal amount with the balance due at maturity in October 2024. The 2024 Term Loan A facility bears interest at a rate equal to LIBOR plus 1.25% based on our current corporate credit rating and leverage ratio.</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2032D Convertible Senior Notes</w:t>
      </w:r>
    </w:p>
    <w:p>
      <w:pPr>
        <w:spacing w:after="0" w:line="24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b w:val="1"/>
          <w:bCs w:val="1"/>
          <w:i w:val="1"/>
          <w:iCs w:val="1"/>
          <w:color w:val="auto"/>
        </w:rPr>
        <w:t>Conversion Rights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Holders of the 2032D Notes may convert them under the following circumstances: (1) if the notes are called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redemption; (2) during any calendar quarter if the closing price of our common stock for at least 20 trading days in the 30 consecutive trading days ending on the last trading day of the preceding calendar quarter is more than 130% of the conversion price (approximately $12.97 per share); (3) if the trading price of the 2032D Notes is less than 98% of the product of the closing price of our common stock and the conversion rate of the notes during the period specified in the indenture; (4) if specified distributions or corporate events occur, as set forth in the indenture for the notes; or (5) at any time on or after February 1, 2032.</w:t>
      </w:r>
    </w:p>
    <w:p>
      <w:pPr>
        <w:spacing w:after="0" w:line="23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closing price of our common stock exceeded 130% of the conversion price for the 2032D Notes for at least 20 trading days in the 30 consecutive trading days ending on September 30, 2020. As a result, the 2032D Notes are convertible by the holders through December 31, 2020. As of September 3, 2020, the $ 46.33 trading price of our common stock was higher than the conversion price of our 2032D Notes and, as a result, the aggregate conversion value of $620 million exceeded the aggregate principal amount of $134 million by $486 million. It is our current intent to settle in cash the principal amount of our 2032D Notes upon conversion. As a result, only the amounts payable in excess of the principal amounts upon conversion of our 2032D Notes are considered in diluted earnings per share under the treasury stock method. We may elect to settle any amounts in excess of the principal in cash, shares of our common stock, or a combination thereof.</w:t>
      </w:r>
    </w:p>
    <w:p>
      <w:pPr>
        <w:spacing w:after="0" w:line="212"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b w:val="1"/>
          <w:bCs w:val="1"/>
          <w:i w:val="1"/>
          <w:iCs w:val="1"/>
          <w:color w:val="auto"/>
        </w:rPr>
        <w:t>Cash Redemption at Our Option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may redeem for cash the 2032D Notes if the volume weighted average price of our common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has been at least 130% of the conversion price (approximately $12.97 per share) for at least 20 trading days during any 30 consecutive trading day period. The redemption price will equal the principal amount plus accrued and unpaid interest. If we redeem the 2032D Notes prior to May 4, 2021, we will also pay a make-whole premium in cash equal to the present value of the remaining scheduled interest payments from the redemption date to May 4, 2021.</w:t>
      </w:r>
    </w:p>
    <w:p>
      <w:pPr>
        <w:spacing w:after="0" w:line="20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b w:val="1"/>
          <w:bCs w:val="1"/>
          <w:i w:val="1"/>
          <w:iCs w:val="1"/>
          <w:color w:val="auto"/>
        </w:rPr>
        <w:t>Cash Repurchase at the Option of the Holders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Holders of our 2032D Notes have the right to require us to repurchase for cash all or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portion of the notes on May 1, 2021. As a result, our 2032D Notes are classified as current liabilities as of September 3, 2020. Debt discount and issuance costs are amortized through the holder put date. The repurchase price would equal the principal amount plus accrued and unpaid interest. Also, upon a change in control or a termination of trading, as defined in the indenture, holders of our 2032D Notes may require us to repurchase for cash all or a portion of their notes at a repurchase price equal to the principal amount plus accrued and unpaid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sz w:val="1"/>
          <w:szCs w:val="1"/>
          <w:color w:val="auto"/>
        </w:rPr>
        <w:drawing>
          <wp:inline distT="0" distB="0" distL="0" distR="0">
            <wp:extent cx="608330" cy="171450"/>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8330" cy="171450"/>
                    </a:xfrm>
                    <a:prstGeom prst="rect">
                      <a:avLst/>
                    </a:prstGeom>
                    <a:noFill/>
                    <a:ln>
                      <a:noFill/>
                    </a:ln>
                  </pic:spPr>
                </pic:pic>
              </a:graphicData>
            </a:graphic>
          </wp:inline>
        </w:drawing>
      </w:r>
      <w:r>
        <w:rPr>
          <w:rFonts w:ascii="Arial" w:cs="Arial" w:eastAsia="Arial" w:hAnsi="Arial"/>
          <w:sz w:val="18"/>
          <w:szCs w:val="18"/>
          <w:color w:val="auto"/>
        </w:rPr>
        <w:t xml:space="preserve">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65" w:name="page66"/>
    <w:bookmarkEnd w:id="65"/>
    <w:p>
      <w:pPr>
        <w:ind w:right="120"/>
        <w:spacing w:after="0" w:line="262" w:lineRule="auto"/>
        <w:rPr>
          <w:sz w:val="20"/>
          <w:szCs w:val="20"/>
          <w:color w:val="auto"/>
        </w:rPr>
      </w:pPr>
      <w:r>
        <w:rPr>
          <w:rFonts w:ascii="Arial" w:cs="Arial" w:eastAsia="Arial" w:hAnsi="Arial"/>
          <w:sz w:val="18"/>
          <w:szCs w:val="18"/>
          <w:b w:val="1"/>
          <w:bCs w:val="1"/>
          <w:i w:val="1"/>
          <w:iCs w:val="1"/>
          <w:color w:val="auto"/>
        </w:rPr>
        <w:t>Other</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expense for all our convertible notes consisted of contractual interest of $4 million, $21 million, and $44 million for 2020,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2019, and 2018, respectively, and amortization of discount and issuance costs of $4 million, $14 million, and $32 million for 2020, 2019, and 2018, respectively. As of September 3, 2020 and August 29, 2019, the carrying amounts of the equity components of our convertible notes, which are included in additional capital, were $27 million and $29 million,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IMFT Member Debt</w:t>
      </w:r>
    </w:p>
    <w:p>
      <w:pPr>
        <w:spacing w:after="0" w:line="265"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In connection with our purchase of Intel’s noncontrolling interest in IMFT on October 31, 2019, we extinguished the remaining IMFT Member Debt as a component of the cash consideration paid to Intel for their interest in IMFT and recognized a non-operating gain of $72 million for the difference between the $505 million of cash consideration allocated to the extinguishment of IMFT Member Debt and its $577 million carrying value. (See “Equity – Noncontrolling Interest in Subsidiary” for the cash consideration allocated to the repurchase of noncontrolling interest.) Prior to our acquisition of Intel’s interests in IMFT, IMFT repaid to Intel $116 million of IMFT Member Debt in the first quarter of 2020.</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Debt Activity</w:t>
      </w:r>
    </w:p>
    <w:p>
      <w:pPr>
        <w:spacing w:after="0" w:line="26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table below presents the effects of issuances, prepayments, and conversions of debt in 2020. When we receive a notice of conversion for any of our convertible notes and elect to settle in cash any amount of the conversion obligation in excess of the principal amount, the cash settlement obligations become derivative debt liabilities subject to mark-to-market accounting treatment based on the volume-weighted-average price of our common stock over a period of 20 consecutive trading days. Accordingly, at the date of our election to settle a conversion in cash, we reclassify the fair value of the equity component of the converted notes from additional capital to derivative debt liability within current debt in our consolidated balance sheet.</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rPr>
              <w:t>Increase</w:t>
            </w:r>
          </w:p>
        </w:tc>
        <w:tc>
          <w:tcPr>
            <w:tcW w:w="140" w:type="dxa"/>
            <w:vAlign w:val="bottom"/>
          </w:tcPr>
          <w:p>
            <w:pPr>
              <w:spacing w:after="0"/>
              <w:rPr>
                <w:sz w:val="18"/>
                <w:szCs w:val="18"/>
                <w:color w:val="auto"/>
              </w:rPr>
            </w:pPr>
          </w:p>
        </w:tc>
        <w:tc>
          <w:tcPr>
            <w:tcW w:w="1300" w:type="dxa"/>
            <w:vAlign w:val="bottom"/>
          </w:tcPr>
          <w:p>
            <w:pPr>
              <w:jc w:val="center"/>
              <w:ind w:right="30"/>
              <w:spacing w:after="0"/>
              <w:rPr>
                <w:sz w:val="20"/>
                <w:szCs w:val="20"/>
                <w:color w:val="auto"/>
              </w:rPr>
            </w:pPr>
            <w:r>
              <w:rPr>
                <w:rFonts w:ascii="Arial" w:cs="Arial" w:eastAsia="Arial" w:hAnsi="Arial"/>
                <w:sz w:val="18"/>
                <w:szCs w:val="18"/>
                <w:b w:val="1"/>
                <w:bCs w:val="1"/>
                <w:color w:val="auto"/>
              </w:rPr>
              <w:t>Increase</w:t>
            </w:r>
          </w:p>
        </w:tc>
        <w:tc>
          <w:tcPr>
            <w:tcW w:w="160" w:type="dxa"/>
            <w:vAlign w:val="bottom"/>
          </w:tcPr>
          <w:p>
            <w:pPr>
              <w:spacing w:after="0"/>
              <w:rPr>
                <w:sz w:val="18"/>
                <w:szCs w:val="18"/>
                <w:color w:val="auto"/>
              </w:rPr>
            </w:pPr>
          </w:p>
        </w:tc>
        <w:tc>
          <w:tcPr>
            <w:tcW w:w="1300" w:type="dxa"/>
            <w:vAlign w:val="bottom"/>
          </w:tcPr>
          <w:p>
            <w:pPr>
              <w:jc w:val="center"/>
              <w:ind w:right="30"/>
              <w:spacing w:after="0"/>
              <w:rPr>
                <w:sz w:val="20"/>
                <w:szCs w:val="20"/>
                <w:color w:val="auto"/>
              </w:rPr>
            </w:pPr>
            <w:r>
              <w:rPr>
                <w:rFonts w:ascii="Arial" w:cs="Arial" w:eastAsia="Arial" w:hAnsi="Arial"/>
                <w:sz w:val="18"/>
                <w:szCs w:val="18"/>
                <w:b w:val="1"/>
                <w:bCs w:val="1"/>
                <w:color w:val="auto"/>
              </w:rPr>
              <w:t>Increase</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03"/>
        </w:trPr>
        <w:tc>
          <w:tcPr>
            <w:tcW w:w="3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rPr>
              <w:t>(Decrease) in</w:t>
            </w:r>
          </w:p>
        </w:tc>
        <w:tc>
          <w:tcPr>
            <w:tcW w:w="140" w:type="dxa"/>
            <w:vAlign w:val="bottom"/>
          </w:tcPr>
          <w:p>
            <w:pPr>
              <w:spacing w:after="0"/>
              <w:rPr>
                <w:sz w:val="17"/>
                <w:szCs w:val="17"/>
                <w:color w:val="auto"/>
              </w:rPr>
            </w:pPr>
          </w:p>
        </w:tc>
        <w:tc>
          <w:tcPr>
            <w:tcW w:w="130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rPr>
              <w:t>(Decrease) in</w:t>
            </w:r>
          </w:p>
        </w:tc>
        <w:tc>
          <w:tcPr>
            <w:tcW w:w="160" w:type="dxa"/>
            <w:vAlign w:val="bottom"/>
          </w:tcPr>
          <w:p>
            <w:pPr>
              <w:spacing w:after="0"/>
              <w:rPr>
                <w:sz w:val="17"/>
                <w:szCs w:val="17"/>
                <w:color w:val="auto"/>
              </w:rPr>
            </w:pPr>
          </w:p>
        </w:tc>
        <w:tc>
          <w:tcPr>
            <w:tcW w:w="130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rPr>
              <w:t>(Decrease) in</w:t>
            </w:r>
          </w:p>
        </w:tc>
        <w:tc>
          <w:tcPr>
            <w:tcW w:w="180" w:type="dxa"/>
            <w:vAlign w:val="bottom"/>
          </w:tcPr>
          <w:p>
            <w:pPr>
              <w:spacing w:after="0"/>
              <w:rPr>
                <w:sz w:val="17"/>
                <w:szCs w:val="17"/>
                <w:color w:val="auto"/>
              </w:rPr>
            </w:pPr>
          </w:p>
        </w:tc>
        <w:tc>
          <w:tcPr>
            <w:tcW w:w="128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rPr>
              <w:t>Decrease in</w:t>
            </w: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46"/>
        </w:trPr>
        <w:tc>
          <w:tcPr>
            <w:tcW w:w="3960" w:type="dxa"/>
            <w:vAlign w:val="bottom"/>
            <w:tcBorders>
              <w:bottom w:val="single" w:sz="8" w:color="0090DA"/>
            </w:tcBorders>
          </w:tcPr>
          <w:p>
            <w:pPr>
              <w:spacing w:after="0"/>
              <w:rPr>
                <w:sz w:val="21"/>
                <w:szCs w:val="21"/>
                <w:color w:val="auto"/>
              </w:rPr>
            </w:pPr>
          </w:p>
        </w:tc>
        <w:tc>
          <w:tcPr>
            <w:tcW w:w="140" w:type="dxa"/>
            <w:vAlign w:val="bottom"/>
            <w:tcBorders>
              <w:bottom w:val="single" w:sz="8" w:color="0090DA"/>
            </w:tcBorders>
          </w:tcPr>
          <w:p>
            <w:pPr>
              <w:spacing w:after="0"/>
              <w:rPr>
                <w:sz w:val="21"/>
                <w:szCs w:val="21"/>
                <w:color w:val="auto"/>
              </w:rPr>
            </w:pPr>
          </w:p>
        </w:tc>
        <w:tc>
          <w:tcPr>
            <w:tcW w:w="1320" w:type="dxa"/>
            <w:vAlign w:val="bottom"/>
            <w:tcBorders>
              <w:bottom w:val="single" w:sz="8" w:color="0090DA"/>
            </w:tcBorders>
          </w:tcPr>
          <w:p>
            <w:pPr>
              <w:jc w:val="center"/>
              <w:ind w:right="30"/>
              <w:spacing w:after="0"/>
              <w:rPr>
                <w:sz w:val="20"/>
                <w:szCs w:val="20"/>
                <w:color w:val="auto"/>
              </w:rPr>
            </w:pPr>
            <w:r>
              <w:rPr>
                <w:rFonts w:ascii="Arial" w:cs="Arial" w:eastAsia="Arial" w:hAnsi="Arial"/>
                <w:sz w:val="18"/>
                <w:szCs w:val="18"/>
                <w:b w:val="1"/>
                <w:bCs w:val="1"/>
                <w:color w:val="auto"/>
                <w:w w:val="99"/>
              </w:rPr>
              <w:t>Principal</w:t>
            </w:r>
          </w:p>
        </w:tc>
        <w:tc>
          <w:tcPr>
            <w:tcW w:w="1440" w:type="dxa"/>
            <w:vAlign w:val="bottom"/>
            <w:tcBorders>
              <w:bottom w:val="single" w:sz="8" w:color="0090DA"/>
            </w:tcBorders>
            <w:gridSpan w:val="2"/>
          </w:tcPr>
          <w:p>
            <w:pPr>
              <w:jc w:val="center"/>
              <w:spacing w:after="0"/>
              <w:rPr>
                <w:sz w:val="20"/>
                <w:szCs w:val="20"/>
                <w:color w:val="auto"/>
              </w:rPr>
            </w:pPr>
            <w:r>
              <w:rPr>
                <w:rFonts w:ascii="Arial" w:cs="Arial" w:eastAsia="Arial" w:hAnsi="Arial"/>
                <w:sz w:val="18"/>
                <w:szCs w:val="18"/>
                <w:b w:val="1"/>
                <w:bCs w:val="1"/>
                <w:color w:val="auto"/>
                <w:w w:val="99"/>
              </w:rPr>
              <w:t>Carrying Value</w:t>
            </w:r>
          </w:p>
        </w:tc>
        <w:tc>
          <w:tcPr>
            <w:tcW w:w="160" w:type="dxa"/>
            <w:vAlign w:val="bottom"/>
            <w:tcBorders>
              <w:bottom w:val="single" w:sz="8" w:color="0090DA"/>
            </w:tcBorders>
          </w:tcPr>
          <w:p>
            <w:pPr>
              <w:spacing w:after="0"/>
              <w:rPr>
                <w:sz w:val="21"/>
                <w:szCs w:val="21"/>
                <w:color w:val="auto"/>
              </w:rPr>
            </w:pPr>
          </w:p>
        </w:tc>
        <w:tc>
          <w:tcPr>
            <w:tcW w:w="1300" w:type="dxa"/>
            <w:vAlign w:val="bottom"/>
            <w:tcBorders>
              <w:bottom w:val="single" w:sz="8" w:color="0090DA"/>
            </w:tcBorders>
          </w:tcPr>
          <w:p>
            <w:pPr>
              <w:jc w:val="center"/>
              <w:ind w:right="50"/>
              <w:spacing w:after="0"/>
              <w:rPr>
                <w:sz w:val="20"/>
                <w:szCs w:val="20"/>
                <w:color w:val="auto"/>
              </w:rPr>
            </w:pPr>
            <w:r>
              <w:rPr>
                <w:rFonts w:ascii="Arial" w:cs="Arial" w:eastAsia="Arial" w:hAnsi="Arial"/>
                <w:sz w:val="18"/>
                <w:szCs w:val="18"/>
                <w:b w:val="1"/>
                <w:bCs w:val="1"/>
                <w:color w:val="auto"/>
                <w:w w:val="99"/>
              </w:rPr>
              <w:t>Cash</w:t>
            </w:r>
          </w:p>
        </w:tc>
        <w:tc>
          <w:tcPr>
            <w:tcW w:w="180" w:type="dxa"/>
            <w:vAlign w:val="bottom"/>
            <w:tcBorders>
              <w:bottom w:val="single" w:sz="8" w:color="0090DA"/>
            </w:tcBorders>
          </w:tcPr>
          <w:p>
            <w:pPr>
              <w:spacing w:after="0"/>
              <w:rPr>
                <w:sz w:val="21"/>
                <w:szCs w:val="21"/>
                <w:color w:val="auto"/>
              </w:rPr>
            </w:pPr>
          </w:p>
        </w:tc>
        <w:tc>
          <w:tcPr>
            <w:tcW w:w="1280" w:type="dxa"/>
            <w:vAlign w:val="bottom"/>
            <w:tcBorders>
              <w:bottom w:val="single" w:sz="8" w:color="0090DA"/>
            </w:tcBorders>
          </w:tcPr>
          <w:p>
            <w:pPr>
              <w:jc w:val="center"/>
              <w:ind w:right="50"/>
              <w:spacing w:after="0"/>
              <w:rPr>
                <w:sz w:val="20"/>
                <w:szCs w:val="20"/>
                <w:color w:val="auto"/>
              </w:rPr>
            </w:pPr>
            <w:r>
              <w:rPr>
                <w:rFonts w:ascii="Arial" w:cs="Arial" w:eastAsia="Arial" w:hAnsi="Arial"/>
                <w:sz w:val="18"/>
                <w:szCs w:val="18"/>
                <w:b w:val="1"/>
                <w:bCs w:val="1"/>
                <w:color w:val="auto"/>
                <w:w w:val="98"/>
              </w:rPr>
              <w:t>Equity</w:t>
            </w:r>
          </w:p>
        </w:tc>
        <w:tc>
          <w:tcPr>
            <w:tcW w:w="180" w:type="dxa"/>
            <w:vAlign w:val="bottom"/>
            <w:tcBorders>
              <w:bottom w:val="single" w:sz="8" w:color="0090DA"/>
            </w:tcBorders>
          </w:tcPr>
          <w:p>
            <w:pPr>
              <w:spacing w:after="0"/>
              <w:rPr>
                <w:sz w:val="21"/>
                <w:szCs w:val="21"/>
                <w:color w:val="auto"/>
              </w:rPr>
            </w:pPr>
          </w:p>
        </w:tc>
        <w:tc>
          <w:tcPr>
            <w:tcW w:w="1280" w:type="dxa"/>
            <w:vAlign w:val="bottom"/>
            <w:tcBorders>
              <w:bottom w:val="single" w:sz="8" w:color="0090DA"/>
            </w:tcBorders>
          </w:tcPr>
          <w:p>
            <w:pPr>
              <w:jc w:val="right"/>
              <w:ind w:right="130"/>
              <w:spacing w:after="0"/>
              <w:rPr>
                <w:sz w:val="20"/>
                <w:szCs w:val="20"/>
                <w:color w:val="auto"/>
              </w:rPr>
            </w:pPr>
            <w:r>
              <w:rPr>
                <w:rFonts w:ascii="Arial" w:cs="Arial" w:eastAsia="Arial" w:hAnsi="Arial"/>
                <w:sz w:val="18"/>
                <w:szCs w:val="18"/>
                <w:b w:val="1"/>
                <w:bCs w:val="1"/>
                <w:color w:val="auto"/>
              </w:rPr>
              <w:t>Gain (Loss)</w:t>
            </w:r>
          </w:p>
        </w:tc>
      </w:tr>
      <w:tr>
        <w:trPr>
          <w:trHeight w:val="40"/>
        </w:trPr>
        <w:tc>
          <w:tcPr>
            <w:tcW w:w="3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56"/>
        </w:trPr>
        <w:tc>
          <w:tcPr>
            <w:tcW w:w="3960" w:type="dxa"/>
            <w:vAlign w:val="bottom"/>
            <w:shd w:val="clear" w:color="auto" w:fill="D1D2D4"/>
          </w:tcPr>
          <w:p>
            <w:pPr>
              <w:ind w:left="20"/>
              <w:spacing w:after="0"/>
              <w:rPr>
                <w:sz w:val="20"/>
                <w:szCs w:val="20"/>
                <w:color w:val="auto"/>
              </w:rPr>
            </w:pPr>
            <w:r>
              <w:rPr>
                <w:rFonts w:ascii="Arial" w:cs="Arial" w:eastAsia="Arial" w:hAnsi="Arial"/>
                <w:sz w:val="18"/>
                <w:szCs w:val="18"/>
                <w:color w:val="auto"/>
              </w:rPr>
              <w:t>Issuances</w:t>
            </w:r>
          </w:p>
        </w:tc>
        <w:tc>
          <w:tcPr>
            <w:tcW w:w="140" w:type="dxa"/>
            <w:vAlign w:val="bottom"/>
            <w:shd w:val="clear" w:color="auto" w:fill="D1D2D4"/>
          </w:tcPr>
          <w:p>
            <w:pPr>
              <w:spacing w:after="0"/>
              <w:rPr>
                <w:sz w:val="22"/>
                <w:szCs w:val="22"/>
                <w:color w:val="auto"/>
              </w:rPr>
            </w:pPr>
          </w:p>
        </w:tc>
        <w:tc>
          <w:tcPr>
            <w:tcW w:w="1320" w:type="dxa"/>
            <w:vAlign w:val="bottom"/>
            <w:shd w:val="clear" w:color="auto" w:fill="D1D2D4"/>
          </w:tcPr>
          <w:p>
            <w:pPr>
              <w:spacing w:after="0"/>
              <w:rPr>
                <w:sz w:val="22"/>
                <w:szCs w:val="22"/>
                <w:color w:val="auto"/>
              </w:rPr>
            </w:pPr>
          </w:p>
        </w:tc>
        <w:tc>
          <w:tcPr>
            <w:tcW w:w="140" w:type="dxa"/>
            <w:vAlign w:val="bottom"/>
            <w:shd w:val="clear" w:color="auto" w:fill="D1D2D4"/>
          </w:tcPr>
          <w:p>
            <w:pPr>
              <w:spacing w:after="0"/>
              <w:rPr>
                <w:sz w:val="22"/>
                <w:szCs w:val="22"/>
                <w:color w:val="auto"/>
              </w:rPr>
            </w:pPr>
          </w:p>
        </w:tc>
        <w:tc>
          <w:tcPr>
            <w:tcW w:w="1300" w:type="dxa"/>
            <w:vAlign w:val="bottom"/>
            <w:shd w:val="clear" w:color="auto" w:fill="D1D2D4"/>
          </w:tcPr>
          <w:p>
            <w:pPr>
              <w:spacing w:after="0"/>
              <w:rPr>
                <w:sz w:val="22"/>
                <w:szCs w:val="22"/>
                <w:color w:val="auto"/>
              </w:rPr>
            </w:pPr>
          </w:p>
        </w:tc>
        <w:tc>
          <w:tcPr>
            <w:tcW w:w="160" w:type="dxa"/>
            <w:vAlign w:val="bottom"/>
            <w:shd w:val="clear" w:color="auto" w:fill="D1D2D4"/>
          </w:tcPr>
          <w:p>
            <w:pPr>
              <w:spacing w:after="0"/>
              <w:rPr>
                <w:sz w:val="22"/>
                <w:szCs w:val="22"/>
                <w:color w:val="auto"/>
              </w:rPr>
            </w:pPr>
          </w:p>
        </w:tc>
        <w:tc>
          <w:tcPr>
            <w:tcW w:w="1300" w:type="dxa"/>
            <w:vAlign w:val="bottom"/>
            <w:shd w:val="clear" w:color="auto" w:fill="D1D2D4"/>
          </w:tcPr>
          <w:p>
            <w:pPr>
              <w:spacing w:after="0"/>
              <w:rPr>
                <w:sz w:val="22"/>
                <w:szCs w:val="22"/>
                <w:color w:val="auto"/>
              </w:rPr>
            </w:pPr>
          </w:p>
        </w:tc>
        <w:tc>
          <w:tcPr>
            <w:tcW w:w="180" w:type="dxa"/>
            <w:vAlign w:val="bottom"/>
            <w:shd w:val="clear" w:color="auto" w:fill="D1D2D4"/>
          </w:tcPr>
          <w:p>
            <w:pPr>
              <w:spacing w:after="0"/>
              <w:rPr>
                <w:sz w:val="22"/>
                <w:szCs w:val="22"/>
                <w:color w:val="auto"/>
              </w:rPr>
            </w:pPr>
          </w:p>
        </w:tc>
        <w:tc>
          <w:tcPr>
            <w:tcW w:w="1280" w:type="dxa"/>
            <w:vAlign w:val="bottom"/>
            <w:shd w:val="clear" w:color="auto" w:fill="D1D2D4"/>
          </w:tcPr>
          <w:p>
            <w:pPr>
              <w:spacing w:after="0"/>
              <w:rPr>
                <w:sz w:val="22"/>
                <w:szCs w:val="22"/>
                <w:color w:val="auto"/>
              </w:rPr>
            </w:pPr>
          </w:p>
        </w:tc>
        <w:tc>
          <w:tcPr>
            <w:tcW w:w="180" w:type="dxa"/>
            <w:vAlign w:val="bottom"/>
            <w:shd w:val="clear" w:color="auto" w:fill="D1D2D4"/>
          </w:tcPr>
          <w:p>
            <w:pPr>
              <w:spacing w:after="0"/>
              <w:rPr>
                <w:sz w:val="22"/>
                <w:szCs w:val="22"/>
                <w:color w:val="auto"/>
              </w:rPr>
            </w:pPr>
          </w:p>
        </w:tc>
        <w:tc>
          <w:tcPr>
            <w:tcW w:w="1280" w:type="dxa"/>
            <w:vAlign w:val="bottom"/>
            <w:shd w:val="clear" w:color="auto" w:fill="D1D2D4"/>
          </w:tcPr>
          <w:p>
            <w:pPr>
              <w:spacing w:after="0"/>
              <w:rPr>
                <w:sz w:val="22"/>
                <w:szCs w:val="22"/>
                <w:color w:val="auto"/>
              </w:rPr>
            </w:pPr>
          </w:p>
        </w:tc>
      </w:tr>
      <w:tr>
        <w:trPr>
          <w:trHeight w:val="250"/>
        </w:trPr>
        <w:tc>
          <w:tcPr>
            <w:tcW w:w="3960" w:type="dxa"/>
            <w:vAlign w:val="bottom"/>
          </w:tcPr>
          <w:p>
            <w:pPr>
              <w:ind w:left="120"/>
              <w:spacing w:after="0"/>
              <w:rPr>
                <w:sz w:val="20"/>
                <w:szCs w:val="20"/>
                <w:color w:val="auto"/>
              </w:rPr>
            </w:pPr>
            <w:r>
              <w:rPr>
                <w:rFonts w:ascii="Arial" w:cs="Arial" w:eastAsia="Arial" w:hAnsi="Arial"/>
                <w:sz w:val="18"/>
                <w:szCs w:val="18"/>
                <w:color w:val="auto"/>
              </w:rPr>
              <w:t>Revolving Credit Facility</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2,500</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2,493</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2,500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center"/>
              <w:ind w:left="850"/>
              <w:spacing w:after="0"/>
              <w:rPr>
                <w:sz w:val="20"/>
                <w:szCs w:val="20"/>
                <w:color w:val="auto"/>
              </w:rPr>
            </w:pPr>
            <w:r>
              <w:rPr>
                <w:rFonts w:ascii="Arial" w:cs="Arial" w:eastAsia="Arial" w:hAnsi="Arial"/>
                <w:sz w:val="18"/>
                <w:szCs w:val="18"/>
                <w:color w:val="auto"/>
                <w:w w:val="99"/>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3960" w:type="dxa"/>
            <w:vAlign w:val="bottom"/>
            <w:shd w:val="clear" w:color="auto" w:fill="D1D2D4"/>
          </w:tcPr>
          <w:p>
            <w:pPr>
              <w:ind w:left="140"/>
              <w:spacing w:after="0" w:line="263" w:lineRule="exact"/>
              <w:rPr>
                <w:sz w:val="20"/>
                <w:szCs w:val="20"/>
                <w:color w:val="auto"/>
              </w:rPr>
            </w:pPr>
            <w:r>
              <w:rPr>
                <w:rFonts w:ascii="Arial" w:cs="Arial" w:eastAsia="Arial" w:hAnsi="Arial"/>
                <w:sz w:val="18"/>
                <w:szCs w:val="18"/>
                <w:color w:val="auto"/>
              </w:rPr>
              <w:t>2023 Notes</w:t>
            </w:r>
            <w:r>
              <w:rPr>
                <w:rFonts w:ascii="Arial" w:cs="Arial" w:eastAsia="Arial" w:hAnsi="Arial"/>
                <w:sz w:val="23"/>
                <w:szCs w:val="23"/>
                <w:color w:val="auto"/>
                <w:vertAlign w:val="superscript"/>
              </w:rPr>
              <w:t>(1)</w:t>
            </w:r>
          </w:p>
        </w:tc>
        <w:tc>
          <w:tcPr>
            <w:tcW w:w="140" w:type="dxa"/>
            <w:vAlign w:val="bottom"/>
            <w:shd w:val="clear" w:color="auto" w:fill="D1D2D4"/>
          </w:tcPr>
          <w:p>
            <w:pPr>
              <w:spacing w:after="0"/>
              <w:rPr>
                <w:sz w:val="22"/>
                <w:szCs w:val="22"/>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1,250</w:t>
            </w:r>
          </w:p>
        </w:tc>
        <w:tc>
          <w:tcPr>
            <w:tcW w:w="140" w:type="dxa"/>
            <w:vAlign w:val="bottom"/>
            <w:shd w:val="clear" w:color="auto" w:fill="D1D2D4"/>
          </w:tcPr>
          <w:p>
            <w:pPr>
              <w:spacing w:after="0"/>
              <w:rPr>
                <w:sz w:val="22"/>
                <w:szCs w:val="22"/>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1,245</w:t>
            </w:r>
          </w:p>
        </w:tc>
        <w:tc>
          <w:tcPr>
            <w:tcW w:w="160" w:type="dxa"/>
            <w:vAlign w:val="bottom"/>
            <w:shd w:val="clear" w:color="auto" w:fill="D1D2D4"/>
          </w:tcPr>
          <w:p>
            <w:pPr>
              <w:spacing w:after="0"/>
              <w:rPr>
                <w:sz w:val="22"/>
                <w:szCs w:val="22"/>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1,245</w:t>
            </w:r>
          </w:p>
        </w:tc>
        <w:tc>
          <w:tcPr>
            <w:tcW w:w="180" w:type="dxa"/>
            <w:vAlign w:val="bottom"/>
            <w:shd w:val="clear" w:color="auto" w:fill="D1D2D4"/>
          </w:tcPr>
          <w:p>
            <w:pPr>
              <w:spacing w:after="0"/>
              <w:rPr>
                <w:sz w:val="22"/>
                <w:szCs w:val="22"/>
                <w:color w:val="auto"/>
              </w:rPr>
            </w:pPr>
          </w:p>
        </w:tc>
        <w:tc>
          <w:tcPr>
            <w:tcW w:w="1280" w:type="dxa"/>
            <w:vAlign w:val="bottom"/>
            <w:shd w:val="clear" w:color="auto" w:fill="D1D2D4"/>
          </w:tcPr>
          <w:p>
            <w:pPr>
              <w:jc w:val="center"/>
              <w:ind w:left="85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D1D2D4"/>
          </w:tcPr>
          <w:p>
            <w:pPr>
              <w:spacing w:after="0"/>
              <w:rPr>
                <w:sz w:val="22"/>
                <w:szCs w:val="22"/>
                <w:color w:val="auto"/>
              </w:rPr>
            </w:pPr>
          </w:p>
        </w:tc>
        <w:tc>
          <w:tcPr>
            <w:tcW w:w="128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3960" w:type="dxa"/>
            <w:vAlign w:val="bottom"/>
          </w:tcPr>
          <w:p>
            <w:pPr>
              <w:ind w:left="120"/>
              <w:spacing w:after="0"/>
              <w:rPr>
                <w:sz w:val="20"/>
                <w:szCs w:val="20"/>
                <w:color w:val="auto"/>
              </w:rPr>
            </w:pPr>
            <w:r>
              <w:rPr>
                <w:rFonts w:ascii="Arial" w:cs="Arial" w:eastAsia="Arial" w:hAnsi="Arial"/>
                <w:sz w:val="18"/>
                <w:szCs w:val="18"/>
                <w:color w:val="auto"/>
              </w:rPr>
              <w:t>2024 Term Loan A</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1,250</w:t>
            </w: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1,248</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1,248</w:t>
            </w:r>
          </w:p>
        </w:tc>
        <w:tc>
          <w:tcPr>
            <w:tcW w:w="180" w:type="dxa"/>
            <w:vAlign w:val="bottom"/>
          </w:tcPr>
          <w:p>
            <w:pPr>
              <w:spacing w:after="0"/>
              <w:rPr>
                <w:sz w:val="21"/>
                <w:szCs w:val="21"/>
                <w:color w:val="auto"/>
              </w:rPr>
            </w:pPr>
          </w:p>
        </w:tc>
        <w:tc>
          <w:tcPr>
            <w:tcW w:w="1280" w:type="dxa"/>
            <w:vAlign w:val="bottom"/>
          </w:tcPr>
          <w:p>
            <w:pPr>
              <w:jc w:val="center"/>
              <w:ind w:left="85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39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Prepayments</w:t>
            </w:r>
          </w:p>
        </w:tc>
        <w:tc>
          <w:tcPr>
            <w:tcW w:w="140" w:type="dxa"/>
            <w:vAlign w:val="bottom"/>
            <w:shd w:val="clear" w:color="auto" w:fill="D1D2D4"/>
          </w:tcPr>
          <w:p>
            <w:pPr>
              <w:spacing w:after="0"/>
              <w:rPr>
                <w:sz w:val="22"/>
                <w:szCs w:val="22"/>
                <w:color w:val="auto"/>
              </w:rPr>
            </w:pPr>
          </w:p>
        </w:tc>
        <w:tc>
          <w:tcPr>
            <w:tcW w:w="1320" w:type="dxa"/>
            <w:vAlign w:val="bottom"/>
            <w:shd w:val="clear" w:color="auto" w:fill="D1D2D4"/>
          </w:tcPr>
          <w:p>
            <w:pPr>
              <w:spacing w:after="0"/>
              <w:rPr>
                <w:sz w:val="22"/>
                <w:szCs w:val="22"/>
                <w:color w:val="auto"/>
              </w:rPr>
            </w:pPr>
          </w:p>
        </w:tc>
        <w:tc>
          <w:tcPr>
            <w:tcW w:w="140" w:type="dxa"/>
            <w:vAlign w:val="bottom"/>
            <w:shd w:val="clear" w:color="auto" w:fill="D1D2D4"/>
          </w:tcPr>
          <w:p>
            <w:pPr>
              <w:spacing w:after="0"/>
              <w:rPr>
                <w:sz w:val="22"/>
                <w:szCs w:val="22"/>
                <w:color w:val="auto"/>
              </w:rPr>
            </w:pPr>
          </w:p>
        </w:tc>
        <w:tc>
          <w:tcPr>
            <w:tcW w:w="1300" w:type="dxa"/>
            <w:vAlign w:val="bottom"/>
            <w:shd w:val="clear" w:color="auto" w:fill="D1D2D4"/>
          </w:tcPr>
          <w:p>
            <w:pPr>
              <w:spacing w:after="0"/>
              <w:rPr>
                <w:sz w:val="22"/>
                <w:szCs w:val="22"/>
                <w:color w:val="auto"/>
              </w:rPr>
            </w:pPr>
          </w:p>
        </w:tc>
        <w:tc>
          <w:tcPr>
            <w:tcW w:w="160" w:type="dxa"/>
            <w:vAlign w:val="bottom"/>
            <w:shd w:val="clear" w:color="auto" w:fill="D1D2D4"/>
          </w:tcPr>
          <w:p>
            <w:pPr>
              <w:spacing w:after="0"/>
              <w:rPr>
                <w:sz w:val="22"/>
                <w:szCs w:val="22"/>
                <w:color w:val="auto"/>
              </w:rPr>
            </w:pPr>
          </w:p>
        </w:tc>
        <w:tc>
          <w:tcPr>
            <w:tcW w:w="1300" w:type="dxa"/>
            <w:vAlign w:val="bottom"/>
            <w:shd w:val="clear" w:color="auto" w:fill="D1D2D4"/>
          </w:tcPr>
          <w:p>
            <w:pPr>
              <w:spacing w:after="0"/>
              <w:rPr>
                <w:sz w:val="22"/>
                <w:szCs w:val="22"/>
                <w:color w:val="auto"/>
              </w:rPr>
            </w:pPr>
          </w:p>
        </w:tc>
        <w:tc>
          <w:tcPr>
            <w:tcW w:w="180" w:type="dxa"/>
            <w:vAlign w:val="bottom"/>
            <w:shd w:val="clear" w:color="auto" w:fill="D1D2D4"/>
          </w:tcPr>
          <w:p>
            <w:pPr>
              <w:spacing w:after="0"/>
              <w:rPr>
                <w:sz w:val="22"/>
                <w:szCs w:val="22"/>
                <w:color w:val="auto"/>
              </w:rPr>
            </w:pPr>
          </w:p>
        </w:tc>
        <w:tc>
          <w:tcPr>
            <w:tcW w:w="1280" w:type="dxa"/>
            <w:vAlign w:val="bottom"/>
            <w:shd w:val="clear" w:color="auto" w:fill="D1D2D4"/>
          </w:tcPr>
          <w:p>
            <w:pPr>
              <w:spacing w:after="0"/>
              <w:rPr>
                <w:sz w:val="22"/>
                <w:szCs w:val="22"/>
                <w:color w:val="auto"/>
              </w:rPr>
            </w:pPr>
          </w:p>
        </w:tc>
        <w:tc>
          <w:tcPr>
            <w:tcW w:w="180" w:type="dxa"/>
            <w:vAlign w:val="bottom"/>
            <w:shd w:val="clear" w:color="auto" w:fill="D1D2D4"/>
          </w:tcPr>
          <w:p>
            <w:pPr>
              <w:spacing w:after="0"/>
              <w:rPr>
                <w:sz w:val="22"/>
                <w:szCs w:val="22"/>
                <w:color w:val="auto"/>
              </w:rPr>
            </w:pPr>
          </w:p>
        </w:tc>
        <w:tc>
          <w:tcPr>
            <w:tcW w:w="1280" w:type="dxa"/>
            <w:vAlign w:val="bottom"/>
            <w:shd w:val="clear" w:color="auto" w:fill="D1D2D4"/>
          </w:tcPr>
          <w:p>
            <w:pPr>
              <w:spacing w:after="0"/>
              <w:rPr>
                <w:sz w:val="22"/>
                <w:szCs w:val="22"/>
                <w:color w:val="auto"/>
              </w:rPr>
            </w:pPr>
          </w:p>
        </w:tc>
      </w:tr>
      <w:tr>
        <w:trPr>
          <w:trHeight w:val="250"/>
        </w:trPr>
        <w:tc>
          <w:tcPr>
            <w:tcW w:w="3960" w:type="dxa"/>
            <w:vAlign w:val="bottom"/>
          </w:tcPr>
          <w:p>
            <w:pPr>
              <w:ind w:left="120"/>
              <w:spacing w:after="0"/>
              <w:rPr>
                <w:sz w:val="20"/>
                <w:szCs w:val="20"/>
                <w:color w:val="auto"/>
              </w:rPr>
            </w:pPr>
            <w:r>
              <w:rPr>
                <w:rFonts w:ascii="Arial" w:cs="Arial" w:eastAsia="Arial" w:hAnsi="Arial"/>
                <w:sz w:val="18"/>
                <w:szCs w:val="18"/>
                <w:color w:val="auto"/>
              </w:rPr>
              <w:t>Revolving Credit Facility</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(2,500)</w:t>
            </w: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(2,493)</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(2,500)</w:t>
            </w:r>
          </w:p>
        </w:tc>
        <w:tc>
          <w:tcPr>
            <w:tcW w:w="180" w:type="dxa"/>
            <w:vAlign w:val="bottom"/>
          </w:tcPr>
          <w:p>
            <w:pPr>
              <w:spacing w:after="0"/>
              <w:rPr>
                <w:sz w:val="21"/>
                <w:szCs w:val="21"/>
                <w:color w:val="auto"/>
              </w:rPr>
            </w:pPr>
          </w:p>
        </w:tc>
        <w:tc>
          <w:tcPr>
            <w:tcW w:w="1280" w:type="dxa"/>
            <w:vAlign w:val="bottom"/>
          </w:tcPr>
          <w:p>
            <w:pPr>
              <w:jc w:val="center"/>
              <w:ind w:left="85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3960" w:type="dxa"/>
            <w:vAlign w:val="bottom"/>
            <w:shd w:val="clear" w:color="auto" w:fill="D1D2D4"/>
          </w:tcPr>
          <w:p>
            <w:pPr>
              <w:ind w:left="120"/>
              <w:spacing w:after="0"/>
              <w:rPr>
                <w:sz w:val="20"/>
                <w:szCs w:val="20"/>
                <w:color w:val="auto"/>
              </w:rPr>
            </w:pPr>
            <w:r>
              <w:rPr>
                <w:rFonts w:ascii="Arial" w:cs="Arial" w:eastAsia="Arial" w:hAnsi="Arial"/>
                <w:sz w:val="18"/>
                <w:szCs w:val="18"/>
                <w:color w:val="auto"/>
              </w:rPr>
              <w:t>IMFT Member Debt</w:t>
            </w:r>
          </w:p>
        </w:tc>
        <w:tc>
          <w:tcPr>
            <w:tcW w:w="140" w:type="dxa"/>
            <w:vAlign w:val="bottom"/>
            <w:shd w:val="clear" w:color="auto" w:fill="D1D2D4"/>
          </w:tcPr>
          <w:p>
            <w:pPr>
              <w:spacing w:after="0"/>
              <w:rPr>
                <w:sz w:val="22"/>
                <w:szCs w:val="22"/>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(693)</w:t>
            </w:r>
          </w:p>
        </w:tc>
        <w:tc>
          <w:tcPr>
            <w:tcW w:w="140" w:type="dxa"/>
            <w:vAlign w:val="bottom"/>
            <w:shd w:val="clear" w:color="auto" w:fill="D1D2D4"/>
          </w:tcPr>
          <w:p>
            <w:pPr>
              <w:spacing w:after="0"/>
              <w:rPr>
                <w:sz w:val="22"/>
                <w:szCs w:val="22"/>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(693)</w:t>
            </w:r>
          </w:p>
        </w:tc>
        <w:tc>
          <w:tcPr>
            <w:tcW w:w="160" w:type="dxa"/>
            <w:vAlign w:val="bottom"/>
            <w:shd w:val="clear" w:color="auto" w:fill="D1D2D4"/>
          </w:tcPr>
          <w:p>
            <w:pPr>
              <w:spacing w:after="0"/>
              <w:rPr>
                <w:sz w:val="22"/>
                <w:szCs w:val="22"/>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(621)</w:t>
            </w:r>
          </w:p>
        </w:tc>
        <w:tc>
          <w:tcPr>
            <w:tcW w:w="180" w:type="dxa"/>
            <w:vAlign w:val="bottom"/>
            <w:shd w:val="clear" w:color="auto" w:fill="D1D2D4"/>
          </w:tcPr>
          <w:p>
            <w:pPr>
              <w:spacing w:after="0"/>
              <w:rPr>
                <w:sz w:val="22"/>
                <w:szCs w:val="22"/>
                <w:color w:val="auto"/>
              </w:rPr>
            </w:pPr>
          </w:p>
        </w:tc>
        <w:tc>
          <w:tcPr>
            <w:tcW w:w="1280" w:type="dxa"/>
            <w:vAlign w:val="bottom"/>
            <w:shd w:val="clear" w:color="auto" w:fill="D1D2D4"/>
          </w:tcPr>
          <w:p>
            <w:pPr>
              <w:jc w:val="center"/>
              <w:ind w:left="85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D1D2D4"/>
          </w:tcPr>
          <w:p>
            <w:pPr>
              <w:spacing w:after="0"/>
              <w:rPr>
                <w:sz w:val="22"/>
                <w:szCs w:val="22"/>
                <w:color w:val="auto"/>
              </w:rPr>
            </w:pPr>
          </w:p>
        </w:tc>
        <w:tc>
          <w:tcPr>
            <w:tcW w:w="128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72</w:t>
            </w:r>
          </w:p>
        </w:tc>
      </w:tr>
      <w:tr>
        <w:trPr>
          <w:trHeight w:val="250"/>
        </w:trPr>
        <w:tc>
          <w:tcPr>
            <w:tcW w:w="3960" w:type="dxa"/>
            <w:vAlign w:val="bottom"/>
          </w:tcPr>
          <w:p>
            <w:pPr>
              <w:ind w:left="120"/>
              <w:spacing w:after="0"/>
              <w:rPr>
                <w:sz w:val="20"/>
                <w:szCs w:val="20"/>
                <w:color w:val="auto"/>
              </w:rPr>
            </w:pPr>
            <w:r>
              <w:rPr>
                <w:rFonts w:ascii="Arial" w:cs="Arial" w:eastAsia="Arial" w:hAnsi="Arial"/>
                <w:sz w:val="18"/>
                <w:szCs w:val="18"/>
                <w:color w:val="auto"/>
              </w:rPr>
              <w:t>2025 Notes</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(519)</w:t>
            </w: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(516)</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(534)</w:t>
            </w:r>
          </w:p>
        </w:tc>
        <w:tc>
          <w:tcPr>
            <w:tcW w:w="180" w:type="dxa"/>
            <w:vAlign w:val="bottom"/>
          </w:tcPr>
          <w:p>
            <w:pPr>
              <w:spacing w:after="0"/>
              <w:rPr>
                <w:sz w:val="21"/>
                <w:szCs w:val="21"/>
                <w:color w:val="auto"/>
              </w:rPr>
            </w:pPr>
          </w:p>
        </w:tc>
        <w:tc>
          <w:tcPr>
            <w:tcW w:w="1280" w:type="dxa"/>
            <w:vAlign w:val="bottom"/>
          </w:tcPr>
          <w:p>
            <w:pPr>
              <w:jc w:val="center"/>
              <w:ind w:left="85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63"/>
        </w:trPr>
        <w:tc>
          <w:tcPr>
            <w:tcW w:w="3960" w:type="dxa"/>
            <w:vAlign w:val="bottom"/>
            <w:shd w:val="clear" w:color="auto" w:fill="D1D2D4"/>
          </w:tcPr>
          <w:p>
            <w:pPr>
              <w:ind w:left="20"/>
              <w:spacing w:after="0"/>
              <w:rPr>
                <w:sz w:val="20"/>
                <w:szCs w:val="20"/>
                <w:color w:val="auto"/>
              </w:rPr>
            </w:pPr>
            <w:r>
              <w:rPr>
                <w:rFonts w:ascii="Arial" w:cs="Arial" w:eastAsia="Arial" w:hAnsi="Arial"/>
                <w:sz w:val="18"/>
                <w:szCs w:val="18"/>
                <w:color w:val="auto"/>
              </w:rPr>
              <w:t>Settled conversions</w:t>
            </w:r>
          </w:p>
        </w:tc>
        <w:tc>
          <w:tcPr>
            <w:tcW w:w="140" w:type="dxa"/>
            <w:vAlign w:val="bottom"/>
            <w:shd w:val="clear" w:color="auto" w:fill="D1D2D4"/>
          </w:tcPr>
          <w:p>
            <w:pPr>
              <w:spacing w:after="0"/>
              <w:rPr>
                <w:sz w:val="22"/>
                <w:szCs w:val="22"/>
                <w:color w:val="auto"/>
              </w:rPr>
            </w:pPr>
          </w:p>
        </w:tc>
        <w:tc>
          <w:tcPr>
            <w:tcW w:w="1320" w:type="dxa"/>
            <w:vAlign w:val="bottom"/>
            <w:shd w:val="clear" w:color="auto" w:fill="D1D2D4"/>
          </w:tcPr>
          <w:p>
            <w:pPr>
              <w:spacing w:after="0"/>
              <w:rPr>
                <w:sz w:val="22"/>
                <w:szCs w:val="22"/>
                <w:color w:val="auto"/>
              </w:rPr>
            </w:pPr>
          </w:p>
        </w:tc>
        <w:tc>
          <w:tcPr>
            <w:tcW w:w="140" w:type="dxa"/>
            <w:vAlign w:val="bottom"/>
            <w:shd w:val="clear" w:color="auto" w:fill="D1D2D4"/>
          </w:tcPr>
          <w:p>
            <w:pPr>
              <w:spacing w:after="0"/>
              <w:rPr>
                <w:sz w:val="22"/>
                <w:szCs w:val="22"/>
                <w:color w:val="auto"/>
              </w:rPr>
            </w:pPr>
          </w:p>
        </w:tc>
        <w:tc>
          <w:tcPr>
            <w:tcW w:w="1300" w:type="dxa"/>
            <w:vAlign w:val="bottom"/>
            <w:shd w:val="clear" w:color="auto" w:fill="D1D2D4"/>
          </w:tcPr>
          <w:p>
            <w:pPr>
              <w:spacing w:after="0"/>
              <w:rPr>
                <w:sz w:val="22"/>
                <w:szCs w:val="22"/>
                <w:color w:val="auto"/>
              </w:rPr>
            </w:pPr>
          </w:p>
        </w:tc>
        <w:tc>
          <w:tcPr>
            <w:tcW w:w="160" w:type="dxa"/>
            <w:vAlign w:val="bottom"/>
            <w:shd w:val="clear" w:color="auto" w:fill="D1D2D4"/>
          </w:tcPr>
          <w:p>
            <w:pPr>
              <w:spacing w:after="0"/>
              <w:rPr>
                <w:sz w:val="22"/>
                <w:szCs w:val="22"/>
                <w:color w:val="auto"/>
              </w:rPr>
            </w:pPr>
          </w:p>
        </w:tc>
        <w:tc>
          <w:tcPr>
            <w:tcW w:w="1300" w:type="dxa"/>
            <w:vAlign w:val="bottom"/>
            <w:shd w:val="clear" w:color="auto" w:fill="D1D2D4"/>
          </w:tcPr>
          <w:p>
            <w:pPr>
              <w:spacing w:after="0"/>
              <w:rPr>
                <w:sz w:val="22"/>
                <w:szCs w:val="22"/>
                <w:color w:val="auto"/>
              </w:rPr>
            </w:pPr>
          </w:p>
        </w:tc>
        <w:tc>
          <w:tcPr>
            <w:tcW w:w="180" w:type="dxa"/>
            <w:vAlign w:val="bottom"/>
            <w:shd w:val="clear" w:color="auto" w:fill="D1D2D4"/>
          </w:tcPr>
          <w:p>
            <w:pPr>
              <w:spacing w:after="0"/>
              <w:rPr>
                <w:sz w:val="22"/>
                <w:szCs w:val="22"/>
                <w:color w:val="auto"/>
              </w:rPr>
            </w:pPr>
          </w:p>
        </w:tc>
        <w:tc>
          <w:tcPr>
            <w:tcW w:w="1280" w:type="dxa"/>
            <w:vAlign w:val="bottom"/>
            <w:shd w:val="clear" w:color="auto" w:fill="D1D2D4"/>
          </w:tcPr>
          <w:p>
            <w:pPr>
              <w:spacing w:after="0"/>
              <w:rPr>
                <w:sz w:val="22"/>
                <w:szCs w:val="22"/>
                <w:color w:val="auto"/>
              </w:rPr>
            </w:pPr>
          </w:p>
        </w:tc>
        <w:tc>
          <w:tcPr>
            <w:tcW w:w="180" w:type="dxa"/>
            <w:vAlign w:val="bottom"/>
            <w:shd w:val="clear" w:color="auto" w:fill="D1D2D4"/>
          </w:tcPr>
          <w:p>
            <w:pPr>
              <w:spacing w:after="0"/>
              <w:rPr>
                <w:sz w:val="22"/>
                <w:szCs w:val="22"/>
                <w:color w:val="auto"/>
              </w:rPr>
            </w:pPr>
          </w:p>
        </w:tc>
        <w:tc>
          <w:tcPr>
            <w:tcW w:w="1280" w:type="dxa"/>
            <w:vAlign w:val="bottom"/>
            <w:shd w:val="clear" w:color="auto" w:fill="D1D2D4"/>
          </w:tcPr>
          <w:p>
            <w:pPr>
              <w:spacing w:after="0"/>
              <w:rPr>
                <w:sz w:val="22"/>
                <w:szCs w:val="22"/>
                <w:color w:val="auto"/>
              </w:rPr>
            </w:pPr>
          </w:p>
        </w:tc>
      </w:tr>
      <w:tr>
        <w:trPr>
          <w:trHeight w:val="256"/>
        </w:trPr>
        <w:tc>
          <w:tcPr>
            <w:tcW w:w="3960" w:type="dxa"/>
            <w:vAlign w:val="bottom"/>
            <w:tcBorders>
              <w:bottom w:val="single" w:sz="8" w:color="D1D2D4"/>
            </w:tcBorders>
          </w:tcPr>
          <w:p>
            <w:pPr>
              <w:ind w:left="180"/>
              <w:spacing w:after="0" w:line="256" w:lineRule="exact"/>
              <w:rPr>
                <w:sz w:val="20"/>
                <w:szCs w:val="20"/>
                <w:color w:val="auto"/>
              </w:rPr>
            </w:pPr>
            <w:r>
              <w:rPr>
                <w:rFonts w:ascii="Arial" w:cs="Arial" w:eastAsia="Arial" w:hAnsi="Arial"/>
                <w:sz w:val="18"/>
                <w:szCs w:val="18"/>
                <w:color w:val="auto"/>
              </w:rPr>
              <w:t>2033F Notes</w:t>
            </w:r>
            <w:r>
              <w:rPr>
                <w:rFonts w:ascii="Arial" w:cs="Arial" w:eastAsia="Arial" w:hAnsi="Arial"/>
                <w:sz w:val="23"/>
                <w:szCs w:val="23"/>
                <w:color w:val="auto"/>
                <w:vertAlign w:val="superscript"/>
              </w:rPr>
              <w:t>(2)</w:t>
            </w: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left="830"/>
              <w:spacing w:after="0"/>
              <w:rPr>
                <w:sz w:val="20"/>
                <w:szCs w:val="20"/>
                <w:color w:val="auto"/>
              </w:rPr>
            </w:pPr>
            <w:r>
              <w:rPr>
                <w:rFonts w:ascii="Arial" w:cs="Arial" w:eastAsia="Arial" w:hAnsi="Arial"/>
                <w:sz w:val="18"/>
                <w:szCs w:val="18"/>
                <w:color w:val="auto"/>
                <w:w w:val="99"/>
              </w:rPr>
              <w:t>(56)</w:t>
            </w: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69"/>
        </w:trPr>
        <w:tc>
          <w:tcPr>
            <w:tcW w:w="3960" w:type="dxa"/>
            <w:vAlign w:val="bottom"/>
            <w:tcBorders>
              <w:bottom w:val="single" w:sz="8" w:color="D1D2D4"/>
            </w:tcBorders>
            <w:shd w:val="clear" w:color="auto" w:fill="D1D2D4"/>
          </w:tcPr>
          <w:p>
            <w:pPr>
              <w:spacing w:after="0"/>
              <w:rPr>
                <w:sz w:val="22"/>
                <w:szCs w:val="22"/>
                <w:color w:val="auto"/>
              </w:rPr>
            </w:pP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1,226</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1,088</w:t>
            </w:r>
          </w:p>
        </w:tc>
        <w:tc>
          <w:tcPr>
            <w:tcW w:w="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1,072</w:t>
            </w:r>
          </w:p>
        </w:tc>
        <w:tc>
          <w:tcPr>
            <w:tcW w:w="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D1D2D4"/>
          </w:tcPr>
          <w:p>
            <w:pPr>
              <w:jc w:val="center"/>
              <w:ind w:left="830"/>
              <w:spacing w:after="0"/>
              <w:rPr>
                <w:sz w:val="20"/>
                <w:szCs w:val="20"/>
                <w:color w:val="auto"/>
              </w:rPr>
            </w:pPr>
            <w:r>
              <w:rPr>
                <w:rFonts w:ascii="Arial" w:cs="Arial" w:eastAsia="Arial" w:hAnsi="Arial"/>
                <w:sz w:val="18"/>
                <w:szCs w:val="18"/>
                <w:color w:val="auto"/>
                <w:w w:val="99"/>
              </w:rPr>
              <w:t>(56)</w:t>
            </w:r>
          </w:p>
        </w:tc>
        <w:tc>
          <w:tcPr>
            <w:tcW w:w="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40</w:t>
            </w:r>
          </w:p>
        </w:tc>
      </w:tr>
      <w:tr>
        <w:trPr>
          <w:trHeight w:val="20"/>
        </w:trPr>
        <w:tc>
          <w:tcPr>
            <w:tcW w:w="3960" w:type="dxa"/>
            <w:vAlign w:val="bottom"/>
            <w:tcBorders>
              <w:top w:val="single" w:sz="8" w:color="D1D2D4"/>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320" w:type="dxa"/>
            <w:vAlign w:val="bottom"/>
            <w:tcBorders>
              <w:top w:val="single" w:sz="8" w:color="D1D2D4"/>
              <w:bottom w:val="single" w:sz="8" w:color="auto"/>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c>
          <w:tcPr>
            <w:tcW w:w="180" w:type="dxa"/>
            <w:vAlign w:val="bottom"/>
            <w:tcBorders>
              <w:top w:val="single" w:sz="8" w:color="D1D2D4"/>
              <w:bottom w:val="single" w:sz="8" w:color="auto"/>
            </w:tcBorders>
          </w:tcPr>
          <w:p>
            <w:pPr>
              <w:spacing w:after="0" w:line="20" w:lineRule="exact"/>
              <w:rPr>
                <w:sz w:val="1"/>
                <w:szCs w:val="1"/>
                <w:color w:val="auto"/>
              </w:rPr>
            </w:pPr>
          </w:p>
        </w:tc>
        <w:tc>
          <w:tcPr>
            <w:tcW w:w="1280" w:type="dxa"/>
            <w:vAlign w:val="bottom"/>
            <w:tcBorders>
              <w:top w:val="single" w:sz="8" w:color="D1D2D4"/>
              <w:bottom w:val="single" w:sz="8" w:color="auto"/>
            </w:tcBorders>
          </w:tcPr>
          <w:p>
            <w:pPr>
              <w:spacing w:after="0" w:line="20" w:lineRule="exact"/>
              <w:rPr>
                <w:sz w:val="1"/>
                <w:szCs w:val="1"/>
                <w:color w:val="auto"/>
              </w:rPr>
            </w:pPr>
          </w:p>
        </w:tc>
        <w:tc>
          <w:tcPr>
            <w:tcW w:w="180" w:type="dxa"/>
            <w:vAlign w:val="bottom"/>
            <w:tcBorders>
              <w:top w:val="single" w:sz="8" w:color="D1D2D4"/>
              <w:bottom w:val="single" w:sz="8" w:color="auto"/>
            </w:tcBorders>
          </w:tcPr>
          <w:p>
            <w:pPr>
              <w:spacing w:after="0" w:line="20" w:lineRule="exact"/>
              <w:rPr>
                <w:sz w:val="1"/>
                <w:szCs w:val="1"/>
                <w:color w:val="auto"/>
              </w:rPr>
            </w:pPr>
          </w:p>
        </w:tc>
        <w:tc>
          <w:tcPr>
            <w:tcW w:w="1280" w:type="dxa"/>
            <w:vAlign w:val="bottom"/>
            <w:tcBorders>
              <w:top w:val="single" w:sz="8" w:color="D1D2D4"/>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ind w:left="320" w:hanging="312"/>
        <w:spacing w:after="0"/>
        <w:tabs>
          <w:tab w:leader="none" w:pos="320" w:val="left"/>
        </w:tabs>
        <w:numPr>
          <w:ilvl w:val="0"/>
          <w:numId w:val="31"/>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Issued April 24, 2020 and due April 24, 2023.</w:t>
      </w:r>
    </w:p>
    <w:p>
      <w:pPr>
        <w:ind w:left="340" w:right="60" w:hanging="332"/>
        <w:spacing w:after="0" w:line="234" w:lineRule="auto"/>
        <w:tabs>
          <w:tab w:leader="none" w:pos="334" w:val="left"/>
        </w:tabs>
        <w:numPr>
          <w:ilvl w:val="0"/>
          <w:numId w:val="31"/>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On March 27, 2020, we notified holders of our 2033F Notes that we would redeem all of the outstanding 2033F Notes on May 5, 2020. Holders could elect to convert these notes through May 4, 2020, at a conversion rate of 91.4808 shares of our common stock per $1,000 of principal amount. In connection with our notice, we made an irrevocable election to settle any conversions in cash. Holders converted all of the 2033F Notes and on May 5, 2020, we paid $64 million to settle the conversions.</w:t>
      </w:r>
    </w:p>
    <w:p>
      <w:pPr>
        <w:spacing w:after="0" w:line="244" w:lineRule="exact"/>
        <w:rPr>
          <w:sz w:val="20"/>
          <w:szCs w:val="20"/>
          <w:color w:val="auto"/>
        </w:rPr>
      </w:pPr>
    </w:p>
    <w:p>
      <w:pPr>
        <w:jc w:val="both"/>
        <w:ind w:right="100"/>
        <w:spacing w:after="0" w:line="254" w:lineRule="auto"/>
        <w:rPr>
          <w:sz w:val="20"/>
          <w:szCs w:val="20"/>
          <w:color w:val="auto"/>
        </w:rPr>
      </w:pPr>
      <w:r>
        <w:rPr>
          <w:rFonts w:ascii="Arial" w:cs="Arial" w:eastAsia="Arial" w:hAnsi="Arial"/>
          <w:sz w:val="18"/>
          <w:szCs w:val="18"/>
          <w:color w:val="auto"/>
        </w:rPr>
        <w:t>In 2019, we recognized aggregate non-operating losses of $396 million in connection with debt prepayments, repurchases, and conversions of $1.80 billion of principal amount of notes (carrying value of $1.60 billion) for an aggregate of $2.38 billion in cash. As of August 29, 2019, an aggregate of $44 million principal amount of our 2033F Notes (with a carrying value of $179 million) had converted but not settled. These notes settled in 2020 for $192 million in cash and the effect of the settlement is included in the table above.</w:t>
      </w:r>
    </w:p>
    <w:p>
      <w:pPr>
        <w:sectPr>
          <w:pgSz w:w="11900" w:h="16838" w:orient="portrait"/>
          <w:cols w:equalWidth="0" w:num="1">
            <w:col w:w="11240"/>
          </w:cols>
          <w:pgMar w:left="320" w:top="14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63 </w:t>
      </w:r>
      <w:r>
        <w:rPr>
          <w:rFonts w:ascii="Arial" w:cs="Arial" w:eastAsia="Arial" w:hAnsi="Arial"/>
          <w:sz w:val="21"/>
          <w:szCs w:val="21"/>
          <w:b w:val="1"/>
          <w:bCs w:val="1"/>
          <w:color w:val="0090DA"/>
        </w:rPr>
        <w:t>|</w:t>
      </w:r>
      <w:r>
        <w:rPr>
          <w:rFonts w:ascii="Arial" w:cs="Arial" w:eastAsia="Arial" w:hAnsi="Arial"/>
          <w:sz w:val="18"/>
          <w:szCs w:val="18"/>
          <w:color w:val="auto"/>
        </w:rPr>
        <w:t xml:space="preserve"> 2020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type w:val="continuous"/>
        </w:sectPr>
      </w:pPr>
    </w:p>
    <w:bookmarkStart w:id="66" w:name="page67"/>
    <w:bookmarkEnd w:id="66"/>
    <w:p>
      <w:pPr>
        <w:ind w:right="100"/>
        <w:spacing w:after="0" w:line="253" w:lineRule="auto"/>
        <w:rPr>
          <w:sz w:val="20"/>
          <w:szCs w:val="20"/>
          <w:color w:val="auto"/>
        </w:rPr>
      </w:pPr>
      <w:r>
        <w:rPr>
          <w:rFonts w:ascii="Arial" w:cs="Arial" w:eastAsia="Arial" w:hAnsi="Arial"/>
          <w:sz w:val="18"/>
          <w:szCs w:val="18"/>
          <w:color w:val="auto"/>
        </w:rPr>
        <w:t>In 2018, we recognized aggregate non-operating losses of $385 million in connection with debt prepayments, repurchases, and conversions of $ 6.96 billion of principal amount of notes (carrying value of $6.93 billion) for an aggregate of $9.42 billion in cash and 4 million shares of our treasury stock. As of August 30, 2018, an aggregate of $ 35 million principal amount of our 2033F Notes (with a carrying value of $165 million) had converted but not settled. These notes settled in 2019 for $153 million in cash and the effect of the settlement is included in the amounts in the paragraph above.</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Maturities of Notes Payable</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760" w:type="dxa"/>
            <w:vAlign w:val="bottom"/>
          </w:tcPr>
          <w:p>
            <w:pPr>
              <w:spacing w:after="0"/>
              <w:rPr>
                <w:sz w:val="20"/>
                <w:szCs w:val="20"/>
                <w:color w:val="auto"/>
              </w:rPr>
            </w:pPr>
            <w:r>
              <w:rPr>
                <w:rFonts w:ascii="Arial" w:cs="Arial" w:eastAsia="Arial" w:hAnsi="Arial"/>
                <w:sz w:val="18"/>
                <w:szCs w:val="18"/>
                <w:color w:val="auto"/>
              </w:rPr>
              <w:t>As of September 3, 2020, maturities of notes payable were as follows:</w:t>
            </w: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7"/>
        </w:trPr>
        <w:tc>
          <w:tcPr>
            <w:tcW w:w="9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7"/>
        </w:trPr>
        <w:tc>
          <w:tcPr>
            <w:tcW w:w="976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2021</w:t>
            </w:r>
          </w:p>
        </w:tc>
        <w:tc>
          <w:tcPr>
            <w:tcW w:w="540" w:type="dxa"/>
            <w:vAlign w:val="bottom"/>
            <w:shd w:val="clear" w:color="auto" w:fill="D1D2D4"/>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197</w:t>
            </w:r>
          </w:p>
        </w:tc>
      </w:tr>
      <w:tr>
        <w:trPr>
          <w:trHeight w:val="250"/>
        </w:trPr>
        <w:tc>
          <w:tcPr>
            <w:tcW w:w="9760" w:type="dxa"/>
            <w:vAlign w:val="bottom"/>
          </w:tcPr>
          <w:p>
            <w:pPr>
              <w:ind w:left="20"/>
              <w:spacing w:after="0"/>
              <w:rPr>
                <w:sz w:val="20"/>
                <w:szCs w:val="20"/>
                <w:color w:val="auto"/>
              </w:rPr>
            </w:pPr>
            <w:r>
              <w:rPr>
                <w:rFonts w:ascii="Arial" w:cs="Arial" w:eastAsia="Arial" w:hAnsi="Arial"/>
                <w:sz w:val="18"/>
                <w:szCs w:val="18"/>
                <w:color w:val="auto"/>
              </w:rPr>
              <w:t>2022</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63</w:t>
            </w:r>
          </w:p>
        </w:tc>
      </w:tr>
      <w:tr>
        <w:trPr>
          <w:trHeight w:val="263"/>
        </w:trPr>
        <w:tc>
          <w:tcPr>
            <w:tcW w:w="976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2023</w:t>
            </w:r>
          </w:p>
        </w:tc>
        <w:tc>
          <w:tcPr>
            <w:tcW w:w="540" w:type="dxa"/>
            <w:vAlign w:val="bottom"/>
            <w:shd w:val="clear" w:color="auto" w:fill="D1D2D4"/>
          </w:tcPr>
          <w:p>
            <w:pPr>
              <w:spacing w:after="0"/>
              <w:rPr>
                <w:sz w:val="22"/>
                <w:szCs w:val="22"/>
                <w:color w:val="auto"/>
              </w:rPr>
            </w:pPr>
          </w:p>
        </w:tc>
        <w:tc>
          <w:tcPr>
            <w:tcW w:w="9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1,313</w:t>
            </w:r>
          </w:p>
        </w:tc>
      </w:tr>
      <w:tr>
        <w:trPr>
          <w:trHeight w:val="250"/>
        </w:trPr>
        <w:tc>
          <w:tcPr>
            <w:tcW w:w="9760" w:type="dxa"/>
            <w:vAlign w:val="bottom"/>
          </w:tcPr>
          <w:p>
            <w:pPr>
              <w:ind w:left="20"/>
              <w:spacing w:after="0"/>
              <w:rPr>
                <w:sz w:val="20"/>
                <w:szCs w:val="20"/>
                <w:color w:val="auto"/>
              </w:rPr>
            </w:pPr>
            <w:r>
              <w:rPr>
                <w:rFonts w:ascii="Arial" w:cs="Arial" w:eastAsia="Arial" w:hAnsi="Arial"/>
                <w:sz w:val="18"/>
                <w:szCs w:val="18"/>
                <w:color w:val="auto"/>
              </w:rPr>
              <w:t>2024</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662</w:t>
            </w:r>
          </w:p>
        </w:tc>
      </w:tr>
      <w:tr>
        <w:trPr>
          <w:trHeight w:val="263"/>
        </w:trPr>
        <w:tc>
          <w:tcPr>
            <w:tcW w:w="976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2025</w:t>
            </w:r>
          </w:p>
        </w:tc>
        <w:tc>
          <w:tcPr>
            <w:tcW w:w="540" w:type="dxa"/>
            <w:vAlign w:val="bottom"/>
            <w:shd w:val="clear" w:color="auto" w:fill="D1D2D4"/>
          </w:tcPr>
          <w:p>
            <w:pPr>
              <w:spacing w:after="0"/>
              <w:rPr>
                <w:sz w:val="22"/>
                <w:szCs w:val="22"/>
                <w:color w:val="auto"/>
              </w:rPr>
            </w:pPr>
          </w:p>
        </w:tc>
        <w:tc>
          <w:tcPr>
            <w:tcW w:w="9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1,000</w:t>
            </w:r>
          </w:p>
        </w:tc>
      </w:tr>
      <w:tr>
        <w:trPr>
          <w:trHeight w:val="250"/>
        </w:trPr>
        <w:tc>
          <w:tcPr>
            <w:tcW w:w="9760" w:type="dxa"/>
            <w:vAlign w:val="bottom"/>
          </w:tcPr>
          <w:p>
            <w:pPr>
              <w:ind w:left="20"/>
              <w:spacing w:after="0"/>
              <w:rPr>
                <w:sz w:val="20"/>
                <w:szCs w:val="20"/>
                <w:color w:val="auto"/>
              </w:rPr>
            </w:pPr>
            <w:r>
              <w:rPr>
                <w:rFonts w:ascii="Arial" w:cs="Arial" w:eastAsia="Arial" w:hAnsi="Arial"/>
                <w:sz w:val="18"/>
                <w:szCs w:val="18"/>
                <w:color w:val="auto"/>
              </w:rPr>
              <w:t>2026 and thereafter</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2,950</w:t>
            </w:r>
          </w:p>
        </w:tc>
      </w:tr>
      <w:tr>
        <w:trPr>
          <w:trHeight w:val="257"/>
        </w:trPr>
        <w:tc>
          <w:tcPr>
            <w:tcW w:w="9760" w:type="dxa"/>
            <w:vAlign w:val="bottom"/>
            <w:shd w:val="clear" w:color="auto" w:fill="D1D2D4"/>
          </w:tcPr>
          <w:p>
            <w:pPr>
              <w:ind w:left="20"/>
              <w:spacing w:after="0"/>
              <w:rPr>
                <w:sz w:val="20"/>
                <w:szCs w:val="20"/>
                <w:color w:val="auto"/>
              </w:rPr>
            </w:pPr>
            <w:r>
              <w:rPr>
                <w:rFonts w:ascii="Arial" w:cs="Arial" w:eastAsia="Arial" w:hAnsi="Arial"/>
                <w:sz w:val="18"/>
                <w:szCs w:val="18"/>
                <w:color w:val="auto"/>
              </w:rPr>
              <w:t>Unamortized discounts</w:t>
            </w:r>
          </w:p>
        </w:tc>
        <w:tc>
          <w:tcPr>
            <w:tcW w:w="540" w:type="dxa"/>
            <w:vAlign w:val="bottom"/>
            <w:tcBorders>
              <w:bottom w:val="single" w:sz="8" w:color="auto"/>
            </w:tcBorders>
            <w:shd w:val="clear" w:color="auto" w:fill="D1D2D4"/>
          </w:tcPr>
          <w:p>
            <w:pPr>
              <w:spacing w:after="0"/>
              <w:rPr>
                <w:sz w:val="22"/>
                <w:szCs w:val="22"/>
                <w:color w:val="auto"/>
              </w:rPr>
            </w:pPr>
          </w:p>
        </w:tc>
        <w:tc>
          <w:tcPr>
            <w:tcW w:w="9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(28)</w:t>
            </w:r>
          </w:p>
        </w:tc>
      </w:tr>
      <w:tr>
        <w:trPr>
          <w:trHeight w:val="250"/>
        </w:trPr>
        <w:tc>
          <w:tcPr>
            <w:tcW w:w="9760" w:type="dxa"/>
            <w:vAlign w:val="bottom"/>
          </w:tcPr>
          <w:p>
            <w:pPr>
              <w:spacing w:after="0"/>
              <w:rPr>
                <w:sz w:val="21"/>
                <w:szCs w:val="21"/>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6,157</w:t>
            </w:r>
          </w:p>
        </w:tc>
      </w:tr>
      <w:tr>
        <w:trPr>
          <w:trHeight w:val="27"/>
        </w:trPr>
        <w:tc>
          <w:tcPr>
            <w:tcW w:w="97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Commitments</w:t>
      </w:r>
    </w:p>
    <w:p>
      <w:pPr>
        <w:spacing w:after="0" w:line="285"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As of September 3, 2020, we had commitments of approximately $5.2 billion for purchase obligations, a substantial majority of which will be due within one year. Purchase obligations include payments for the acquisition of property, plant, and equipment, and other goods or services of either a fixed or minimum quantity and exclude any lease payments for leases that have been executed but have not yet commenced.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Contingencies</w:t>
      </w:r>
    </w:p>
    <w:p>
      <w:pPr>
        <w:spacing w:after="0" w:line="285"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We are currently a party to legal actions other than those described below arising from the normal course of business, none of which are expected to have a material adverse effect on our business, results of operations, or financial condition.</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Patent Matters</w:t>
      </w:r>
    </w:p>
    <w:p>
      <w:pPr>
        <w:spacing w:after="0" w:line="265"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As is typical in the semiconductor and other high-tech industries, from time to time, others have asserted, and may in the future assert, that our products or manufacturing processes infringe upon their intellectual property rights.</w:t>
      </w:r>
    </w:p>
    <w:p>
      <w:pPr>
        <w:spacing w:after="0" w:line="225" w:lineRule="exact"/>
        <w:rPr>
          <w:sz w:val="20"/>
          <w:szCs w:val="20"/>
          <w:color w:val="auto"/>
        </w:rPr>
      </w:pPr>
    </w:p>
    <w:p>
      <w:pPr>
        <w:ind w:right="460"/>
        <w:spacing w:after="0" w:line="256" w:lineRule="auto"/>
        <w:rPr>
          <w:sz w:val="20"/>
          <w:szCs w:val="20"/>
          <w:color w:val="auto"/>
        </w:rPr>
      </w:pPr>
      <w:r>
        <w:rPr>
          <w:rFonts w:ascii="Arial" w:cs="Arial" w:eastAsia="Arial" w:hAnsi="Arial"/>
          <w:sz w:val="18"/>
          <w:szCs w:val="18"/>
          <w:color w:val="auto"/>
        </w:rPr>
        <w:t>On August 12, 2014, MLC Intellectual Property, LLC filed a patent infringement action against Micron in the U.S. District Court for the Northern District of California. The complaint alleges that Micron infringes a single U.S. patent and seeks damages, attorneys’ fees, and costs.</w:t>
      </w:r>
    </w:p>
    <w:p>
      <w:pPr>
        <w:spacing w:after="0" w:line="22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On November 21, 2014, Elm 3DS Innovations, LLC (“Elm”) filed a patent infringement action against Micron; Micron Semiconductor Products, Inc.; and Micron Consumer Products Group, Inc. in the U.S. District Court for the District of Delaware. On March 27, 2015, Elm filed an amended complaint against the same entities. The amended complaint alleges that unspecified semiconductor products of ours that incorporate multiple stacked die infringe 13 U.S. patents and seeks damages, attorneys’ fees, and costs.</w:t>
      </w:r>
    </w:p>
    <w:p>
      <w:pPr>
        <w:spacing w:after="0" w:line="23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On December 15, 2014, Innovative Memory Solutions, Inc. (“IMS”) filed a patent infringement action against Micron in the U.S. District Court for the District of Delaware. The complaint alleges that a variety of our NAND products infringe eight U.S. patents and seeks damages, attorneys’ fees, and costs. On August 31, 2018, Micron was served with a complaint filed by IMS in Shenzhen Intermediate People’s Court in Guangdong Province, China. On</w:t>
      </w:r>
    </w:p>
    <w:p>
      <w:pPr>
        <w:sectPr>
          <w:pgSz w:w="11900" w:h="16838" w:orient="portrait"/>
          <w:cols w:equalWidth="0" w:num="1">
            <w:col w:w="11240"/>
          </w:cols>
          <w:pgMar w:left="320" w:top="949"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10040"/>
        <w:spacing w:after="0"/>
        <w:rPr>
          <w:sz w:val="20"/>
          <w:szCs w:val="20"/>
          <w:color w:val="auto"/>
        </w:rPr>
      </w:pPr>
      <w:r>
        <w:rPr>
          <w:sz w:val="1"/>
          <w:szCs w:val="1"/>
          <w:color w:val="auto"/>
        </w:rPr>
        <w:drawing>
          <wp:inline distT="0" distB="0" distL="0" distR="0">
            <wp:extent cx="608330" cy="171450"/>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8330" cy="171450"/>
                    </a:xfrm>
                    <a:prstGeom prst="rect">
                      <a:avLst/>
                    </a:prstGeom>
                    <a:noFill/>
                    <a:ln>
                      <a:noFill/>
                    </a:ln>
                  </pic:spPr>
                </pic:pic>
              </a:graphicData>
            </a:graphic>
          </wp:inline>
        </w:drawing>
      </w:r>
      <w:r>
        <w:rPr>
          <w:rFonts w:ascii="Arial" w:cs="Arial" w:eastAsia="Arial" w:hAnsi="Arial"/>
          <w:sz w:val="13"/>
          <w:szCs w:val="13"/>
          <w:color w:val="auto"/>
        </w:rPr>
        <w:t xml:space="preserve">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type w:val="continuous"/>
        </w:sectPr>
      </w:pPr>
    </w:p>
    <w:bookmarkStart w:id="67" w:name="page68"/>
    <w:bookmarkEnd w:id="67"/>
    <w:p>
      <w:pPr>
        <w:spacing w:after="0" w:line="253" w:lineRule="auto"/>
        <w:rPr>
          <w:sz w:val="20"/>
          <w:szCs w:val="20"/>
          <w:color w:val="auto"/>
        </w:rPr>
      </w:pPr>
      <w:r>
        <w:rPr>
          <w:rFonts w:ascii="Arial" w:cs="Arial" w:eastAsia="Arial" w:hAnsi="Arial"/>
          <w:sz w:val="18"/>
          <w:szCs w:val="18"/>
          <w:color w:val="auto"/>
        </w:rPr>
        <w:t>November 12, 2019, IMS filed an amended complaint in the same court. The amended complaint alleges that certain of our NAND flash products infringe a Chinese patent. The complaint seeks an order requiring Micron to stop manufacturing, using, selling, and offering for sale the accused products in China, and to pay damages and costs of 21 million Chinese yuan. On August 4, 2020, the China National Intellectual Property Administration ruled invalid each of the asserted claims in the Chinese patent matter. On August 17, 2020, IMS withdrew its complaint filed in Shenzhen Intermediate People’s Court.</w:t>
      </w:r>
    </w:p>
    <w:p>
      <w:pPr>
        <w:spacing w:after="0" w:line="232"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On March 19, 2018, Micron Semiconductor (Xi’an) Co., Ltd. (“MXA”) was served with a patent infringement complaint filed by Fujian Jinhua Integrated Circuit Co., Ltd. (“Jinhua”) in the Fuzhou Intermediate People’s Court in Fujian Province, China (the “Fuzhou Court”). On April 3, 2018, Micron Semiconductor (Shanghai) Co. Ltd. (“MSS”) was served with the same complaint. The complaint alleges that MXA and MSS infringe a Chinese patent by manufacturing and selling certain Crucial DDR4 DRAM modules. The complaint seeks an order requiring MXA and MSS to destroy inventory of the accused products and equipment for manufacturing the accused products in China; to stop manufacturing, using, selling, and offering for sale the accused products in China; and to pay damages of 98 million Chinese yuan plus court fees incurred.</w:t>
      </w:r>
    </w:p>
    <w:p>
      <w:pPr>
        <w:spacing w:after="0" w:line="23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March 21, 2018, MXA was served with a patent infringement complaint filed by United Microelectronics Corporation (“UMC”) in the Fuzhou Court. On April 3, 2018, MSS was served with the same complaint. The complaint alleges that MXA and MSS infringe a Chinese patent by manufacturing and selling certain Crucial DDR4 DRAM modules. The complaint seeks an order requiring MXA and MSS to destroy inventory of the accused products and equipment for manufacturing the accused products in China; to stop manufacturing, using, selling, and offering for sale the accused products in China; and to pay damages of 90 million Chinese yuan plus court fees incurred.</w:t>
      </w:r>
    </w:p>
    <w:p>
      <w:pPr>
        <w:spacing w:after="0" w:line="23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On April 3, 2018, MSS was served with another patent infringement complaint filed by Jinhua and two additional complaints filed by UMC in the Fuzhou Court. The three additional complaints allege that MSS infringes three Chinese patents by manufacturing and selling certain Crucial MX300 SSDs and certain GDDR5 memory chips. The two complaints filed by UMC each seek an order requiring MSS to destroy inventory of the accused products and equipment for manufacturing the accused products in China; to stop manufacturing, using, selling, and offering for sale the accused products in China; and to pay damages for each complaint of 90 million Chinese yuan plus court fees incurred. The complaint filed by Jinhua seeks an order requiring MSS to destroy inventory of the accused products and equipment for manufacturing the accused products in China; to stop manufacturing, using, selling, and offering for sale the accused products in China; and to pay damages of 98 million Chinese yuan plus court fees incurred. On October 9, 2018, UMC withdrew its complaint that alleged MSS infringed a Chinese patent by manufacturing and selling certain GDDR5 memory chips.</w:t>
      </w:r>
    </w:p>
    <w:p>
      <w:pPr>
        <w:spacing w:after="0" w:line="23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On July 5, 2018, MXA and MSS were notified that the Fuzhou Court granted a preliminary injunction against those entities that enjoins them from manufacturing, selling, or importing certain Crucial and Ballistix-branded DRAM modules and solid-state drives in China. The affected products made up slightly more than 1% of our annualized revenue in 2018. We are complying with the ruling and have requested the Fuzhou Court to reconsider or stay its decision.</w:t>
      </w:r>
    </w:p>
    <w:p>
      <w:pPr>
        <w:spacing w:after="0" w:line="23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On May 4, 2020, Flash-Control, LLC (“Flash-Control”) filed a patent infringement action against Micron in the U.S. District Court for the Western District of Texas. The complaint alleges that four U.S. patents are infringed by unspecified DDR4 SDRAM, NVRDIMM, NVDIMM, 3D XPoint, and/or SSD products that incorporate memory controllers and flash memory. The complaint seeks damages, attorneys’ fees, and costs.</w:t>
      </w:r>
    </w:p>
    <w:p>
      <w:pPr>
        <w:spacing w:after="0" w:line="231" w:lineRule="exact"/>
        <w:rPr>
          <w:sz w:val="20"/>
          <w:szCs w:val="20"/>
          <w:color w:val="auto"/>
        </w:rPr>
      </w:pPr>
    </w:p>
    <w:p>
      <w:pPr>
        <w:ind w:right="740"/>
        <w:spacing w:after="0" w:line="261" w:lineRule="auto"/>
        <w:rPr>
          <w:sz w:val="20"/>
          <w:szCs w:val="20"/>
          <w:color w:val="auto"/>
        </w:rPr>
      </w:pPr>
      <w:r>
        <w:rPr>
          <w:rFonts w:ascii="Arial" w:cs="Arial" w:eastAsia="Arial" w:hAnsi="Arial"/>
          <w:sz w:val="18"/>
          <w:szCs w:val="18"/>
          <w:color w:val="auto"/>
        </w:rPr>
        <w:t>Among other things, the above lawsuits pertain to substantially all of our DRAM, NAND, and other memory and storage products we manufacture, which account for substantially all of our revenue.</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Qimonda</w:t>
      </w:r>
    </w:p>
    <w:p>
      <w:pPr>
        <w:spacing w:after="0" w:line="265"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On January 20, 2011, Dr. Michael Jaffé, administrator for Qimonda’s insolvency proceedings, filed suit against Micron and Micron Semiconductor B.V. (“Micron B.V.”), in the District Court of Munich, Civil Chamber. The complaint seeks to void, under Section 133 of the German Insolvency Act, a share purchase agreement between Micron B.V. and Qimonda signed in fall 2008, pursuant to which Micron B.V. purchased substantially all of Qimonda’s shares of Inotera (the “Inotera Shares”), representing approximately 18% of Inotera’s outstanding shares at that time, and seeks an order requiring us to re-transfer those shares to the Qimonda estate. The complaint also seeks, among</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65 </w:t>
      </w:r>
      <w:r>
        <w:rPr>
          <w:rFonts w:ascii="Arial" w:cs="Arial" w:eastAsia="Arial" w:hAnsi="Arial"/>
          <w:sz w:val="21"/>
          <w:szCs w:val="21"/>
          <w:b w:val="1"/>
          <w:bCs w:val="1"/>
          <w:color w:val="0090DA"/>
        </w:rPr>
        <w:t>|</w:t>
      </w:r>
      <w:r>
        <w:rPr>
          <w:rFonts w:ascii="Arial" w:cs="Arial" w:eastAsia="Arial" w:hAnsi="Arial"/>
          <w:sz w:val="18"/>
          <w:szCs w:val="18"/>
          <w:color w:val="auto"/>
        </w:rPr>
        <w:t xml:space="preserve"> 2020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68" w:name="page69"/>
    <w:bookmarkEnd w:id="68"/>
    <w:p>
      <w:pPr>
        <w:jc w:val="both"/>
        <w:ind w:right="180"/>
        <w:spacing w:after="0" w:line="256" w:lineRule="auto"/>
        <w:rPr>
          <w:sz w:val="20"/>
          <w:szCs w:val="20"/>
          <w:color w:val="auto"/>
        </w:rPr>
      </w:pPr>
      <w:r>
        <w:rPr>
          <w:rFonts w:ascii="Arial" w:cs="Arial" w:eastAsia="Arial" w:hAnsi="Arial"/>
          <w:sz w:val="18"/>
          <w:szCs w:val="18"/>
          <w:color w:val="auto"/>
        </w:rPr>
        <w:t>other things, to recover damages for the alleged value of the joint venture relationship with Inotera and to terminate, under Sections 103 or 133 of the German Insolvency Code, a patent cross-license between us and Qimonda entered into at the same time as the share purchase agreement.</w:t>
      </w:r>
    </w:p>
    <w:p>
      <w:pPr>
        <w:spacing w:after="0" w:line="229" w:lineRule="exact"/>
        <w:rPr>
          <w:sz w:val="20"/>
          <w:szCs w:val="20"/>
          <w:color w:val="auto"/>
        </w:rPr>
      </w:pPr>
    </w:p>
    <w:p>
      <w:pPr>
        <w:ind w:right="160"/>
        <w:spacing w:after="0" w:line="248" w:lineRule="auto"/>
        <w:rPr>
          <w:sz w:val="20"/>
          <w:szCs w:val="20"/>
          <w:color w:val="auto"/>
        </w:rPr>
      </w:pPr>
      <w:r>
        <w:rPr>
          <w:rFonts w:ascii="Arial" w:cs="Arial" w:eastAsia="Arial" w:hAnsi="Arial"/>
          <w:sz w:val="17"/>
          <w:szCs w:val="17"/>
          <w:color w:val="auto"/>
        </w:rPr>
        <w:t>Following a series of hearings with pleadings, arguments, and witnesses on behalf of the Qimonda estate, on March 13, 2014, the court issued judgments: (1) ordering Micron B.V. to pay approximately $1 million in respect of certain Inotera Shares sold in connection with the original share purchase; (2) ordering Micron B.V. to disclose certain information with respect to any Inotera Shares sold by it to third parties;</w:t>
      </w:r>
    </w:p>
    <w:p>
      <w:pPr>
        <w:spacing w:after="0" w:line="2" w:lineRule="exact"/>
        <w:rPr>
          <w:sz w:val="20"/>
          <w:szCs w:val="20"/>
          <w:color w:val="auto"/>
        </w:rPr>
      </w:pPr>
    </w:p>
    <w:p>
      <w:pPr>
        <w:ind w:right="80" w:firstLine="8"/>
        <w:spacing w:after="0" w:line="235" w:lineRule="auto"/>
        <w:tabs>
          <w:tab w:leader="none" w:pos="27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ordering Micron B.V. to disclose the benefits derived by it from ownership of the Inotera Shares, including in particular, any profits distributed on the Inotera Shares and all other benefits; (4) denying Qimonda’s claims against Micron for any damages relating to the joint venture relationship with Inotera; and (5) determining that Qimonda’s obligations under the patent cross-license agreement are canceled. In addition, the court issued interlocutory judgments ordering, among other things: (1) that Micron B.V. transfer to the Qimonda estate the Inotera Shares still owned by Micron B.V. and pay to the Qimonda estate compensation in an amount to be specified for any Inotera Shares sold to third parties; and (2) that Micron B.V. pay the Qimonda estate as compensation an amount to be specified for benefits derived by Micron B.V. from ownership of the Inotera Shares. The interlocutory judgments had no immediate, enforceable effect and Micron, accordingly, has been able to continue to operate with full control of the Inotera Shares subject to further developments in the case. On April 17, 2014, Micron and Micron B.V. filed a notice of appeal with the German Appeals Court challenging the District Court’s decision. After opening briefs, the Appeals Court held a hearing on the matter on July 9, 2015, and thereafter appointed an independent expert to perform an evaluation of Dr. Jaffé’s claims that the amount Micron paid for Qimonda was less than fair market value. On January 25, 2018, the court-appointed expert issued a report concluding that the amount paid by Micron was within an acceptable fair-value range. The Appeals Court held a subsequent hearing on April 30, 2019, and on May 28, 2019, the Appeals Court remanded the case to the expert for supplemental expert opinion. On March 31, 2020, the expert presented a revised opinion to the Appeals Court which reaffirmed the earlier view that the amount paid by Micron was still within an acceptable range of fair value.</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Antitrust Matters</w:t>
      </w:r>
    </w:p>
    <w:p>
      <w:pPr>
        <w:spacing w:after="0" w:line="265"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On April 27, 2018, a complaint was filed against Micron and other DRAM suppliers in the U.S. District Court for the Northern District of California. Subsequently, two substantially identical cases were filed in the same court. The lawsuits purported to be on behalf of a nationwide class of indirect purchasers of DRAM products. On September 3, 2019, the District Court granted Micron’s motion to dismiss and allowed plaintiffs the opportunity to file a consolidated, amended complaint. On October 28, 2019, the plaintiffs filed a consolidated amended complaint that purports to be on behalf of a nationwide class of indirect purchasers of DRAM products. The amended complaint asserts claims based on alleged price-fixing of DRAM products under federal and state law during the period from June 1, 2016 to at least February 1, 2018, and seeks treble monetary damages, costs, interest, attorneys’ fees, and other injunctive and equitable relief.</w:t>
      </w:r>
    </w:p>
    <w:p>
      <w:pPr>
        <w:spacing w:after="0" w:line="234"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On June 26, 2018, a complaint was filed against Micron and other DRAM suppliers in the U.S. District Court for the Northern District of California. Subsequently, four substantially identical cases were filed in the same court. On October 28, 2019, the plaintiffs filed a consolidated, amended complaint. The consolidated complaint purports to be on behalf of a nationwide class of direct purchasers of DRAM products. The consolidated complaint asserts claims based on alleged price-fixing of DRAM products under federal and state law during the period from June 1, 2016 through at least February 1, 2018, and seeks treble monetary damages, costs, interest, attorneys’ fees, and other injunctive and equitable relief.</w:t>
      </w:r>
    </w:p>
    <w:p>
      <w:pPr>
        <w:spacing w:after="0" w:line="23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Additionally, six cases have been filed in the following Canadian courts: Superior Court of Quebec, the Federal Court of Canada, the Ontario Superior Court of Justice, and the Supreme Court of British Columbia. The substantive allegations in these cases are similar to those asserted in the cases filed in the United States.</w:t>
      </w:r>
    </w:p>
    <w:p>
      <w:pPr>
        <w:spacing w:after="0" w:line="229"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On May 15, 2018, the Chinese State Administration for Market Regulation (“SAMR”) notified Micron that it was investigating potential collusion and other anticompetitive conduct by DRAM suppliers in China. On May 31, 2018, SAMR made unannounced visits to our sales offices in Beijing, Shanghai, and Shenzhen to seek certain information as part of its investigation. We are cooperating with SAMR in its investigation.</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right"/>
        <w:spacing w:after="0"/>
        <w:rPr>
          <w:sz w:val="20"/>
          <w:szCs w:val="20"/>
          <w:color w:val="auto"/>
        </w:rPr>
      </w:pPr>
      <w:r>
        <w:rPr>
          <w:sz w:val="1"/>
          <w:szCs w:val="1"/>
          <w:color w:val="auto"/>
        </w:rPr>
        <w:drawing>
          <wp:inline distT="0" distB="0" distL="0" distR="0">
            <wp:extent cx="608330" cy="171450"/>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8330" cy="171450"/>
                    </a:xfrm>
                    <a:prstGeom prst="rect">
                      <a:avLst/>
                    </a:prstGeom>
                    <a:noFill/>
                    <a:ln>
                      <a:noFill/>
                    </a:ln>
                  </pic:spPr>
                </pic:pic>
              </a:graphicData>
            </a:graphic>
          </wp:inline>
        </w:drawing>
      </w:r>
      <w:r>
        <w:rPr>
          <w:rFonts w:ascii="Arial" w:cs="Arial" w:eastAsia="Arial" w:hAnsi="Arial"/>
          <w:sz w:val="18"/>
          <w:szCs w:val="18"/>
          <w:color w:val="auto"/>
        </w:rPr>
        <w:t xml:space="preserve">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69" w:name="page70"/>
    <w:bookmarkEnd w:id="69"/>
    <w:p>
      <w:pPr>
        <w:spacing w:after="0"/>
        <w:rPr>
          <w:sz w:val="20"/>
          <w:szCs w:val="20"/>
          <w:color w:val="auto"/>
        </w:rPr>
      </w:pPr>
      <w:r>
        <w:rPr>
          <w:rFonts w:ascii="Arial" w:cs="Arial" w:eastAsia="Arial" w:hAnsi="Arial"/>
          <w:sz w:val="22"/>
          <w:szCs w:val="22"/>
          <w:b w:val="1"/>
          <w:bCs w:val="1"/>
          <w:color w:val="0090DA"/>
        </w:rPr>
        <w:t>Securities Matters</w:t>
      </w:r>
    </w:p>
    <w:p>
      <w:pPr>
        <w:spacing w:after="0" w:line="26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On January 23, 2019, a complaint was filed against Micron and two of our officers, Sanjay Mehrotra and David Zinsner, in the U.S. District Court for the Southern District of New York. The lawsuit purported to be brought on behalf of a class of purchasers of our stock during the period from June 22, 2018 through November 19, 2018. Subsequently two substantially similar cases were filed in the same court adding one of our former officers, Ernie Maddock, as a defendant and alleging a class action period from September 26, 2017 through November 19, 2018. The separate cases were joined, and a consolidated amended complaint was filed on June 15, 2019. The consolidated amended complaint alleged that defendants committed securities fraud through misrepresentations and omissions about purported anticompetitive behavior in the DRAM industry and sought compensatory and punitive damages, fees, interest, costs, and other appropriate relief. On October 2, 2019, the parties submitted a joint stipulation to dismiss the complaint. The Court approved the stipulation and dismissed the complaint on October 3, 2019.</w:t>
      </w:r>
    </w:p>
    <w:p>
      <w:pPr>
        <w:spacing w:after="0" w:line="239"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On March 5, 2019, a derivative complaint was filed by a shareholder in the U.S. District Court for the District of Delaware, based on similar allegations to the securities fraud cases, allegedly on behalf of and for the benefit of Micron, against certain current and former officers and directors of Micron for alleged breaches of their fiduciary duties and other violations of law. The complaint seeks damages, fees, interest, costs, and other appropriate relief. Similar shareholder derivative complaints were subsequently filed in the U.S. District Court for the District of Delaware and the U.S. District Court for the District of Idaho. On November 20, 2019, the plaintiff in the second action filed in the U.S. District Court for the District of Delaware voluntarily dismissed his complaint. On November 21, 2019, the plaintiff voluntarily dismissed his complaint that was filed in the U.S. District Court for the District of Idaho.</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Other</w:t>
      </w:r>
    </w:p>
    <w:p>
      <w:pPr>
        <w:spacing w:after="0" w:line="26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On December 5, 2017, Micron filed a complaint against UMC and Jinhua in the U.S. District Court for the Northern District of California. The complaint alleges that UMC and Jinhua violated the Defend Trade Secrets Act, the civil provisions of the Racketeer Influenced and Corrupt Organizations Act, and California’s Uniform Trade Secrets Act by misappropriating Micron’s trade secrets and other misconduct. Micron’s complaint seeks damages, restitution, disgorgement of profits, injunctive relief, and other appropriate relief.</w:t>
      </w:r>
    </w:p>
    <w:p>
      <w:pPr>
        <w:spacing w:after="0" w:line="23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On June 13, 2019, current Micron employee Chris Manning filed a putative class action lawsuit on behalf of Micron employees subject to the Idaho Wage Claim Act who earned a performance-based bonus after the conclusion of 2018 whose performance rating was calculated based upon a mandatory percentage distribution range of performance ratings. On July 12, 2019, Manning and three other Company employees filed an amended complaint as putative class action representatives. On behalf of themselves and the putative class, Manning and the three other plaintiffs assert claims for violation of the Idaho Wage Claim Act, breach of contract, breach of the covenant of good faith and fair dealing, and fraud. On June 24, 2020, the court entered judgment in favor of Micron based on the statute of limitations, and the plaintiffs filed a notice of appeal on July 23, 2020.</w:t>
      </w:r>
    </w:p>
    <w:p>
      <w:pPr>
        <w:spacing w:after="0" w:line="23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On July 31, 2020, Micron and Intel entered into a binding arbitration agreement under which the parties agreed to present to an arbitral panel various financial disputes related to the IMFT joint venture between Micron and Intel, which ended October 31, 2019, and to other agreements relating to the joint development, production, and sale of non-volatile memory products. Each party alleges that the other owes damages relating to allegations of breach of one or more agreements.</w:t>
      </w:r>
    </w:p>
    <w:p>
      <w:pPr>
        <w:spacing w:after="0" w:line="231"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In the normal course of business, we are a party to a variety of agreements pursuant to which we may be obligated to indemnify another party. It is not possible to predict the maximum potential amount of future payments under these types of agreements due to the conditional nature of our obligations and the unique facts and circumstances involved in each particular agreement. Historically, our payments under these types of agreements have not had a material adverse effect on our business, results of operations, or financial condition.</w:t>
      </w:r>
    </w:p>
    <w:p>
      <w:pPr>
        <w:spacing w:after="0" w:line="21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are unable to predict the outcome of the patent matters, Qimonda matter, antitrust matters, securities matter, binding arbitration with Intel, or any other matters noted above, and therefore cannot estimate the range of possible loss. A determination that our products or manufacturing processes infringe the intellectual property rights of others or entering into a license agreement covering such intellectual property could result in significant liability and/or require us to make material changes to our products and/or manufacturing processes. Any of the foregoing, as well</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67 </w:t>
      </w:r>
      <w:r>
        <w:rPr>
          <w:rFonts w:ascii="Arial" w:cs="Arial" w:eastAsia="Arial" w:hAnsi="Arial"/>
          <w:sz w:val="21"/>
          <w:szCs w:val="21"/>
          <w:b w:val="1"/>
          <w:bCs w:val="1"/>
          <w:color w:val="0090DA"/>
        </w:rPr>
        <w:t>|</w:t>
      </w:r>
      <w:r>
        <w:rPr>
          <w:rFonts w:ascii="Arial" w:cs="Arial" w:eastAsia="Arial" w:hAnsi="Arial"/>
          <w:sz w:val="18"/>
          <w:szCs w:val="18"/>
          <w:color w:val="auto"/>
        </w:rPr>
        <w:t xml:space="preserve"> 2020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70" w:name="page71"/>
    <w:bookmarkEnd w:id="70"/>
    <w:p>
      <w:pPr>
        <w:ind w:right="600"/>
        <w:spacing w:after="0" w:line="261" w:lineRule="auto"/>
        <w:rPr>
          <w:sz w:val="20"/>
          <w:szCs w:val="20"/>
          <w:color w:val="auto"/>
        </w:rPr>
      </w:pPr>
      <w:r>
        <w:rPr>
          <w:rFonts w:ascii="Arial" w:cs="Arial" w:eastAsia="Arial" w:hAnsi="Arial"/>
          <w:sz w:val="18"/>
          <w:szCs w:val="18"/>
          <w:color w:val="auto"/>
        </w:rPr>
        <w:t>as the resolution of any other legal matter noted above, could have a material adverse effect on our business, results of operations, or financial condition.</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Redeemable Noncontrolling Interest</w:t>
      </w:r>
    </w:p>
    <w:p>
      <w:pPr>
        <w:spacing w:after="0" w:line="285"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Redeemable noncontrolling interest as of August 29, 2019 reflected 100,000 preferred shares authorized and issued by Micron Semiconductor Asia Operations Pte. Ltd. (“MSAO”) in 2018 for net proceeds of $97 million. Holders of the preferred shares were entitled to receive a cumulative dividend of 7.75% per annum. On August 31, 2020, we redeemed the shares for $102 million.</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Equity</w:t>
      </w:r>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Micron Shareholders’ Equity</w:t>
      </w:r>
    </w:p>
    <w:p>
      <w:pPr>
        <w:spacing w:after="0" w:line="24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i w:val="1"/>
          <w:iCs w:val="1"/>
          <w:color w:val="auto"/>
        </w:rPr>
        <w:t>Common Stock Repurchases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Board of Directors has authorized the discretionary repurchase of up to $10 billion of our outstanding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beginning in 2019. We may purchase shares through open-market purchases, block trades, privately-negotiated transactions, derivative transactions, and/or pursuant to Rule 10b5-1 trading plans. The repurchase authorization has no expiration date, does not obligate us to acquire any common stock, and is subject to market conditions and our ongoing determination of the best use of available cash. We repurchased 3.6 million shares of our common stock for $ 176 million in 2020 and 66.4 million shares for $2.66 billion in 2019. Through September 3, 2020, we had repurchased an aggregate of $2.84 billion under the authorization. The repurchased shares were recorded as treasury stock.</w:t>
      </w:r>
    </w:p>
    <w:p>
      <w:pPr>
        <w:spacing w:after="0" w:line="210"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b w:val="1"/>
          <w:bCs w:val="1"/>
          <w:i w:val="1"/>
          <w:iCs w:val="1"/>
          <w:color w:val="auto"/>
        </w:rPr>
        <w:t>Common Stock Issuance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2018, we issued 34 million shares of our common stock for $41.00 per share in a public offering, for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proceeds of $1.36 billion, net of underwriting fees and other offering costs.</w:t>
      </w:r>
    </w:p>
    <w:p>
      <w:pPr>
        <w:spacing w:after="0" w:line="180"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b w:val="1"/>
          <w:bCs w:val="1"/>
          <w:i w:val="1"/>
          <w:iCs w:val="1"/>
          <w:color w:val="auto"/>
        </w:rPr>
        <w:t>Capped Calls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2020, we share-settled all outstanding capped calls upon their expiration and received an aggregate of 1.7 million shares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our common stock, equal to a value of $98 million. In 2018, we share-settled certain other capped calls upon their expirations, and received 9.2 million shares, equal to a value of $429 million. Amounts received upon settlement were based on volume-weighted-average trading prices of our stock at the expiration dates. The shares received in all periods were recorded as treasury stock.</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Changes in accumulated other comprehensive income by component for the year ended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September 3, 2020 were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ind w:right="50"/>
              <w:spacing w:after="0"/>
              <w:rPr>
                <w:sz w:val="20"/>
                <w:szCs w:val="20"/>
                <w:color w:val="auto"/>
              </w:rPr>
            </w:pPr>
            <w:r>
              <w:rPr>
                <w:rFonts w:ascii="Arial" w:cs="Arial" w:eastAsia="Arial" w:hAnsi="Arial"/>
                <w:sz w:val="18"/>
                <w:szCs w:val="18"/>
                <w:b w:val="1"/>
                <w:bCs w:val="1"/>
                <w:color w:val="auto"/>
                <w:w w:val="98"/>
              </w:rPr>
              <w:t>Cumulative</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03"/>
        </w:trPr>
        <w:tc>
          <w:tcPr>
            <w:tcW w:w="4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w w:val="99"/>
              </w:rPr>
              <w:t>Foreign</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4480" w:type="dxa"/>
            <w:vAlign w:val="bottom"/>
          </w:tcPr>
          <w:p>
            <w:pPr>
              <w:spacing w:after="0"/>
              <w:rPr>
                <w:sz w:val="17"/>
                <w:szCs w:val="17"/>
                <w:color w:val="auto"/>
              </w:rPr>
            </w:pPr>
          </w:p>
        </w:tc>
        <w:tc>
          <w:tcPr>
            <w:tcW w:w="1360" w:type="dxa"/>
            <w:vAlign w:val="bottom"/>
            <w:gridSpan w:val="2"/>
          </w:tcPr>
          <w:p>
            <w:pPr>
              <w:ind w:left="40"/>
              <w:spacing w:after="0" w:line="202" w:lineRule="exact"/>
              <w:rPr>
                <w:sz w:val="20"/>
                <w:szCs w:val="20"/>
                <w:color w:val="auto"/>
              </w:rPr>
            </w:pPr>
            <w:r>
              <w:rPr>
                <w:rFonts w:ascii="Arial" w:cs="Arial" w:eastAsia="Arial" w:hAnsi="Arial"/>
                <w:sz w:val="18"/>
                <w:szCs w:val="18"/>
                <w:b w:val="1"/>
                <w:bCs w:val="1"/>
                <w:color w:val="auto"/>
              </w:rPr>
              <w:t>Gains (Losses)</w:t>
            </w:r>
          </w:p>
        </w:tc>
        <w:tc>
          <w:tcPr>
            <w:tcW w:w="120" w:type="dxa"/>
            <w:vAlign w:val="bottom"/>
          </w:tcPr>
          <w:p>
            <w:pPr>
              <w:spacing w:after="0"/>
              <w:rPr>
                <w:sz w:val="17"/>
                <w:szCs w:val="17"/>
                <w:color w:val="auto"/>
              </w:rPr>
            </w:pPr>
          </w:p>
        </w:tc>
        <w:tc>
          <w:tcPr>
            <w:tcW w:w="1240" w:type="dxa"/>
            <w:vAlign w:val="bottom"/>
          </w:tcPr>
          <w:p>
            <w:pPr>
              <w:jc w:val="center"/>
              <w:ind w:right="10"/>
              <w:spacing w:after="0" w:line="202" w:lineRule="exact"/>
              <w:rPr>
                <w:sz w:val="20"/>
                <w:szCs w:val="20"/>
                <w:color w:val="auto"/>
              </w:rPr>
            </w:pPr>
            <w:r>
              <w:rPr>
                <w:rFonts w:ascii="Arial" w:cs="Arial" w:eastAsia="Arial" w:hAnsi="Arial"/>
                <w:sz w:val="18"/>
                <w:szCs w:val="18"/>
                <w:b w:val="1"/>
                <w:bCs w:val="1"/>
                <w:color w:val="auto"/>
                <w:w w:val="99"/>
              </w:rPr>
              <w:t>Pension</w:t>
            </w:r>
          </w:p>
        </w:tc>
        <w:tc>
          <w:tcPr>
            <w:tcW w:w="180" w:type="dxa"/>
            <w:vAlign w:val="bottom"/>
          </w:tcPr>
          <w:p>
            <w:pPr>
              <w:spacing w:after="0"/>
              <w:rPr>
                <w:sz w:val="17"/>
                <w:szCs w:val="17"/>
                <w:color w:val="auto"/>
              </w:rPr>
            </w:pPr>
          </w:p>
        </w:tc>
        <w:tc>
          <w:tcPr>
            <w:tcW w:w="1180" w:type="dxa"/>
            <w:vAlign w:val="bottom"/>
          </w:tcPr>
          <w:p>
            <w:pPr>
              <w:ind w:left="60"/>
              <w:spacing w:after="0" w:line="202" w:lineRule="exact"/>
              <w:rPr>
                <w:sz w:val="20"/>
                <w:szCs w:val="20"/>
                <w:color w:val="auto"/>
              </w:rPr>
            </w:pPr>
            <w:r>
              <w:rPr>
                <w:rFonts w:ascii="Arial" w:cs="Arial" w:eastAsia="Arial" w:hAnsi="Arial"/>
                <w:sz w:val="18"/>
                <w:szCs w:val="18"/>
                <w:b w:val="1"/>
                <w:bCs w:val="1"/>
                <w:color w:val="auto"/>
              </w:rPr>
              <w:t>Unrealized</w:t>
            </w:r>
          </w:p>
        </w:tc>
        <w:tc>
          <w:tcPr>
            <w:tcW w:w="160" w:type="dxa"/>
            <w:vAlign w:val="bottom"/>
          </w:tcPr>
          <w:p>
            <w:pPr>
              <w:spacing w:after="0"/>
              <w:rPr>
                <w:sz w:val="17"/>
                <w:szCs w:val="17"/>
                <w:color w:val="auto"/>
              </w:rPr>
            </w:pPr>
          </w:p>
        </w:tc>
        <w:tc>
          <w:tcPr>
            <w:tcW w:w="118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rPr>
              <w:t>Currency</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4480" w:type="dxa"/>
            <w:vAlign w:val="bottom"/>
          </w:tcPr>
          <w:p>
            <w:pPr>
              <w:spacing w:after="0"/>
              <w:rPr>
                <w:sz w:val="17"/>
                <w:szCs w:val="17"/>
                <w:color w:val="auto"/>
              </w:rPr>
            </w:pPr>
          </w:p>
        </w:tc>
        <w:tc>
          <w:tcPr>
            <w:tcW w:w="1360" w:type="dxa"/>
            <w:vAlign w:val="bottom"/>
            <w:gridSpan w:val="2"/>
          </w:tcPr>
          <w:p>
            <w:pPr>
              <w:jc w:val="right"/>
              <w:ind w:right="30"/>
              <w:spacing w:after="0" w:line="202" w:lineRule="exact"/>
              <w:rPr>
                <w:sz w:val="20"/>
                <w:szCs w:val="20"/>
                <w:color w:val="auto"/>
              </w:rPr>
            </w:pPr>
            <w:r>
              <w:rPr>
                <w:rFonts w:ascii="Arial" w:cs="Arial" w:eastAsia="Arial" w:hAnsi="Arial"/>
                <w:sz w:val="18"/>
                <w:szCs w:val="18"/>
                <w:b w:val="1"/>
                <w:bCs w:val="1"/>
                <w:color w:val="auto"/>
              </w:rPr>
              <w:t>on Derivative</w:t>
            </w:r>
          </w:p>
        </w:tc>
        <w:tc>
          <w:tcPr>
            <w:tcW w:w="120" w:type="dxa"/>
            <w:vAlign w:val="bottom"/>
          </w:tcPr>
          <w:p>
            <w:pPr>
              <w:spacing w:after="0"/>
              <w:rPr>
                <w:sz w:val="17"/>
                <w:szCs w:val="17"/>
                <w:color w:val="auto"/>
              </w:rPr>
            </w:pPr>
          </w:p>
        </w:tc>
        <w:tc>
          <w:tcPr>
            <w:tcW w:w="124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w w:val="99"/>
              </w:rPr>
              <w:t>Liability</w:t>
            </w:r>
          </w:p>
        </w:tc>
        <w:tc>
          <w:tcPr>
            <w:tcW w:w="1360" w:type="dxa"/>
            <w:vAlign w:val="bottom"/>
            <w:gridSpan w:val="2"/>
          </w:tcPr>
          <w:p>
            <w:pPr>
              <w:ind w:left="40"/>
              <w:spacing w:after="0" w:line="202" w:lineRule="exact"/>
              <w:rPr>
                <w:sz w:val="20"/>
                <w:szCs w:val="20"/>
                <w:color w:val="auto"/>
              </w:rPr>
            </w:pPr>
            <w:r>
              <w:rPr>
                <w:rFonts w:ascii="Arial" w:cs="Arial" w:eastAsia="Arial" w:hAnsi="Arial"/>
                <w:sz w:val="18"/>
                <w:szCs w:val="18"/>
                <w:b w:val="1"/>
                <w:bCs w:val="1"/>
                <w:color w:val="auto"/>
              </w:rPr>
              <w:t>Gains (Losses)</w:t>
            </w:r>
          </w:p>
        </w:tc>
        <w:tc>
          <w:tcPr>
            <w:tcW w:w="160" w:type="dxa"/>
            <w:vAlign w:val="bottom"/>
          </w:tcPr>
          <w:p>
            <w:pPr>
              <w:spacing w:after="0"/>
              <w:rPr>
                <w:sz w:val="17"/>
                <w:szCs w:val="17"/>
                <w:color w:val="auto"/>
              </w:rPr>
            </w:pPr>
          </w:p>
        </w:tc>
        <w:tc>
          <w:tcPr>
            <w:tcW w:w="118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98"/>
              </w:rPr>
              <w:t>Translation</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46"/>
        </w:trPr>
        <w:tc>
          <w:tcPr>
            <w:tcW w:w="4480" w:type="dxa"/>
            <w:vAlign w:val="bottom"/>
            <w:tcBorders>
              <w:bottom w:val="single" w:sz="8" w:color="0090DA"/>
            </w:tcBorders>
          </w:tcPr>
          <w:p>
            <w:pPr>
              <w:spacing w:after="0"/>
              <w:rPr>
                <w:sz w:val="21"/>
                <w:szCs w:val="21"/>
                <w:color w:val="auto"/>
              </w:rPr>
            </w:pPr>
          </w:p>
        </w:tc>
        <w:tc>
          <w:tcPr>
            <w:tcW w:w="140" w:type="dxa"/>
            <w:vAlign w:val="bottom"/>
            <w:tcBorders>
              <w:bottom w:val="single" w:sz="8" w:color="0090DA"/>
            </w:tcBorders>
          </w:tcPr>
          <w:p>
            <w:pPr>
              <w:spacing w:after="0"/>
              <w:rPr>
                <w:sz w:val="21"/>
                <w:szCs w:val="21"/>
                <w:color w:val="auto"/>
              </w:rPr>
            </w:pPr>
          </w:p>
        </w:tc>
        <w:tc>
          <w:tcPr>
            <w:tcW w:w="1220" w:type="dxa"/>
            <w:vAlign w:val="bottom"/>
            <w:tcBorders>
              <w:bottom w:val="single" w:sz="8" w:color="0090DA"/>
            </w:tcBorders>
          </w:tcPr>
          <w:p>
            <w:pPr>
              <w:jc w:val="right"/>
              <w:ind w:right="70"/>
              <w:spacing w:after="0"/>
              <w:rPr>
                <w:sz w:val="20"/>
                <w:szCs w:val="20"/>
                <w:color w:val="auto"/>
              </w:rPr>
            </w:pPr>
            <w:r>
              <w:rPr>
                <w:rFonts w:ascii="Arial" w:cs="Arial" w:eastAsia="Arial" w:hAnsi="Arial"/>
                <w:sz w:val="18"/>
                <w:szCs w:val="18"/>
                <w:b w:val="1"/>
                <w:bCs w:val="1"/>
                <w:color w:val="auto"/>
              </w:rPr>
              <w:t>Instruments</w:t>
            </w:r>
          </w:p>
        </w:tc>
        <w:tc>
          <w:tcPr>
            <w:tcW w:w="120" w:type="dxa"/>
            <w:vAlign w:val="bottom"/>
            <w:tcBorders>
              <w:bottom w:val="single" w:sz="8" w:color="0090DA"/>
            </w:tcBorders>
          </w:tcPr>
          <w:p>
            <w:pPr>
              <w:spacing w:after="0"/>
              <w:rPr>
                <w:sz w:val="21"/>
                <w:szCs w:val="21"/>
                <w:color w:val="auto"/>
              </w:rPr>
            </w:pPr>
          </w:p>
        </w:tc>
        <w:tc>
          <w:tcPr>
            <w:tcW w:w="1240" w:type="dxa"/>
            <w:vAlign w:val="bottom"/>
            <w:tcBorders>
              <w:bottom w:val="single" w:sz="8" w:color="0090DA"/>
            </w:tcBorders>
          </w:tcPr>
          <w:p>
            <w:pPr>
              <w:jc w:val="center"/>
              <w:ind w:right="30"/>
              <w:spacing w:after="0"/>
              <w:rPr>
                <w:sz w:val="20"/>
                <w:szCs w:val="20"/>
                <w:color w:val="auto"/>
              </w:rPr>
            </w:pPr>
            <w:r>
              <w:rPr>
                <w:rFonts w:ascii="Arial" w:cs="Arial" w:eastAsia="Arial" w:hAnsi="Arial"/>
                <w:sz w:val="18"/>
                <w:szCs w:val="18"/>
                <w:b w:val="1"/>
                <w:bCs w:val="1"/>
                <w:color w:val="auto"/>
                <w:w w:val="99"/>
              </w:rPr>
              <w:t>Adjustments</w:t>
            </w:r>
          </w:p>
        </w:tc>
        <w:tc>
          <w:tcPr>
            <w:tcW w:w="1360" w:type="dxa"/>
            <w:vAlign w:val="bottom"/>
            <w:tcBorders>
              <w:bottom w:val="single" w:sz="8" w:color="0090DA"/>
            </w:tcBorders>
            <w:gridSpan w:val="2"/>
          </w:tcPr>
          <w:p>
            <w:pPr>
              <w:ind w:left="20"/>
              <w:spacing w:after="0"/>
              <w:rPr>
                <w:sz w:val="20"/>
                <w:szCs w:val="20"/>
                <w:color w:val="auto"/>
              </w:rPr>
            </w:pPr>
            <w:r>
              <w:rPr>
                <w:rFonts w:ascii="Arial" w:cs="Arial" w:eastAsia="Arial" w:hAnsi="Arial"/>
                <w:sz w:val="18"/>
                <w:szCs w:val="18"/>
                <w:b w:val="1"/>
                <w:bCs w:val="1"/>
                <w:color w:val="auto"/>
                <w:w w:val="99"/>
              </w:rPr>
              <w:t>on Investments</w:t>
            </w:r>
          </w:p>
        </w:tc>
        <w:tc>
          <w:tcPr>
            <w:tcW w:w="160" w:type="dxa"/>
            <w:vAlign w:val="bottom"/>
            <w:tcBorders>
              <w:bottom w:val="single" w:sz="8" w:color="0090DA"/>
            </w:tcBorders>
          </w:tcPr>
          <w:p>
            <w:pPr>
              <w:spacing w:after="0"/>
              <w:rPr>
                <w:sz w:val="21"/>
                <w:szCs w:val="21"/>
                <w:color w:val="auto"/>
              </w:rPr>
            </w:pPr>
          </w:p>
        </w:tc>
        <w:tc>
          <w:tcPr>
            <w:tcW w:w="1180" w:type="dxa"/>
            <w:vAlign w:val="bottom"/>
            <w:tcBorders>
              <w:bottom w:val="single" w:sz="8" w:color="0090DA"/>
            </w:tcBorders>
          </w:tcPr>
          <w:p>
            <w:pPr>
              <w:jc w:val="center"/>
              <w:ind w:right="50"/>
              <w:spacing w:after="0"/>
              <w:rPr>
                <w:sz w:val="20"/>
                <w:szCs w:val="20"/>
                <w:color w:val="auto"/>
              </w:rPr>
            </w:pPr>
            <w:r>
              <w:rPr>
                <w:rFonts w:ascii="Arial" w:cs="Arial" w:eastAsia="Arial" w:hAnsi="Arial"/>
                <w:sz w:val="18"/>
                <w:szCs w:val="18"/>
                <w:b w:val="1"/>
                <w:bCs w:val="1"/>
                <w:color w:val="auto"/>
              </w:rPr>
              <w:t>Adjustment</w:t>
            </w:r>
          </w:p>
        </w:tc>
        <w:tc>
          <w:tcPr>
            <w:tcW w:w="300" w:type="dxa"/>
            <w:vAlign w:val="bottom"/>
            <w:tcBorders>
              <w:bottom w:val="single" w:sz="8" w:color="0090DA"/>
            </w:tcBorders>
          </w:tcPr>
          <w:p>
            <w:pPr>
              <w:spacing w:after="0"/>
              <w:rPr>
                <w:sz w:val="21"/>
                <w:szCs w:val="21"/>
                <w:color w:val="auto"/>
              </w:rPr>
            </w:pPr>
          </w:p>
        </w:tc>
        <w:tc>
          <w:tcPr>
            <w:tcW w:w="1040" w:type="dxa"/>
            <w:vAlign w:val="bottom"/>
            <w:tcBorders>
              <w:bottom w:val="single" w:sz="8" w:color="0090DA"/>
            </w:tcBorders>
          </w:tcPr>
          <w:p>
            <w:pPr>
              <w:jc w:val="right"/>
              <w:ind w:right="370"/>
              <w:spacing w:after="0"/>
              <w:rPr>
                <w:sz w:val="20"/>
                <w:szCs w:val="20"/>
                <w:color w:val="auto"/>
              </w:rPr>
            </w:pPr>
            <w:r>
              <w:rPr>
                <w:rFonts w:ascii="Arial" w:cs="Arial" w:eastAsia="Arial" w:hAnsi="Arial"/>
                <w:sz w:val="18"/>
                <w:szCs w:val="18"/>
                <w:b w:val="1"/>
                <w:bCs w:val="1"/>
                <w:color w:val="auto"/>
              </w:rPr>
              <w:t>Total</w:t>
            </w:r>
          </w:p>
        </w:tc>
      </w:tr>
      <w:tr>
        <w:trPr>
          <w:trHeight w:val="40"/>
        </w:trPr>
        <w:tc>
          <w:tcPr>
            <w:tcW w:w="4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0"/>
        </w:trPr>
        <w:tc>
          <w:tcPr>
            <w:tcW w:w="4480" w:type="dxa"/>
            <w:vAlign w:val="bottom"/>
            <w:shd w:val="clear" w:color="auto" w:fill="D1D2D4"/>
          </w:tcPr>
          <w:p>
            <w:pPr>
              <w:ind w:left="20"/>
              <w:spacing w:after="0"/>
              <w:rPr>
                <w:sz w:val="20"/>
                <w:szCs w:val="20"/>
                <w:color w:val="auto"/>
              </w:rPr>
            </w:pPr>
            <w:r>
              <w:rPr>
                <w:rFonts w:ascii="Arial" w:cs="Arial" w:eastAsia="Arial" w:hAnsi="Arial"/>
                <w:sz w:val="18"/>
                <w:szCs w:val="18"/>
                <w:color w:val="auto"/>
              </w:rPr>
              <w:t>As of August 29, 2019</w:t>
            </w:r>
          </w:p>
        </w:tc>
        <w:tc>
          <w:tcPr>
            <w:tcW w:w="140" w:type="dxa"/>
            <w:vAlign w:val="bottom"/>
            <w:tcBorders>
              <w:bottom w:val="single" w:sz="8" w:color="auto"/>
            </w:tcBorders>
            <w:shd w:val="clear" w:color="auto" w:fill="D1D2D4"/>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w:t>
            </w:r>
          </w:p>
        </w:tc>
        <w:tc>
          <w:tcPr>
            <w:tcW w:w="180" w:type="dxa"/>
            <w:vAlign w:val="bottom"/>
            <w:tcBorders>
              <w:bottom w:val="single" w:sz="8" w:color="auto"/>
            </w:tcBorders>
            <w:shd w:val="clear" w:color="auto" w:fill="D1D2D4"/>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D1D2D4"/>
          </w:tcPr>
          <w:p>
            <w:pPr>
              <w:jc w:val="center"/>
              <w:ind w:left="830"/>
              <w:spacing w:after="0"/>
              <w:rPr>
                <w:sz w:val="20"/>
                <w:szCs w:val="20"/>
                <w:color w:val="auto"/>
              </w:rPr>
            </w:pPr>
            <w:r>
              <w:rPr>
                <w:rFonts w:ascii="Arial" w:cs="Arial" w:eastAsia="Arial" w:hAnsi="Arial"/>
                <w:sz w:val="18"/>
                <w:szCs w:val="18"/>
                <w:color w:val="auto"/>
                <w:w w:val="99"/>
              </w:rPr>
              <w:t>7</w:t>
            </w:r>
          </w:p>
        </w:tc>
        <w:tc>
          <w:tcPr>
            <w:tcW w:w="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D1D2D4"/>
          </w:tcPr>
          <w:p>
            <w:pPr>
              <w:ind w:left="940"/>
              <w:spacing w:after="0"/>
              <w:rPr>
                <w:sz w:val="20"/>
                <w:szCs w:val="20"/>
                <w:color w:val="auto"/>
              </w:rPr>
            </w:pPr>
            <w:r>
              <w:rPr>
                <w:rFonts w:ascii="Arial" w:cs="Arial" w:eastAsia="Arial" w:hAnsi="Arial"/>
                <w:sz w:val="18"/>
                <w:szCs w:val="18"/>
                <w:color w:val="auto"/>
                <w:w w:val="99"/>
              </w:rPr>
              <w:t>(1)</w:t>
            </w:r>
          </w:p>
        </w:tc>
        <w:tc>
          <w:tcPr>
            <w:tcW w:w="30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9</w:t>
            </w:r>
          </w:p>
        </w:tc>
      </w:tr>
      <w:tr>
        <w:trPr>
          <w:trHeight w:val="250"/>
        </w:trPr>
        <w:tc>
          <w:tcPr>
            <w:tcW w:w="4480" w:type="dxa"/>
            <w:vAlign w:val="bottom"/>
          </w:tcPr>
          <w:p>
            <w:pPr>
              <w:ind w:left="220"/>
              <w:spacing w:after="0"/>
              <w:rPr>
                <w:sz w:val="20"/>
                <w:szCs w:val="20"/>
                <w:color w:val="auto"/>
              </w:rPr>
            </w:pPr>
            <w:r>
              <w:rPr>
                <w:rFonts w:ascii="Arial" w:cs="Arial" w:eastAsia="Arial" w:hAnsi="Arial"/>
                <w:sz w:val="18"/>
                <w:szCs w:val="18"/>
                <w:color w:val="auto"/>
              </w:rPr>
              <w:t>Other comprehensive income before reclassifications</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21"/>
                <w:szCs w:val="21"/>
                <w:color w:val="auto"/>
              </w:rPr>
            </w:pPr>
          </w:p>
        </w:tc>
        <w:tc>
          <w:tcPr>
            <w:tcW w:w="1180" w:type="dxa"/>
            <w:vAlign w:val="bottom"/>
          </w:tcPr>
          <w:p>
            <w:pPr>
              <w:jc w:val="center"/>
              <w:ind w:left="830"/>
              <w:spacing w:after="0"/>
              <w:rPr>
                <w:sz w:val="20"/>
                <w:szCs w:val="20"/>
                <w:color w:val="auto"/>
              </w:rPr>
            </w:pPr>
            <w:r>
              <w:rPr>
                <w:rFonts w:ascii="Arial" w:cs="Arial" w:eastAsia="Arial" w:hAnsi="Arial"/>
                <w:sz w:val="18"/>
                <w:szCs w:val="18"/>
                <w:color w:val="auto"/>
                <w:w w:val="99"/>
              </w:rPr>
              <w:t>8</w:t>
            </w:r>
          </w:p>
        </w:tc>
        <w:tc>
          <w:tcPr>
            <w:tcW w:w="160" w:type="dxa"/>
            <w:vAlign w:val="bottom"/>
          </w:tcPr>
          <w:p>
            <w:pPr>
              <w:spacing w:after="0"/>
              <w:rPr>
                <w:sz w:val="21"/>
                <w:szCs w:val="21"/>
                <w:color w:val="auto"/>
              </w:rPr>
            </w:pPr>
          </w:p>
        </w:tc>
        <w:tc>
          <w:tcPr>
            <w:tcW w:w="1180" w:type="dxa"/>
            <w:vAlign w:val="bottom"/>
          </w:tcPr>
          <w:p>
            <w:pPr>
              <w:ind w:left="9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84</w:t>
            </w:r>
          </w:p>
        </w:tc>
      </w:tr>
      <w:tr>
        <w:trPr>
          <w:trHeight w:val="235"/>
        </w:trPr>
        <w:tc>
          <w:tcPr>
            <w:tcW w:w="4480" w:type="dxa"/>
            <w:vAlign w:val="bottom"/>
            <w:shd w:val="clear" w:color="auto" w:fill="D1D2D4"/>
          </w:tcPr>
          <w:p>
            <w:pPr>
              <w:ind w:left="220"/>
              <w:spacing w:after="0"/>
              <w:rPr>
                <w:sz w:val="20"/>
                <w:szCs w:val="20"/>
                <w:color w:val="auto"/>
              </w:rPr>
            </w:pPr>
            <w:r>
              <w:rPr>
                <w:rFonts w:ascii="Arial" w:cs="Arial" w:eastAsia="Arial" w:hAnsi="Arial"/>
                <w:sz w:val="18"/>
                <w:szCs w:val="18"/>
                <w:color w:val="auto"/>
              </w:rPr>
              <w:t>Amount reclassified out of accumulated other</w:t>
            </w:r>
          </w:p>
        </w:tc>
        <w:tc>
          <w:tcPr>
            <w:tcW w:w="140" w:type="dxa"/>
            <w:vAlign w:val="bottom"/>
            <w:shd w:val="clear" w:color="auto" w:fill="D1D2D4"/>
          </w:tcPr>
          <w:p>
            <w:pPr>
              <w:spacing w:after="0"/>
              <w:rPr>
                <w:sz w:val="20"/>
                <w:szCs w:val="20"/>
                <w:color w:val="auto"/>
              </w:rPr>
            </w:pPr>
          </w:p>
        </w:tc>
        <w:tc>
          <w:tcPr>
            <w:tcW w:w="1220" w:type="dxa"/>
            <w:vAlign w:val="bottom"/>
            <w:shd w:val="clear" w:color="auto" w:fill="D1D2D4"/>
          </w:tcPr>
          <w:p>
            <w:pPr>
              <w:spacing w:after="0"/>
              <w:rPr>
                <w:sz w:val="20"/>
                <w:szCs w:val="20"/>
                <w:color w:val="auto"/>
              </w:rPr>
            </w:pPr>
          </w:p>
        </w:tc>
        <w:tc>
          <w:tcPr>
            <w:tcW w:w="120" w:type="dxa"/>
            <w:vAlign w:val="bottom"/>
            <w:shd w:val="clear" w:color="auto" w:fill="D1D2D4"/>
          </w:tcPr>
          <w:p>
            <w:pPr>
              <w:spacing w:after="0"/>
              <w:rPr>
                <w:sz w:val="20"/>
                <w:szCs w:val="20"/>
                <w:color w:val="auto"/>
              </w:rPr>
            </w:pPr>
          </w:p>
        </w:tc>
        <w:tc>
          <w:tcPr>
            <w:tcW w:w="1240" w:type="dxa"/>
            <w:vAlign w:val="bottom"/>
            <w:shd w:val="clear" w:color="auto" w:fill="D1D2D4"/>
          </w:tcPr>
          <w:p>
            <w:pPr>
              <w:spacing w:after="0"/>
              <w:rPr>
                <w:sz w:val="20"/>
                <w:szCs w:val="20"/>
                <w:color w:val="auto"/>
              </w:rPr>
            </w:pPr>
          </w:p>
        </w:tc>
        <w:tc>
          <w:tcPr>
            <w:tcW w:w="180" w:type="dxa"/>
            <w:vAlign w:val="bottom"/>
            <w:shd w:val="clear" w:color="auto" w:fill="D1D2D4"/>
          </w:tcPr>
          <w:p>
            <w:pPr>
              <w:spacing w:after="0"/>
              <w:rPr>
                <w:sz w:val="20"/>
                <w:szCs w:val="20"/>
                <w:color w:val="auto"/>
              </w:rPr>
            </w:pPr>
          </w:p>
        </w:tc>
        <w:tc>
          <w:tcPr>
            <w:tcW w:w="1180" w:type="dxa"/>
            <w:vAlign w:val="bottom"/>
            <w:shd w:val="clear" w:color="auto" w:fill="D1D2D4"/>
          </w:tcPr>
          <w:p>
            <w:pPr>
              <w:spacing w:after="0"/>
              <w:rPr>
                <w:sz w:val="20"/>
                <w:szCs w:val="20"/>
                <w:color w:val="auto"/>
              </w:rPr>
            </w:pPr>
          </w:p>
        </w:tc>
        <w:tc>
          <w:tcPr>
            <w:tcW w:w="160" w:type="dxa"/>
            <w:vAlign w:val="bottom"/>
            <w:shd w:val="clear" w:color="auto" w:fill="D1D2D4"/>
          </w:tcPr>
          <w:p>
            <w:pPr>
              <w:spacing w:after="0"/>
              <w:rPr>
                <w:sz w:val="20"/>
                <w:szCs w:val="20"/>
                <w:color w:val="auto"/>
              </w:rPr>
            </w:pPr>
          </w:p>
        </w:tc>
        <w:tc>
          <w:tcPr>
            <w:tcW w:w="1180" w:type="dxa"/>
            <w:vAlign w:val="bottom"/>
            <w:shd w:val="clear" w:color="auto" w:fill="D1D2D4"/>
          </w:tcPr>
          <w:p>
            <w:pPr>
              <w:spacing w:after="0"/>
              <w:rPr>
                <w:sz w:val="20"/>
                <w:szCs w:val="20"/>
                <w:color w:val="auto"/>
              </w:rPr>
            </w:pPr>
          </w:p>
        </w:tc>
        <w:tc>
          <w:tcPr>
            <w:tcW w:w="300" w:type="dxa"/>
            <w:vAlign w:val="bottom"/>
            <w:shd w:val="clear" w:color="auto" w:fill="D1D2D4"/>
          </w:tcPr>
          <w:p>
            <w:pPr>
              <w:spacing w:after="0"/>
              <w:rPr>
                <w:sz w:val="20"/>
                <w:szCs w:val="20"/>
                <w:color w:val="auto"/>
              </w:rPr>
            </w:pPr>
          </w:p>
        </w:tc>
        <w:tc>
          <w:tcPr>
            <w:tcW w:w="1040" w:type="dxa"/>
            <w:vAlign w:val="bottom"/>
            <w:shd w:val="clear" w:color="auto" w:fill="D1D2D4"/>
          </w:tcPr>
          <w:p>
            <w:pPr>
              <w:spacing w:after="0"/>
              <w:rPr>
                <w:sz w:val="20"/>
                <w:szCs w:val="20"/>
                <w:color w:val="auto"/>
              </w:rPr>
            </w:pPr>
          </w:p>
        </w:tc>
      </w:tr>
      <w:tr>
        <w:trPr>
          <w:trHeight w:val="230"/>
        </w:trPr>
        <w:tc>
          <w:tcPr>
            <w:tcW w:w="4480" w:type="dxa"/>
            <w:vAlign w:val="bottom"/>
            <w:shd w:val="clear" w:color="auto" w:fill="D1D2D4"/>
          </w:tcPr>
          <w:p>
            <w:pPr>
              <w:ind w:left="220"/>
              <w:spacing w:after="0"/>
              <w:rPr>
                <w:sz w:val="20"/>
                <w:szCs w:val="20"/>
                <w:color w:val="auto"/>
              </w:rPr>
            </w:pPr>
            <w:r>
              <w:rPr>
                <w:rFonts w:ascii="Arial" w:cs="Arial" w:eastAsia="Arial" w:hAnsi="Arial"/>
                <w:sz w:val="18"/>
                <w:szCs w:val="18"/>
                <w:color w:val="auto"/>
              </w:rPr>
              <w:t>comprehensive income</w:t>
            </w:r>
          </w:p>
        </w:tc>
        <w:tc>
          <w:tcPr>
            <w:tcW w:w="140" w:type="dxa"/>
            <w:vAlign w:val="bottom"/>
            <w:shd w:val="clear" w:color="auto" w:fill="D1D2D4"/>
          </w:tcPr>
          <w:p>
            <w:pPr>
              <w:spacing w:after="0"/>
              <w:rPr>
                <w:sz w:val="20"/>
                <w:szCs w:val="20"/>
                <w:color w:val="auto"/>
              </w:rPr>
            </w:pPr>
          </w:p>
        </w:tc>
        <w:tc>
          <w:tcPr>
            <w:tcW w:w="12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shd w:val="clear" w:color="auto" w:fill="D1D2D4"/>
          </w:tcPr>
          <w:p>
            <w:pPr>
              <w:spacing w:after="0"/>
              <w:rPr>
                <w:sz w:val="20"/>
                <w:szCs w:val="20"/>
                <w:color w:val="auto"/>
              </w:rPr>
            </w:pPr>
          </w:p>
        </w:tc>
        <w:tc>
          <w:tcPr>
            <w:tcW w:w="1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D1D2D4"/>
          </w:tcPr>
          <w:p>
            <w:pPr>
              <w:spacing w:after="0"/>
              <w:rPr>
                <w:sz w:val="20"/>
                <w:szCs w:val="20"/>
                <w:color w:val="auto"/>
              </w:rPr>
            </w:pPr>
          </w:p>
        </w:tc>
        <w:tc>
          <w:tcPr>
            <w:tcW w:w="1180" w:type="dxa"/>
            <w:vAlign w:val="bottom"/>
            <w:shd w:val="clear" w:color="auto" w:fill="D1D2D4"/>
          </w:tcPr>
          <w:p>
            <w:pPr>
              <w:jc w:val="center"/>
              <w:ind w:left="790"/>
              <w:spacing w:after="0"/>
              <w:rPr>
                <w:sz w:val="20"/>
                <w:szCs w:val="20"/>
                <w:color w:val="auto"/>
              </w:rPr>
            </w:pPr>
            <w:r>
              <w:rPr>
                <w:rFonts w:ascii="Arial" w:cs="Arial" w:eastAsia="Arial" w:hAnsi="Arial"/>
                <w:sz w:val="18"/>
                <w:szCs w:val="18"/>
                <w:color w:val="auto"/>
                <w:w w:val="99"/>
              </w:rPr>
              <w:t>(6)</w:t>
            </w:r>
          </w:p>
        </w:tc>
        <w:tc>
          <w:tcPr>
            <w:tcW w:w="160" w:type="dxa"/>
            <w:vAlign w:val="bottom"/>
            <w:shd w:val="clear" w:color="auto" w:fill="D1D2D4"/>
          </w:tcPr>
          <w:p>
            <w:pPr>
              <w:spacing w:after="0"/>
              <w:rPr>
                <w:sz w:val="20"/>
                <w:szCs w:val="20"/>
                <w:color w:val="auto"/>
              </w:rPr>
            </w:pPr>
          </w:p>
        </w:tc>
        <w:tc>
          <w:tcPr>
            <w:tcW w:w="1180" w:type="dxa"/>
            <w:vAlign w:val="bottom"/>
            <w:shd w:val="clear" w:color="auto" w:fill="D1D2D4"/>
          </w:tcPr>
          <w:p>
            <w:pPr>
              <w:ind w:left="920"/>
              <w:spacing w:after="0"/>
              <w:rPr>
                <w:sz w:val="20"/>
                <w:szCs w:val="20"/>
                <w:color w:val="auto"/>
              </w:rPr>
            </w:pPr>
            <w:r>
              <w:rPr>
                <w:rFonts w:ascii="Arial" w:cs="Arial" w:eastAsia="Arial" w:hAnsi="Arial"/>
                <w:sz w:val="18"/>
                <w:szCs w:val="18"/>
                <w:color w:val="auto"/>
              </w:rPr>
              <w:t>—</w:t>
            </w:r>
          </w:p>
        </w:tc>
        <w:tc>
          <w:tcPr>
            <w:tcW w:w="300" w:type="dxa"/>
            <w:vAlign w:val="bottom"/>
            <w:shd w:val="clear" w:color="auto" w:fill="D1D2D4"/>
          </w:tcPr>
          <w:p>
            <w:pPr>
              <w:spacing w:after="0"/>
              <w:rPr>
                <w:sz w:val="20"/>
                <w:szCs w:val="20"/>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w:t>
            </w:r>
          </w:p>
        </w:tc>
      </w:tr>
      <w:tr>
        <w:trPr>
          <w:trHeight w:val="257"/>
        </w:trPr>
        <w:tc>
          <w:tcPr>
            <w:tcW w:w="4480" w:type="dxa"/>
            <w:vAlign w:val="bottom"/>
            <w:tcBorders>
              <w:bottom w:val="single" w:sz="8" w:color="D1D2D4"/>
            </w:tcBorders>
          </w:tcPr>
          <w:p>
            <w:pPr>
              <w:ind w:left="260"/>
              <w:spacing w:after="0"/>
              <w:rPr>
                <w:sz w:val="20"/>
                <w:szCs w:val="20"/>
                <w:color w:val="auto"/>
              </w:rPr>
            </w:pPr>
            <w:r>
              <w:rPr>
                <w:rFonts w:ascii="Arial" w:cs="Arial" w:eastAsia="Arial" w:hAnsi="Arial"/>
                <w:sz w:val="18"/>
                <w:szCs w:val="18"/>
                <w:color w:val="auto"/>
              </w:rPr>
              <w:t>Tax effects</w:t>
            </w: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left="790"/>
              <w:spacing w:after="0"/>
              <w:rPr>
                <w:sz w:val="20"/>
                <w:szCs w:val="20"/>
                <w:color w:val="auto"/>
              </w:rPr>
            </w:pPr>
            <w:r>
              <w:rPr>
                <w:rFonts w:ascii="Arial" w:cs="Arial" w:eastAsia="Arial" w:hAnsi="Arial"/>
                <w:sz w:val="18"/>
                <w:szCs w:val="18"/>
                <w:color w:val="auto"/>
                <w:w w:val="99"/>
              </w:rPr>
              <w:t>(1)</w:t>
            </w: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448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Borders>
              <w:bottom w:val="single" w:sz="8" w:color="auto"/>
            </w:tcBorders>
            <w:shd w:val="clear" w:color="auto" w:fill="D1D2D4"/>
          </w:tcPr>
          <w:p>
            <w:pPr>
              <w:spacing w:after="0"/>
              <w:rPr>
                <w:sz w:val="21"/>
                <w:szCs w:val="21"/>
                <w:color w:val="auto"/>
              </w:rPr>
            </w:pPr>
          </w:p>
        </w:tc>
        <w:tc>
          <w:tcPr>
            <w:tcW w:w="122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auto"/>
            </w:tcBorders>
            <w:shd w:val="clear" w:color="auto" w:fill="D1D2D4"/>
          </w:tcPr>
          <w:p>
            <w:pPr>
              <w:spacing w:after="0"/>
              <w:rPr>
                <w:sz w:val="21"/>
                <w:szCs w:val="21"/>
                <w:color w:val="auto"/>
              </w:rPr>
            </w:pPr>
          </w:p>
        </w:tc>
        <w:tc>
          <w:tcPr>
            <w:tcW w:w="12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15</w:t>
            </w:r>
          </w:p>
        </w:tc>
        <w:tc>
          <w:tcPr>
            <w:tcW w:w="180" w:type="dxa"/>
            <w:vAlign w:val="bottom"/>
            <w:tcBorders>
              <w:bottom w:val="single" w:sz="8" w:color="auto"/>
            </w:tcBorders>
            <w:shd w:val="clear" w:color="auto" w:fill="D1D2D4"/>
          </w:tcPr>
          <w:p>
            <w:pPr>
              <w:spacing w:after="0"/>
              <w:rPr>
                <w:sz w:val="21"/>
                <w:szCs w:val="21"/>
                <w:color w:val="auto"/>
              </w:rPr>
            </w:pPr>
          </w:p>
        </w:tc>
        <w:tc>
          <w:tcPr>
            <w:tcW w:w="1180" w:type="dxa"/>
            <w:vAlign w:val="bottom"/>
            <w:tcBorders>
              <w:bottom w:val="single" w:sz="8" w:color="auto"/>
            </w:tcBorders>
            <w:shd w:val="clear" w:color="auto" w:fill="D1D2D4"/>
          </w:tcPr>
          <w:p>
            <w:pPr>
              <w:jc w:val="center"/>
              <w:ind w:left="830"/>
              <w:spacing w:after="0"/>
              <w:rPr>
                <w:sz w:val="20"/>
                <w:szCs w:val="20"/>
                <w:color w:val="auto"/>
              </w:rPr>
            </w:pPr>
            <w:r>
              <w:rPr>
                <w:rFonts w:ascii="Arial" w:cs="Arial" w:eastAsia="Arial" w:hAnsi="Arial"/>
                <w:sz w:val="18"/>
                <w:szCs w:val="18"/>
                <w:color w:val="auto"/>
                <w:w w:val="99"/>
              </w:rPr>
              <w:t>1</w:t>
            </w:r>
          </w:p>
        </w:tc>
        <w:tc>
          <w:tcPr>
            <w:tcW w:w="160" w:type="dxa"/>
            <w:vAlign w:val="bottom"/>
            <w:tcBorders>
              <w:bottom w:val="single" w:sz="8" w:color="auto"/>
            </w:tcBorders>
            <w:shd w:val="clear" w:color="auto" w:fill="D1D2D4"/>
          </w:tcPr>
          <w:p>
            <w:pPr>
              <w:spacing w:after="0"/>
              <w:rPr>
                <w:sz w:val="21"/>
                <w:szCs w:val="21"/>
                <w:color w:val="auto"/>
              </w:rPr>
            </w:pPr>
          </w:p>
        </w:tc>
        <w:tc>
          <w:tcPr>
            <w:tcW w:w="1180" w:type="dxa"/>
            <w:vAlign w:val="bottom"/>
            <w:tcBorders>
              <w:bottom w:val="single" w:sz="8" w:color="auto"/>
            </w:tcBorders>
            <w:shd w:val="clear" w:color="auto" w:fill="D1D2D4"/>
          </w:tcPr>
          <w:p>
            <w:pPr>
              <w:ind w:left="9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D1D2D4"/>
          </w:tcPr>
          <w:p>
            <w:pPr>
              <w:spacing w:after="0"/>
              <w:rPr>
                <w:sz w:val="21"/>
                <w:szCs w:val="21"/>
                <w:color w:val="auto"/>
              </w:rPr>
            </w:pPr>
          </w:p>
        </w:tc>
        <w:tc>
          <w:tcPr>
            <w:tcW w:w="104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62</w:t>
            </w:r>
          </w:p>
        </w:tc>
      </w:tr>
      <w:tr>
        <w:trPr>
          <w:trHeight w:val="256"/>
        </w:trPr>
        <w:tc>
          <w:tcPr>
            <w:tcW w:w="4480" w:type="dxa"/>
            <w:vAlign w:val="bottom"/>
          </w:tcPr>
          <w:p>
            <w:pPr>
              <w:ind w:left="20"/>
              <w:spacing w:after="0"/>
              <w:rPr>
                <w:sz w:val="20"/>
                <w:szCs w:val="20"/>
                <w:color w:val="auto"/>
              </w:rPr>
            </w:pPr>
            <w:r>
              <w:rPr>
                <w:rFonts w:ascii="Arial" w:cs="Arial" w:eastAsia="Arial" w:hAnsi="Arial"/>
                <w:sz w:val="18"/>
                <w:szCs w:val="18"/>
                <w:color w:val="auto"/>
              </w:rPr>
              <w:t>As of September 3, 2020</w:t>
            </w: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center"/>
              <w:ind w:left="830"/>
              <w:spacing w:after="0"/>
              <w:rPr>
                <w:sz w:val="20"/>
                <w:szCs w:val="20"/>
                <w:color w:val="auto"/>
              </w:rPr>
            </w:pPr>
            <w:r>
              <w:rPr>
                <w:rFonts w:ascii="Arial" w:cs="Arial" w:eastAsia="Arial" w:hAnsi="Arial"/>
                <w:sz w:val="18"/>
                <w:szCs w:val="18"/>
                <w:color w:val="auto"/>
                <w:w w:val="99"/>
              </w:rPr>
              <w:t>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w w:val="99"/>
              </w:rPr>
              <w:t>(1)</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w:t>
            </w:r>
          </w:p>
        </w:tc>
      </w:tr>
      <w:tr>
        <w:trPr>
          <w:trHeight w:val="21"/>
        </w:trPr>
        <w:tc>
          <w:tcPr>
            <w:tcW w:w="4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sz w:val="1"/>
          <w:szCs w:val="1"/>
          <w:color w:val="auto"/>
        </w:rPr>
        <w:drawing>
          <wp:inline distT="0" distB="0" distL="0" distR="0">
            <wp:extent cx="608330" cy="171450"/>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8330" cy="171450"/>
                    </a:xfrm>
                    <a:prstGeom prst="rect">
                      <a:avLst/>
                    </a:prstGeom>
                    <a:noFill/>
                    <a:ln>
                      <a:noFill/>
                    </a:ln>
                  </pic:spPr>
                </pic:pic>
              </a:graphicData>
            </a:graphic>
          </wp:inline>
        </w:drawing>
      </w:r>
      <w:r>
        <w:rPr>
          <w:rFonts w:ascii="Arial" w:cs="Arial" w:eastAsia="Arial" w:hAnsi="Arial"/>
          <w:sz w:val="18"/>
          <w:szCs w:val="18"/>
          <w:color w:val="auto"/>
        </w:rPr>
        <w:t xml:space="preserve">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71" w:name="page72"/>
    <w:bookmarkEnd w:id="71"/>
    <w:p>
      <w:pPr>
        <w:spacing w:after="0"/>
        <w:rPr>
          <w:sz w:val="20"/>
          <w:szCs w:val="20"/>
          <w:color w:val="auto"/>
        </w:rPr>
      </w:pPr>
      <w:r>
        <w:rPr>
          <w:rFonts w:ascii="Arial" w:cs="Arial" w:eastAsia="Arial" w:hAnsi="Arial"/>
          <w:sz w:val="22"/>
          <w:szCs w:val="22"/>
          <w:b w:val="1"/>
          <w:bCs w:val="1"/>
          <w:color w:val="0090DA"/>
        </w:rPr>
        <w:t>Noncontrolling Interest in Subsidiary</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600" w:type="dxa"/>
            <w:vAlign w:val="bottom"/>
          </w:tcPr>
          <w:p>
            <w:pPr>
              <w:spacing w:after="0"/>
              <w:rPr>
                <w:sz w:val="21"/>
                <w:szCs w:val="21"/>
                <w:color w:val="auto"/>
              </w:rPr>
            </w:pPr>
          </w:p>
        </w:tc>
        <w:tc>
          <w:tcPr>
            <w:tcW w:w="280" w:type="dxa"/>
            <w:vAlign w:val="bottom"/>
            <w:tcBorders>
              <w:bottom w:val="single" w:sz="8" w:color="0090DA"/>
            </w:tcBorders>
          </w:tcPr>
          <w:p>
            <w:pPr>
              <w:spacing w:after="0"/>
              <w:rPr>
                <w:sz w:val="21"/>
                <w:szCs w:val="21"/>
                <w:color w:val="auto"/>
              </w:rPr>
            </w:pPr>
          </w:p>
        </w:tc>
        <w:tc>
          <w:tcPr>
            <w:tcW w:w="1600" w:type="dxa"/>
            <w:vAlign w:val="bottom"/>
            <w:tcBorders>
              <w:bottom w:val="single" w:sz="8" w:color="0090DA"/>
            </w:tcBorders>
          </w:tcPr>
          <w:p>
            <w:pPr>
              <w:jc w:val="right"/>
              <w:spacing w:after="0"/>
              <w:rPr>
                <w:sz w:val="20"/>
                <w:szCs w:val="20"/>
                <w:color w:val="auto"/>
              </w:rPr>
            </w:pPr>
            <w:r>
              <w:rPr>
                <w:rFonts w:ascii="Arial" w:cs="Arial" w:eastAsia="Arial" w:hAnsi="Arial"/>
                <w:sz w:val="18"/>
                <w:szCs w:val="18"/>
                <w:b w:val="1"/>
                <w:bCs w:val="1"/>
                <w:color w:val="auto"/>
              </w:rPr>
              <w:t>2020</w:t>
            </w:r>
          </w:p>
        </w:tc>
        <w:tc>
          <w:tcPr>
            <w:tcW w:w="1380" w:type="dxa"/>
            <w:vAlign w:val="bottom"/>
            <w:tcBorders>
              <w:bottom w:val="single" w:sz="8" w:color="0090DA"/>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bottom w:val="single" w:sz="8" w:color="0090DA"/>
            </w:tcBorders>
          </w:tcPr>
          <w:p>
            <w:pPr>
              <w:spacing w:after="0"/>
              <w:rPr>
                <w:sz w:val="21"/>
                <w:szCs w:val="21"/>
                <w:color w:val="auto"/>
              </w:rPr>
            </w:pPr>
          </w:p>
        </w:tc>
        <w:tc>
          <w:tcPr>
            <w:tcW w:w="1620" w:type="dxa"/>
            <w:vAlign w:val="bottom"/>
            <w:tcBorders>
              <w:bottom w:val="single" w:sz="8" w:color="0090DA"/>
            </w:tcBorders>
          </w:tcPr>
          <w:p>
            <w:pPr>
              <w:jc w:val="right"/>
              <w:spacing w:after="0"/>
              <w:rPr>
                <w:sz w:val="20"/>
                <w:szCs w:val="20"/>
                <w:color w:val="auto"/>
              </w:rPr>
            </w:pPr>
            <w:r>
              <w:rPr>
                <w:rFonts w:ascii="Arial" w:cs="Arial" w:eastAsia="Arial" w:hAnsi="Arial"/>
                <w:sz w:val="18"/>
                <w:szCs w:val="18"/>
                <w:b w:val="1"/>
                <w:bCs w:val="1"/>
                <w:color w:val="auto"/>
              </w:rPr>
              <w:t>2019</w:t>
            </w:r>
          </w:p>
        </w:tc>
        <w:tc>
          <w:tcPr>
            <w:tcW w:w="1380" w:type="dxa"/>
            <w:vAlign w:val="bottom"/>
            <w:tcBorders>
              <w:bottom w:val="single" w:sz="8" w:color="0090DA"/>
            </w:tcBorders>
          </w:tcPr>
          <w:p>
            <w:pPr>
              <w:spacing w:after="0"/>
              <w:rPr>
                <w:sz w:val="21"/>
                <w:szCs w:val="21"/>
                <w:color w:val="auto"/>
              </w:rPr>
            </w:pPr>
          </w:p>
        </w:tc>
      </w:tr>
      <w:tr>
        <w:trPr>
          <w:trHeight w:val="250"/>
        </w:trPr>
        <w:tc>
          <w:tcPr>
            <w:tcW w:w="4600" w:type="dxa"/>
            <w:vAlign w:val="bottom"/>
          </w:tcPr>
          <w:p>
            <w:pPr>
              <w:ind w:left="20"/>
              <w:spacing w:after="0"/>
              <w:rPr>
                <w:sz w:val="20"/>
                <w:szCs w:val="20"/>
                <w:color w:val="auto"/>
              </w:rPr>
            </w:pPr>
            <w:r>
              <w:rPr>
                <w:rFonts w:ascii="Arial" w:cs="Arial" w:eastAsia="Arial" w:hAnsi="Arial"/>
                <w:sz w:val="18"/>
                <w:szCs w:val="18"/>
                <w:b w:val="1"/>
                <w:bCs w:val="1"/>
                <w:color w:val="auto"/>
              </w:rPr>
              <w:t>As of</w:t>
            </w:r>
          </w:p>
        </w:tc>
        <w:tc>
          <w:tcPr>
            <w:tcW w:w="280" w:type="dxa"/>
            <w:vAlign w:val="bottom"/>
          </w:tcPr>
          <w:p>
            <w:pPr>
              <w:spacing w:after="0"/>
              <w:rPr>
                <w:sz w:val="21"/>
                <w:szCs w:val="21"/>
                <w:color w:val="auto"/>
              </w:rPr>
            </w:pPr>
          </w:p>
        </w:tc>
        <w:tc>
          <w:tcPr>
            <w:tcW w:w="1600" w:type="dxa"/>
            <w:vAlign w:val="bottom"/>
          </w:tcPr>
          <w:p>
            <w:pPr>
              <w:jc w:val="right"/>
              <w:ind w:right="670"/>
              <w:spacing w:after="0"/>
              <w:rPr>
                <w:sz w:val="20"/>
                <w:szCs w:val="20"/>
                <w:color w:val="auto"/>
              </w:rPr>
            </w:pPr>
            <w:r>
              <w:rPr>
                <w:rFonts w:ascii="Arial" w:cs="Arial" w:eastAsia="Arial" w:hAnsi="Arial"/>
                <w:sz w:val="18"/>
                <w:szCs w:val="18"/>
                <w:b w:val="1"/>
                <w:bCs w:val="1"/>
                <w:color w:val="auto"/>
              </w:rPr>
              <w:t>Balance</w:t>
            </w:r>
          </w:p>
        </w:tc>
        <w:tc>
          <w:tcPr>
            <w:tcW w:w="1760" w:type="dxa"/>
            <w:vAlign w:val="bottom"/>
            <w:gridSpan w:val="3"/>
          </w:tcPr>
          <w:p>
            <w:pPr>
              <w:ind w:left="40"/>
              <w:spacing w:after="0"/>
              <w:rPr>
                <w:sz w:val="20"/>
                <w:szCs w:val="20"/>
                <w:color w:val="auto"/>
              </w:rPr>
            </w:pPr>
            <w:r>
              <w:rPr>
                <w:rFonts w:ascii="Arial" w:cs="Arial" w:eastAsia="Arial" w:hAnsi="Arial"/>
                <w:sz w:val="18"/>
                <w:szCs w:val="18"/>
                <w:b w:val="1"/>
                <w:bCs w:val="1"/>
                <w:color w:val="auto"/>
              </w:rPr>
              <w:t>Percentage</w:t>
            </w:r>
          </w:p>
        </w:tc>
        <w:tc>
          <w:tcPr>
            <w:tcW w:w="1620" w:type="dxa"/>
            <w:vAlign w:val="bottom"/>
          </w:tcPr>
          <w:p>
            <w:pPr>
              <w:jc w:val="right"/>
              <w:ind w:right="670"/>
              <w:spacing w:after="0"/>
              <w:rPr>
                <w:sz w:val="20"/>
                <w:szCs w:val="20"/>
                <w:color w:val="auto"/>
              </w:rPr>
            </w:pPr>
            <w:r>
              <w:rPr>
                <w:rFonts w:ascii="Arial" w:cs="Arial" w:eastAsia="Arial" w:hAnsi="Arial"/>
                <w:sz w:val="18"/>
                <w:szCs w:val="18"/>
                <w:b w:val="1"/>
                <w:bCs w:val="1"/>
                <w:color w:val="auto"/>
              </w:rPr>
              <w:t>Balance</w:t>
            </w:r>
          </w:p>
        </w:tc>
        <w:tc>
          <w:tcPr>
            <w:tcW w:w="1380" w:type="dxa"/>
            <w:vAlign w:val="bottom"/>
          </w:tcPr>
          <w:p>
            <w:pPr>
              <w:jc w:val="right"/>
              <w:ind w:right="290"/>
              <w:spacing w:after="0"/>
              <w:rPr>
                <w:sz w:val="20"/>
                <w:szCs w:val="20"/>
                <w:color w:val="auto"/>
              </w:rPr>
            </w:pPr>
            <w:r>
              <w:rPr>
                <w:rFonts w:ascii="Arial" w:cs="Arial" w:eastAsia="Arial" w:hAnsi="Arial"/>
                <w:sz w:val="18"/>
                <w:szCs w:val="18"/>
                <w:b w:val="1"/>
                <w:bCs w:val="1"/>
                <w:color w:val="auto"/>
              </w:rPr>
              <w:t>Percentage</w:t>
            </w:r>
          </w:p>
        </w:tc>
      </w:tr>
      <w:tr>
        <w:trPr>
          <w:trHeight w:val="40"/>
        </w:trPr>
        <w:tc>
          <w:tcPr>
            <w:tcW w:w="4600" w:type="dxa"/>
            <w:vAlign w:val="bottom"/>
            <w:tcBorders>
              <w:top w:val="single" w:sz="8" w:color="0090DA"/>
            </w:tcBorders>
          </w:tcPr>
          <w:p>
            <w:pPr>
              <w:spacing w:after="0"/>
              <w:rPr>
                <w:sz w:val="3"/>
                <w:szCs w:val="3"/>
                <w:color w:val="auto"/>
              </w:rPr>
            </w:pPr>
          </w:p>
        </w:tc>
        <w:tc>
          <w:tcPr>
            <w:tcW w:w="280" w:type="dxa"/>
            <w:vAlign w:val="bottom"/>
            <w:tcBorders>
              <w:top w:val="single" w:sz="8" w:color="0090DA"/>
            </w:tcBorders>
          </w:tcPr>
          <w:p>
            <w:pPr>
              <w:spacing w:after="0"/>
              <w:rPr>
                <w:sz w:val="3"/>
                <w:szCs w:val="3"/>
                <w:color w:val="auto"/>
              </w:rPr>
            </w:pPr>
          </w:p>
        </w:tc>
        <w:tc>
          <w:tcPr>
            <w:tcW w:w="1600" w:type="dxa"/>
            <w:vAlign w:val="bottom"/>
            <w:tcBorders>
              <w:top w:val="single" w:sz="8" w:color="0090DA"/>
            </w:tcBorders>
          </w:tcPr>
          <w:p>
            <w:pPr>
              <w:spacing w:after="0"/>
              <w:rPr>
                <w:sz w:val="3"/>
                <w:szCs w:val="3"/>
                <w:color w:val="auto"/>
              </w:rPr>
            </w:pPr>
          </w:p>
        </w:tc>
        <w:tc>
          <w:tcPr>
            <w:tcW w:w="1380" w:type="dxa"/>
            <w:vAlign w:val="bottom"/>
            <w:tcBorders>
              <w:top w:val="single" w:sz="8" w:color="0090DA"/>
            </w:tcBorders>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Borders>
              <w:top w:val="single" w:sz="8" w:color="0090DA"/>
            </w:tcBorders>
          </w:tcPr>
          <w:p>
            <w:pPr>
              <w:spacing w:after="0"/>
              <w:rPr>
                <w:sz w:val="3"/>
                <w:szCs w:val="3"/>
                <w:color w:val="auto"/>
              </w:rPr>
            </w:pPr>
          </w:p>
        </w:tc>
        <w:tc>
          <w:tcPr>
            <w:tcW w:w="1620" w:type="dxa"/>
            <w:vAlign w:val="bottom"/>
            <w:tcBorders>
              <w:top w:val="single" w:sz="8" w:color="0090DA"/>
            </w:tcBorders>
          </w:tcPr>
          <w:p>
            <w:pPr>
              <w:spacing w:after="0"/>
              <w:rPr>
                <w:sz w:val="3"/>
                <w:szCs w:val="3"/>
                <w:color w:val="auto"/>
              </w:rPr>
            </w:pPr>
          </w:p>
        </w:tc>
        <w:tc>
          <w:tcPr>
            <w:tcW w:w="1380" w:type="dxa"/>
            <w:vAlign w:val="bottom"/>
            <w:tcBorders>
              <w:top w:val="single" w:sz="8" w:color="0090DA"/>
            </w:tcBorders>
          </w:tcPr>
          <w:p>
            <w:pPr>
              <w:spacing w:after="0"/>
              <w:rPr>
                <w:sz w:val="3"/>
                <w:szCs w:val="3"/>
                <w:color w:val="auto"/>
              </w:rPr>
            </w:pPr>
          </w:p>
        </w:tc>
      </w:tr>
      <w:tr>
        <w:trPr>
          <w:trHeight w:val="257"/>
        </w:trPr>
        <w:tc>
          <w:tcPr>
            <w:tcW w:w="4600" w:type="dxa"/>
            <w:vAlign w:val="bottom"/>
            <w:shd w:val="clear" w:color="auto" w:fill="D1D2D4"/>
          </w:tcPr>
          <w:p>
            <w:pPr>
              <w:ind w:left="20"/>
              <w:spacing w:after="0"/>
              <w:rPr>
                <w:sz w:val="20"/>
                <w:szCs w:val="20"/>
                <w:color w:val="auto"/>
              </w:rPr>
            </w:pPr>
            <w:r>
              <w:rPr>
                <w:rFonts w:ascii="Arial" w:cs="Arial" w:eastAsia="Arial" w:hAnsi="Arial"/>
                <w:sz w:val="18"/>
                <w:szCs w:val="18"/>
                <w:color w:val="auto"/>
              </w:rPr>
              <w:t>IMFT</w:t>
            </w:r>
          </w:p>
        </w:tc>
        <w:tc>
          <w:tcPr>
            <w:tcW w:w="28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D1D2D4"/>
          </w:tcPr>
          <w:p>
            <w:pPr>
              <w:jc w:val="right"/>
              <w:ind w:right="330"/>
              <w:spacing w:after="0"/>
              <w:rPr>
                <w:sz w:val="20"/>
                <w:szCs w:val="20"/>
                <w:color w:val="auto"/>
              </w:rPr>
            </w:pPr>
            <w:r>
              <w:rPr>
                <w:rFonts w:ascii="Arial" w:cs="Arial" w:eastAsia="Arial" w:hAnsi="Arial"/>
                <w:sz w:val="18"/>
                <w:szCs w:val="18"/>
                <w:color w:val="auto"/>
              </w:rPr>
              <w:t>—</w:t>
            </w:r>
          </w:p>
        </w:tc>
        <w:tc>
          <w:tcPr>
            <w:tcW w:w="1760" w:type="dxa"/>
            <w:vAlign w:val="bottom"/>
            <w:gridSpan w:val="3"/>
            <w:shd w:val="clear" w:color="auto" w:fill="D1D2D4"/>
          </w:tcPr>
          <w:p>
            <w:pPr>
              <w:ind w:left="960"/>
              <w:spacing w:after="0"/>
              <w:rPr>
                <w:sz w:val="20"/>
                <w:szCs w:val="20"/>
                <w:color w:val="auto"/>
              </w:rPr>
            </w:pPr>
            <w:r>
              <w:rPr>
                <w:rFonts w:ascii="Arial" w:cs="Arial" w:eastAsia="Arial" w:hAnsi="Arial"/>
                <w:sz w:val="18"/>
                <w:szCs w:val="18"/>
                <w:color w:val="auto"/>
              </w:rPr>
              <w:t>— %  $</w:t>
            </w:r>
          </w:p>
        </w:tc>
        <w:tc>
          <w:tcPr>
            <w:tcW w:w="1620" w:type="dxa"/>
            <w:vAlign w:val="bottom"/>
            <w:shd w:val="clear" w:color="auto" w:fill="D1D2D4"/>
          </w:tcPr>
          <w:p>
            <w:pPr>
              <w:jc w:val="right"/>
              <w:ind w:right="330"/>
              <w:spacing w:after="0"/>
              <w:rPr>
                <w:sz w:val="20"/>
                <w:szCs w:val="20"/>
                <w:color w:val="auto"/>
              </w:rPr>
            </w:pPr>
            <w:r>
              <w:rPr>
                <w:rFonts w:ascii="Arial" w:cs="Arial" w:eastAsia="Arial" w:hAnsi="Arial"/>
                <w:sz w:val="18"/>
                <w:szCs w:val="18"/>
                <w:color w:val="auto"/>
              </w:rPr>
              <w:t>889</w:t>
            </w:r>
          </w:p>
        </w:tc>
        <w:tc>
          <w:tcPr>
            <w:tcW w:w="13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49 %</w:t>
            </w:r>
          </w:p>
        </w:tc>
      </w:tr>
    </w:tbl>
    <w:p>
      <w:pPr>
        <w:spacing w:after="0" w:line="350"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On October 31, 2019, we purchased Intel’s noncontrolling interest in IMFT, now known as MTU, and IMFT Member Debt for $1.25 billion. In connection therewith, we recognized a $160 million adjustment to equity for the difference between the $744 million of cash consideration allocated to Intel’s noncontrolling interest and its $904 million carrying value. (See “Debt” for the cash consideration allocated to, and extinguishment of, IMFT Member Debt.)</w:t>
      </w:r>
    </w:p>
    <w:p>
      <w:pPr>
        <w:spacing w:after="0" w:line="23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IMFT manufactured semiconductor products exclusively for its members under a long-term supply agreement at prices approximating cost. In 2018, IMFT discontinued production of NAND and subsequent to that time manufactured 3D XPoint memory. IMFT sales to Intel were $158 million through the date of our purchase of Intel’s noncontrolling interest in 2020, $731 million in 2019, and $507 million in 2018.</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Fair Value Measurements</w:t>
      </w:r>
    </w:p>
    <w:p>
      <w:pPr>
        <w:spacing w:after="0" w:line="285"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The estimated fair values and carrying values of our outstanding debt instruments (excluding the carrying value of equity components of our convertible notes) were as follows: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740" w:type="dxa"/>
            <w:vAlign w:val="bottom"/>
          </w:tcPr>
          <w:p>
            <w:pPr>
              <w:spacing w:after="0"/>
              <w:rPr>
                <w:sz w:val="21"/>
                <w:szCs w:val="21"/>
                <w:color w:val="auto"/>
              </w:rPr>
            </w:pPr>
          </w:p>
        </w:tc>
        <w:tc>
          <w:tcPr>
            <w:tcW w:w="280" w:type="dxa"/>
            <w:vAlign w:val="bottom"/>
            <w:tcBorders>
              <w:bottom w:val="single" w:sz="8" w:color="0090DA"/>
            </w:tcBorders>
          </w:tcPr>
          <w:p>
            <w:pPr>
              <w:spacing w:after="0"/>
              <w:rPr>
                <w:sz w:val="21"/>
                <w:szCs w:val="21"/>
                <w:color w:val="auto"/>
              </w:rPr>
            </w:pPr>
          </w:p>
        </w:tc>
        <w:tc>
          <w:tcPr>
            <w:tcW w:w="1320" w:type="dxa"/>
            <w:vAlign w:val="bottom"/>
            <w:tcBorders>
              <w:bottom w:val="single" w:sz="8" w:color="0090DA"/>
            </w:tcBorders>
            <w:gridSpan w:val="2"/>
          </w:tcPr>
          <w:p>
            <w:pPr>
              <w:jc w:val="right"/>
              <w:spacing w:after="0"/>
              <w:rPr>
                <w:sz w:val="20"/>
                <w:szCs w:val="20"/>
                <w:color w:val="auto"/>
              </w:rPr>
            </w:pPr>
            <w:r>
              <w:rPr>
                <w:rFonts w:ascii="Arial" w:cs="Arial" w:eastAsia="Arial" w:hAnsi="Arial"/>
                <w:sz w:val="18"/>
                <w:szCs w:val="18"/>
                <w:b w:val="1"/>
                <w:bCs w:val="1"/>
                <w:color w:val="auto"/>
              </w:rPr>
              <w:t>2020</w:t>
            </w:r>
          </w:p>
        </w:tc>
        <w:tc>
          <w:tcPr>
            <w:tcW w:w="1100" w:type="dxa"/>
            <w:vAlign w:val="bottom"/>
            <w:tcBorders>
              <w:bottom w:val="single" w:sz="8" w:color="0090DA"/>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0090DA"/>
            </w:tcBorders>
          </w:tcPr>
          <w:p>
            <w:pPr>
              <w:spacing w:after="0"/>
              <w:rPr>
                <w:sz w:val="21"/>
                <w:szCs w:val="21"/>
                <w:color w:val="auto"/>
              </w:rPr>
            </w:pPr>
          </w:p>
        </w:tc>
        <w:tc>
          <w:tcPr>
            <w:tcW w:w="1320" w:type="dxa"/>
            <w:vAlign w:val="bottom"/>
            <w:tcBorders>
              <w:bottom w:val="single" w:sz="8" w:color="0090DA"/>
            </w:tcBorders>
            <w:gridSpan w:val="2"/>
          </w:tcPr>
          <w:p>
            <w:pPr>
              <w:jc w:val="right"/>
              <w:spacing w:after="0"/>
              <w:rPr>
                <w:sz w:val="20"/>
                <w:szCs w:val="20"/>
                <w:color w:val="auto"/>
              </w:rPr>
            </w:pPr>
            <w:r>
              <w:rPr>
                <w:rFonts w:ascii="Arial" w:cs="Arial" w:eastAsia="Arial" w:hAnsi="Arial"/>
                <w:sz w:val="18"/>
                <w:szCs w:val="18"/>
                <w:b w:val="1"/>
                <w:bCs w:val="1"/>
                <w:color w:val="auto"/>
              </w:rPr>
              <w:t>2019</w:t>
            </w:r>
          </w:p>
        </w:tc>
        <w:tc>
          <w:tcPr>
            <w:tcW w:w="1100" w:type="dxa"/>
            <w:vAlign w:val="bottom"/>
            <w:tcBorders>
              <w:bottom w:val="single" w:sz="8" w:color="0090DA"/>
            </w:tcBorders>
          </w:tcPr>
          <w:p>
            <w:pPr>
              <w:spacing w:after="0"/>
              <w:rPr>
                <w:sz w:val="21"/>
                <w:szCs w:val="21"/>
                <w:color w:val="auto"/>
              </w:rPr>
            </w:pPr>
          </w:p>
        </w:tc>
      </w:tr>
      <w:tr>
        <w:trPr>
          <w:trHeight w:val="207"/>
        </w:trPr>
        <w:tc>
          <w:tcPr>
            <w:tcW w:w="5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auto"/>
              </w:rPr>
              <w:t>Fair</w:t>
            </w:r>
          </w:p>
        </w:tc>
        <w:tc>
          <w:tcPr>
            <w:tcW w:w="300" w:type="dxa"/>
            <w:vAlign w:val="bottom"/>
          </w:tcPr>
          <w:p>
            <w:pPr>
              <w:spacing w:after="0"/>
              <w:rPr>
                <w:sz w:val="17"/>
                <w:szCs w:val="17"/>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9"/>
              </w:rPr>
              <w:t>Carrying</w:t>
            </w:r>
          </w:p>
        </w:tc>
        <w:tc>
          <w:tcPr>
            <w:tcW w:w="280" w:type="dxa"/>
            <w:vAlign w:val="bottom"/>
          </w:tcPr>
          <w:p>
            <w:pPr>
              <w:spacing w:after="0"/>
              <w:rPr>
                <w:sz w:val="17"/>
                <w:szCs w:val="17"/>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Fair</w:t>
            </w:r>
          </w:p>
        </w:tc>
        <w:tc>
          <w:tcPr>
            <w:tcW w:w="280" w:type="dxa"/>
            <w:vAlign w:val="bottom"/>
          </w:tcPr>
          <w:p>
            <w:pPr>
              <w:spacing w:after="0"/>
              <w:rPr>
                <w:sz w:val="17"/>
                <w:szCs w:val="17"/>
                <w:color w:val="auto"/>
              </w:rPr>
            </w:pPr>
          </w:p>
        </w:tc>
        <w:tc>
          <w:tcPr>
            <w:tcW w:w="1100" w:type="dxa"/>
            <w:vAlign w:val="bottom"/>
          </w:tcPr>
          <w:p>
            <w:pPr>
              <w:jc w:val="right"/>
              <w:ind w:right="210"/>
              <w:spacing w:after="0"/>
              <w:rPr>
                <w:sz w:val="20"/>
                <w:szCs w:val="20"/>
                <w:color w:val="auto"/>
              </w:rPr>
            </w:pPr>
            <w:r>
              <w:rPr>
                <w:rFonts w:ascii="Arial" w:cs="Arial" w:eastAsia="Arial" w:hAnsi="Arial"/>
                <w:sz w:val="18"/>
                <w:szCs w:val="18"/>
                <w:b w:val="1"/>
                <w:bCs w:val="1"/>
                <w:color w:val="auto"/>
              </w:rPr>
              <w:t>Carrying</w:t>
            </w:r>
          </w:p>
        </w:tc>
      </w:tr>
      <w:tr>
        <w:trPr>
          <w:trHeight w:val="246"/>
        </w:trPr>
        <w:tc>
          <w:tcPr>
            <w:tcW w:w="5740" w:type="dxa"/>
            <w:vAlign w:val="bottom"/>
          </w:tcPr>
          <w:p>
            <w:pPr>
              <w:ind w:left="20"/>
              <w:spacing w:after="0"/>
              <w:rPr>
                <w:sz w:val="20"/>
                <w:szCs w:val="20"/>
                <w:color w:val="auto"/>
              </w:rPr>
            </w:pPr>
            <w:r>
              <w:rPr>
                <w:rFonts w:ascii="Arial" w:cs="Arial" w:eastAsia="Arial" w:hAnsi="Arial"/>
                <w:sz w:val="18"/>
                <w:szCs w:val="18"/>
                <w:b w:val="1"/>
                <w:bCs w:val="1"/>
                <w:color w:val="auto"/>
              </w:rPr>
              <w:t>As of</w:t>
            </w:r>
          </w:p>
        </w:tc>
        <w:tc>
          <w:tcPr>
            <w:tcW w:w="280" w:type="dxa"/>
            <w:vAlign w:val="bottom"/>
          </w:tcPr>
          <w:p>
            <w:pPr>
              <w:spacing w:after="0"/>
              <w:rPr>
                <w:sz w:val="21"/>
                <w:szCs w:val="21"/>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rPr>
              <w:t>Value</w:t>
            </w:r>
          </w:p>
        </w:tc>
        <w:tc>
          <w:tcPr>
            <w:tcW w:w="300" w:type="dxa"/>
            <w:vAlign w:val="bottom"/>
          </w:tcPr>
          <w:p>
            <w:pPr>
              <w:spacing w:after="0"/>
              <w:rPr>
                <w:sz w:val="21"/>
                <w:szCs w:val="21"/>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Value</w:t>
            </w:r>
          </w:p>
        </w:tc>
        <w:tc>
          <w:tcPr>
            <w:tcW w:w="280" w:type="dxa"/>
            <w:vAlign w:val="bottom"/>
          </w:tcPr>
          <w:p>
            <w:pPr>
              <w:spacing w:after="0"/>
              <w:rPr>
                <w:sz w:val="21"/>
                <w:szCs w:val="21"/>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b w:val="1"/>
                <w:bCs w:val="1"/>
                <w:color w:val="auto"/>
              </w:rPr>
              <w:t>Value</w:t>
            </w:r>
          </w:p>
        </w:tc>
        <w:tc>
          <w:tcPr>
            <w:tcW w:w="280" w:type="dxa"/>
            <w:vAlign w:val="bottom"/>
          </w:tcPr>
          <w:p>
            <w:pPr>
              <w:spacing w:after="0"/>
              <w:rPr>
                <w:sz w:val="21"/>
                <w:szCs w:val="21"/>
                <w:color w:val="auto"/>
              </w:rPr>
            </w:pPr>
          </w:p>
        </w:tc>
        <w:tc>
          <w:tcPr>
            <w:tcW w:w="1100" w:type="dxa"/>
            <w:vAlign w:val="bottom"/>
          </w:tcPr>
          <w:p>
            <w:pPr>
              <w:jc w:val="right"/>
              <w:ind w:right="350"/>
              <w:spacing w:after="0"/>
              <w:rPr>
                <w:sz w:val="20"/>
                <w:szCs w:val="20"/>
                <w:color w:val="auto"/>
              </w:rPr>
            </w:pPr>
            <w:r>
              <w:rPr>
                <w:rFonts w:ascii="Arial" w:cs="Arial" w:eastAsia="Arial" w:hAnsi="Arial"/>
                <w:sz w:val="18"/>
                <w:szCs w:val="18"/>
                <w:b w:val="1"/>
                <w:bCs w:val="1"/>
                <w:color w:val="auto"/>
              </w:rPr>
              <w:t>Value</w:t>
            </w:r>
          </w:p>
        </w:tc>
      </w:tr>
      <w:tr>
        <w:trPr>
          <w:trHeight w:val="40"/>
        </w:trPr>
        <w:tc>
          <w:tcPr>
            <w:tcW w:w="5740" w:type="dxa"/>
            <w:vAlign w:val="bottom"/>
            <w:tcBorders>
              <w:top w:val="single" w:sz="8" w:color="0090DA"/>
            </w:tcBorders>
          </w:tcPr>
          <w:p>
            <w:pPr>
              <w:spacing w:after="0"/>
              <w:rPr>
                <w:sz w:val="3"/>
                <w:szCs w:val="3"/>
                <w:color w:val="auto"/>
              </w:rPr>
            </w:pPr>
          </w:p>
        </w:tc>
        <w:tc>
          <w:tcPr>
            <w:tcW w:w="280" w:type="dxa"/>
            <w:vAlign w:val="bottom"/>
            <w:tcBorders>
              <w:top w:val="single" w:sz="8" w:color="0090DA"/>
            </w:tcBorders>
          </w:tcPr>
          <w:p>
            <w:pPr>
              <w:spacing w:after="0"/>
              <w:rPr>
                <w:sz w:val="3"/>
                <w:szCs w:val="3"/>
                <w:color w:val="auto"/>
              </w:rPr>
            </w:pPr>
          </w:p>
        </w:tc>
        <w:tc>
          <w:tcPr>
            <w:tcW w:w="1020" w:type="dxa"/>
            <w:vAlign w:val="bottom"/>
            <w:tcBorders>
              <w:top w:val="single" w:sz="8" w:color="0090DA"/>
            </w:tcBorders>
          </w:tcPr>
          <w:p>
            <w:pPr>
              <w:spacing w:after="0"/>
              <w:rPr>
                <w:sz w:val="3"/>
                <w:szCs w:val="3"/>
                <w:color w:val="auto"/>
              </w:rPr>
            </w:pPr>
          </w:p>
        </w:tc>
        <w:tc>
          <w:tcPr>
            <w:tcW w:w="300" w:type="dxa"/>
            <w:vAlign w:val="bottom"/>
            <w:tcBorders>
              <w:top w:val="single" w:sz="8" w:color="0090DA"/>
            </w:tcBorders>
          </w:tcPr>
          <w:p>
            <w:pPr>
              <w:spacing w:after="0"/>
              <w:rPr>
                <w:sz w:val="3"/>
                <w:szCs w:val="3"/>
                <w:color w:val="auto"/>
              </w:rPr>
            </w:pPr>
          </w:p>
        </w:tc>
        <w:tc>
          <w:tcPr>
            <w:tcW w:w="1100" w:type="dxa"/>
            <w:vAlign w:val="bottom"/>
            <w:tcBorders>
              <w:top w:val="single" w:sz="8" w:color="0090DA"/>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top w:val="single" w:sz="8" w:color="0090DA"/>
            </w:tcBorders>
          </w:tcPr>
          <w:p>
            <w:pPr>
              <w:spacing w:after="0"/>
              <w:rPr>
                <w:sz w:val="3"/>
                <w:szCs w:val="3"/>
                <w:color w:val="auto"/>
              </w:rPr>
            </w:pPr>
          </w:p>
        </w:tc>
        <w:tc>
          <w:tcPr>
            <w:tcW w:w="1040" w:type="dxa"/>
            <w:vAlign w:val="bottom"/>
            <w:tcBorders>
              <w:top w:val="single" w:sz="8" w:color="0090DA"/>
            </w:tcBorders>
          </w:tcPr>
          <w:p>
            <w:pPr>
              <w:spacing w:after="0"/>
              <w:rPr>
                <w:sz w:val="3"/>
                <w:szCs w:val="3"/>
                <w:color w:val="auto"/>
              </w:rPr>
            </w:pPr>
          </w:p>
        </w:tc>
        <w:tc>
          <w:tcPr>
            <w:tcW w:w="280" w:type="dxa"/>
            <w:vAlign w:val="bottom"/>
            <w:tcBorders>
              <w:top w:val="single" w:sz="8" w:color="0090DA"/>
            </w:tcBorders>
          </w:tcPr>
          <w:p>
            <w:pPr>
              <w:spacing w:after="0"/>
              <w:rPr>
                <w:sz w:val="3"/>
                <w:szCs w:val="3"/>
                <w:color w:val="auto"/>
              </w:rPr>
            </w:pPr>
          </w:p>
        </w:tc>
        <w:tc>
          <w:tcPr>
            <w:tcW w:w="1100" w:type="dxa"/>
            <w:vAlign w:val="bottom"/>
            <w:tcBorders>
              <w:top w:val="single" w:sz="8" w:color="0090DA"/>
            </w:tcBorders>
          </w:tcPr>
          <w:p>
            <w:pPr>
              <w:spacing w:after="0"/>
              <w:rPr>
                <w:sz w:val="3"/>
                <w:szCs w:val="3"/>
                <w:color w:val="auto"/>
              </w:rPr>
            </w:pPr>
          </w:p>
        </w:tc>
      </w:tr>
      <w:tr>
        <w:trPr>
          <w:trHeight w:val="257"/>
        </w:trPr>
        <w:tc>
          <w:tcPr>
            <w:tcW w:w="5740" w:type="dxa"/>
            <w:vAlign w:val="bottom"/>
            <w:shd w:val="clear" w:color="auto" w:fill="D1D2D4"/>
          </w:tcPr>
          <w:p>
            <w:pPr>
              <w:ind w:left="20"/>
              <w:spacing w:after="0"/>
              <w:rPr>
                <w:sz w:val="20"/>
                <w:szCs w:val="20"/>
                <w:color w:val="auto"/>
              </w:rPr>
            </w:pPr>
            <w:r>
              <w:rPr>
                <w:rFonts w:ascii="Arial" w:cs="Arial" w:eastAsia="Arial" w:hAnsi="Arial"/>
                <w:sz w:val="18"/>
                <w:szCs w:val="18"/>
                <w:color w:val="auto"/>
              </w:rPr>
              <w:t>Notes and MMJ Creditor Payments</w:t>
            </w:r>
          </w:p>
        </w:tc>
        <w:tc>
          <w:tcPr>
            <w:tcW w:w="28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6,710</w:t>
            </w:r>
          </w:p>
        </w:tc>
        <w:tc>
          <w:tcPr>
            <w:tcW w:w="30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6,026</w:t>
            </w:r>
          </w:p>
        </w:tc>
        <w:tc>
          <w:tcPr>
            <w:tcW w:w="100" w:type="dxa"/>
            <w:vAlign w:val="bottom"/>
            <w:shd w:val="clear" w:color="auto" w:fill="D1D2D4"/>
          </w:tcPr>
          <w:p>
            <w:pPr>
              <w:spacing w:after="0"/>
              <w:rPr>
                <w:sz w:val="22"/>
                <w:szCs w:val="22"/>
                <w:color w:val="auto"/>
              </w:rPr>
            </w:pPr>
          </w:p>
        </w:tc>
        <w:tc>
          <w:tcPr>
            <w:tcW w:w="28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5,194</w:t>
            </w:r>
          </w:p>
        </w:tc>
        <w:tc>
          <w:tcPr>
            <w:tcW w:w="28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4,937</w:t>
            </w:r>
          </w:p>
        </w:tc>
      </w:tr>
      <w:tr>
        <w:trPr>
          <w:trHeight w:val="243"/>
        </w:trPr>
        <w:tc>
          <w:tcPr>
            <w:tcW w:w="5740" w:type="dxa"/>
            <w:vAlign w:val="bottom"/>
          </w:tcPr>
          <w:p>
            <w:pPr>
              <w:ind w:left="20"/>
              <w:spacing w:after="0"/>
              <w:rPr>
                <w:sz w:val="20"/>
                <w:szCs w:val="20"/>
                <w:color w:val="auto"/>
              </w:rPr>
            </w:pPr>
            <w:r>
              <w:rPr>
                <w:rFonts w:ascii="Arial" w:cs="Arial" w:eastAsia="Arial" w:hAnsi="Arial"/>
                <w:sz w:val="18"/>
                <w:szCs w:val="18"/>
                <w:color w:val="auto"/>
              </w:rPr>
              <w:t>Convertible notes</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634</w:t>
            </w:r>
          </w:p>
        </w:tc>
        <w:tc>
          <w:tcPr>
            <w:tcW w:w="3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852</w:t>
            </w:r>
          </w:p>
        </w:tc>
        <w:tc>
          <w:tcPr>
            <w:tcW w:w="2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323</w:t>
            </w:r>
          </w:p>
        </w:tc>
      </w:tr>
    </w:tbl>
    <w:p>
      <w:pPr>
        <w:spacing w:after="0" w:line="364"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The fair values of our convertible notes were determined based on Level 2 inputs, including the trading price of our convertible notes when available, our stock price, and interest rates based on similar debt issued by parties with credit ratings similar to ours. The fair values of our other debt instruments were estimated based on Level 2 inputs, including discounted cash flows, the trading price of our notes when available, and interest rates based on similar debt issued by parties with credit ratings similar to ours.</w:t>
      </w:r>
    </w:p>
    <w:p>
      <w:pPr>
        <w:spacing w:after="0" w:line="231"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Other operating (income) expense, net included unrealized losses primarily from semiconductor equipment held for sale of $71 million and $82 million in 2020 and 2019, respectively. The fair values were based on quotations obtained from equipment dealers, which consider the remaining useful life and configuration of the equipment (Level 3). Assets held for sale were not significant as of the end of either period reported.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69 </w:t>
      </w:r>
      <w:r>
        <w:rPr>
          <w:rFonts w:ascii="Arial" w:cs="Arial" w:eastAsia="Arial" w:hAnsi="Arial"/>
          <w:sz w:val="21"/>
          <w:szCs w:val="21"/>
          <w:b w:val="1"/>
          <w:bCs w:val="1"/>
          <w:color w:val="0090DA"/>
        </w:rPr>
        <w:t>|</w:t>
      </w:r>
      <w:r>
        <w:rPr>
          <w:rFonts w:ascii="Arial" w:cs="Arial" w:eastAsia="Arial" w:hAnsi="Arial"/>
          <w:sz w:val="18"/>
          <w:szCs w:val="18"/>
          <w:color w:val="auto"/>
        </w:rPr>
        <w:t xml:space="preserve"> 2020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72" w:name="page73"/>
    <w:bookmarkEnd w:id="72"/>
    <w:p>
      <w:pPr>
        <w:spacing w:after="0"/>
        <w:rPr>
          <w:sz w:val="20"/>
          <w:szCs w:val="20"/>
          <w:color w:val="auto"/>
        </w:rPr>
      </w:pPr>
      <w:r>
        <w:rPr>
          <w:rFonts w:ascii="Arial" w:cs="Arial" w:eastAsia="Arial" w:hAnsi="Arial"/>
          <w:sz w:val="40"/>
          <w:szCs w:val="40"/>
          <w:b w:val="1"/>
          <w:bCs w:val="1"/>
          <w:color w:val="auto"/>
        </w:rPr>
        <w:t>Derivative Instruments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860" w:type="dxa"/>
            <w:vAlign w:val="bottom"/>
          </w:tcPr>
          <w:p>
            <w:pPr>
              <w:spacing w:after="0"/>
              <w:rPr>
                <w:sz w:val="21"/>
                <w:szCs w:val="21"/>
                <w:color w:val="auto"/>
              </w:rPr>
            </w:pPr>
          </w:p>
        </w:tc>
        <w:tc>
          <w:tcPr>
            <w:tcW w:w="24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Gross Notional</w:t>
            </w:r>
          </w:p>
        </w:tc>
        <w:tc>
          <w:tcPr>
            <w:tcW w:w="240" w:type="dxa"/>
            <w:vAlign w:val="bottom"/>
            <w:tcBorders>
              <w:bottom w:val="single" w:sz="8" w:color="0090DA"/>
            </w:tcBorders>
          </w:tcPr>
          <w:p>
            <w:pPr>
              <w:spacing w:after="0"/>
              <w:rPr>
                <w:sz w:val="21"/>
                <w:szCs w:val="21"/>
                <w:color w:val="auto"/>
              </w:rPr>
            </w:pPr>
          </w:p>
        </w:tc>
        <w:tc>
          <w:tcPr>
            <w:tcW w:w="2700" w:type="dxa"/>
            <w:vAlign w:val="bottom"/>
            <w:tcBorders>
              <w:bottom w:val="single" w:sz="8" w:color="0090DA"/>
            </w:tcBorders>
            <w:gridSpan w:val="3"/>
          </w:tcPr>
          <w:p>
            <w:pPr>
              <w:jc w:val="right"/>
              <w:ind w:right="850"/>
              <w:spacing w:after="0"/>
              <w:rPr>
                <w:sz w:val="20"/>
                <w:szCs w:val="20"/>
                <w:color w:val="auto"/>
              </w:rPr>
            </w:pPr>
            <w:r>
              <w:rPr>
                <w:rFonts w:ascii="Arial" w:cs="Arial" w:eastAsia="Arial" w:hAnsi="Arial"/>
                <w:sz w:val="18"/>
                <w:szCs w:val="18"/>
                <w:b w:val="1"/>
                <w:bCs w:val="1"/>
                <w:color w:val="auto"/>
              </w:rPr>
              <w:t>Fair Value of</w:t>
            </w:r>
          </w:p>
        </w:tc>
      </w:tr>
      <w:tr>
        <w:trPr>
          <w:trHeight w:val="223"/>
        </w:trPr>
        <w:tc>
          <w:tcPr>
            <w:tcW w:w="5860" w:type="dxa"/>
            <w:vAlign w:val="bottom"/>
            <w:tcBorders>
              <w:bottom w:val="single" w:sz="8" w:color="0090DA"/>
            </w:tcBorders>
          </w:tcPr>
          <w:p>
            <w:pPr>
              <w:spacing w:after="0"/>
              <w:rPr>
                <w:sz w:val="19"/>
                <w:szCs w:val="19"/>
                <w:color w:val="auto"/>
              </w:rPr>
            </w:pPr>
          </w:p>
        </w:tc>
        <w:tc>
          <w:tcPr>
            <w:tcW w:w="1220" w:type="dxa"/>
            <w:vAlign w:val="bottom"/>
            <w:tcBorders>
              <w:bottom w:val="single" w:sz="8" w:color="0090DA"/>
            </w:tcBorders>
          </w:tcPr>
          <w:p>
            <w:pPr>
              <w:spacing w:after="0"/>
              <w:rPr>
                <w:sz w:val="19"/>
                <w:szCs w:val="19"/>
                <w:color w:val="auto"/>
              </w:rPr>
            </w:pPr>
          </w:p>
        </w:tc>
        <w:tc>
          <w:tcPr>
            <w:tcW w:w="1220" w:type="dxa"/>
            <w:vAlign w:val="bottom"/>
            <w:tcBorders>
              <w:bottom w:val="single" w:sz="8" w:color="0090DA"/>
            </w:tcBorders>
          </w:tcPr>
          <w:p>
            <w:pPr>
              <w:jc w:val="right"/>
              <w:ind w:right="310"/>
              <w:spacing w:after="0"/>
              <w:rPr>
                <w:sz w:val="20"/>
                <w:szCs w:val="20"/>
                <w:color w:val="auto"/>
              </w:rPr>
            </w:pPr>
            <w:r>
              <w:rPr>
                <w:rFonts w:ascii="Arial" w:cs="Arial" w:eastAsia="Arial" w:hAnsi="Arial"/>
                <w:sz w:val="18"/>
                <w:szCs w:val="18"/>
                <w:b w:val="1"/>
                <w:bCs w:val="1"/>
                <w:color w:val="auto"/>
              </w:rPr>
              <w:t>Amount</w:t>
            </w:r>
          </w:p>
        </w:tc>
        <w:tc>
          <w:tcPr>
            <w:tcW w:w="240" w:type="dxa"/>
            <w:vAlign w:val="bottom"/>
            <w:tcBorders>
              <w:bottom w:val="single" w:sz="8" w:color="0090DA"/>
            </w:tcBorders>
          </w:tcPr>
          <w:p>
            <w:pPr>
              <w:spacing w:after="0"/>
              <w:rPr>
                <w:sz w:val="19"/>
                <w:szCs w:val="19"/>
                <w:color w:val="auto"/>
              </w:rPr>
            </w:pPr>
          </w:p>
        </w:tc>
        <w:tc>
          <w:tcPr>
            <w:tcW w:w="1200" w:type="dxa"/>
            <w:vAlign w:val="bottom"/>
            <w:tcBorders>
              <w:bottom w:val="single" w:sz="8" w:color="0090DA"/>
            </w:tcBorders>
          </w:tcPr>
          <w:p>
            <w:pPr>
              <w:jc w:val="right"/>
              <w:ind w:right="250"/>
              <w:spacing w:after="0" w:line="223" w:lineRule="exact"/>
              <w:rPr>
                <w:sz w:val="20"/>
                <w:szCs w:val="20"/>
                <w:color w:val="auto"/>
              </w:rPr>
            </w:pPr>
            <w:r>
              <w:rPr>
                <w:rFonts w:ascii="Arial" w:cs="Arial" w:eastAsia="Arial" w:hAnsi="Arial"/>
                <w:sz w:val="18"/>
                <w:szCs w:val="18"/>
                <w:b w:val="1"/>
                <w:bCs w:val="1"/>
                <w:color w:val="auto"/>
              </w:rPr>
              <w:t>Assets</w:t>
            </w:r>
            <w:r>
              <w:rPr>
                <w:rFonts w:ascii="Arial" w:cs="Arial" w:eastAsia="Arial" w:hAnsi="Arial"/>
                <w:sz w:val="23"/>
                <w:szCs w:val="23"/>
                <w:b w:val="1"/>
                <w:bCs w:val="1"/>
                <w:color w:val="auto"/>
                <w:vertAlign w:val="superscript"/>
              </w:rPr>
              <w:t>(1)</w:t>
            </w:r>
          </w:p>
        </w:tc>
        <w:tc>
          <w:tcPr>
            <w:tcW w:w="220" w:type="dxa"/>
            <w:vAlign w:val="bottom"/>
            <w:tcBorders>
              <w:bottom w:val="single" w:sz="8" w:color="0090DA"/>
            </w:tcBorders>
          </w:tcPr>
          <w:p>
            <w:pPr>
              <w:spacing w:after="0"/>
              <w:rPr>
                <w:sz w:val="19"/>
                <w:szCs w:val="19"/>
                <w:color w:val="auto"/>
              </w:rPr>
            </w:pPr>
          </w:p>
        </w:tc>
        <w:tc>
          <w:tcPr>
            <w:tcW w:w="1280" w:type="dxa"/>
            <w:vAlign w:val="bottom"/>
            <w:tcBorders>
              <w:bottom w:val="single" w:sz="8" w:color="0090DA"/>
            </w:tcBorders>
          </w:tcPr>
          <w:p>
            <w:pPr>
              <w:jc w:val="right"/>
              <w:ind w:right="150"/>
              <w:spacing w:after="0" w:line="223" w:lineRule="exact"/>
              <w:rPr>
                <w:sz w:val="20"/>
                <w:szCs w:val="20"/>
                <w:color w:val="auto"/>
              </w:rPr>
            </w:pPr>
            <w:r>
              <w:rPr>
                <w:rFonts w:ascii="Arial" w:cs="Arial" w:eastAsia="Arial" w:hAnsi="Arial"/>
                <w:sz w:val="18"/>
                <w:szCs w:val="18"/>
                <w:b w:val="1"/>
                <w:bCs w:val="1"/>
                <w:color w:val="auto"/>
              </w:rPr>
              <w:t>Liabilities</w:t>
            </w:r>
            <w:r>
              <w:rPr>
                <w:rFonts w:ascii="Arial" w:cs="Arial" w:eastAsia="Arial" w:hAnsi="Arial"/>
                <w:sz w:val="23"/>
                <w:szCs w:val="23"/>
                <w:b w:val="1"/>
                <w:bCs w:val="1"/>
                <w:color w:val="auto"/>
                <w:vertAlign w:val="superscript"/>
              </w:rPr>
              <w:t>(2)</w:t>
            </w:r>
          </w:p>
        </w:tc>
      </w:tr>
      <w:tr>
        <w:trPr>
          <w:trHeight w:val="34"/>
        </w:trPr>
        <w:tc>
          <w:tcPr>
            <w:tcW w:w="58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7"/>
        </w:trPr>
        <w:tc>
          <w:tcPr>
            <w:tcW w:w="586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As of September 3, 2020</w:t>
            </w:r>
          </w:p>
        </w:tc>
        <w:tc>
          <w:tcPr>
            <w:tcW w:w="1220" w:type="dxa"/>
            <w:vAlign w:val="bottom"/>
            <w:shd w:val="clear" w:color="auto" w:fill="D1D2D4"/>
          </w:tcPr>
          <w:p>
            <w:pPr>
              <w:spacing w:after="0"/>
              <w:rPr>
                <w:sz w:val="22"/>
                <w:szCs w:val="22"/>
                <w:color w:val="auto"/>
              </w:rPr>
            </w:pPr>
          </w:p>
        </w:tc>
        <w:tc>
          <w:tcPr>
            <w:tcW w:w="122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200" w:type="dxa"/>
            <w:vAlign w:val="bottom"/>
            <w:shd w:val="clear" w:color="auto" w:fill="D1D2D4"/>
          </w:tcPr>
          <w:p>
            <w:pPr>
              <w:spacing w:after="0"/>
              <w:rPr>
                <w:sz w:val="22"/>
                <w:szCs w:val="22"/>
                <w:color w:val="auto"/>
              </w:rPr>
            </w:pPr>
          </w:p>
        </w:tc>
        <w:tc>
          <w:tcPr>
            <w:tcW w:w="220" w:type="dxa"/>
            <w:vAlign w:val="bottom"/>
            <w:shd w:val="clear" w:color="auto" w:fill="D1D2D4"/>
          </w:tcPr>
          <w:p>
            <w:pPr>
              <w:spacing w:after="0"/>
              <w:rPr>
                <w:sz w:val="22"/>
                <w:szCs w:val="22"/>
                <w:color w:val="auto"/>
              </w:rPr>
            </w:pPr>
          </w:p>
        </w:tc>
        <w:tc>
          <w:tcPr>
            <w:tcW w:w="1280" w:type="dxa"/>
            <w:vAlign w:val="bottom"/>
            <w:shd w:val="clear" w:color="auto" w:fill="D1D2D4"/>
          </w:tcPr>
          <w:p>
            <w:pPr>
              <w:spacing w:after="0"/>
              <w:rPr>
                <w:sz w:val="22"/>
                <w:szCs w:val="22"/>
                <w:color w:val="auto"/>
              </w:rPr>
            </w:pPr>
          </w:p>
        </w:tc>
      </w:tr>
      <w:tr>
        <w:trPr>
          <w:trHeight w:val="250"/>
        </w:trPr>
        <w:tc>
          <w:tcPr>
            <w:tcW w:w="5860" w:type="dxa"/>
            <w:vAlign w:val="bottom"/>
          </w:tcPr>
          <w:p>
            <w:pPr>
              <w:ind w:left="20"/>
              <w:spacing w:after="0"/>
              <w:rPr>
                <w:sz w:val="20"/>
                <w:szCs w:val="20"/>
                <w:color w:val="auto"/>
              </w:rPr>
            </w:pPr>
            <w:r>
              <w:rPr>
                <w:rFonts w:ascii="Arial" w:cs="Arial" w:eastAsia="Arial" w:hAnsi="Arial"/>
                <w:sz w:val="18"/>
                <w:szCs w:val="18"/>
                <w:color w:val="auto"/>
              </w:rPr>
              <w:t>Derivative instruments with hedge accounting designation</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63"/>
        </w:trPr>
        <w:tc>
          <w:tcPr>
            <w:tcW w:w="5860" w:type="dxa"/>
            <w:vAlign w:val="bottom"/>
            <w:shd w:val="clear" w:color="auto" w:fill="D1D2D4"/>
          </w:tcPr>
          <w:p>
            <w:pPr>
              <w:ind w:left="180"/>
              <w:spacing w:after="0"/>
              <w:rPr>
                <w:sz w:val="20"/>
                <w:szCs w:val="20"/>
                <w:color w:val="auto"/>
              </w:rPr>
            </w:pPr>
            <w:r>
              <w:rPr>
                <w:rFonts w:ascii="Arial" w:cs="Arial" w:eastAsia="Arial" w:hAnsi="Arial"/>
                <w:sz w:val="18"/>
                <w:szCs w:val="18"/>
                <w:color w:val="auto"/>
              </w:rPr>
              <w:t>Cash flow currency hedges</w:t>
            </w:r>
          </w:p>
        </w:tc>
        <w:tc>
          <w:tcPr>
            <w:tcW w:w="122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1,845</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41</w:t>
            </w:r>
          </w:p>
        </w:tc>
        <w:tc>
          <w:tcPr>
            <w:tcW w:w="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w:t>
            </w:r>
          </w:p>
        </w:tc>
      </w:tr>
      <w:tr>
        <w:trPr>
          <w:trHeight w:val="256"/>
        </w:trPr>
        <w:tc>
          <w:tcPr>
            <w:tcW w:w="58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57"/>
        </w:trPr>
        <w:tc>
          <w:tcPr>
            <w:tcW w:w="5860" w:type="dxa"/>
            <w:vAlign w:val="bottom"/>
            <w:shd w:val="clear" w:color="auto" w:fill="D1D2D4"/>
          </w:tcPr>
          <w:p>
            <w:pPr>
              <w:ind w:left="20"/>
              <w:spacing w:after="0"/>
              <w:rPr>
                <w:sz w:val="20"/>
                <w:szCs w:val="20"/>
                <w:color w:val="auto"/>
              </w:rPr>
            </w:pPr>
            <w:r>
              <w:rPr>
                <w:rFonts w:ascii="Arial" w:cs="Arial" w:eastAsia="Arial" w:hAnsi="Arial"/>
                <w:sz w:val="18"/>
                <w:szCs w:val="18"/>
                <w:color w:val="auto"/>
              </w:rPr>
              <w:t>Derivative instruments without hedge accounting designation</w:t>
            </w:r>
          </w:p>
        </w:tc>
        <w:tc>
          <w:tcPr>
            <w:tcW w:w="1220" w:type="dxa"/>
            <w:vAlign w:val="bottom"/>
            <w:shd w:val="clear" w:color="auto" w:fill="D1D2D4"/>
          </w:tcPr>
          <w:p>
            <w:pPr>
              <w:spacing w:after="0"/>
              <w:rPr>
                <w:sz w:val="22"/>
                <w:szCs w:val="22"/>
                <w:color w:val="auto"/>
              </w:rPr>
            </w:pPr>
          </w:p>
        </w:tc>
        <w:tc>
          <w:tcPr>
            <w:tcW w:w="122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200" w:type="dxa"/>
            <w:vAlign w:val="bottom"/>
            <w:shd w:val="clear" w:color="auto" w:fill="D1D2D4"/>
          </w:tcPr>
          <w:p>
            <w:pPr>
              <w:spacing w:after="0"/>
              <w:rPr>
                <w:sz w:val="22"/>
                <w:szCs w:val="22"/>
                <w:color w:val="auto"/>
              </w:rPr>
            </w:pPr>
          </w:p>
        </w:tc>
        <w:tc>
          <w:tcPr>
            <w:tcW w:w="220" w:type="dxa"/>
            <w:vAlign w:val="bottom"/>
            <w:shd w:val="clear" w:color="auto" w:fill="D1D2D4"/>
          </w:tcPr>
          <w:p>
            <w:pPr>
              <w:spacing w:after="0"/>
              <w:rPr>
                <w:sz w:val="22"/>
                <w:szCs w:val="22"/>
                <w:color w:val="auto"/>
              </w:rPr>
            </w:pPr>
          </w:p>
        </w:tc>
        <w:tc>
          <w:tcPr>
            <w:tcW w:w="1280" w:type="dxa"/>
            <w:vAlign w:val="bottom"/>
            <w:shd w:val="clear" w:color="auto" w:fill="D1D2D4"/>
          </w:tcPr>
          <w:p>
            <w:pPr>
              <w:spacing w:after="0"/>
              <w:rPr>
                <w:sz w:val="22"/>
                <w:szCs w:val="22"/>
                <w:color w:val="auto"/>
              </w:rPr>
            </w:pPr>
          </w:p>
        </w:tc>
      </w:tr>
      <w:tr>
        <w:trPr>
          <w:trHeight w:val="257"/>
        </w:trPr>
        <w:tc>
          <w:tcPr>
            <w:tcW w:w="5860" w:type="dxa"/>
            <w:vAlign w:val="bottom"/>
            <w:tcBorders>
              <w:bottom w:val="single" w:sz="8" w:color="D1D2D4"/>
            </w:tcBorders>
          </w:tcPr>
          <w:p>
            <w:pPr>
              <w:ind w:left="180"/>
              <w:spacing w:after="0"/>
              <w:rPr>
                <w:sz w:val="20"/>
                <w:szCs w:val="20"/>
                <w:color w:val="auto"/>
              </w:rPr>
            </w:pPr>
            <w:r>
              <w:rPr>
                <w:rFonts w:ascii="Arial" w:cs="Arial" w:eastAsia="Arial" w:hAnsi="Arial"/>
                <w:sz w:val="18"/>
                <w:szCs w:val="18"/>
                <w:color w:val="auto"/>
              </w:rPr>
              <w:t>Non-designated currency hedges</w:t>
            </w:r>
          </w:p>
        </w:tc>
        <w:tc>
          <w:tcPr>
            <w:tcW w:w="1220" w:type="dxa"/>
            <w:vAlign w:val="bottom"/>
            <w:tcBorders>
              <w:bottom w:val="single" w:sz="8" w:color="D1D2D4"/>
            </w:tcBorders>
          </w:tcPr>
          <w:p>
            <w:pPr>
              <w:spacing w:after="0"/>
              <w:rPr>
                <w:sz w:val="22"/>
                <w:szCs w:val="22"/>
                <w:color w:val="auto"/>
              </w:rPr>
            </w:pPr>
          </w:p>
        </w:tc>
        <w:tc>
          <w:tcPr>
            <w:tcW w:w="1220" w:type="dxa"/>
            <w:vAlign w:val="bottom"/>
            <w:tcBorders>
              <w:bottom w:val="single" w:sz="8" w:color="D1D2D4"/>
            </w:tcBorders>
          </w:tcPr>
          <w:p>
            <w:pPr>
              <w:jc w:val="right"/>
              <w:ind w:right="10"/>
              <w:spacing w:after="0"/>
              <w:rPr>
                <w:sz w:val="20"/>
                <w:szCs w:val="20"/>
                <w:color w:val="auto"/>
              </w:rPr>
            </w:pPr>
            <w:r>
              <w:rPr>
                <w:rFonts w:ascii="Arial" w:cs="Arial" w:eastAsia="Arial" w:hAnsi="Arial"/>
                <w:sz w:val="18"/>
                <w:szCs w:val="18"/>
                <w:color w:val="auto"/>
              </w:rPr>
              <w:t>1,587</w:t>
            </w:r>
          </w:p>
        </w:tc>
        <w:tc>
          <w:tcPr>
            <w:tcW w:w="2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68"/>
        </w:trPr>
        <w:tc>
          <w:tcPr>
            <w:tcW w:w="5860" w:type="dxa"/>
            <w:vAlign w:val="bottom"/>
            <w:tcBorders>
              <w:bottom w:val="single" w:sz="8" w:color="D1D2D4"/>
            </w:tcBorders>
            <w:shd w:val="clear" w:color="auto" w:fill="D1D2D4"/>
          </w:tcPr>
          <w:p>
            <w:pPr>
              <w:spacing w:after="0"/>
              <w:rPr>
                <w:sz w:val="22"/>
                <w:szCs w:val="22"/>
                <w:color w:val="auto"/>
              </w:rPr>
            </w:pPr>
          </w:p>
        </w:tc>
        <w:tc>
          <w:tcPr>
            <w:tcW w:w="1220" w:type="dxa"/>
            <w:vAlign w:val="bottom"/>
            <w:tcBorders>
              <w:bottom w:val="single" w:sz="8" w:color="D1D2D4"/>
            </w:tcBorders>
            <w:shd w:val="clear" w:color="auto" w:fill="D1D2D4"/>
          </w:tcPr>
          <w:p>
            <w:pPr>
              <w:spacing w:after="0"/>
              <w:rPr>
                <w:sz w:val="22"/>
                <w:szCs w:val="22"/>
                <w:color w:val="auto"/>
              </w:rPr>
            </w:pPr>
          </w:p>
        </w:tc>
        <w:tc>
          <w:tcPr>
            <w:tcW w:w="1220" w:type="dxa"/>
            <w:vAlign w:val="bottom"/>
            <w:tcBorders>
              <w:bottom w:val="single" w:sz="8" w:color="D1D2D4"/>
            </w:tcBorders>
            <w:shd w:val="clear" w:color="auto" w:fill="D1D2D4"/>
          </w:tcPr>
          <w:p>
            <w:pPr>
              <w:spacing w:after="0"/>
              <w:rPr>
                <w:sz w:val="22"/>
                <w:szCs w:val="22"/>
                <w:color w:val="auto"/>
              </w:rPr>
            </w:pPr>
          </w:p>
        </w:tc>
        <w:tc>
          <w:tcPr>
            <w:tcW w:w="24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45</w:t>
            </w:r>
          </w:p>
        </w:tc>
        <w:tc>
          <w:tcPr>
            <w:tcW w:w="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5860" w:type="dxa"/>
            <w:vAlign w:val="bottom"/>
            <w:tcBorders>
              <w:top w:val="single" w:sz="8" w:color="D1D2D4"/>
            </w:tcBorders>
          </w:tcPr>
          <w:p>
            <w:pPr>
              <w:spacing w:after="0" w:line="20" w:lineRule="exact"/>
              <w:rPr>
                <w:sz w:val="1"/>
                <w:szCs w:val="1"/>
                <w:color w:val="auto"/>
              </w:rPr>
            </w:pPr>
          </w:p>
        </w:tc>
        <w:tc>
          <w:tcPr>
            <w:tcW w:w="1220" w:type="dxa"/>
            <w:vAlign w:val="bottom"/>
            <w:tcBorders>
              <w:top w:val="single" w:sz="8" w:color="D1D2D4"/>
            </w:tcBorders>
          </w:tcPr>
          <w:p>
            <w:pPr>
              <w:spacing w:after="0" w:line="20" w:lineRule="exact"/>
              <w:rPr>
                <w:sz w:val="1"/>
                <w:szCs w:val="1"/>
                <w:color w:val="auto"/>
              </w:rPr>
            </w:pPr>
          </w:p>
        </w:tc>
        <w:tc>
          <w:tcPr>
            <w:tcW w:w="1220" w:type="dxa"/>
            <w:vAlign w:val="bottom"/>
            <w:tcBorders>
              <w:top w:val="single" w:sz="8" w:color="D1D2D4"/>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200" w:type="dxa"/>
            <w:vAlign w:val="bottom"/>
            <w:tcBorders>
              <w:top w:val="single" w:sz="8" w:color="D1D2D4"/>
              <w:bottom w:val="single" w:sz="8" w:color="auto"/>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280" w:type="dxa"/>
            <w:vAlign w:val="bottom"/>
            <w:tcBorders>
              <w:top w:val="single" w:sz="8" w:color="D1D2D4"/>
              <w:bottom w:val="single" w:sz="8" w:color="auto"/>
            </w:tcBorders>
          </w:tcPr>
          <w:p>
            <w:pPr>
              <w:spacing w:after="0" w:line="20" w:lineRule="exact"/>
              <w:rPr>
                <w:sz w:val="1"/>
                <w:szCs w:val="1"/>
                <w:color w:val="auto"/>
              </w:rPr>
            </w:pPr>
          </w:p>
        </w:tc>
      </w:tr>
      <w:tr>
        <w:trPr>
          <w:trHeight w:val="210"/>
        </w:trPr>
        <w:tc>
          <w:tcPr>
            <w:tcW w:w="58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57"/>
        </w:trPr>
        <w:tc>
          <w:tcPr>
            <w:tcW w:w="586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As of August 29, 2019</w:t>
            </w:r>
          </w:p>
        </w:tc>
        <w:tc>
          <w:tcPr>
            <w:tcW w:w="1220" w:type="dxa"/>
            <w:vAlign w:val="bottom"/>
            <w:shd w:val="clear" w:color="auto" w:fill="D1D2D4"/>
          </w:tcPr>
          <w:p>
            <w:pPr>
              <w:spacing w:after="0"/>
              <w:rPr>
                <w:sz w:val="22"/>
                <w:szCs w:val="22"/>
                <w:color w:val="auto"/>
              </w:rPr>
            </w:pPr>
          </w:p>
        </w:tc>
        <w:tc>
          <w:tcPr>
            <w:tcW w:w="122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200" w:type="dxa"/>
            <w:vAlign w:val="bottom"/>
            <w:shd w:val="clear" w:color="auto" w:fill="D1D2D4"/>
          </w:tcPr>
          <w:p>
            <w:pPr>
              <w:spacing w:after="0"/>
              <w:rPr>
                <w:sz w:val="22"/>
                <w:szCs w:val="22"/>
                <w:color w:val="auto"/>
              </w:rPr>
            </w:pPr>
          </w:p>
        </w:tc>
        <w:tc>
          <w:tcPr>
            <w:tcW w:w="220" w:type="dxa"/>
            <w:vAlign w:val="bottom"/>
            <w:shd w:val="clear" w:color="auto" w:fill="D1D2D4"/>
          </w:tcPr>
          <w:p>
            <w:pPr>
              <w:spacing w:after="0"/>
              <w:rPr>
                <w:sz w:val="22"/>
                <w:szCs w:val="22"/>
                <w:color w:val="auto"/>
              </w:rPr>
            </w:pPr>
          </w:p>
        </w:tc>
        <w:tc>
          <w:tcPr>
            <w:tcW w:w="1280" w:type="dxa"/>
            <w:vAlign w:val="bottom"/>
            <w:shd w:val="clear" w:color="auto" w:fill="D1D2D4"/>
          </w:tcPr>
          <w:p>
            <w:pPr>
              <w:spacing w:after="0"/>
              <w:rPr>
                <w:sz w:val="22"/>
                <w:szCs w:val="22"/>
                <w:color w:val="auto"/>
              </w:rPr>
            </w:pPr>
          </w:p>
        </w:tc>
      </w:tr>
      <w:tr>
        <w:trPr>
          <w:trHeight w:val="250"/>
        </w:trPr>
        <w:tc>
          <w:tcPr>
            <w:tcW w:w="5860" w:type="dxa"/>
            <w:vAlign w:val="bottom"/>
          </w:tcPr>
          <w:p>
            <w:pPr>
              <w:ind w:left="20"/>
              <w:spacing w:after="0"/>
              <w:rPr>
                <w:sz w:val="20"/>
                <w:szCs w:val="20"/>
                <w:color w:val="auto"/>
              </w:rPr>
            </w:pPr>
            <w:r>
              <w:rPr>
                <w:rFonts w:ascii="Arial" w:cs="Arial" w:eastAsia="Arial" w:hAnsi="Arial"/>
                <w:sz w:val="18"/>
                <w:szCs w:val="18"/>
                <w:color w:val="auto"/>
              </w:rPr>
              <w:t>Derivative instruments with hedge accounting designation</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63"/>
        </w:trPr>
        <w:tc>
          <w:tcPr>
            <w:tcW w:w="5860" w:type="dxa"/>
            <w:vAlign w:val="bottom"/>
            <w:shd w:val="clear" w:color="auto" w:fill="D1D2D4"/>
          </w:tcPr>
          <w:p>
            <w:pPr>
              <w:ind w:left="180"/>
              <w:spacing w:after="0"/>
              <w:rPr>
                <w:sz w:val="20"/>
                <w:szCs w:val="20"/>
                <w:color w:val="auto"/>
              </w:rPr>
            </w:pPr>
            <w:r>
              <w:rPr>
                <w:rFonts w:ascii="Arial" w:cs="Arial" w:eastAsia="Arial" w:hAnsi="Arial"/>
                <w:sz w:val="18"/>
                <w:szCs w:val="18"/>
                <w:color w:val="auto"/>
              </w:rPr>
              <w:t>Cash flow currency hedges</w:t>
            </w:r>
          </w:p>
        </w:tc>
        <w:tc>
          <w:tcPr>
            <w:tcW w:w="122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146</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58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57"/>
        </w:trPr>
        <w:tc>
          <w:tcPr>
            <w:tcW w:w="5860" w:type="dxa"/>
            <w:vAlign w:val="bottom"/>
            <w:shd w:val="clear" w:color="auto" w:fill="D1D2D4"/>
          </w:tcPr>
          <w:p>
            <w:pPr>
              <w:ind w:left="20"/>
              <w:spacing w:after="0"/>
              <w:rPr>
                <w:sz w:val="20"/>
                <w:szCs w:val="20"/>
                <w:color w:val="auto"/>
              </w:rPr>
            </w:pPr>
            <w:r>
              <w:rPr>
                <w:rFonts w:ascii="Arial" w:cs="Arial" w:eastAsia="Arial" w:hAnsi="Arial"/>
                <w:sz w:val="18"/>
                <w:szCs w:val="18"/>
                <w:color w:val="auto"/>
              </w:rPr>
              <w:t>Derivative instruments without hedge accounting designation</w:t>
            </w:r>
          </w:p>
        </w:tc>
        <w:tc>
          <w:tcPr>
            <w:tcW w:w="1220" w:type="dxa"/>
            <w:vAlign w:val="bottom"/>
            <w:shd w:val="clear" w:color="auto" w:fill="D1D2D4"/>
          </w:tcPr>
          <w:p>
            <w:pPr>
              <w:spacing w:after="0"/>
              <w:rPr>
                <w:sz w:val="22"/>
                <w:szCs w:val="22"/>
                <w:color w:val="auto"/>
              </w:rPr>
            </w:pPr>
          </w:p>
        </w:tc>
        <w:tc>
          <w:tcPr>
            <w:tcW w:w="122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200" w:type="dxa"/>
            <w:vAlign w:val="bottom"/>
            <w:shd w:val="clear" w:color="auto" w:fill="D1D2D4"/>
          </w:tcPr>
          <w:p>
            <w:pPr>
              <w:spacing w:after="0"/>
              <w:rPr>
                <w:sz w:val="22"/>
                <w:szCs w:val="22"/>
                <w:color w:val="auto"/>
              </w:rPr>
            </w:pPr>
          </w:p>
        </w:tc>
        <w:tc>
          <w:tcPr>
            <w:tcW w:w="220" w:type="dxa"/>
            <w:vAlign w:val="bottom"/>
            <w:shd w:val="clear" w:color="auto" w:fill="D1D2D4"/>
          </w:tcPr>
          <w:p>
            <w:pPr>
              <w:spacing w:after="0"/>
              <w:rPr>
                <w:sz w:val="22"/>
                <w:szCs w:val="22"/>
                <w:color w:val="auto"/>
              </w:rPr>
            </w:pPr>
          </w:p>
        </w:tc>
        <w:tc>
          <w:tcPr>
            <w:tcW w:w="1280" w:type="dxa"/>
            <w:vAlign w:val="bottom"/>
            <w:shd w:val="clear" w:color="auto" w:fill="D1D2D4"/>
          </w:tcPr>
          <w:p>
            <w:pPr>
              <w:spacing w:after="0"/>
              <w:rPr>
                <w:sz w:val="22"/>
                <w:szCs w:val="22"/>
                <w:color w:val="auto"/>
              </w:rPr>
            </w:pPr>
          </w:p>
        </w:tc>
      </w:tr>
      <w:tr>
        <w:trPr>
          <w:trHeight w:val="257"/>
        </w:trPr>
        <w:tc>
          <w:tcPr>
            <w:tcW w:w="5860" w:type="dxa"/>
            <w:vAlign w:val="bottom"/>
          </w:tcPr>
          <w:p>
            <w:pPr>
              <w:ind w:left="180"/>
              <w:spacing w:after="0"/>
              <w:rPr>
                <w:sz w:val="20"/>
                <w:szCs w:val="20"/>
                <w:color w:val="auto"/>
              </w:rPr>
            </w:pPr>
            <w:r>
              <w:rPr>
                <w:rFonts w:ascii="Arial" w:cs="Arial" w:eastAsia="Arial" w:hAnsi="Arial"/>
                <w:sz w:val="18"/>
                <w:szCs w:val="18"/>
                <w:color w:val="auto"/>
              </w:rPr>
              <w:t>Non-designated currency hedges</w:t>
            </w:r>
          </w:p>
        </w:tc>
        <w:tc>
          <w:tcPr>
            <w:tcW w:w="122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1,871</w:t>
            </w:r>
          </w:p>
        </w:tc>
        <w:tc>
          <w:tcPr>
            <w:tcW w:w="2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57"/>
        </w:trPr>
        <w:tc>
          <w:tcPr>
            <w:tcW w:w="5860" w:type="dxa"/>
            <w:vAlign w:val="bottom"/>
            <w:shd w:val="clear" w:color="auto" w:fill="D1D2D4"/>
          </w:tcPr>
          <w:p>
            <w:pPr>
              <w:ind w:left="180"/>
              <w:spacing w:after="0" w:line="256" w:lineRule="exact"/>
              <w:rPr>
                <w:sz w:val="20"/>
                <w:szCs w:val="20"/>
                <w:color w:val="auto"/>
              </w:rPr>
            </w:pPr>
            <w:r>
              <w:rPr>
                <w:rFonts w:ascii="Arial" w:cs="Arial" w:eastAsia="Arial" w:hAnsi="Arial"/>
                <w:sz w:val="18"/>
                <w:szCs w:val="18"/>
                <w:color w:val="auto"/>
              </w:rPr>
              <w:t>Convertible notes settlement obligation</w:t>
            </w:r>
            <w:r>
              <w:rPr>
                <w:rFonts w:ascii="Arial" w:cs="Arial" w:eastAsia="Arial" w:hAnsi="Arial"/>
                <w:sz w:val="23"/>
                <w:szCs w:val="23"/>
                <w:color w:val="auto"/>
                <w:vertAlign w:val="superscript"/>
              </w:rPr>
              <w:t>(3)</w:t>
            </w:r>
          </w:p>
        </w:tc>
        <w:tc>
          <w:tcPr>
            <w:tcW w:w="1220" w:type="dxa"/>
            <w:vAlign w:val="bottom"/>
            <w:shd w:val="clear" w:color="auto" w:fill="D1D2D4"/>
          </w:tcPr>
          <w:p>
            <w:pPr>
              <w:spacing w:after="0"/>
              <w:rPr>
                <w:sz w:val="22"/>
                <w:szCs w:val="22"/>
                <w:color w:val="auto"/>
              </w:rPr>
            </w:pPr>
          </w:p>
        </w:tc>
        <w:tc>
          <w:tcPr>
            <w:tcW w:w="1220" w:type="dxa"/>
            <w:vAlign w:val="bottom"/>
            <w:shd w:val="clear" w:color="auto" w:fill="D1D2D4"/>
          </w:tcPr>
          <w:p>
            <w:pPr>
              <w:spacing w:after="0"/>
              <w:rPr>
                <w:sz w:val="22"/>
                <w:szCs w:val="22"/>
                <w:color w:val="auto"/>
              </w:rPr>
            </w:pPr>
          </w:p>
        </w:tc>
        <w:tc>
          <w:tcPr>
            <w:tcW w:w="240" w:type="dxa"/>
            <w:vAlign w:val="bottom"/>
            <w:tcBorders>
              <w:bottom w:val="single" w:sz="8" w:color="auto"/>
            </w:tcBorders>
            <w:shd w:val="clear" w:color="auto" w:fill="D1D2D4"/>
          </w:tcPr>
          <w:p>
            <w:pPr>
              <w:spacing w:after="0"/>
              <w:rPr>
                <w:sz w:val="22"/>
                <w:szCs w:val="22"/>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D1D2D4"/>
          </w:tcPr>
          <w:p>
            <w:pPr>
              <w:spacing w:after="0"/>
              <w:rPr>
                <w:sz w:val="22"/>
                <w:szCs w:val="22"/>
                <w:color w:val="auto"/>
              </w:rPr>
            </w:pPr>
          </w:p>
        </w:tc>
        <w:tc>
          <w:tcPr>
            <w:tcW w:w="12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(179)</w:t>
            </w:r>
          </w:p>
        </w:tc>
      </w:tr>
      <w:tr>
        <w:trPr>
          <w:trHeight w:val="243"/>
        </w:trPr>
        <w:tc>
          <w:tcPr>
            <w:tcW w:w="5860" w:type="dxa"/>
            <w:vAlign w:val="bottom"/>
            <w:tcBorders>
              <w:bottom w:val="single" w:sz="8" w:color="D1D2D4"/>
            </w:tcBorders>
          </w:tcPr>
          <w:p>
            <w:pPr>
              <w:spacing w:after="0"/>
              <w:rPr>
                <w:sz w:val="21"/>
                <w:szCs w:val="21"/>
                <w:color w:val="auto"/>
              </w:rPr>
            </w:pPr>
          </w:p>
        </w:tc>
        <w:tc>
          <w:tcPr>
            <w:tcW w:w="1220" w:type="dxa"/>
            <w:vAlign w:val="bottom"/>
            <w:tcBorders>
              <w:bottom w:val="single" w:sz="8" w:color="D1D2D4"/>
            </w:tcBorders>
          </w:tcPr>
          <w:p>
            <w:pPr>
              <w:spacing w:after="0"/>
              <w:rPr>
                <w:sz w:val="21"/>
                <w:szCs w:val="21"/>
                <w:color w:val="auto"/>
              </w:rPr>
            </w:pPr>
          </w:p>
        </w:tc>
        <w:tc>
          <w:tcPr>
            <w:tcW w:w="1220" w:type="dxa"/>
            <w:vAlign w:val="bottom"/>
            <w:tcBorders>
              <w:bottom w:val="single" w:sz="8" w:color="D1D2D4"/>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r>
      <w:tr>
        <w:trPr>
          <w:trHeight w:val="243"/>
        </w:trPr>
        <w:tc>
          <w:tcPr>
            <w:tcW w:w="5860" w:type="dxa"/>
            <w:vAlign w:val="bottom"/>
            <w:shd w:val="clear" w:color="auto" w:fill="D1D2D4"/>
          </w:tcPr>
          <w:p>
            <w:pPr>
              <w:spacing w:after="0"/>
              <w:rPr>
                <w:sz w:val="21"/>
                <w:szCs w:val="21"/>
                <w:color w:val="auto"/>
              </w:rPr>
            </w:pPr>
          </w:p>
        </w:tc>
        <w:tc>
          <w:tcPr>
            <w:tcW w:w="1220" w:type="dxa"/>
            <w:vAlign w:val="bottom"/>
            <w:shd w:val="clear" w:color="auto" w:fill="D1D2D4"/>
          </w:tcPr>
          <w:p>
            <w:pPr>
              <w:spacing w:after="0"/>
              <w:rPr>
                <w:sz w:val="21"/>
                <w:szCs w:val="21"/>
                <w:color w:val="auto"/>
              </w:rPr>
            </w:pPr>
          </w:p>
        </w:tc>
        <w:tc>
          <w:tcPr>
            <w:tcW w:w="1220" w:type="dxa"/>
            <w:vAlign w:val="bottom"/>
            <w:shd w:val="clear" w:color="auto" w:fill="D1D2D4"/>
          </w:tcPr>
          <w:p>
            <w:pPr>
              <w:spacing w:after="0"/>
              <w:rPr>
                <w:sz w:val="21"/>
                <w:szCs w:val="21"/>
                <w:color w:val="auto"/>
              </w:rPr>
            </w:pPr>
          </w:p>
        </w:tc>
        <w:tc>
          <w:tcPr>
            <w:tcW w:w="240" w:type="dxa"/>
            <w:vAlign w:val="bottom"/>
            <w:tcBorders>
              <w:bottom w:val="single" w:sz="8" w:color="auto"/>
            </w:tcBorders>
            <w:shd w:val="clear" w:color="auto" w:fill="D1D2D4"/>
          </w:tcPr>
          <w:p>
            <w:pPr>
              <w:spacing w:after="0"/>
              <w:rPr>
                <w:sz w:val="21"/>
                <w:szCs w:val="21"/>
                <w:color w:val="auto"/>
              </w:rPr>
            </w:pPr>
          </w:p>
        </w:tc>
        <w:tc>
          <w:tcPr>
            <w:tcW w:w="1200" w:type="dxa"/>
            <w:vAlign w:val="bottom"/>
            <w:tcBorders>
              <w:bottom w:val="single" w:sz="8" w:color="auto"/>
            </w:tcBorders>
            <w:shd w:val="clear" w:color="auto" w:fill="D1D2D4"/>
          </w:tcPr>
          <w:p>
            <w:pPr>
              <w:spacing w:after="0"/>
              <w:rPr>
                <w:sz w:val="21"/>
                <w:szCs w:val="21"/>
                <w:color w:val="auto"/>
              </w:rPr>
            </w:pPr>
          </w:p>
        </w:tc>
        <w:tc>
          <w:tcPr>
            <w:tcW w:w="220" w:type="dxa"/>
            <w:vAlign w:val="bottom"/>
            <w:tcBorders>
              <w:bottom w:val="single" w:sz="8" w:color="auto"/>
            </w:tcBorders>
            <w:shd w:val="clear" w:color="auto" w:fill="D1D2D4"/>
          </w:tcPr>
          <w:p>
            <w:pPr>
              <w:spacing w:after="0"/>
              <w:rPr>
                <w:sz w:val="21"/>
                <w:szCs w:val="21"/>
                <w:color w:val="auto"/>
              </w:rPr>
            </w:pPr>
          </w:p>
        </w:tc>
        <w:tc>
          <w:tcPr>
            <w:tcW w:w="1280" w:type="dxa"/>
            <w:vAlign w:val="bottom"/>
            <w:tcBorders>
              <w:bottom w:val="single" w:sz="8" w:color="auto"/>
            </w:tcBorders>
            <w:shd w:val="clear" w:color="auto" w:fill="D1D2D4"/>
          </w:tcPr>
          <w:p>
            <w:pPr>
              <w:spacing w:after="0"/>
              <w:rPr>
                <w:sz w:val="21"/>
                <w:szCs w:val="21"/>
                <w:color w:val="auto"/>
              </w:rPr>
            </w:pPr>
          </w:p>
        </w:tc>
      </w:tr>
      <w:tr>
        <w:trPr>
          <w:trHeight w:val="243"/>
        </w:trPr>
        <w:tc>
          <w:tcPr>
            <w:tcW w:w="58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r>
      <w:tr>
        <w:trPr>
          <w:trHeight w:val="27"/>
        </w:trPr>
        <w:tc>
          <w:tcPr>
            <w:tcW w:w="58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59"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Included in receivables – other and other noncurrent assets.</w:t>
      </w:r>
    </w:p>
    <w:p>
      <w:pPr>
        <w:ind w:left="660" w:hanging="328"/>
        <w:spacing w:after="0" w:line="219" w:lineRule="auto"/>
        <w:tabs>
          <w:tab w:leader="none" w:pos="654" w:val="left"/>
        </w:tabs>
        <w:numPr>
          <w:ilvl w:val="0"/>
          <w:numId w:val="33"/>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Included in accounts payable and accrued expenses – other for forward contracts and in current debt for convertible notes settlement obligations.</w:t>
      </w:r>
    </w:p>
    <w:p>
      <w:pPr>
        <w:spacing w:after="0" w:line="1" w:lineRule="exact"/>
        <w:rPr>
          <w:rFonts w:ascii="Arial" w:cs="Arial" w:eastAsia="Arial" w:hAnsi="Arial"/>
          <w:sz w:val="23"/>
          <w:szCs w:val="23"/>
          <w:i w:val="1"/>
          <w:iCs w:val="1"/>
          <w:color w:val="auto"/>
          <w:vertAlign w:val="superscript"/>
        </w:rPr>
      </w:pPr>
    </w:p>
    <w:p>
      <w:pPr>
        <w:ind w:left="660" w:right="320" w:hanging="328"/>
        <w:spacing w:after="0" w:line="220" w:lineRule="auto"/>
        <w:tabs>
          <w:tab w:leader="none" w:pos="654" w:val="left"/>
        </w:tabs>
        <w:numPr>
          <w:ilvl w:val="0"/>
          <w:numId w:val="33"/>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As of August 29, 2019, the notional amount of settlement obligation for notes that had been converted was 4 million shares of our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Derivative Instruments with Hedge Accounting Designation</w:t>
      </w:r>
    </w:p>
    <w:p>
      <w:pPr>
        <w:spacing w:after="0" w:line="265"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We utilize currency forward contracts that generally mature within two years to hedge our exposure to changes in currency exchange rates. Currency forward contracts are measured at fair value based on market-based observable inputs including currency exchange spot and forward rates, interest rates, and credit-risk spreads (Level 2). We do not use derivative instruments for speculative purposes.</w:t>
      </w:r>
    </w:p>
    <w:p>
      <w:pPr>
        <w:spacing w:after="0" w:line="207"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b w:val="1"/>
          <w:bCs w:val="1"/>
          <w:i w:val="1"/>
          <w:iCs w:val="1"/>
          <w:color w:val="auto"/>
        </w:rPr>
        <w:t>Cash Flow Hedges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utilize cash flow hedges for our exposure from changes in currency exchange rates for certain capital expenditures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manufacturing costs. We recognized gains of $51 million and losses of $3 million and $17 million for 2020, 2019, and 2018, respectively, in accumulated other comprehensive income from cash flow hedges. The reclassifications from accumulated other comprehensive income to earnings were not significant in 2020, 2019, or 2018. As of September 3, 2020, we expect to reclassify $24 million of pre-tax gains related to cash flow hedges from accumulated other comprehensive income into earnings in the next 12 months.</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Derivative Instruments without Hedge Accounting Designation</w:t>
      </w:r>
    </w:p>
    <w:p>
      <w:pPr>
        <w:spacing w:after="0" w:line="24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i w:val="1"/>
          <w:iCs w:val="1"/>
          <w:color w:val="auto"/>
        </w:rPr>
        <w:t>Currency Derivatives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generally utilize a rolling hedge strategy with currency forward contracts that mature within three months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hedge our exposures of monetary assets and liabilities from changes in currency exchange rates. At the end of each reporting period, monetary assets and liabilities denominated in currencies other than the U.S. dollar are remeasured into U.S. dollars and the associated outstanding forward contracts are marked to market. Currency forward contracts are valued at fair values based on the middle of bid and ask prices of dealers or exchange quotations (Level 2). Realized and unrealized gains and losses on derivative instruments without hedge accounting designation as well as the changes in the underlying monetary assets and liabilities from changes in currency exchange rates are included in other non-operating income (expense), net. For derivative instruments</w:t>
      </w:r>
    </w:p>
    <w:p>
      <w:pPr>
        <w:sectPr>
          <w:pgSz w:w="11900" w:h="16838" w:orient="portrait"/>
          <w:cols w:equalWidth="0" w:num="1">
            <w:col w:w="11240"/>
          </w:cols>
          <w:pgMar w:left="320" w:top="919"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10040"/>
        <w:spacing w:after="0"/>
        <w:rPr>
          <w:sz w:val="20"/>
          <w:szCs w:val="20"/>
          <w:color w:val="auto"/>
        </w:rPr>
      </w:pPr>
      <w:r>
        <w:rPr>
          <w:sz w:val="1"/>
          <w:szCs w:val="1"/>
          <w:color w:val="auto"/>
        </w:rPr>
        <w:drawing>
          <wp:inline distT="0" distB="0" distL="0" distR="0">
            <wp:extent cx="608330" cy="171450"/>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8330" cy="171450"/>
                    </a:xfrm>
                    <a:prstGeom prst="rect">
                      <a:avLst/>
                    </a:prstGeom>
                    <a:noFill/>
                    <a:ln>
                      <a:noFill/>
                    </a:ln>
                  </pic:spPr>
                </pic:pic>
              </a:graphicData>
            </a:graphic>
          </wp:inline>
        </w:drawing>
      </w:r>
      <w:r>
        <w:rPr>
          <w:rFonts w:ascii="Arial" w:cs="Arial" w:eastAsia="Arial" w:hAnsi="Arial"/>
          <w:sz w:val="13"/>
          <w:szCs w:val="13"/>
          <w:color w:val="auto"/>
        </w:rPr>
        <w:t xml:space="preserve">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type w:val="continuous"/>
        </w:sectPr>
      </w:pPr>
    </w:p>
    <w:bookmarkStart w:id="73" w:name="page74"/>
    <w:bookmarkEnd w:id="73"/>
    <w:p>
      <w:pPr>
        <w:ind w:right="420"/>
        <w:spacing w:after="0" w:line="261" w:lineRule="auto"/>
        <w:rPr>
          <w:sz w:val="20"/>
          <w:szCs w:val="20"/>
          <w:color w:val="auto"/>
        </w:rPr>
      </w:pPr>
      <w:r>
        <w:rPr>
          <w:rFonts w:ascii="Arial" w:cs="Arial" w:eastAsia="Arial" w:hAnsi="Arial"/>
          <w:sz w:val="18"/>
          <w:szCs w:val="18"/>
          <w:color w:val="auto"/>
        </w:rPr>
        <w:t>without hedge accounting designation, we recognized gains of $21 million, and losses of $32 million and $38 million for 2020, 2019, and 2018, respectively.</w:t>
      </w:r>
    </w:p>
    <w:p>
      <w:pPr>
        <w:spacing w:after="0" w:line="203"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b w:val="1"/>
          <w:bCs w:val="1"/>
          <w:i w:val="1"/>
          <w:iCs w:val="1"/>
          <w:color w:val="auto"/>
        </w:rPr>
        <w:t>Convertible Notes Settlement Obligations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settlement obligations associated with our convertible notes subject to mark-to-market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accounting treatment, the fair values of the underlying derivative settlement obligations were initially determined using the Black-Scholes option valuation model (Level 2), which requires inputs of stock price, expected stock-price volatility, estimated option life, risk-free interest rate, and dividend rate. The subsequent measurement amounts were based on the volume-weighted-average trading price of our common stock (Level 2). (See “Debt.”) We recognized losses of $14 million, $58 million, and $124 million for 2020, 2019 and 2018, respectively, in other non-operating income (expense), net for the changes in fair value of the derivative settlement obligations.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Derivative Counterparty Credit Risk and Master Netting Arrangements</w:t>
      </w:r>
    </w:p>
    <w:p>
      <w:pPr>
        <w:spacing w:after="0" w:line="265" w:lineRule="exact"/>
        <w:rPr>
          <w:sz w:val="20"/>
          <w:szCs w:val="20"/>
          <w:color w:val="auto"/>
        </w:rPr>
      </w:pPr>
    </w:p>
    <w:p>
      <w:pPr>
        <w:ind w:right="660"/>
        <w:spacing w:after="0" w:line="253" w:lineRule="auto"/>
        <w:rPr>
          <w:sz w:val="20"/>
          <w:szCs w:val="20"/>
          <w:color w:val="auto"/>
        </w:rPr>
      </w:pPr>
      <w:r>
        <w:rPr>
          <w:rFonts w:ascii="Arial" w:cs="Arial" w:eastAsia="Arial" w:hAnsi="Arial"/>
          <w:sz w:val="18"/>
          <w:szCs w:val="18"/>
          <w:color w:val="auto"/>
        </w:rPr>
        <w:t>Our derivative instruments expose us to credit risk to the extent counterparties may be unable to meet the terms of the contracts. Our maximum exposure to loss due to credit risk if counterparties fail completely to perform according to the terms of the contracts would generally equal the fair value of assets for these contracts as listed in the tables above. We seek to mitigate such risk by limiting our counterparties to major financial institutions and by spreading risk across multiple financial institutions. As of September 3, 2020 and August 29, 2019, amounts netted under our master netting arrangements were not material.</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Equity Plans</w:t>
      </w:r>
    </w:p>
    <w:p>
      <w:pPr>
        <w:spacing w:after="0" w:line="28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As of September 3, 2020, 90 million shares of our common stock were available for future awards under our equity plans, including 26 million shares approved for issuance under our employee stock purchase plan (“ESPP”).</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Restricted Stock and Restricted Stock Units (“Restricted Stock Awards”)</w:t>
      </w:r>
    </w:p>
    <w:p>
      <w:pPr>
        <w:spacing w:after="0" w:line="26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As of September 3, 2020, there were 17 million shares of Restricted Stock Awards outstanding, 15 million of which contained only service conditions. For service-based Restricted Stock Awards, restrictions generally lapse in one-fourth or one-third increments during each year of employment after the grant date. Restrictions lapse on Restricted Stock granted in 2020 with performance or market conditions over a three-year period if conditions are met. At the end of the performance period, the number of actual shares to be awarded will vary between 0% and 200% of target amounts, depending upon the achievement level. Restricted Stock Awards activity for 2020 is summarized as follows: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9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2"/>
          </w:tcPr>
          <w:p>
            <w:pPr>
              <w:jc w:val="center"/>
              <w:spacing w:after="0"/>
              <w:rPr>
                <w:sz w:val="20"/>
                <w:szCs w:val="20"/>
                <w:color w:val="auto"/>
              </w:rPr>
            </w:pPr>
            <w:r>
              <w:rPr>
                <w:rFonts w:ascii="Arial" w:cs="Arial" w:eastAsia="Arial" w:hAnsi="Arial"/>
                <w:sz w:val="16"/>
                <w:szCs w:val="16"/>
                <w:b w:val="1"/>
                <w:bCs w:val="1"/>
                <w:color w:val="auto"/>
              </w:rPr>
              <w:t>Weighted-Average</w:t>
            </w:r>
          </w:p>
        </w:tc>
      </w:tr>
      <w:tr>
        <w:trPr>
          <w:trHeight w:val="189"/>
        </w:trPr>
        <w:tc>
          <w:tcPr>
            <w:tcW w:w="49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center"/>
              <w:ind w:right="32"/>
              <w:spacing w:after="0"/>
              <w:rPr>
                <w:sz w:val="20"/>
                <w:szCs w:val="20"/>
                <w:color w:val="auto"/>
              </w:rPr>
            </w:pPr>
            <w:r>
              <w:rPr>
                <w:rFonts w:ascii="Arial" w:cs="Arial" w:eastAsia="Arial" w:hAnsi="Arial"/>
                <w:sz w:val="16"/>
                <w:szCs w:val="16"/>
                <w:b w:val="1"/>
                <w:bCs w:val="1"/>
                <w:color w:val="auto"/>
              </w:rPr>
              <w:t>Grant Date Fair</w:t>
            </w:r>
          </w:p>
        </w:tc>
      </w:tr>
      <w:tr>
        <w:trPr>
          <w:trHeight w:val="228"/>
        </w:trPr>
        <w:tc>
          <w:tcPr>
            <w:tcW w:w="4980" w:type="dxa"/>
            <w:vAlign w:val="bottom"/>
            <w:tcBorders>
              <w:bottom w:val="single" w:sz="8" w:color="0090DA"/>
            </w:tcBorders>
          </w:tcPr>
          <w:p>
            <w:pPr>
              <w:spacing w:after="0"/>
              <w:rPr>
                <w:sz w:val="19"/>
                <w:szCs w:val="19"/>
                <w:color w:val="auto"/>
              </w:rPr>
            </w:pPr>
          </w:p>
        </w:tc>
        <w:tc>
          <w:tcPr>
            <w:tcW w:w="1340" w:type="dxa"/>
            <w:vAlign w:val="bottom"/>
            <w:tcBorders>
              <w:bottom w:val="single" w:sz="8" w:color="0090DA"/>
            </w:tcBorders>
          </w:tcPr>
          <w:p>
            <w:pPr>
              <w:spacing w:after="0"/>
              <w:rPr>
                <w:sz w:val="19"/>
                <w:szCs w:val="19"/>
                <w:color w:val="auto"/>
              </w:rPr>
            </w:pPr>
          </w:p>
        </w:tc>
        <w:tc>
          <w:tcPr>
            <w:tcW w:w="1360" w:type="dxa"/>
            <w:vAlign w:val="bottom"/>
            <w:tcBorders>
              <w:bottom w:val="single" w:sz="8" w:color="0090DA"/>
            </w:tcBorders>
          </w:tcPr>
          <w:p>
            <w:pPr>
              <w:spacing w:after="0"/>
              <w:rPr>
                <w:sz w:val="19"/>
                <w:szCs w:val="19"/>
                <w:color w:val="auto"/>
              </w:rPr>
            </w:pPr>
          </w:p>
        </w:tc>
        <w:tc>
          <w:tcPr>
            <w:tcW w:w="640" w:type="dxa"/>
            <w:vAlign w:val="bottom"/>
            <w:tcBorders>
              <w:bottom w:val="single" w:sz="8" w:color="0090DA"/>
            </w:tcBorders>
          </w:tcPr>
          <w:p>
            <w:pPr>
              <w:spacing w:after="0"/>
              <w:rPr>
                <w:sz w:val="19"/>
                <w:szCs w:val="19"/>
                <w:color w:val="auto"/>
              </w:rPr>
            </w:pPr>
          </w:p>
        </w:tc>
        <w:tc>
          <w:tcPr>
            <w:tcW w:w="1440" w:type="dxa"/>
            <w:vAlign w:val="bottom"/>
            <w:tcBorders>
              <w:bottom w:val="single" w:sz="8" w:color="0090DA"/>
            </w:tcBorders>
            <w:gridSpan w:val="2"/>
          </w:tcPr>
          <w:p>
            <w:pPr>
              <w:ind w:left="20"/>
              <w:spacing w:after="0"/>
              <w:rPr>
                <w:sz w:val="20"/>
                <w:szCs w:val="20"/>
                <w:color w:val="auto"/>
              </w:rPr>
            </w:pPr>
            <w:r>
              <w:rPr>
                <w:rFonts w:ascii="Arial" w:cs="Arial" w:eastAsia="Arial" w:hAnsi="Arial"/>
                <w:sz w:val="16"/>
                <w:szCs w:val="16"/>
                <w:b w:val="1"/>
                <w:bCs w:val="1"/>
                <w:color w:val="auto"/>
              </w:rPr>
              <w:t>Number of Shares</w:t>
            </w:r>
          </w:p>
        </w:tc>
        <w:tc>
          <w:tcPr>
            <w:tcW w:w="120" w:type="dxa"/>
            <w:vAlign w:val="bottom"/>
            <w:tcBorders>
              <w:bottom w:val="single" w:sz="8" w:color="0090DA"/>
            </w:tcBorders>
          </w:tcPr>
          <w:p>
            <w:pPr>
              <w:spacing w:after="0"/>
              <w:rPr>
                <w:sz w:val="19"/>
                <w:szCs w:val="19"/>
                <w:color w:val="auto"/>
              </w:rPr>
            </w:pPr>
          </w:p>
        </w:tc>
        <w:tc>
          <w:tcPr>
            <w:tcW w:w="1360" w:type="dxa"/>
            <w:vAlign w:val="bottom"/>
            <w:tcBorders>
              <w:bottom w:val="single" w:sz="8" w:color="0090DA"/>
            </w:tcBorders>
          </w:tcPr>
          <w:p>
            <w:pPr>
              <w:jc w:val="center"/>
              <w:ind w:right="12"/>
              <w:spacing w:after="0"/>
              <w:rPr>
                <w:sz w:val="20"/>
                <w:szCs w:val="20"/>
                <w:color w:val="auto"/>
              </w:rPr>
            </w:pPr>
            <w:r>
              <w:rPr>
                <w:rFonts w:ascii="Arial" w:cs="Arial" w:eastAsia="Arial" w:hAnsi="Arial"/>
                <w:sz w:val="16"/>
                <w:szCs w:val="16"/>
                <w:b w:val="1"/>
                <w:bCs w:val="1"/>
                <w:color w:val="auto"/>
              </w:rPr>
              <w:t>Value Per Share</w:t>
            </w:r>
          </w:p>
        </w:tc>
      </w:tr>
      <w:tr>
        <w:trPr>
          <w:trHeight w:val="41"/>
        </w:trPr>
        <w:tc>
          <w:tcPr>
            <w:tcW w:w="49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56"/>
        </w:trPr>
        <w:tc>
          <w:tcPr>
            <w:tcW w:w="4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Outstanding as of August 29, 2019</w:t>
            </w:r>
          </w:p>
        </w:tc>
        <w:tc>
          <w:tcPr>
            <w:tcW w:w="1340" w:type="dxa"/>
            <w:vAlign w:val="bottom"/>
            <w:shd w:val="clear" w:color="auto" w:fill="D1D2D4"/>
          </w:tcPr>
          <w:p>
            <w:pPr>
              <w:spacing w:after="0"/>
              <w:rPr>
                <w:sz w:val="22"/>
                <w:szCs w:val="22"/>
                <w:color w:val="auto"/>
              </w:rPr>
            </w:pPr>
          </w:p>
        </w:tc>
        <w:tc>
          <w:tcPr>
            <w:tcW w:w="1360" w:type="dxa"/>
            <w:vAlign w:val="bottom"/>
            <w:shd w:val="clear" w:color="auto" w:fill="D1D2D4"/>
          </w:tcPr>
          <w:p>
            <w:pPr>
              <w:spacing w:after="0"/>
              <w:rPr>
                <w:sz w:val="22"/>
                <w:szCs w:val="22"/>
                <w:color w:val="auto"/>
              </w:rPr>
            </w:pPr>
          </w:p>
        </w:tc>
        <w:tc>
          <w:tcPr>
            <w:tcW w:w="640" w:type="dxa"/>
            <w:vAlign w:val="bottom"/>
            <w:shd w:val="clear" w:color="auto" w:fill="D1D2D4"/>
          </w:tcPr>
          <w:p>
            <w:pPr>
              <w:spacing w:after="0"/>
              <w:rPr>
                <w:sz w:val="22"/>
                <w:szCs w:val="22"/>
                <w:color w:val="auto"/>
              </w:rPr>
            </w:pPr>
          </w:p>
        </w:tc>
        <w:tc>
          <w:tcPr>
            <w:tcW w:w="1140" w:type="dxa"/>
            <w:vAlign w:val="bottom"/>
            <w:shd w:val="clear" w:color="auto" w:fill="D1D2D4"/>
          </w:tcPr>
          <w:p>
            <w:pPr>
              <w:spacing w:after="0"/>
              <w:rPr>
                <w:sz w:val="22"/>
                <w:szCs w:val="22"/>
                <w:color w:val="auto"/>
              </w:rPr>
            </w:pPr>
          </w:p>
        </w:tc>
        <w:tc>
          <w:tcPr>
            <w:tcW w:w="300" w:type="dxa"/>
            <w:vAlign w:val="bottom"/>
            <w:shd w:val="clear" w:color="auto" w:fill="D1D2D4"/>
          </w:tcPr>
          <w:p>
            <w:pPr>
              <w:ind w:left="2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D1D2D4"/>
          </w:tcPr>
          <w:p>
            <w:pPr>
              <w:jc w:val="right"/>
              <w:ind w:right="12"/>
              <w:spacing w:after="0"/>
              <w:rPr>
                <w:sz w:val="20"/>
                <w:szCs w:val="20"/>
                <w:color w:val="auto"/>
              </w:rPr>
            </w:pPr>
            <w:r>
              <w:rPr>
                <w:rFonts w:ascii="Arial" w:cs="Arial" w:eastAsia="Arial" w:hAnsi="Arial"/>
                <w:sz w:val="18"/>
                <w:szCs w:val="18"/>
                <w:color w:val="auto"/>
              </w:rPr>
              <w:t>34.72</w:t>
            </w:r>
          </w:p>
        </w:tc>
      </w:tr>
      <w:tr>
        <w:trPr>
          <w:trHeight w:val="250"/>
        </w:trPr>
        <w:tc>
          <w:tcPr>
            <w:tcW w:w="4980" w:type="dxa"/>
            <w:vAlign w:val="bottom"/>
          </w:tcPr>
          <w:p>
            <w:pPr>
              <w:ind w:left="20"/>
              <w:spacing w:after="0"/>
              <w:rPr>
                <w:sz w:val="20"/>
                <w:szCs w:val="20"/>
                <w:color w:val="auto"/>
              </w:rPr>
            </w:pPr>
            <w:r>
              <w:rPr>
                <w:rFonts w:ascii="Arial" w:cs="Arial" w:eastAsia="Arial" w:hAnsi="Arial"/>
                <w:sz w:val="18"/>
                <w:szCs w:val="18"/>
                <w:color w:val="auto"/>
              </w:rPr>
              <w:t>Granted</w:t>
            </w:r>
          </w:p>
        </w:tc>
        <w:tc>
          <w:tcPr>
            <w:tcW w:w="1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00" w:type="dxa"/>
            <w:vAlign w:val="bottom"/>
          </w:tcPr>
          <w:p>
            <w:pPr>
              <w:ind w:left="12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46.44</w:t>
            </w:r>
          </w:p>
        </w:tc>
      </w:tr>
      <w:tr>
        <w:trPr>
          <w:trHeight w:val="263"/>
        </w:trPr>
        <w:tc>
          <w:tcPr>
            <w:tcW w:w="4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Restrictions lapsed</w:t>
            </w:r>
          </w:p>
        </w:tc>
        <w:tc>
          <w:tcPr>
            <w:tcW w:w="1340" w:type="dxa"/>
            <w:vAlign w:val="bottom"/>
            <w:shd w:val="clear" w:color="auto" w:fill="D1D2D4"/>
          </w:tcPr>
          <w:p>
            <w:pPr>
              <w:spacing w:after="0"/>
              <w:rPr>
                <w:sz w:val="22"/>
                <w:szCs w:val="22"/>
                <w:color w:val="auto"/>
              </w:rPr>
            </w:pPr>
          </w:p>
        </w:tc>
        <w:tc>
          <w:tcPr>
            <w:tcW w:w="1360" w:type="dxa"/>
            <w:vAlign w:val="bottom"/>
            <w:shd w:val="clear" w:color="auto" w:fill="D1D2D4"/>
          </w:tcPr>
          <w:p>
            <w:pPr>
              <w:spacing w:after="0"/>
              <w:rPr>
                <w:sz w:val="22"/>
                <w:szCs w:val="22"/>
                <w:color w:val="auto"/>
              </w:rPr>
            </w:pPr>
          </w:p>
        </w:tc>
        <w:tc>
          <w:tcPr>
            <w:tcW w:w="640" w:type="dxa"/>
            <w:vAlign w:val="bottom"/>
            <w:shd w:val="clear" w:color="auto" w:fill="D1D2D4"/>
          </w:tcPr>
          <w:p>
            <w:pPr>
              <w:spacing w:after="0"/>
              <w:rPr>
                <w:sz w:val="22"/>
                <w:szCs w:val="22"/>
                <w:color w:val="auto"/>
              </w:rPr>
            </w:pPr>
          </w:p>
        </w:tc>
        <w:tc>
          <w:tcPr>
            <w:tcW w:w="1140" w:type="dxa"/>
            <w:vAlign w:val="bottom"/>
            <w:shd w:val="clear" w:color="auto" w:fill="D1D2D4"/>
          </w:tcPr>
          <w:p>
            <w:pPr>
              <w:spacing w:after="0"/>
              <w:rPr>
                <w:sz w:val="22"/>
                <w:szCs w:val="22"/>
                <w:color w:val="auto"/>
              </w:rPr>
            </w:pPr>
          </w:p>
        </w:tc>
        <w:tc>
          <w:tcPr>
            <w:tcW w:w="300" w:type="dxa"/>
            <w:vAlign w:val="bottom"/>
            <w:shd w:val="clear" w:color="auto" w:fill="D1D2D4"/>
          </w:tcPr>
          <w:p>
            <w:pPr>
              <w:ind w:left="40"/>
              <w:spacing w:after="0"/>
              <w:rPr>
                <w:sz w:val="20"/>
                <w:szCs w:val="20"/>
                <w:color w:val="auto"/>
              </w:rPr>
            </w:pPr>
            <w:r>
              <w:rPr>
                <w:rFonts w:ascii="Arial" w:cs="Arial" w:eastAsia="Arial" w:hAnsi="Arial"/>
                <w:sz w:val="18"/>
                <w:szCs w:val="18"/>
                <w:color w:val="auto"/>
              </w:rPr>
              <w:t>(6)</w:t>
            </w:r>
          </w:p>
        </w:tc>
        <w:tc>
          <w:tcPr>
            <w:tcW w:w="120" w:type="dxa"/>
            <w:vAlign w:val="bottom"/>
            <w:shd w:val="clear" w:color="auto" w:fill="D1D2D4"/>
          </w:tcPr>
          <w:p>
            <w:pPr>
              <w:spacing w:after="0"/>
              <w:rPr>
                <w:sz w:val="22"/>
                <w:szCs w:val="22"/>
                <w:color w:val="auto"/>
              </w:rPr>
            </w:pPr>
          </w:p>
        </w:tc>
        <w:tc>
          <w:tcPr>
            <w:tcW w:w="1360" w:type="dxa"/>
            <w:vAlign w:val="bottom"/>
            <w:shd w:val="clear" w:color="auto" w:fill="D1D2D4"/>
          </w:tcPr>
          <w:p>
            <w:pPr>
              <w:jc w:val="right"/>
              <w:ind w:right="12"/>
              <w:spacing w:after="0"/>
              <w:rPr>
                <w:sz w:val="20"/>
                <w:szCs w:val="20"/>
                <w:color w:val="auto"/>
              </w:rPr>
            </w:pPr>
            <w:r>
              <w:rPr>
                <w:rFonts w:ascii="Arial" w:cs="Arial" w:eastAsia="Arial" w:hAnsi="Arial"/>
                <w:sz w:val="18"/>
                <w:szCs w:val="18"/>
                <w:color w:val="auto"/>
              </w:rPr>
              <w:t>29.34</w:t>
            </w:r>
          </w:p>
        </w:tc>
      </w:tr>
      <w:tr>
        <w:trPr>
          <w:trHeight w:val="250"/>
        </w:trPr>
        <w:tc>
          <w:tcPr>
            <w:tcW w:w="498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Canceled</w:t>
            </w:r>
          </w:p>
        </w:tc>
        <w:tc>
          <w:tcPr>
            <w:tcW w:w="1340" w:type="dxa"/>
            <w:vAlign w:val="bottom"/>
            <w:tcBorders>
              <w:bottom w:val="single" w:sz="8" w:color="D1D2D4"/>
            </w:tcBorders>
          </w:tcPr>
          <w:p>
            <w:pPr>
              <w:spacing w:after="0"/>
              <w:rPr>
                <w:sz w:val="21"/>
                <w:szCs w:val="21"/>
                <w:color w:val="auto"/>
              </w:rPr>
            </w:pPr>
          </w:p>
        </w:tc>
        <w:tc>
          <w:tcPr>
            <w:tcW w:w="1360" w:type="dxa"/>
            <w:vAlign w:val="bottom"/>
            <w:tcBorders>
              <w:bottom w:val="single" w:sz="8" w:color="D1D2D4"/>
            </w:tcBorders>
          </w:tcPr>
          <w:p>
            <w:pPr>
              <w:spacing w:after="0"/>
              <w:rPr>
                <w:sz w:val="21"/>
                <w:szCs w:val="21"/>
                <w:color w:val="auto"/>
              </w:rPr>
            </w:pPr>
          </w:p>
        </w:tc>
        <w:tc>
          <w:tcPr>
            <w:tcW w:w="640" w:type="dxa"/>
            <w:vAlign w:val="bottom"/>
            <w:tcBorders>
              <w:bottom w:val="single" w:sz="8" w:color="D1D2D4"/>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D1D2D4"/>
            </w:tcBorders>
          </w:tcPr>
          <w:p>
            <w:pPr>
              <w:spacing w:after="0"/>
              <w:rPr>
                <w:sz w:val="21"/>
                <w:szCs w:val="21"/>
                <w:color w:val="auto"/>
              </w:rPr>
            </w:pPr>
          </w:p>
        </w:tc>
        <w:tc>
          <w:tcPr>
            <w:tcW w:w="1360" w:type="dxa"/>
            <w:vAlign w:val="bottom"/>
            <w:tcBorders>
              <w:bottom w:val="single" w:sz="8" w:color="D1D2D4"/>
            </w:tcBorders>
          </w:tcPr>
          <w:p>
            <w:pPr>
              <w:jc w:val="right"/>
              <w:ind w:right="12"/>
              <w:spacing w:after="0"/>
              <w:rPr>
                <w:sz w:val="20"/>
                <w:szCs w:val="20"/>
                <w:color w:val="auto"/>
              </w:rPr>
            </w:pPr>
            <w:r>
              <w:rPr>
                <w:rFonts w:ascii="Arial" w:cs="Arial" w:eastAsia="Arial" w:hAnsi="Arial"/>
                <w:sz w:val="18"/>
                <w:szCs w:val="18"/>
                <w:color w:val="auto"/>
              </w:rPr>
              <w:t>40.59</w:t>
            </w:r>
          </w:p>
        </w:tc>
      </w:tr>
      <w:tr>
        <w:trPr>
          <w:trHeight w:val="282"/>
        </w:trPr>
        <w:tc>
          <w:tcPr>
            <w:tcW w:w="498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Outstanding as of September 3, 2020</w:t>
            </w:r>
          </w:p>
        </w:tc>
        <w:tc>
          <w:tcPr>
            <w:tcW w:w="1340" w:type="dxa"/>
            <w:vAlign w:val="bottom"/>
            <w:tcBorders>
              <w:bottom w:val="single" w:sz="8" w:color="D1D2D4"/>
            </w:tcBorders>
            <w:shd w:val="clear" w:color="auto" w:fill="D1D2D4"/>
          </w:tcPr>
          <w:p>
            <w:pPr>
              <w:spacing w:after="0"/>
              <w:rPr>
                <w:sz w:val="24"/>
                <w:szCs w:val="24"/>
                <w:color w:val="auto"/>
              </w:rPr>
            </w:pPr>
          </w:p>
        </w:tc>
        <w:tc>
          <w:tcPr>
            <w:tcW w:w="1360" w:type="dxa"/>
            <w:vAlign w:val="bottom"/>
            <w:tcBorders>
              <w:bottom w:val="single" w:sz="8" w:color="D1D2D4"/>
            </w:tcBorders>
            <w:shd w:val="clear" w:color="auto" w:fill="D1D2D4"/>
          </w:tcPr>
          <w:p>
            <w:pPr>
              <w:spacing w:after="0"/>
              <w:rPr>
                <w:sz w:val="24"/>
                <w:szCs w:val="24"/>
                <w:color w:val="auto"/>
              </w:rPr>
            </w:pPr>
          </w:p>
        </w:tc>
        <w:tc>
          <w:tcPr>
            <w:tcW w:w="640" w:type="dxa"/>
            <w:vAlign w:val="bottom"/>
            <w:tcBorders>
              <w:bottom w:val="single" w:sz="8" w:color="D1D2D4"/>
            </w:tcBorders>
            <w:shd w:val="clear" w:color="auto" w:fill="D1D2D4"/>
          </w:tcPr>
          <w:p>
            <w:pPr>
              <w:spacing w:after="0"/>
              <w:rPr>
                <w:sz w:val="24"/>
                <w:szCs w:val="24"/>
                <w:color w:val="auto"/>
              </w:rPr>
            </w:pPr>
          </w:p>
        </w:tc>
        <w:tc>
          <w:tcPr>
            <w:tcW w:w="1140" w:type="dxa"/>
            <w:vAlign w:val="bottom"/>
            <w:tcBorders>
              <w:bottom w:val="single" w:sz="8" w:color="auto"/>
            </w:tcBorders>
            <w:shd w:val="clear" w:color="auto" w:fill="D1D2D4"/>
          </w:tcPr>
          <w:p>
            <w:pPr>
              <w:spacing w:after="0"/>
              <w:rPr>
                <w:sz w:val="24"/>
                <w:szCs w:val="24"/>
                <w:color w:val="auto"/>
              </w:rPr>
            </w:pPr>
          </w:p>
        </w:tc>
        <w:tc>
          <w:tcPr>
            <w:tcW w:w="300" w:type="dxa"/>
            <w:vAlign w:val="bottom"/>
            <w:tcBorders>
              <w:bottom w:val="single" w:sz="8" w:color="auto"/>
            </w:tcBorders>
            <w:shd w:val="clear" w:color="auto" w:fill="D1D2D4"/>
          </w:tcPr>
          <w:p>
            <w:pPr>
              <w:ind w:left="2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D1D2D4"/>
            </w:tcBorders>
            <w:shd w:val="clear" w:color="auto" w:fill="D1D2D4"/>
          </w:tcPr>
          <w:p>
            <w:pPr>
              <w:spacing w:after="0"/>
              <w:rPr>
                <w:sz w:val="24"/>
                <w:szCs w:val="24"/>
                <w:color w:val="auto"/>
              </w:rPr>
            </w:pPr>
          </w:p>
        </w:tc>
        <w:tc>
          <w:tcPr>
            <w:tcW w:w="1360" w:type="dxa"/>
            <w:vAlign w:val="bottom"/>
            <w:tcBorders>
              <w:bottom w:val="single" w:sz="8" w:color="D1D2D4"/>
            </w:tcBorders>
            <w:shd w:val="clear" w:color="auto" w:fill="D1D2D4"/>
          </w:tcPr>
          <w:p>
            <w:pPr>
              <w:jc w:val="right"/>
              <w:ind w:right="12"/>
              <w:spacing w:after="0"/>
              <w:rPr>
                <w:sz w:val="20"/>
                <w:szCs w:val="20"/>
                <w:color w:val="auto"/>
              </w:rPr>
            </w:pPr>
            <w:r>
              <w:rPr>
                <w:rFonts w:ascii="Arial" w:cs="Arial" w:eastAsia="Arial" w:hAnsi="Arial"/>
                <w:sz w:val="18"/>
                <w:szCs w:val="18"/>
                <w:color w:val="auto"/>
              </w:rPr>
              <w:t>42.13</w:t>
            </w:r>
          </w:p>
        </w:tc>
      </w:tr>
      <w:tr>
        <w:trPr>
          <w:trHeight w:val="20"/>
        </w:trPr>
        <w:tc>
          <w:tcPr>
            <w:tcW w:w="4980" w:type="dxa"/>
            <w:vAlign w:val="bottom"/>
            <w:tcBorders>
              <w:top w:val="single" w:sz="8" w:color="D1D2D4"/>
            </w:tcBorders>
          </w:tcPr>
          <w:p>
            <w:pPr>
              <w:spacing w:after="0" w:line="20" w:lineRule="exact"/>
              <w:rPr>
                <w:sz w:val="1"/>
                <w:szCs w:val="1"/>
                <w:color w:val="auto"/>
              </w:rPr>
            </w:pPr>
          </w:p>
        </w:tc>
        <w:tc>
          <w:tcPr>
            <w:tcW w:w="1340" w:type="dxa"/>
            <w:vAlign w:val="bottom"/>
            <w:tcBorders>
              <w:top w:val="single" w:sz="8" w:color="D1D2D4"/>
            </w:tcBorders>
          </w:tcPr>
          <w:p>
            <w:pPr>
              <w:spacing w:after="0" w:line="20" w:lineRule="exact"/>
              <w:rPr>
                <w:sz w:val="1"/>
                <w:szCs w:val="1"/>
                <w:color w:val="auto"/>
              </w:rPr>
            </w:pPr>
          </w:p>
        </w:tc>
        <w:tc>
          <w:tcPr>
            <w:tcW w:w="1360" w:type="dxa"/>
            <w:vAlign w:val="bottom"/>
            <w:tcBorders>
              <w:top w:val="single" w:sz="8" w:color="D1D2D4"/>
            </w:tcBorders>
          </w:tcPr>
          <w:p>
            <w:pPr>
              <w:spacing w:after="0" w:line="20" w:lineRule="exact"/>
              <w:rPr>
                <w:sz w:val="1"/>
                <w:szCs w:val="1"/>
                <w:color w:val="auto"/>
              </w:rPr>
            </w:pPr>
          </w:p>
        </w:tc>
        <w:tc>
          <w:tcPr>
            <w:tcW w:w="640" w:type="dxa"/>
            <w:vAlign w:val="bottom"/>
            <w:tcBorders>
              <w:top w:val="single" w:sz="8" w:color="D1D2D4"/>
            </w:tcBorders>
          </w:tcPr>
          <w:p>
            <w:pPr>
              <w:spacing w:after="0" w:line="20" w:lineRule="exact"/>
              <w:rPr>
                <w:sz w:val="1"/>
                <w:szCs w:val="1"/>
                <w:color w:val="auto"/>
              </w:rPr>
            </w:pPr>
          </w:p>
        </w:tc>
        <w:tc>
          <w:tcPr>
            <w:tcW w:w="1140" w:type="dxa"/>
            <w:vAlign w:val="bottom"/>
            <w:tcBorders>
              <w:top w:val="single" w:sz="8" w:color="D1D2D4"/>
              <w:bottom w:val="single" w:sz="8" w:color="auto"/>
            </w:tcBorders>
          </w:tcPr>
          <w:p>
            <w:pPr>
              <w:spacing w:after="0" w:line="20" w:lineRule="exact"/>
              <w:rPr>
                <w:sz w:val="1"/>
                <w:szCs w:val="1"/>
                <w:color w:val="auto"/>
              </w:rPr>
            </w:pPr>
          </w:p>
        </w:tc>
        <w:tc>
          <w:tcPr>
            <w:tcW w:w="300" w:type="dxa"/>
            <w:vAlign w:val="bottom"/>
            <w:tcBorders>
              <w:top w:val="single" w:sz="8" w:color="D1D2D4"/>
              <w:bottom w:val="single" w:sz="8" w:color="auto"/>
            </w:tcBorders>
          </w:tcPr>
          <w:p>
            <w:pPr>
              <w:spacing w:after="0" w:line="20" w:lineRule="exact"/>
              <w:rPr>
                <w:sz w:val="1"/>
                <w:szCs w:val="1"/>
                <w:color w:val="auto"/>
              </w:rPr>
            </w:pPr>
          </w:p>
        </w:tc>
        <w:tc>
          <w:tcPr>
            <w:tcW w:w="120" w:type="dxa"/>
            <w:vAlign w:val="bottom"/>
            <w:tcBorders>
              <w:top w:val="single" w:sz="8" w:color="D1D2D4"/>
            </w:tcBorders>
          </w:tcPr>
          <w:p>
            <w:pPr>
              <w:spacing w:after="0" w:line="20" w:lineRule="exact"/>
              <w:rPr>
                <w:sz w:val="1"/>
                <w:szCs w:val="1"/>
                <w:color w:val="auto"/>
              </w:rPr>
            </w:pPr>
          </w:p>
        </w:tc>
        <w:tc>
          <w:tcPr>
            <w:tcW w:w="1360" w:type="dxa"/>
            <w:vAlign w:val="bottom"/>
            <w:tcBorders>
              <w:top w:val="single" w:sz="8" w:color="D1D2D4"/>
            </w:tcBorders>
          </w:tcPr>
          <w:p>
            <w:pPr>
              <w:spacing w:after="0" w:line="20" w:lineRule="exact"/>
              <w:rPr>
                <w:sz w:val="1"/>
                <w:szCs w:val="1"/>
                <w:color w:val="auto"/>
              </w:rPr>
            </w:pPr>
          </w:p>
        </w:tc>
      </w:tr>
      <w:tr>
        <w:trPr>
          <w:trHeight w:val="602"/>
        </w:trPr>
        <w:tc>
          <w:tcPr>
            <w:tcW w:w="498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For the year ended</w:t>
            </w:r>
          </w:p>
        </w:tc>
        <w:tc>
          <w:tcPr>
            <w:tcW w:w="1340" w:type="dxa"/>
            <w:vAlign w:val="bottom"/>
            <w:tcBorders>
              <w:bottom w:val="single" w:sz="8" w:color="0090DA"/>
            </w:tcBorders>
          </w:tcPr>
          <w:p>
            <w:pPr>
              <w:spacing w:after="0"/>
              <w:rPr>
                <w:sz w:val="24"/>
                <w:szCs w:val="24"/>
                <w:color w:val="auto"/>
              </w:rPr>
            </w:pPr>
          </w:p>
        </w:tc>
        <w:tc>
          <w:tcPr>
            <w:tcW w:w="1360" w:type="dxa"/>
            <w:vAlign w:val="bottom"/>
            <w:tcBorders>
              <w:bottom w:val="single" w:sz="8" w:color="0090DA"/>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640" w:type="dxa"/>
            <w:vAlign w:val="bottom"/>
            <w:tcBorders>
              <w:bottom w:val="single" w:sz="8" w:color="0090DA"/>
            </w:tcBorders>
          </w:tcPr>
          <w:p>
            <w:pPr>
              <w:spacing w:after="0"/>
              <w:rPr>
                <w:sz w:val="24"/>
                <w:szCs w:val="24"/>
                <w:color w:val="auto"/>
              </w:rPr>
            </w:pPr>
          </w:p>
        </w:tc>
        <w:tc>
          <w:tcPr>
            <w:tcW w:w="1140" w:type="dxa"/>
            <w:vAlign w:val="bottom"/>
            <w:tcBorders>
              <w:bottom w:val="single" w:sz="8" w:color="0090DA"/>
            </w:tcBorders>
          </w:tcPr>
          <w:p>
            <w:pPr>
              <w:jc w:val="right"/>
              <w:ind w:right="592"/>
              <w:spacing w:after="0"/>
              <w:rPr>
                <w:sz w:val="20"/>
                <w:szCs w:val="20"/>
                <w:color w:val="auto"/>
              </w:rPr>
            </w:pPr>
            <w:r>
              <w:rPr>
                <w:rFonts w:ascii="Arial" w:cs="Arial" w:eastAsia="Arial" w:hAnsi="Arial"/>
                <w:sz w:val="18"/>
                <w:szCs w:val="18"/>
                <w:b w:val="1"/>
                <w:bCs w:val="1"/>
                <w:color w:val="auto"/>
              </w:rPr>
              <w:t>2019</w:t>
            </w:r>
          </w:p>
        </w:tc>
        <w:tc>
          <w:tcPr>
            <w:tcW w:w="300" w:type="dxa"/>
            <w:vAlign w:val="bottom"/>
            <w:tcBorders>
              <w:bottom w:val="single" w:sz="8" w:color="0090DA"/>
            </w:tcBorders>
          </w:tcPr>
          <w:p>
            <w:pPr>
              <w:spacing w:after="0"/>
              <w:rPr>
                <w:sz w:val="24"/>
                <w:szCs w:val="24"/>
                <w:color w:val="auto"/>
              </w:rPr>
            </w:pPr>
          </w:p>
        </w:tc>
        <w:tc>
          <w:tcPr>
            <w:tcW w:w="120" w:type="dxa"/>
            <w:vAlign w:val="bottom"/>
            <w:tcBorders>
              <w:bottom w:val="single" w:sz="8" w:color="0090DA"/>
            </w:tcBorders>
          </w:tcPr>
          <w:p>
            <w:pPr>
              <w:spacing w:after="0"/>
              <w:rPr>
                <w:sz w:val="24"/>
                <w:szCs w:val="24"/>
                <w:color w:val="auto"/>
              </w:rPr>
            </w:pPr>
          </w:p>
        </w:tc>
        <w:tc>
          <w:tcPr>
            <w:tcW w:w="1360" w:type="dxa"/>
            <w:vAlign w:val="bottom"/>
            <w:tcBorders>
              <w:bottom w:val="single" w:sz="8" w:color="0090DA"/>
            </w:tcBorders>
          </w:tcPr>
          <w:p>
            <w:pPr>
              <w:jc w:val="right"/>
              <w:ind w:right="672"/>
              <w:spacing w:after="0"/>
              <w:rPr>
                <w:sz w:val="20"/>
                <w:szCs w:val="20"/>
                <w:color w:val="auto"/>
              </w:rPr>
            </w:pPr>
            <w:r>
              <w:rPr>
                <w:rFonts w:ascii="Arial" w:cs="Arial" w:eastAsia="Arial" w:hAnsi="Arial"/>
                <w:sz w:val="18"/>
                <w:szCs w:val="18"/>
                <w:b w:val="1"/>
                <w:bCs w:val="1"/>
                <w:color w:val="auto"/>
              </w:rPr>
              <w:t>2018</w:t>
            </w:r>
          </w:p>
        </w:tc>
      </w:tr>
      <w:tr>
        <w:trPr>
          <w:trHeight w:val="41"/>
        </w:trPr>
        <w:tc>
          <w:tcPr>
            <w:tcW w:w="49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56"/>
        </w:trPr>
        <w:tc>
          <w:tcPr>
            <w:tcW w:w="4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Restricted stock award shares granted</w:t>
            </w:r>
          </w:p>
        </w:tc>
        <w:tc>
          <w:tcPr>
            <w:tcW w:w="1340" w:type="dxa"/>
            <w:vAlign w:val="bottom"/>
            <w:shd w:val="clear" w:color="auto" w:fill="D1D2D4"/>
          </w:tcPr>
          <w:p>
            <w:pPr>
              <w:spacing w:after="0"/>
              <w:rPr>
                <w:sz w:val="22"/>
                <w:szCs w:val="22"/>
                <w:color w:val="auto"/>
              </w:rPr>
            </w:pPr>
          </w:p>
        </w:tc>
        <w:tc>
          <w:tcPr>
            <w:tcW w:w="13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w:t>
            </w:r>
          </w:p>
        </w:tc>
        <w:tc>
          <w:tcPr>
            <w:tcW w:w="640" w:type="dxa"/>
            <w:vAlign w:val="bottom"/>
            <w:shd w:val="clear" w:color="auto" w:fill="D1D2D4"/>
          </w:tcPr>
          <w:p>
            <w:pPr>
              <w:spacing w:after="0"/>
              <w:rPr>
                <w:sz w:val="22"/>
                <w:szCs w:val="22"/>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w:t>
            </w:r>
          </w:p>
        </w:tc>
        <w:tc>
          <w:tcPr>
            <w:tcW w:w="300" w:type="dxa"/>
            <w:vAlign w:val="bottom"/>
            <w:shd w:val="clear" w:color="auto" w:fill="D1D2D4"/>
          </w:tcPr>
          <w:p>
            <w:pPr>
              <w:spacing w:after="0"/>
              <w:rPr>
                <w:sz w:val="22"/>
                <w:szCs w:val="22"/>
                <w:color w:val="auto"/>
              </w:rPr>
            </w:pPr>
          </w:p>
        </w:tc>
        <w:tc>
          <w:tcPr>
            <w:tcW w:w="120" w:type="dxa"/>
            <w:vAlign w:val="bottom"/>
            <w:shd w:val="clear" w:color="auto" w:fill="D1D2D4"/>
          </w:tcPr>
          <w:p>
            <w:pPr>
              <w:spacing w:after="0"/>
              <w:rPr>
                <w:sz w:val="22"/>
                <w:szCs w:val="22"/>
                <w:color w:val="auto"/>
              </w:rPr>
            </w:pPr>
          </w:p>
        </w:tc>
        <w:tc>
          <w:tcPr>
            <w:tcW w:w="13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w:t>
            </w:r>
          </w:p>
        </w:tc>
      </w:tr>
      <w:tr>
        <w:trPr>
          <w:trHeight w:val="250"/>
        </w:trPr>
        <w:tc>
          <w:tcPr>
            <w:tcW w:w="4980" w:type="dxa"/>
            <w:vAlign w:val="bottom"/>
          </w:tcPr>
          <w:p>
            <w:pPr>
              <w:ind w:left="20"/>
              <w:spacing w:after="0"/>
              <w:rPr>
                <w:sz w:val="20"/>
                <w:szCs w:val="20"/>
                <w:color w:val="auto"/>
              </w:rPr>
            </w:pPr>
            <w:r>
              <w:rPr>
                <w:rFonts w:ascii="Arial" w:cs="Arial" w:eastAsia="Arial" w:hAnsi="Arial"/>
                <w:sz w:val="18"/>
                <w:szCs w:val="18"/>
                <w:color w:val="auto"/>
              </w:rPr>
              <w:t>Weighted-average grant-date fair value per share</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46.44</w:t>
            </w: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41.11</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42.48</w:t>
            </w:r>
          </w:p>
        </w:tc>
      </w:tr>
      <w:tr>
        <w:trPr>
          <w:trHeight w:val="263"/>
        </w:trPr>
        <w:tc>
          <w:tcPr>
            <w:tcW w:w="4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Aggregate vesting-date fair value of shares vested</w:t>
            </w:r>
          </w:p>
        </w:tc>
        <w:tc>
          <w:tcPr>
            <w:tcW w:w="1340" w:type="dxa"/>
            <w:vAlign w:val="bottom"/>
            <w:shd w:val="clear" w:color="auto" w:fill="D1D2D4"/>
          </w:tcPr>
          <w:p>
            <w:pPr>
              <w:jc w:val="right"/>
              <w:ind w:right="190"/>
              <w:spacing w:after="0"/>
              <w:rPr>
                <w:sz w:val="20"/>
                <w:szCs w:val="20"/>
                <w:color w:val="auto"/>
              </w:rPr>
            </w:pPr>
            <w:r>
              <w:rPr>
                <w:rFonts w:ascii="Arial" w:cs="Arial" w:eastAsia="Arial" w:hAnsi="Arial"/>
                <w:sz w:val="18"/>
                <w:szCs w:val="18"/>
                <w:color w:val="auto"/>
              </w:rPr>
              <w:t>$</w:t>
            </w:r>
          </w:p>
        </w:tc>
        <w:tc>
          <w:tcPr>
            <w:tcW w:w="13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294</w:t>
            </w:r>
          </w:p>
        </w:tc>
        <w:tc>
          <w:tcPr>
            <w:tcW w:w="640" w:type="dxa"/>
            <w:vAlign w:val="bottom"/>
            <w:shd w:val="clear" w:color="auto" w:fill="D1D2D4"/>
          </w:tcPr>
          <w:p>
            <w:pPr>
              <w:jc w:val="right"/>
              <w:ind w:right="4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1D2D4"/>
          </w:tcPr>
          <w:p>
            <w:pPr>
              <w:jc w:val="right"/>
              <w:ind w:right="12"/>
              <w:spacing w:after="0"/>
              <w:rPr>
                <w:sz w:val="20"/>
                <w:szCs w:val="20"/>
                <w:color w:val="auto"/>
              </w:rPr>
            </w:pPr>
            <w:r>
              <w:rPr>
                <w:rFonts w:ascii="Arial" w:cs="Arial" w:eastAsia="Arial" w:hAnsi="Arial"/>
                <w:sz w:val="18"/>
                <w:szCs w:val="18"/>
                <w:color w:val="auto"/>
              </w:rPr>
              <w:t>248</w:t>
            </w:r>
          </w:p>
        </w:tc>
        <w:tc>
          <w:tcPr>
            <w:tcW w:w="300" w:type="dxa"/>
            <w:vAlign w:val="bottom"/>
            <w:shd w:val="clear" w:color="auto" w:fill="D1D2D4"/>
          </w:tcPr>
          <w:p>
            <w:pPr>
              <w:ind w:lef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22"/>
                <w:szCs w:val="22"/>
                <w:color w:val="auto"/>
              </w:rPr>
            </w:pPr>
          </w:p>
        </w:tc>
        <w:tc>
          <w:tcPr>
            <w:tcW w:w="1360" w:type="dxa"/>
            <w:vAlign w:val="bottom"/>
            <w:shd w:val="clear" w:color="auto" w:fill="D1D2D4"/>
          </w:tcPr>
          <w:p>
            <w:pPr>
              <w:jc w:val="right"/>
              <w:ind w:right="12"/>
              <w:spacing w:after="0"/>
              <w:rPr>
                <w:sz w:val="20"/>
                <w:szCs w:val="20"/>
                <w:color w:val="auto"/>
              </w:rPr>
            </w:pPr>
            <w:r>
              <w:rPr>
                <w:rFonts w:ascii="Arial" w:cs="Arial" w:eastAsia="Arial" w:hAnsi="Arial"/>
                <w:sz w:val="18"/>
                <w:szCs w:val="18"/>
                <w:color w:val="auto"/>
              </w:rPr>
              <w:t>259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71 </w:t>
      </w:r>
      <w:r>
        <w:rPr>
          <w:rFonts w:ascii="Arial" w:cs="Arial" w:eastAsia="Arial" w:hAnsi="Arial"/>
          <w:sz w:val="21"/>
          <w:szCs w:val="21"/>
          <w:b w:val="1"/>
          <w:bCs w:val="1"/>
          <w:color w:val="0090DA"/>
        </w:rPr>
        <w:t>|</w:t>
      </w:r>
      <w:r>
        <w:rPr>
          <w:rFonts w:ascii="Arial" w:cs="Arial" w:eastAsia="Arial" w:hAnsi="Arial"/>
          <w:sz w:val="18"/>
          <w:szCs w:val="18"/>
          <w:color w:val="auto"/>
        </w:rPr>
        <w:t xml:space="preserve"> 2020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74" w:name="page75"/>
    <w:bookmarkEnd w:id="74"/>
    <w:p>
      <w:pPr>
        <w:spacing w:after="0"/>
        <w:rPr>
          <w:sz w:val="20"/>
          <w:szCs w:val="20"/>
          <w:color w:val="auto"/>
        </w:rPr>
      </w:pPr>
      <w:r>
        <w:rPr>
          <w:rFonts w:ascii="Arial" w:cs="Arial" w:eastAsia="Arial" w:hAnsi="Arial"/>
          <w:sz w:val="22"/>
          <w:szCs w:val="22"/>
          <w:b w:val="1"/>
          <w:bCs w:val="1"/>
          <w:color w:val="0090DA"/>
        </w:rPr>
        <w:t>Employee Stock Purchase Plan</w:t>
      </w:r>
    </w:p>
    <w:p>
      <w:pPr>
        <w:spacing w:after="0" w:line="26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ESPP was offered to substantially all employees beginning in August 2018 and permits eligible employees to purchase shares of our common stock through payroll deductions of up to 10% of their eligible compensation, subject to certain limitations. The purchase price of the shares under the ESPP equals 85% of the lower of the fair market value of our common stock on either the first or last day of each six-month offering period. Compensation expense is calculated as of the beginning of the offering period as the fair value of the employees’ purchase rights utilizing the Black-Scholes option valuation model and is recognized over the offering period. Grant-date fair value and assumptions used in the Black-Scholes option valuation model were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84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For the year ended</w:t>
            </w:r>
          </w:p>
        </w:tc>
        <w:tc>
          <w:tcPr>
            <w:tcW w:w="1300" w:type="dxa"/>
            <w:vAlign w:val="bottom"/>
            <w:tcBorders>
              <w:bottom w:val="single" w:sz="8" w:color="0090DA"/>
            </w:tcBorders>
          </w:tcPr>
          <w:p>
            <w:pPr>
              <w:spacing w:after="0"/>
              <w:rPr>
                <w:sz w:val="21"/>
                <w:szCs w:val="21"/>
                <w:color w:val="auto"/>
              </w:rPr>
            </w:pPr>
          </w:p>
        </w:tc>
        <w:tc>
          <w:tcPr>
            <w:tcW w:w="1140" w:type="dxa"/>
            <w:vAlign w:val="bottom"/>
            <w:tcBorders>
              <w:bottom w:val="single" w:sz="8" w:color="0090DA"/>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720" w:type="dxa"/>
            <w:vAlign w:val="bottom"/>
            <w:tcBorders>
              <w:bottom w:val="single" w:sz="8" w:color="0090DA"/>
            </w:tcBorders>
          </w:tcPr>
          <w:p>
            <w:pPr>
              <w:spacing w:after="0"/>
              <w:rPr>
                <w:sz w:val="21"/>
                <w:szCs w:val="21"/>
                <w:color w:val="auto"/>
              </w:rPr>
            </w:pPr>
          </w:p>
        </w:tc>
        <w:tc>
          <w:tcPr>
            <w:tcW w:w="1140" w:type="dxa"/>
            <w:vAlign w:val="bottom"/>
            <w:tcBorders>
              <w:bottom w:val="single" w:sz="8" w:color="0090DA"/>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740" w:type="dxa"/>
            <w:vAlign w:val="bottom"/>
            <w:tcBorders>
              <w:bottom w:val="single" w:sz="8" w:color="0090DA"/>
            </w:tcBorders>
          </w:tcPr>
          <w:p>
            <w:pPr>
              <w:spacing w:after="0"/>
              <w:rPr>
                <w:sz w:val="21"/>
                <w:szCs w:val="21"/>
                <w:color w:val="auto"/>
              </w:rPr>
            </w:pPr>
          </w:p>
        </w:tc>
        <w:tc>
          <w:tcPr>
            <w:tcW w:w="1040" w:type="dxa"/>
            <w:vAlign w:val="bottom"/>
            <w:tcBorders>
              <w:bottom w:val="single" w:sz="8" w:color="0090DA"/>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320" w:type="dxa"/>
            <w:vAlign w:val="bottom"/>
            <w:tcBorders>
              <w:bottom w:val="single" w:sz="8" w:color="0090DA"/>
            </w:tcBorders>
          </w:tcPr>
          <w:p>
            <w:pPr>
              <w:spacing w:after="0"/>
              <w:rPr>
                <w:sz w:val="21"/>
                <w:szCs w:val="21"/>
                <w:color w:val="auto"/>
              </w:rPr>
            </w:pPr>
          </w:p>
        </w:tc>
      </w:tr>
      <w:tr>
        <w:trPr>
          <w:trHeight w:val="41"/>
        </w:trPr>
        <w:tc>
          <w:tcPr>
            <w:tcW w:w="48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20" w:type="dxa"/>
            <w:vAlign w:val="bottom"/>
          </w:tcPr>
          <w:p>
            <w:pPr>
              <w:spacing w:after="0"/>
              <w:rPr>
                <w:sz w:val="3"/>
                <w:szCs w:val="3"/>
                <w:color w:val="auto"/>
              </w:rPr>
            </w:pPr>
          </w:p>
        </w:tc>
      </w:tr>
      <w:tr>
        <w:trPr>
          <w:trHeight w:val="256"/>
        </w:trPr>
        <w:tc>
          <w:tcPr>
            <w:tcW w:w="4840" w:type="dxa"/>
            <w:vAlign w:val="bottom"/>
            <w:shd w:val="clear" w:color="auto" w:fill="D1D2D4"/>
          </w:tcPr>
          <w:p>
            <w:pPr>
              <w:ind w:left="20"/>
              <w:spacing w:after="0"/>
              <w:rPr>
                <w:sz w:val="20"/>
                <w:szCs w:val="20"/>
                <w:color w:val="auto"/>
              </w:rPr>
            </w:pPr>
            <w:r>
              <w:rPr>
                <w:rFonts w:ascii="Arial" w:cs="Arial" w:eastAsia="Arial" w:hAnsi="Arial"/>
                <w:sz w:val="18"/>
                <w:szCs w:val="18"/>
                <w:color w:val="auto"/>
              </w:rPr>
              <w:t>Weighted-average grant-date fair value per share</w:t>
            </w:r>
          </w:p>
        </w:tc>
        <w:tc>
          <w:tcPr>
            <w:tcW w:w="1300" w:type="dxa"/>
            <w:vAlign w:val="bottom"/>
            <w:shd w:val="clear" w:color="auto" w:fill="D1D2D4"/>
          </w:tcPr>
          <w:p>
            <w:pPr>
              <w:jc w:val="right"/>
              <w:ind w:right="2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14.24</w:t>
            </w:r>
          </w:p>
        </w:tc>
        <w:tc>
          <w:tcPr>
            <w:tcW w:w="720" w:type="dxa"/>
            <w:vAlign w:val="bottom"/>
            <w:shd w:val="clear" w:color="auto" w:fill="D1D2D4"/>
          </w:tcPr>
          <w:p>
            <w:pPr>
              <w:jc w:val="right"/>
              <w:ind w:right="1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11.60</w:t>
            </w:r>
          </w:p>
        </w:tc>
        <w:tc>
          <w:tcPr>
            <w:tcW w:w="740" w:type="dxa"/>
            <w:vAlign w:val="bottom"/>
            <w:shd w:val="clear" w:color="auto" w:fill="D1D2D4"/>
          </w:tcPr>
          <w:p>
            <w:pPr>
              <w:jc w:val="right"/>
              <w:ind w:right="2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14.55</w:t>
            </w:r>
          </w:p>
        </w:tc>
        <w:tc>
          <w:tcPr>
            <w:tcW w:w="320" w:type="dxa"/>
            <w:vAlign w:val="bottom"/>
            <w:shd w:val="clear" w:color="auto" w:fill="D1D2D4"/>
          </w:tcPr>
          <w:p>
            <w:pPr>
              <w:spacing w:after="0"/>
              <w:rPr>
                <w:sz w:val="22"/>
                <w:szCs w:val="22"/>
                <w:color w:val="auto"/>
              </w:rPr>
            </w:pPr>
          </w:p>
        </w:tc>
      </w:tr>
      <w:tr>
        <w:trPr>
          <w:trHeight w:val="250"/>
        </w:trPr>
        <w:tc>
          <w:tcPr>
            <w:tcW w:w="4840" w:type="dxa"/>
            <w:vAlign w:val="bottom"/>
          </w:tcPr>
          <w:p>
            <w:pPr>
              <w:ind w:left="20"/>
              <w:spacing w:after="0"/>
              <w:rPr>
                <w:sz w:val="20"/>
                <w:szCs w:val="20"/>
                <w:color w:val="auto"/>
              </w:rPr>
            </w:pPr>
            <w:r>
              <w:rPr>
                <w:rFonts w:ascii="Arial" w:cs="Arial" w:eastAsia="Arial" w:hAnsi="Arial"/>
                <w:sz w:val="18"/>
                <w:szCs w:val="18"/>
                <w:color w:val="auto"/>
              </w:rPr>
              <w:t>Average expected life in years</w:t>
            </w:r>
          </w:p>
        </w:tc>
        <w:tc>
          <w:tcPr>
            <w:tcW w:w="1300" w:type="dxa"/>
            <w:vAlign w:val="bottom"/>
          </w:tcPr>
          <w:p>
            <w:pPr>
              <w:spacing w:after="0"/>
              <w:rPr>
                <w:sz w:val="21"/>
                <w:szCs w:val="21"/>
                <w:color w:val="auto"/>
              </w:rPr>
            </w:pPr>
          </w:p>
        </w:tc>
        <w:tc>
          <w:tcPr>
            <w:tcW w:w="1860" w:type="dxa"/>
            <w:vAlign w:val="bottom"/>
            <w:gridSpan w:val="2"/>
          </w:tcPr>
          <w:p>
            <w:pPr>
              <w:jc w:val="right"/>
              <w:ind w:right="450"/>
              <w:spacing w:after="0"/>
              <w:rPr>
                <w:sz w:val="20"/>
                <w:szCs w:val="20"/>
                <w:color w:val="auto"/>
              </w:rPr>
            </w:pPr>
            <w:r>
              <w:rPr>
                <w:rFonts w:ascii="Arial" w:cs="Arial" w:eastAsia="Arial" w:hAnsi="Arial"/>
                <w:sz w:val="18"/>
                <w:szCs w:val="18"/>
                <w:color w:val="auto"/>
              </w:rPr>
              <w:t>0.5</w:t>
            </w:r>
          </w:p>
        </w:tc>
        <w:tc>
          <w:tcPr>
            <w:tcW w:w="1880" w:type="dxa"/>
            <w:vAlign w:val="bottom"/>
            <w:gridSpan w:val="2"/>
          </w:tcPr>
          <w:p>
            <w:pPr>
              <w:jc w:val="right"/>
              <w:ind w:right="450"/>
              <w:spacing w:after="0"/>
              <w:rPr>
                <w:sz w:val="20"/>
                <w:szCs w:val="20"/>
                <w:color w:val="auto"/>
              </w:rPr>
            </w:pPr>
            <w:r>
              <w:rPr>
                <w:rFonts w:ascii="Arial" w:cs="Arial" w:eastAsia="Arial" w:hAnsi="Arial"/>
                <w:sz w:val="18"/>
                <w:szCs w:val="18"/>
                <w:color w:val="auto"/>
              </w:rPr>
              <w:t>0.5</w:t>
            </w:r>
          </w:p>
        </w:tc>
        <w:tc>
          <w:tcPr>
            <w:tcW w:w="1360" w:type="dxa"/>
            <w:vAlign w:val="bottom"/>
            <w:gridSpan w:val="2"/>
          </w:tcPr>
          <w:p>
            <w:pPr>
              <w:jc w:val="right"/>
              <w:ind w:right="30"/>
              <w:spacing w:after="0"/>
              <w:rPr>
                <w:sz w:val="20"/>
                <w:szCs w:val="20"/>
                <w:color w:val="auto"/>
              </w:rPr>
            </w:pPr>
            <w:r>
              <w:rPr>
                <w:rFonts w:ascii="Arial" w:cs="Arial" w:eastAsia="Arial" w:hAnsi="Arial"/>
                <w:sz w:val="18"/>
                <w:szCs w:val="18"/>
                <w:color w:val="auto"/>
              </w:rPr>
              <w:t>0.5</w:t>
            </w:r>
          </w:p>
        </w:tc>
      </w:tr>
      <w:tr>
        <w:trPr>
          <w:trHeight w:val="263"/>
        </w:trPr>
        <w:tc>
          <w:tcPr>
            <w:tcW w:w="4840" w:type="dxa"/>
            <w:vAlign w:val="bottom"/>
            <w:shd w:val="clear" w:color="auto" w:fill="D1D2D4"/>
          </w:tcPr>
          <w:p>
            <w:pPr>
              <w:ind w:left="20"/>
              <w:spacing w:after="0"/>
              <w:rPr>
                <w:sz w:val="20"/>
                <w:szCs w:val="20"/>
                <w:color w:val="auto"/>
              </w:rPr>
            </w:pPr>
            <w:r>
              <w:rPr>
                <w:rFonts w:ascii="Arial" w:cs="Arial" w:eastAsia="Arial" w:hAnsi="Arial"/>
                <w:sz w:val="18"/>
                <w:szCs w:val="18"/>
                <w:color w:val="auto"/>
              </w:rPr>
              <w:t>Weighted-average expected volatility</w:t>
            </w:r>
          </w:p>
        </w:tc>
        <w:tc>
          <w:tcPr>
            <w:tcW w:w="1300" w:type="dxa"/>
            <w:vAlign w:val="bottom"/>
            <w:shd w:val="clear" w:color="auto" w:fill="D1D2D4"/>
          </w:tcPr>
          <w:p>
            <w:pPr>
              <w:spacing w:after="0"/>
              <w:rPr>
                <w:sz w:val="22"/>
                <w:szCs w:val="22"/>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45.0</w:t>
            </w:r>
          </w:p>
        </w:tc>
        <w:tc>
          <w:tcPr>
            <w:tcW w:w="720" w:type="dxa"/>
            <w:vAlign w:val="bottom"/>
            <w:shd w:val="clear" w:color="auto" w:fill="D1D2D4"/>
          </w:tcPr>
          <w:p>
            <w:pPr>
              <w:jc w:val="right"/>
              <w:ind w:right="4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45.0</w:t>
            </w:r>
          </w:p>
        </w:tc>
        <w:tc>
          <w:tcPr>
            <w:tcW w:w="740" w:type="dxa"/>
            <w:vAlign w:val="bottom"/>
            <w:shd w:val="clear" w:color="auto" w:fill="D1D2D4"/>
          </w:tcPr>
          <w:p>
            <w:pPr>
              <w:jc w:val="right"/>
              <w:ind w:right="4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43.0</w:t>
            </w:r>
          </w:p>
        </w:tc>
        <w:tc>
          <w:tcPr>
            <w:tcW w:w="3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w:t>
            </w:r>
          </w:p>
        </w:tc>
      </w:tr>
      <w:tr>
        <w:trPr>
          <w:trHeight w:val="250"/>
        </w:trPr>
        <w:tc>
          <w:tcPr>
            <w:tcW w:w="4840" w:type="dxa"/>
            <w:vAlign w:val="bottom"/>
          </w:tcPr>
          <w:p>
            <w:pPr>
              <w:ind w:left="20"/>
              <w:spacing w:after="0"/>
              <w:rPr>
                <w:sz w:val="20"/>
                <w:szCs w:val="20"/>
                <w:color w:val="auto"/>
              </w:rPr>
            </w:pPr>
            <w:r>
              <w:rPr>
                <w:rFonts w:ascii="Arial" w:cs="Arial" w:eastAsia="Arial" w:hAnsi="Arial"/>
                <w:sz w:val="18"/>
                <w:szCs w:val="18"/>
                <w:color w:val="auto"/>
              </w:rPr>
              <w:t>Weighted-average risk-free interest rate</w:t>
            </w:r>
          </w:p>
        </w:tc>
        <w:tc>
          <w:tcPr>
            <w:tcW w:w="1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0.8</w:t>
            </w:r>
          </w:p>
        </w:tc>
        <w:tc>
          <w:tcPr>
            <w:tcW w:w="72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2.2</w:t>
            </w:r>
          </w:p>
        </w:tc>
        <w:tc>
          <w:tcPr>
            <w:tcW w:w="74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2.2</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63"/>
        </w:trPr>
        <w:tc>
          <w:tcPr>
            <w:tcW w:w="4840" w:type="dxa"/>
            <w:vAlign w:val="bottom"/>
            <w:shd w:val="clear" w:color="auto" w:fill="D1D2D4"/>
          </w:tcPr>
          <w:p>
            <w:pPr>
              <w:ind w:left="20"/>
              <w:spacing w:after="0"/>
              <w:rPr>
                <w:sz w:val="20"/>
                <w:szCs w:val="20"/>
                <w:color w:val="auto"/>
              </w:rPr>
            </w:pPr>
            <w:r>
              <w:rPr>
                <w:rFonts w:ascii="Arial" w:cs="Arial" w:eastAsia="Arial" w:hAnsi="Arial"/>
                <w:sz w:val="18"/>
                <w:szCs w:val="18"/>
                <w:color w:val="auto"/>
              </w:rPr>
              <w:t>Expected dividend yield</w:t>
            </w:r>
          </w:p>
        </w:tc>
        <w:tc>
          <w:tcPr>
            <w:tcW w:w="1300" w:type="dxa"/>
            <w:vAlign w:val="bottom"/>
            <w:shd w:val="clear" w:color="auto" w:fill="D1D2D4"/>
          </w:tcPr>
          <w:p>
            <w:pPr>
              <w:spacing w:after="0"/>
              <w:rPr>
                <w:sz w:val="22"/>
                <w:szCs w:val="22"/>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0.0</w:t>
            </w:r>
          </w:p>
        </w:tc>
        <w:tc>
          <w:tcPr>
            <w:tcW w:w="720" w:type="dxa"/>
            <w:vAlign w:val="bottom"/>
            <w:shd w:val="clear" w:color="auto" w:fill="D1D2D4"/>
          </w:tcPr>
          <w:p>
            <w:pPr>
              <w:jc w:val="right"/>
              <w:ind w:right="4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0.0</w:t>
            </w:r>
          </w:p>
        </w:tc>
        <w:tc>
          <w:tcPr>
            <w:tcW w:w="740" w:type="dxa"/>
            <w:vAlign w:val="bottom"/>
            <w:shd w:val="clear" w:color="auto" w:fill="D1D2D4"/>
          </w:tcPr>
          <w:p>
            <w:pPr>
              <w:jc w:val="right"/>
              <w:ind w:right="4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0.0</w:t>
            </w:r>
          </w:p>
        </w:tc>
        <w:tc>
          <w:tcPr>
            <w:tcW w:w="3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w:t>
            </w:r>
          </w:p>
        </w:tc>
      </w:tr>
    </w:tbl>
    <w:p>
      <w:pPr>
        <w:spacing w:after="0" w:line="350"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Under the ESPP, employees purchased 3 million shares of common stock for $118 million in 2020 and 3 million shares for $95 million in 2019.</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Stock Options</w:t>
      </w:r>
    </w:p>
    <w:p>
      <w:pPr>
        <w:spacing w:after="0" w:line="26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As of September 3, 2020, there were 7 million stock options outstanding, which are generally exercisable in increments of either one-fourth or one-third per year beginning one year from the date of grant. Stock options expire 8 years from the date of grant. In 2020, we did not grant any stock options and 5 million stock options were exercised. The total intrinsic value for options exercised was $130 million, $108 million, and $446 million in 2020, 2019, and 2018, respectively.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Stock options granted and assumptions used in the Black-Scholes option valuation model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76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For the year ended</w:t>
            </w:r>
          </w:p>
        </w:tc>
        <w:tc>
          <w:tcPr>
            <w:tcW w:w="2180" w:type="dxa"/>
            <w:vAlign w:val="bottom"/>
            <w:tcBorders>
              <w:bottom w:val="single" w:sz="8" w:color="0090DA"/>
            </w:tcBorders>
          </w:tcPr>
          <w:p>
            <w:pPr>
              <w:spacing w:after="0"/>
              <w:rPr>
                <w:sz w:val="21"/>
                <w:szCs w:val="21"/>
                <w:color w:val="auto"/>
              </w:rPr>
            </w:pPr>
          </w:p>
        </w:tc>
        <w:tc>
          <w:tcPr>
            <w:tcW w:w="1180" w:type="dxa"/>
            <w:vAlign w:val="bottom"/>
            <w:tcBorders>
              <w:bottom w:val="single" w:sz="8" w:color="0090DA"/>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740" w:type="dxa"/>
            <w:vAlign w:val="bottom"/>
            <w:tcBorders>
              <w:bottom w:val="single" w:sz="8" w:color="0090DA"/>
            </w:tcBorders>
          </w:tcPr>
          <w:p>
            <w:pPr>
              <w:spacing w:after="0"/>
              <w:rPr>
                <w:sz w:val="21"/>
                <w:szCs w:val="21"/>
                <w:color w:val="auto"/>
              </w:rPr>
            </w:pPr>
          </w:p>
        </w:tc>
        <w:tc>
          <w:tcPr>
            <w:tcW w:w="1060" w:type="dxa"/>
            <w:vAlign w:val="bottom"/>
            <w:tcBorders>
              <w:bottom w:val="single" w:sz="8" w:color="0090DA"/>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320" w:type="dxa"/>
            <w:vAlign w:val="bottom"/>
            <w:tcBorders>
              <w:bottom w:val="single" w:sz="8" w:color="0090DA"/>
            </w:tcBorders>
          </w:tcPr>
          <w:p>
            <w:pPr>
              <w:spacing w:after="0"/>
              <w:rPr>
                <w:sz w:val="21"/>
                <w:szCs w:val="21"/>
                <w:color w:val="auto"/>
              </w:rPr>
            </w:pPr>
          </w:p>
        </w:tc>
      </w:tr>
      <w:tr>
        <w:trPr>
          <w:trHeight w:val="40"/>
        </w:trPr>
        <w:tc>
          <w:tcPr>
            <w:tcW w:w="576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320" w:type="dxa"/>
            <w:vAlign w:val="bottom"/>
          </w:tcPr>
          <w:p>
            <w:pPr>
              <w:spacing w:after="0"/>
              <w:rPr>
                <w:sz w:val="3"/>
                <w:szCs w:val="3"/>
                <w:color w:val="auto"/>
              </w:rPr>
            </w:pPr>
          </w:p>
        </w:tc>
      </w:tr>
      <w:tr>
        <w:trPr>
          <w:trHeight w:val="256"/>
        </w:trPr>
        <w:tc>
          <w:tcPr>
            <w:tcW w:w="5760" w:type="dxa"/>
            <w:vAlign w:val="bottom"/>
            <w:shd w:val="clear" w:color="auto" w:fill="D1D2D4"/>
          </w:tcPr>
          <w:p>
            <w:pPr>
              <w:ind w:left="20"/>
              <w:spacing w:after="0"/>
              <w:rPr>
                <w:sz w:val="20"/>
                <w:szCs w:val="20"/>
                <w:color w:val="auto"/>
              </w:rPr>
            </w:pPr>
            <w:r>
              <w:rPr>
                <w:rFonts w:ascii="Arial" w:cs="Arial" w:eastAsia="Arial" w:hAnsi="Arial"/>
                <w:sz w:val="18"/>
                <w:szCs w:val="18"/>
                <w:color w:val="auto"/>
              </w:rPr>
              <w:t>Stock options granted</w:t>
            </w:r>
          </w:p>
        </w:tc>
        <w:tc>
          <w:tcPr>
            <w:tcW w:w="2180" w:type="dxa"/>
            <w:vAlign w:val="bottom"/>
            <w:shd w:val="clear" w:color="auto" w:fill="D1D2D4"/>
          </w:tcPr>
          <w:p>
            <w:pPr>
              <w:spacing w:after="0"/>
              <w:rPr>
                <w:sz w:val="22"/>
                <w:szCs w:val="22"/>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D1D2D4"/>
          </w:tcPr>
          <w:p>
            <w:pPr>
              <w:spacing w:after="0"/>
              <w:rPr>
                <w:sz w:val="22"/>
                <w:szCs w:val="22"/>
                <w:color w:val="auto"/>
              </w:rPr>
            </w:pPr>
          </w:p>
        </w:tc>
        <w:tc>
          <w:tcPr>
            <w:tcW w:w="10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320" w:type="dxa"/>
            <w:vAlign w:val="bottom"/>
            <w:shd w:val="clear" w:color="auto" w:fill="D1D2D4"/>
          </w:tcPr>
          <w:p>
            <w:pPr>
              <w:spacing w:after="0"/>
              <w:rPr>
                <w:sz w:val="22"/>
                <w:szCs w:val="22"/>
                <w:color w:val="auto"/>
              </w:rPr>
            </w:pPr>
          </w:p>
        </w:tc>
      </w:tr>
      <w:tr>
        <w:trPr>
          <w:trHeight w:val="250"/>
        </w:trPr>
        <w:tc>
          <w:tcPr>
            <w:tcW w:w="5760" w:type="dxa"/>
            <w:vAlign w:val="bottom"/>
          </w:tcPr>
          <w:p>
            <w:pPr>
              <w:ind w:left="20"/>
              <w:spacing w:after="0"/>
              <w:rPr>
                <w:sz w:val="20"/>
                <w:szCs w:val="20"/>
                <w:color w:val="auto"/>
              </w:rPr>
            </w:pPr>
            <w:r>
              <w:rPr>
                <w:rFonts w:ascii="Arial" w:cs="Arial" w:eastAsia="Arial" w:hAnsi="Arial"/>
                <w:sz w:val="18"/>
                <w:szCs w:val="18"/>
                <w:color w:val="auto"/>
              </w:rPr>
              <w:t>Weighted-average grant-date fair value per share</w:t>
            </w:r>
          </w:p>
        </w:tc>
        <w:tc>
          <w:tcPr>
            <w:tcW w:w="21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19.50</w:t>
            </w:r>
          </w:p>
        </w:tc>
        <w:tc>
          <w:tcPr>
            <w:tcW w:w="7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18.65</w:t>
            </w:r>
          </w:p>
        </w:tc>
        <w:tc>
          <w:tcPr>
            <w:tcW w:w="320" w:type="dxa"/>
            <w:vAlign w:val="bottom"/>
          </w:tcPr>
          <w:p>
            <w:pPr>
              <w:spacing w:after="0"/>
              <w:rPr>
                <w:sz w:val="21"/>
                <w:szCs w:val="21"/>
                <w:color w:val="auto"/>
              </w:rPr>
            </w:pPr>
          </w:p>
        </w:tc>
      </w:tr>
      <w:tr>
        <w:trPr>
          <w:trHeight w:val="263"/>
        </w:trPr>
        <w:tc>
          <w:tcPr>
            <w:tcW w:w="5760" w:type="dxa"/>
            <w:vAlign w:val="bottom"/>
            <w:shd w:val="clear" w:color="auto" w:fill="D1D2D4"/>
          </w:tcPr>
          <w:p>
            <w:pPr>
              <w:ind w:left="20"/>
              <w:spacing w:after="0"/>
              <w:rPr>
                <w:sz w:val="20"/>
                <w:szCs w:val="20"/>
                <w:color w:val="auto"/>
              </w:rPr>
            </w:pPr>
            <w:r>
              <w:rPr>
                <w:rFonts w:ascii="Arial" w:cs="Arial" w:eastAsia="Arial" w:hAnsi="Arial"/>
                <w:sz w:val="18"/>
                <w:szCs w:val="18"/>
                <w:color w:val="auto"/>
              </w:rPr>
              <w:t>Average expected life in years</w:t>
            </w:r>
          </w:p>
        </w:tc>
        <w:tc>
          <w:tcPr>
            <w:tcW w:w="2180" w:type="dxa"/>
            <w:vAlign w:val="bottom"/>
            <w:shd w:val="clear" w:color="auto" w:fill="D1D2D4"/>
          </w:tcPr>
          <w:p>
            <w:pPr>
              <w:spacing w:after="0"/>
              <w:rPr>
                <w:sz w:val="22"/>
                <w:szCs w:val="22"/>
                <w:color w:val="auto"/>
              </w:rPr>
            </w:pPr>
          </w:p>
        </w:tc>
        <w:tc>
          <w:tcPr>
            <w:tcW w:w="1920" w:type="dxa"/>
            <w:vAlign w:val="bottom"/>
            <w:gridSpan w:val="2"/>
            <w:shd w:val="clear" w:color="auto" w:fill="D1D2D4"/>
          </w:tcPr>
          <w:p>
            <w:pPr>
              <w:jc w:val="right"/>
              <w:ind w:right="450"/>
              <w:spacing w:after="0"/>
              <w:rPr>
                <w:sz w:val="20"/>
                <w:szCs w:val="20"/>
                <w:color w:val="auto"/>
              </w:rPr>
            </w:pPr>
            <w:r>
              <w:rPr>
                <w:rFonts w:ascii="Arial" w:cs="Arial" w:eastAsia="Arial" w:hAnsi="Arial"/>
                <w:sz w:val="18"/>
                <w:szCs w:val="18"/>
                <w:color w:val="auto"/>
              </w:rPr>
              <w:t>5.4</w:t>
            </w:r>
          </w:p>
        </w:tc>
        <w:tc>
          <w:tcPr>
            <w:tcW w:w="1380" w:type="dxa"/>
            <w:vAlign w:val="bottom"/>
            <w:gridSpan w:val="2"/>
            <w:shd w:val="clear" w:color="auto" w:fill="D1D2D4"/>
          </w:tcPr>
          <w:p>
            <w:pPr>
              <w:jc w:val="right"/>
              <w:ind w:right="30"/>
              <w:spacing w:after="0"/>
              <w:rPr>
                <w:sz w:val="20"/>
                <w:szCs w:val="20"/>
                <w:color w:val="auto"/>
              </w:rPr>
            </w:pPr>
            <w:r>
              <w:rPr>
                <w:rFonts w:ascii="Arial" w:cs="Arial" w:eastAsia="Arial" w:hAnsi="Arial"/>
                <w:sz w:val="18"/>
                <w:szCs w:val="18"/>
                <w:color w:val="auto"/>
              </w:rPr>
              <w:t>5.5</w:t>
            </w:r>
          </w:p>
        </w:tc>
      </w:tr>
      <w:tr>
        <w:trPr>
          <w:trHeight w:val="250"/>
        </w:trPr>
        <w:tc>
          <w:tcPr>
            <w:tcW w:w="5760" w:type="dxa"/>
            <w:vAlign w:val="bottom"/>
          </w:tcPr>
          <w:p>
            <w:pPr>
              <w:ind w:left="20"/>
              <w:spacing w:after="0"/>
              <w:rPr>
                <w:sz w:val="20"/>
                <w:szCs w:val="20"/>
                <w:color w:val="auto"/>
              </w:rPr>
            </w:pPr>
            <w:r>
              <w:rPr>
                <w:rFonts w:ascii="Arial" w:cs="Arial" w:eastAsia="Arial" w:hAnsi="Arial"/>
                <w:sz w:val="18"/>
                <w:szCs w:val="18"/>
                <w:color w:val="auto"/>
              </w:rPr>
              <w:t>Weighted-average expected volatility</w:t>
            </w:r>
          </w:p>
        </w:tc>
        <w:tc>
          <w:tcPr>
            <w:tcW w:w="2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44.0</w:t>
            </w:r>
          </w:p>
        </w:tc>
        <w:tc>
          <w:tcPr>
            <w:tcW w:w="74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44.0</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63"/>
        </w:trPr>
        <w:tc>
          <w:tcPr>
            <w:tcW w:w="5760" w:type="dxa"/>
            <w:vAlign w:val="bottom"/>
            <w:shd w:val="clear" w:color="auto" w:fill="D1D2D4"/>
          </w:tcPr>
          <w:p>
            <w:pPr>
              <w:ind w:left="20"/>
              <w:spacing w:after="0"/>
              <w:rPr>
                <w:sz w:val="20"/>
                <w:szCs w:val="20"/>
                <w:color w:val="auto"/>
              </w:rPr>
            </w:pPr>
            <w:r>
              <w:rPr>
                <w:rFonts w:ascii="Arial" w:cs="Arial" w:eastAsia="Arial" w:hAnsi="Arial"/>
                <w:sz w:val="18"/>
                <w:szCs w:val="18"/>
                <w:color w:val="auto"/>
              </w:rPr>
              <w:t>Weighted-average risk-free interest rate</w:t>
            </w:r>
          </w:p>
        </w:tc>
        <w:tc>
          <w:tcPr>
            <w:tcW w:w="2180" w:type="dxa"/>
            <w:vAlign w:val="bottom"/>
            <w:shd w:val="clear" w:color="auto" w:fill="D1D2D4"/>
          </w:tcPr>
          <w:p>
            <w:pPr>
              <w:spacing w:after="0"/>
              <w:rPr>
                <w:sz w:val="22"/>
                <w:szCs w:val="22"/>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2.9</w:t>
            </w:r>
          </w:p>
        </w:tc>
        <w:tc>
          <w:tcPr>
            <w:tcW w:w="740" w:type="dxa"/>
            <w:vAlign w:val="bottom"/>
            <w:shd w:val="clear" w:color="auto" w:fill="D1D2D4"/>
          </w:tcPr>
          <w:p>
            <w:pPr>
              <w:jc w:val="right"/>
              <w:ind w:right="4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2.2</w:t>
            </w:r>
          </w:p>
        </w:tc>
        <w:tc>
          <w:tcPr>
            <w:tcW w:w="3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576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2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0.0</w:t>
            </w:r>
          </w:p>
        </w:tc>
        <w:tc>
          <w:tcPr>
            <w:tcW w:w="74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0.0</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r>
    </w:tbl>
    <w:p>
      <w:pPr>
        <w:spacing w:after="0" w:line="364"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Stock price volatility was based on an average of historical volatility and the implied volatility derived from traded options on our stock. The expected lives of options granted were based, in part, on historical experience and on the terms and conditions of the options. The risk-free interest rates utilized were based on the U.S. Treasury yield in effect at each grant date.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right"/>
        <w:spacing w:after="0"/>
        <w:rPr>
          <w:sz w:val="20"/>
          <w:szCs w:val="20"/>
          <w:color w:val="auto"/>
        </w:rPr>
      </w:pPr>
      <w:r>
        <w:rPr>
          <w:sz w:val="1"/>
          <w:szCs w:val="1"/>
          <w:color w:val="auto"/>
        </w:rPr>
        <w:drawing>
          <wp:inline distT="0" distB="0" distL="0" distR="0">
            <wp:extent cx="608330" cy="171450"/>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8330" cy="171450"/>
                    </a:xfrm>
                    <a:prstGeom prst="rect">
                      <a:avLst/>
                    </a:prstGeom>
                    <a:noFill/>
                    <a:ln>
                      <a:noFill/>
                    </a:ln>
                  </pic:spPr>
                </pic:pic>
              </a:graphicData>
            </a:graphic>
          </wp:inline>
        </w:drawing>
      </w:r>
      <w:r>
        <w:rPr>
          <w:rFonts w:ascii="Arial" w:cs="Arial" w:eastAsia="Arial" w:hAnsi="Arial"/>
          <w:sz w:val="18"/>
          <w:szCs w:val="18"/>
          <w:color w:val="auto"/>
        </w:rPr>
        <w:t xml:space="preserve">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75" w:name="page76"/>
    <w:bookmarkEnd w:id="75"/>
    <w:p>
      <w:pPr>
        <w:spacing w:after="0"/>
        <w:rPr>
          <w:sz w:val="20"/>
          <w:szCs w:val="20"/>
          <w:color w:val="auto"/>
        </w:rPr>
      </w:pPr>
      <w:r>
        <w:rPr>
          <w:rFonts w:ascii="Arial" w:cs="Arial" w:eastAsia="Arial" w:hAnsi="Arial"/>
          <w:sz w:val="22"/>
          <w:szCs w:val="22"/>
          <w:b w:val="1"/>
          <w:bCs w:val="1"/>
          <w:color w:val="0090DA"/>
        </w:rPr>
        <w:t>Stock-based Compensation Expense</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86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For the year ended</w:t>
            </w:r>
          </w:p>
        </w:tc>
        <w:tc>
          <w:tcPr>
            <w:tcW w:w="320" w:type="dxa"/>
            <w:vAlign w:val="bottom"/>
            <w:tcBorders>
              <w:bottom w:val="single" w:sz="8" w:color="0090DA"/>
            </w:tcBorders>
          </w:tcPr>
          <w:p>
            <w:pPr>
              <w:spacing w:after="0"/>
              <w:rPr>
                <w:sz w:val="21"/>
                <w:szCs w:val="21"/>
                <w:color w:val="auto"/>
              </w:rPr>
            </w:pPr>
          </w:p>
        </w:tc>
        <w:tc>
          <w:tcPr>
            <w:tcW w:w="1100" w:type="dxa"/>
            <w:vAlign w:val="bottom"/>
            <w:tcBorders>
              <w:bottom w:val="single" w:sz="8" w:color="0090DA"/>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360" w:type="dxa"/>
            <w:vAlign w:val="bottom"/>
            <w:tcBorders>
              <w:bottom w:val="single" w:sz="8" w:color="0090DA"/>
            </w:tcBorders>
          </w:tcPr>
          <w:p>
            <w:pPr>
              <w:spacing w:after="0"/>
              <w:rPr>
                <w:sz w:val="21"/>
                <w:szCs w:val="21"/>
                <w:color w:val="auto"/>
              </w:rPr>
            </w:pPr>
          </w:p>
        </w:tc>
        <w:tc>
          <w:tcPr>
            <w:tcW w:w="1100" w:type="dxa"/>
            <w:vAlign w:val="bottom"/>
            <w:tcBorders>
              <w:bottom w:val="single" w:sz="8" w:color="0090DA"/>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360" w:type="dxa"/>
            <w:vAlign w:val="bottom"/>
            <w:tcBorders>
              <w:bottom w:val="single" w:sz="8" w:color="0090DA"/>
            </w:tcBorders>
          </w:tcPr>
          <w:p>
            <w:pPr>
              <w:spacing w:after="0"/>
              <w:rPr>
                <w:sz w:val="21"/>
                <w:szCs w:val="21"/>
                <w:color w:val="auto"/>
              </w:rPr>
            </w:pPr>
          </w:p>
        </w:tc>
        <w:tc>
          <w:tcPr>
            <w:tcW w:w="114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2018</w:t>
            </w:r>
          </w:p>
        </w:tc>
      </w:tr>
      <w:tr>
        <w:trPr>
          <w:trHeight w:val="41"/>
        </w:trPr>
        <w:tc>
          <w:tcPr>
            <w:tcW w:w="6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56"/>
        </w:trPr>
        <w:tc>
          <w:tcPr>
            <w:tcW w:w="6860" w:type="dxa"/>
            <w:vAlign w:val="bottom"/>
            <w:shd w:val="clear" w:color="auto" w:fill="D1D2D4"/>
          </w:tcPr>
          <w:p>
            <w:pPr>
              <w:ind w:left="20"/>
              <w:spacing w:after="0"/>
              <w:rPr>
                <w:sz w:val="20"/>
                <w:szCs w:val="20"/>
                <w:color w:val="auto"/>
              </w:rPr>
            </w:pPr>
            <w:r>
              <w:rPr>
                <w:rFonts w:ascii="Arial" w:cs="Arial" w:eastAsia="Arial" w:hAnsi="Arial"/>
                <w:sz w:val="18"/>
                <w:szCs w:val="18"/>
                <w:color w:val="auto"/>
              </w:rPr>
              <w:t>Stock-based compensation expense by caption</w:t>
            </w:r>
          </w:p>
        </w:tc>
        <w:tc>
          <w:tcPr>
            <w:tcW w:w="320" w:type="dxa"/>
            <w:vAlign w:val="bottom"/>
            <w:shd w:val="clear" w:color="auto" w:fill="D1D2D4"/>
          </w:tcPr>
          <w:p>
            <w:pPr>
              <w:spacing w:after="0"/>
              <w:rPr>
                <w:sz w:val="22"/>
                <w:szCs w:val="22"/>
                <w:color w:val="auto"/>
              </w:rPr>
            </w:pPr>
          </w:p>
        </w:tc>
        <w:tc>
          <w:tcPr>
            <w:tcW w:w="1100" w:type="dxa"/>
            <w:vAlign w:val="bottom"/>
            <w:shd w:val="clear" w:color="auto" w:fill="D1D2D4"/>
          </w:tcPr>
          <w:p>
            <w:pPr>
              <w:spacing w:after="0"/>
              <w:rPr>
                <w:sz w:val="22"/>
                <w:szCs w:val="22"/>
                <w:color w:val="auto"/>
              </w:rPr>
            </w:pPr>
          </w:p>
        </w:tc>
        <w:tc>
          <w:tcPr>
            <w:tcW w:w="360" w:type="dxa"/>
            <w:vAlign w:val="bottom"/>
            <w:shd w:val="clear" w:color="auto" w:fill="D1D2D4"/>
          </w:tcPr>
          <w:p>
            <w:pPr>
              <w:spacing w:after="0"/>
              <w:rPr>
                <w:sz w:val="22"/>
                <w:szCs w:val="22"/>
                <w:color w:val="auto"/>
              </w:rPr>
            </w:pPr>
          </w:p>
        </w:tc>
        <w:tc>
          <w:tcPr>
            <w:tcW w:w="1100" w:type="dxa"/>
            <w:vAlign w:val="bottom"/>
            <w:shd w:val="clear" w:color="auto" w:fill="D1D2D4"/>
          </w:tcPr>
          <w:p>
            <w:pPr>
              <w:spacing w:after="0"/>
              <w:rPr>
                <w:sz w:val="22"/>
                <w:szCs w:val="22"/>
                <w:color w:val="auto"/>
              </w:rPr>
            </w:pPr>
          </w:p>
        </w:tc>
        <w:tc>
          <w:tcPr>
            <w:tcW w:w="360" w:type="dxa"/>
            <w:vAlign w:val="bottom"/>
            <w:shd w:val="clear" w:color="auto" w:fill="D1D2D4"/>
          </w:tcPr>
          <w:p>
            <w:pPr>
              <w:spacing w:after="0"/>
              <w:rPr>
                <w:sz w:val="22"/>
                <w:szCs w:val="22"/>
                <w:color w:val="auto"/>
              </w:rPr>
            </w:pPr>
          </w:p>
        </w:tc>
        <w:tc>
          <w:tcPr>
            <w:tcW w:w="1140" w:type="dxa"/>
            <w:vAlign w:val="bottom"/>
            <w:shd w:val="clear" w:color="auto" w:fill="D1D2D4"/>
          </w:tcPr>
          <w:p>
            <w:pPr>
              <w:spacing w:after="0"/>
              <w:rPr>
                <w:sz w:val="22"/>
                <w:szCs w:val="22"/>
                <w:color w:val="auto"/>
              </w:rPr>
            </w:pPr>
          </w:p>
        </w:tc>
      </w:tr>
      <w:tr>
        <w:trPr>
          <w:trHeight w:val="250"/>
        </w:trPr>
        <w:tc>
          <w:tcPr>
            <w:tcW w:w="6860" w:type="dxa"/>
            <w:vAlign w:val="bottom"/>
          </w:tcPr>
          <w:p>
            <w:pPr>
              <w:ind w:left="120"/>
              <w:spacing w:after="0"/>
              <w:rPr>
                <w:sz w:val="20"/>
                <w:szCs w:val="20"/>
                <w:color w:val="auto"/>
              </w:rPr>
            </w:pPr>
            <w:r>
              <w:rPr>
                <w:rFonts w:ascii="Arial" w:cs="Arial" w:eastAsia="Arial" w:hAnsi="Arial"/>
                <w:sz w:val="18"/>
                <w:szCs w:val="18"/>
                <w:color w:val="auto"/>
              </w:rPr>
              <w:t>Cost of goods sold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139</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102</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83</w:t>
            </w:r>
          </w:p>
        </w:tc>
      </w:tr>
      <w:tr>
        <w:trPr>
          <w:trHeight w:val="263"/>
        </w:trPr>
        <w:tc>
          <w:tcPr>
            <w:tcW w:w="6860" w:type="dxa"/>
            <w:vAlign w:val="bottom"/>
            <w:shd w:val="clear" w:color="auto" w:fill="D1D2D4"/>
          </w:tcPr>
          <w:p>
            <w:pPr>
              <w:ind w:left="12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shd w:val="clear" w:color="auto" w:fill="D1D2D4"/>
          </w:tcPr>
          <w:p>
            <w:pPr>
              <w:spacing w:after="0"/>
              <w:rPr>
                <w:sz w:val="22"/>
                <w:szCs w:val="22"/>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103</w:t>
            </w:r>
          </w:p>
        </w:tc>
        <w:tc>
          <w:tcPr>
            <w:tcW w:w="360" w:type="dxa"/>
            <w:vAlign w:val="bottom"/>
            <w:shd w:val="clear" w:color="auto" w:fill="D1D2D4"/>
          </w:tcPr>
          <w:p>
            <w:pPr>
              <w:spacing w:after="0"/>
              <w:rPr>
                <w:sz w:val="22"/>
                <w:szCs w:val="22"/>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73</w:t>
            </w:r>
          </w:p>
        </w:tc>
        <w:tc>
          <w:tcPr>
            <w:tcW w:w="360" w:type="dxa"/>
            <w:vAlign w:val="bottom"/>
            <w:shd w:val="clear" w:color="auto" w:fill="D1D2D4"/>
          </w:tcPr>
          <w:p>
            <w:pPr>
              <w:spacing w:after="0"/>
              <w:rPr>
                <w:sz w:val="22"/>
                <w:szCs w:val="22"/>
                <w:color w:val="auto"/>
              </w:rPr>
            </w:pPr>
          </w:p>
        </w:tc>
        <w:tc>
          <w:tcPr>
            <w:tcW w:w="11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61</w:t>
            </w:r>
          </w:p>
        </w:tc>
      </w:tr>
      <w:tr>
        <w:trPr>
          <w:trHeight w:val="250"/>
        </w:trPr>
        <w:tc>
          <w:tcPr>
            <w:tcW w:w="6860" w:type="dxa"/>
            <w:vAlign w:val="bottom"/>
            <w:tcBorders>
              <w:bottom w:val="single" w:sz="8" w:color="D1D2D4"/>
            </w:tcBorders>
          </w:tcPr>
          <w:p>
            <w:pPr>
              <w:ind w:left="120"/>
              <w:spacing w:after="0"/>
              <w:rPr>
                <w:sz w:val="20"/>
                <w:szCs w:val="20"/>
                <w:color w:val="auto"/>
              </w:rPr>
            </w:pPr>
            <w:r>
              <w:rPr>
                <w:rFonts w:ascii="Arial" w:cs="Arial" w:eastAsia="Arial" w:hAnsi="Arial"/>
                <w:sz w:val="18"/>
                <w:szCs w:val="18"/>
                <w:color w:val="auto"/>
              </w:rPr>
              <w:t>Research and development</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w:t>
            </w:r>
          </w:p>
        </w:tc>
      </w:tr>
      <w:tr>
        <w:trPr>
          <w:trHeight w:val="275"/>
        </w:trPr>
        <w:tc>
          <w:tcPr>
            <w:tcW w:w="6860" w:type="dxa"/>
            <w:vAlign w:val="bottom"/>
            <w:tcBorders>
              <w:bottom w:val="single" w:sz="8" w:color="D1D2D4"/>
            </w:tcBorders>
            <w:shd w:val="clear" w:color="auto" w:fill="D1D2D4"/>
          </w:tcPr>
          <w:p>
            <w:pPr>
              <w:spacing w:after="0"/>
              <w:rPr>
                <w:sz w:val="23"/>
                <w:szCs w:val="23"/>
                <w:color w:val="auto"/>
              </w:rPr>
            </w:pPr>
          </w:p>
        </w:tc>
        <w:tc>
          <w:tcPr>
            <w:tcW w:w="320" w:type="dxa"/>
            <w:vAlign w:val="bottom"/>
            <w:tcBorders>
              <w:bottom w:val="single" w:sz="8" w:color="auto"/>
            </w:tcBorders>
            <w:shd w:val="clear" w:color="auto" w:fill="D1D2D4"/>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328</w:t>
            </w:r>
          </w:p>
        </w:tc>
        <w:tc>
          <w:tcPr>
            <w:tcW w:w="360" w:type="dxa"/>
            <w:vAlign w:val="bottom"/>
            <w:tcBorders>
              <w:bottom w:val="single" w:sz="8" w:color="auto"/>
            </w:tcBorders>
            <w:shd w:val="clear" w:color="auto" w:fill="D1D2D4"/>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243</w:t>
            </w:r>
          </w:p>
        </w:tc>
        <w:tc>
          <w:tcPr>
            <w:tcW w:w="360" w:type="dxa"/>
            <w:vAlign w:val="bottom"/>
            <w:tcBorders>
              <w:bottom w:val="single" w:sz="8" w:color="auto"/>
            </w:tcBorders>
            <w:shd w:val="clear" w:color="auto" w:fill="D1D2D4"/>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198</w:t>
            </w:r>
          </w:p>
        </w:tc>
      </w:tr>
      <w:tr>
        <w:trPr>
          <w:trHeight w:val="20"/>
        </w:trPr>
        <w:tc>
          <w:tcPr>
            <w:tcW w:w="6860" w:type="dxa"/>
            <w:vAlign w:val="bottom"/>
            <w:tcBorders>
              <w:top w:val="single" w:sz="8" w:color="D1D2D4"/>
            </w:tcBorders>
          </w:tcPr>
          <w:p>
            <w:pPr>
              <w:spacing w:after="0" w:line="20" w:lineRule="exact"/>
              <w:rPr>
                <w:sz w:val="1"/>
                <w:szCs w:val="1"/>
                <w:color w:val="auto"/>
              </w:rPr>
            </w:pPr>
          </w:p>
        </w:tc>
        <w:tc>
          <w:tcPr>
            <w:tcW w:w="320" w:type="dxa"/>
            <w:vAlign w:val="bottom"/>
            <w:tcBorders>
              <w:top w:val="single" w:sz="8" w:color="D1D2D4"/>
              <w:bottom w:val="single" w:sz="8" w:color="auto"/>
            </w:tcBorders>
          </w:tcPr>
          <w:p>
            <w:pPr>
              <w:spacing w:after="0" w:line="20" w:lineRule="exact"/>
              <w:rPr>
                <w:sz w:val="1"/>
                <w:szCs w:val="1"/>
                <w:color w:val="auto"/>
              </w:rPr>
            </w:pPr>
          </w:p>
        </w:tc>
        <w:tc>
          <w:tcPr>
            <w:tcW w:w="1100" w:type="dxa"/>
            <w:vAlign w:val="bottom"/>
            <w:tcBorders>
              <w:top w:val="single" w:sz="8" w:color="D1D2D4"/>
              <w:bottom w:val="single" w:sz="8" w:color="auto"/>
            </w:tcBorders>
          </w:tcPr>
          <w:p>
            <w:pPr>
              <w:spacing w:after="0" w:line="20" w:lineRule="exact"/>
              <w:rPr>
                <w:sz w:val="1"/>
                <w:szCs w:val="1"/>
                <w:color w:val="auto"/>
              </w:rPr>
            </w:pPr>
          </w:p>
        </w:tc>
        <w:tc>
          <w:tcPr>
            <w:tcW w:w="360" w:type="dxa"/>
            <w:vAlign w:val="bottom"/>
            <w:tcBorders>
              <w:top w:val="single" w:sz="8" w:color="D1D2D4"/>
              <w:bottom w:val="single" w:sz="8" w:color="auto"/>
            </w:tcBorders>
          </w:tcPr>
          <w:p>
            <w:pPr>
              <w:spacing w:after="0" w:line="20" w:lineRule="exact"/>
              <w:rPr>
                <w:sz w:val="1"/>
                <w:szCs w:val="1"/>
                <w:color w:val="auto"/>
              </w:rPr>
            </w:pPr>
          </w:p>
        </w:tc>
        <w:tc>
          <w:tcPr>
            <w:tcW w:w="1100" w:type="dxa"/>
            <w:vAlign w:val="bottom"/>
            <w:tcBorders>
              <w:top w:val="single" w:sz="8" w:color="D1D2D4"/>
              <w:bottom w:val="single" w:sz="8" w:color="auto"/>
            </w:tcBorders>
          </w:tcPr>
          <w:p>
            <w:pPr>
              <w:spacing w:after="0" w:line="20" w:lineRule="exact"/>
              <w:rPr>
                <w:sz w:val="1"/>
                <w:szCs w:val="1"/>
                <w:color w:val="auto"/>
              </w:rPr>
            </w:pPr>
          </w:p>
        </w:tc>
        <w:tc>
          <w:tcPr>
            <w:tcW w:w="360" w:type="dxa"/>
            <w:vAlign w:val="bottom"/>
            <w:tcBorders>
              <w:top w:val="single" w:sz="8" w:color="D1D2D4"/>
              <w:bottom w:val="single" w:sz="8" w:color="auto"/>
            </w:tcBorders>
          </w:tcPr>
          <w:p>
            <w:pPr>
              <w:spacing w:after="0" w:line="20" w:lineRule="exact"/>
              <w:rPr>
                <w:sz w:val="1"/>
                <w:szCs w:val="1"/>
                <w:color w:val="auto"/>
              </w:rPr>
            </w:pPr>
          </w:p>
        </w:tc>
        <w:tc>
          <w:tcPr>
            <w:tcW w:w="1140" w:type="dxa"/>
            <w:vAlign w:val="bottom"/>
            <w:tcBorders>
              <w:top w:val="single" w:sz="8" w:color="D1D2D4"/>
              <w:bottom w:val="single" w:sz="8" w:color="auto"/>
            </w:tcBorders>
          </w:tcPr>
          <w:p>
            <w:pPr>
              <w:spacing w:after="0" w:line="20" w:lineRule="exact"/>
              <w:rPr>
                <w:sz w:val="1"/>
                <w:szCs w:val="1"/>
                <w:color w:val="auto"/>
              </w:rPr>
            </w:pPr>
          </w:p>
        </w:tc>
      </w:tr>
      <w:tr>
        <w:trPr>
          <w:trHeight w:val="210"/>
        </w:trPr>
        <w:tc>
          <w:tcPr>
            <w:tcW w:w="6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7"/>
        </w:trPr>
        <w:tc>
          <w:tcPr>
            <w:tcW w:w="6860" w:type="dxa"/>
            <w:vAlign w:val="bottom"/>
            <w:shd w:val="clear" w:color="auto" w:fill="D1D2D4"/>
          </w:tcPr>
          <w:p>
            <w:pPr>
              <w:ind w:left="20"/>
              <w:spacing w:after="0"/>
              <w:rPr>
                <w:sz w:val="20"/>
                <w:szCs w:val="20"/>
                <w:color w:val="auto"/>
              </w:rPr>
            </w:pPr>
            <w:r>
              <w:rPr>
                <w:rFonts w:ascii="Arial" w:cs="Arial" w:eastAsia="Arial" w:hAnsi="Arial"/>
                <w:sz w:val="18"/>
                <w:szCs w:val="18"/>
                <w:color w:val="auto"/>
              </w:rPr>
              <w:t>Stock-based compensation expense by type of award</w:t>
            </w:r>
          </w:p>
        </w:tc>
        <w:tc>
          <w:tcPr>
            <w:tcW w:w="320" w:type="dxa"/>
            <w:vAlign w:val="bottom"/>
            <w:shd w:val="clear" w:color="auto" w:fill="D1D2D4"/>
          </w:tcPr>
          <w:p>
            <w:pPr>
              <w:spacing w:after="0"/>
              <w:rPr>
                <w:sz w:val="22"/>
                <w:szCs w:val="22"/>
                <w:color w:val="auto"/>
              </w:rPr>
            </w:pPr>
          </w:p>
        </w:tc>
        <w:tc>
          <w:tcPr>
            <w:tcW w:w="1100" w:type="dxa"/>
            <w:vAlign w:val="bottom"/>
            <w:shd w:val="clear" w:color="auto" w:fill="D1D2D4"/>
          </w:tcPr>
          <w:p>
            <w:pPr>
              <w:spacing w:after="0"/>
              <w:rPr>
                <w:sz w:val="22"/>
                <w:szCs w:val="22"/>
                <w:color w:val="auto"/>
              </w:rPr>
            </w:pPr>
          </w:p>
        </w:tc>
        <w:tc>
          <w:tcPr>
            <w:tcW w:w="360" w:type="dxa"/>
            <w:vAlign w:val="bottom"/>
            <w:shd w:val="clear" w:color="auto" w:fill="D1D2D4"/>
          </w:tcPr>
          <w:p>
            <w:pPr>
              <w:spacing w:after="0"/>
              <w:rPr>
                <w:sz w:val="22"/>
                <w:szCs w:val="22"/>
                <w:color w:val="auto"/>
              </w:rPr>
            </w:pPr>
          </w:p>
        </w:tc>
        <w:tc>
          <w:tcPr>
            <w:tcW w:w="1100" w:type="dxa"/>
            <w:vAlign w:val="bottom"/>
            <w:shd w:val="clear" w:color="auto" w:fill="D1D2D4"/>
          </w:tcPr>
          <w:p>
            <w:pPr>
              <w:spacing w:after="0"/>
              <w:rPr>
                <w:sz w:val="22"/>
                <w:szCs w:val="22"/>
                <w:color w:val="auto"/>
              </w:rPr>
            </w:pPr>
          </w:p>
        </w:tc>
        <w:tc>
          <w:tcPr>
            <w:tcW w:w="360" w:type="dxa"/>
            <w:vAlign w:val="bottom"/>
            <w:shd w:val="clear" w:color="auto" w:fill="D1D2D4"/>
          </w:tcPr>
          <w:p>
            <w:pPr>
              <w:spacing w:after="0"/>
              <w:rPr>
                <w:sz w:val="22"/>
                <w:szCs w:val="22"/>
                <w:color w:val="auto"/>
              </w:rPr>
            </w:pPr>
          </w:p>
        </w:tc>
        <w:tc>
          <w:tcPr>
            <w:tcW w:w="1140" w:type="dxa"/>
            <w:vAlign w:val="bottom"/>
            <w:shd w:val="clear" w:color="auto" w:fill="D1D2D4"/>
          </w:tcPr>
          <w:p>
            <w:pPr>
              <w:spacing w:after="0"/>
              <w:rPr>
                <w:sz w:val="22"/>
                <w:szCs w:val="22"/>
                <w:color w:val="auto"/>
              </w:rPr>
            </w:pPr>
          </w:p>
        </w:tc>
      </w:tr>
      <w:tr>
        <w:trPr>
          <w:trHeight w:val="250"/>
        </w:trPr>
        <w:tc>
          <w:tcPr>
            <w:tcW w:w="6860" w:type="dxa"/>
            <w:vAlign w:val="bottom"/>
          </w:tcPr>
          <w:p>
            <w:pPr>
              <w:ind w:left="120"/>
              <w:spacing w:after="0"/>
              <w:rPr>
                <w:sz w:val="20"/>
                <w:szCs w:val="20"/>
                <w:color w:val="auto"/>
              </w:rPr>
            </w:pPr>
            <w:r>
              <w:rPr>
                <w:rFonts w:ascii="Arial" w:cs="Arial" w:eastAsia="Arial" w:hAnsi="Arial"/>
                <w:sz w:val="18"/>
                <w:szCs w:val="18"/>
                <w:color w:val="auto"/>
              </w:rPr>
              <w:t>Restricted stock awards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272</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178</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140</w:t>
            </w:r>
          </w:p>
        </w:tc>
      </w:tr>
      <w:tr>
        <w:trPr>
          <w:trHeight w:val="263"/>
        </w:trPr>
        <w:tc>
          <w:tcPr>
            <w:tcW w:w="6860" w:type="dxa"/>
            <w:vAlign w:val="bottom"/>
            <w:shd w:val="clear" w:color="auto" w:fill="D1D2D4"/>
          </w:tcPr>
          <w:p>
            <w:pPr>
              <w:ind w:left="120"/>
              <w:spacing w:after="0"/>
              <w:rPr>
                <w:sz w:val="20"/>
                <w:szCs w:val="20"/>
                <w:color w:val="auto"/>
              </w:rPr>
            </w:pPr>
            <w:r>
              <w:rPr>
                <w:rFonts w:ascii="Arial" w:cs="Arial" w:eastAsia="Arial" w:hAnsi="Arial"/>
                <w:sz w:val="18"/>
                <w:szCs w:val="18"/>
                <w:color w:val="auto"/>
              </w:rPr>
              <w:t>ESPP</w:t>
            </w:r>
          </w:p>
        </w:tc>
        <w:tc>
          <w:tcPr>
            <w:tcW w:w="320" w:type="dxa"/>
            <w:vAlign w:val="bottom"/>
            <w:shd w:val="clear" w:color="auto" w:fill="D1D2D4"/>
          </w:tcPr>
          <w:p>
            <w:pPr>
              <w:spacing w:after="0"/>
              <w:rPr>
                <w:sz w:val="22"/>
                <w:szCs w:val="22"/>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39</w:t>
            </w:r>
          </w:p>
        </w:tc>
        <w:tc>
          <w:tcPr>
            <w:tcW w:w="360" w:type="dxa"/>
            <w:vAlign w:val="bottom"/>
            <w:shd w:val="clear" w:color="auto" w:fill="D1D2D4"/>
          </w:tcPr>
          <w:p>
            <w:pPr>
              <w:spacing w:after="0"/>
              <w:rPr>
                <w:sz w:val="22"/>
                <w:szCs w:val="22"/>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32</w:t>
            </w:r>
          </w:p>
        </w:tc>
        <w:tc>
          <w:tcPr>
            <w:tcW w:w="360" w:type="dxa"/>
            <w:vAlign w:val="bottom"/>
            <w:shd w:val="clear" w:color="auto" w:fill="D1D2D4"/>
          </w:tcPr>
          <w:p>
            <w:pPr>
              <w:spacing w:after="0"/>
              <w:rPr>
                <w:sz w:val="22"/>
                <w:szCs w:val="22"/>
                <w:color w:val="auto"/>
              </w:rPr>
            </w:pPr>
          </w:p>
        </w:tc>
        <w:tc>
          <w:tcPr>
            <w:tcW w:w="11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3</w:t>
            </w:r>
          </w:p>
        </w:tc>
      </w:tr>
      <w:tr>
        <w:trPr>
          <w:trHeight w:val="250"/>
        </w:trPr>
        <w:tc>
          <w:tcPr>
            <w:tcW w:w="6860" w:type="dxa"/>
            <w:vAlign w:val="bottom"/>
            <w:tcBorders>
              <w:bottom w:val="single" w:sz="8" w:color="D1D2D4"/>
            </w:tcBorders>
          </w:tcPr>
          <w:p>
            <w:pPr>
              <w:ind w:left="120"/>
              <w:spacing w:after="0"/>
              <w:rPr>
                <w:sz w:val="20"/>
                <w:szCs w:val="20"/>
                <w:color w:val="auto"/>
              </w:rPr>
            </w:pPr>
            <w:r>
              <w:rPr>
                <w:rFonts w:ascii="Arial" w:cs="Arial" w:eastAsia="Arial" w:hAnsi="Arial"/>
                <w:sz w:val="18"/>
                <w:szCs w:val="18"/>
                <w:color w:val="auto"/>
              </w:rPr>
              <w:t>Stock options</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w:t>
            </w:r>
          </w:p>
        </w:tc>
      </w:tr>
      <w:tr>
        <w:trPr>
          <w:trHeight w:val="275"/>
        </w:trPr>
        <w:tc>
          <w:tcPr>
            <w:tcW w:w="6860" w:type="dxa"/>
            <w:vAlign w:val="bottom"/>
            <w:tcBorders>
              <w:bottom w:val="single" w:sz="8" w:color="D1D2D4"/>
            </w:tcBorders>
            <w:shd w:val="clear" w:color="auto" w:fill="D1D2D4"/>
          </w:tcPr>
          <w:p>
            <w:pPr>
              <w:spacing w:after="0"/>
              <w:rPr>
                <w:sz w:val="23"/>
                <w:szCs w:val="23"/>
                <w:color w:val="auto"/>
              </w:rPr>
            </w:pPr>
          </w:p>
        </w:tc>
        <w:tc>
          <w:tcPr>
            <w:tcW w:w="320" w:type="dxa"/>
            <w:vAlign w:val="bottom"/>
            <w:tcBorders>
              <w:bottom w:val="single" w:sz="8" w:color="auto"/>
            </w:tcBorders>
            <w:shd w:val="clear" w:color="auto" w:fill="D1D2D4"/>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328</w:t>
            </w:r>
          </w:p>
        </w:tc>
        <w:tc>
          <w:tcPr>
            <w:tcW w:w="360" w:type="dxa"/>
            <w:vAlign w:val="bottom"/>
            <w:tcBorders>
              <w:bottom w:val="single" w:sz="8" w:color="auto"/>
            </w:tcBorders>
            <w:shd w:val="clear" w:color="auto" w:fill="D1D2D4"/>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243</w:t>
            </w:r>
          </w:p>
        </w:tc>
        <w:tc>
          <w:tcPr>
            <w:tcW w:w="360" w:type="dxa"/>
            <w:vAlign w:val="bottom"/>
            <w:tcBorders>
              <w:bottom w:val="single" w:sz="8" w:color="auto"/>
            </w:tcBorders>
            <w:shd w:val="clear" w:color="auto" w:fill="D1D2D4"/>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198</w:t>
            </w:r>
          </w:p>
        </w:tc>
      </w:tr>
      <w:tr>
        <w:trPr>
          <w:trHeight w:val="20"/>
        </w:trPr>
        <w:tc>
          <w:tcPr>
            <w:tcW w:w="6860" w:type="dxa"/>
            <w:vAlign w:val="bottom"/>
            <w:tcBorders>
              <w:top w:val="single" w:sz="8" w:color="D1D2D4"/>
            </w:tcBorders>
          </w:tcPr>
          <w:p>
            <w:pPr>
              <w:spacing w:after="0" w:line="20" w:lineRule="exact"/>
              <w:rPr>
                <w:sz w:val="1"/>
                <w:szCs w:val="1"/>
                <w:color w:val="auto"/>
              </w:rPr>
            </w:pPr>
          </w:p>
        </w:tc>
        <w:tc>
          <w:tcPr>
            <w:tcW w:w="320" w:type="dxa"/>
            <w:vAlign w:val="bottom"/>
            <w:tcBorders>
              <w:top w:val="single" w:sz="8" w:color="D1D2D4"/>
              <w:bottom w:val="single" w:sz="8" w:color="auto"/>
            </w:tcBorders>
          </w:tcPr>
          <w:p>
            <w:pPr>
              <w:spacing w:after="0" w:line="20" w:lineRule="exact"/>
              <w:rPr>
                <w:sz w:val="1"/>
                <w:szCs w:val="1"/>
                <w:color w:val="auto"/>
              </w:rPr>
            </w:pPr>
          </w:p>
        </w:tc>
        <w:tc>
          <w:tcPr>
            <w:tcW w:w="1100" w:type="dxa"/>
            <w:vAlign w:val="bottom"/>
            <w:tcBorders>
              <w:top w:val="single" w:sz="8" w:color="D1D2D4"/>
              <w:bottom w:val="single" w:sz="8" w:color="auto"/>
            </w:tcBorders>
          </w:tcPr>
          <w:p>
            <w:pPr>
              <w:spacing w:after="0" w:line="20" w:lineRule="exact"/>
              <w:rPr>
                <w:sz w:val="1"/>
                <w:szCs w:val="1"/>
                <w:color w:val="auto"/>
              </w:rPr>
            </w:pPr>
          </w:p>
        </w:tc>
        <w:tc>
          <w:tcPr>
            <w:tcW w:w="360" w:type="dxa"/>
            <w:vAlign w:val="bottom"/>
            <w:tcBorders>
              <w:top w:val="single" w:sz="8" w:color="D1D2D4"/>
              <w:bottom w:val="single" w:sz="8" w:color="auto"/>
            </w:tcBorders>
          </w:tcPr>
          <w:p>
            <w:pPr>
              <w:spacing w:after="0" w:line="20" w:lineRule="exact"/>
              <w:rPr>
                <w:sz w:val="1"/>
                <w:szCs w:val="1"/>
                <w:color w:val="auto"/>
              </w:rPr>
            </w:pPr>
          </w:p>
        </w:tc>
        <w:tc>
          <w:tcPr>
            <w:tcW w:w="1100" w:type="dxa"/>
            <w:vAlign w:val="bottom"/>
            <w:tcBorders>
              <w:top w:val="single" w:sz="8" w:color="D1D2D4"/>
              <w:bottom w:val="single" w:sz="8" w:color="auto"/>
            </w:tcBorders>
          </w:tcPr>
          <w:p>
            <w:pPr>
              <w:spacing w:after="0" w:line="20" w:lineRule="exact"/>
              <w:rPr>
                <w:sz w:val="1"/>
                <w:szCs w:val="1"/>
                <w:color w:val="auto"/>
              </w:rPr>
            </w:pPr>
          </w:p>
        </w:tc>
        <w:tc>
          <w:tcPr>
            <w:tcW w:w="360" w:type="dxa"/>
            <w:vAlign w:val="bottom"/>
            <w:tcBorders>
              <w:top w:val="single" w:sz="8" w:color="D1D2D4"/>
              <w:bottom w:val="single" w:sz="8" w:color="auto"/>
            </w:tcBorders>
          </w:tcPr>
          <w:p>
            <w:pPr>
              <w:spacing w:after="0" w:line="20" w:lineRule="exact"/>
              <w:rPr>
                <w:sz w:val="1"/>
                <w:szCs w:val="1"/>
                <w:color w:val="auto"/>
              </w:rPr>
            </w:pPr>
          </w:p>
        </w:tc>
        <w:tc>
          <w:tcPr>
            <w:tcW w:w="1140" w:type="dxa"/>
            <w:vAlign w:val="bottom"/>
            <w:tcBorders>
              <w:top w:val="single" w:sz="8" w:color="D1D2D4"/>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Income tax benefits related to the tax deductions for share -based awards are recognized only upon the settlement of the related share-based awards. Income tax benefits for share-based awards were $72 million, $66 million and $158 million for 2020, 2019 and 2018, respectively. Stock-based compensation expense of $42 million and $ 30 million was capitalized and remained in inventory as of September 3, 2020 and August 29, 2019, respectively. As of September 3, 2020, $512 million of total unrecognized compensation costs for unvested awards, before the effect of any future forfeitures, was expected to be recognized through the fourth quarter of 2024, resulting in a weighted-average period of 1.2 years.</w:t>
      </w:r>
    </w:p>
    <w:p>
      <w:pPr>
        <w:spacing w:after="0" w:line="26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Employee Benefit Plans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We have employee retirement plans at our U.S. and international sites. Details of the more significant plans are discussed as follows:</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Employee Savings Plan for U.S. Employees</w:t>
      </w:r>
    </w:p>
    <w:p>
      <w:pPr>
        <w:spacing w:after="0" w:line="26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have a 401(k) retirement plan under which U.S. employees may contribute up to 75% of their eligible pay, subject to Internal Revenue Service annual contribution limits, to various savings alternatives, none of which include direct investment in our stock. We match in cash eligible contributions from employees up to 5% of the employee’s annual eligible earnings. Contribution expense for the 401(k) plan was $66 million, $67 million, and $61 million in 2020, 2019, and 2018,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Retirement Plans</w:t>
      </w:r>
    </w:p>
    <w:p>
      <w:pPr>
        <w:spacing w:after="0" w:line="265"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We have pension plans available to employees at various foreign sites. As of September 3, 2020, the projected benefit obligations of our plans were $202 million and plan assets were $222 million. As of August 29, 2019, the projected benefit obligations of our plans were $206 million and plan assets were $195 million. Pension expense was not material for 2020, 2019, or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73 </w:t>
      </w:r>
      <w:r>
        <w:rPr>
          <w:rFonts w:ascii="Arial" w:cs="Arial" w:eastAsia="Arial" w:hAnsi="Arial"/>
          <w:sz w:val="21"/>
          <w:szCs w:val="21"/>
          <w:b w:val="1"/>
          <w:bCs w:val="1"/>
          <w:color w:val="0090DA"/>
        </w:rPr>
        <w:t>|</w:t>
      </w:r>
      <w:r>
        <w:rPr>
          <w:rFonts w:ascii="Arial" w:cs="Arial" w:eastAsia="Arial" w:hAnsi="Arial"/>
          <w:sz w:val="18"/>
          <w:szCs w:val="18"/>
          <w:color w:val="auto"/>
        </w:rPr>
        <w:t xml:space="preserve"> 2020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76" w:name="page77"/>
    <w:bookmarkEnd w:id="76"/>
    <w:p>
      <w:pPr>
        <w:spacing w:after="0"/>
        <w:rPr>
          <w:sz w:val="20"/>
          <w:szCs w:val="20"/>
          <w:color w:val="auto"/>
        </w:rPr>
      </w:pPr>
      <w:r>
        <w:rPr>
          <w:rFonts w:ascii="Arial" w:cs="Arial" w:eastAsia="Arial" w:hAnsi="Arial"/>
          <w:sz w:val="40"/>
          <w:szCs w:val="40"/>
          <w:b w:val="1"/>
          <w:bCs w:val="1"/>
          <w:color w:val="auto"/>
        </w:rPr>
        <w:t>Revenue and Customer Contract Liabilities</w:t>
      </w:r>
    </w:p>
    <w:p>
      <w:pPr>
        <w:spacing w:after="0" w:line="285"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Revenue by technology is presented in the table below (See “Segment and Other Information” for disclosure of disaggregated revenue by market segments.):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82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For the year ended</w:t>
            </w:r>
          </w:p>
        </w:tc>
        <w:tc>
          <w:tcPr>
            <w:tcW w:w="340" w:type="dxa"/>
            <w:vAlign w:val="bottom"/>
            <w:tcBorders>
              <w:bottom w:val="single" w:sz="8" w:color="0090DA"/>
            </w:tcBorders>
          </w:tcPr>
          <w:p>
            <w:pPr>
              <w:spacing w:after="0"/>
              <w:rPr>
                <w:sz w:val="21"/>
                <w:szCs w:val="21"/>
                <w:color w:val="auto"/>
              </w:rPr>
            </w:pPr>
          </w:p>
        </w:tc>
        <w:tc>
          <w:tcPr>
            <w:tcW w:w="1100" w:type="dxa"/>
            <w:vAlign w:val="bottom"/>
            <w:tcBorders>
              <w:bottom w:val="single" w:sz="8" w:color="0090DA"/>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360" w:type="dxa"/>
            <w:vAlign w:val="bottom"/>
            <w:tcBorders>
              <w:bottom w:val="single" w:sz="8" w:color="0090DA"/>
            </w:tcBorders>
          </w:tcPr>
          <w:p>
            <w:pPr>
              <w:spacing w:after="0"/>
              <w:rPr>
                <w:sz w:val="21"/>
                <w:szCs w:val="21"/>
                <w:color w:val="auto"/>
              </w:rPr>
            </w:pPr>
          </w:p>
        </w:tc>
        <w:tc>
          <w:tcPr>
            <w:tcW w:w="1120" w:type="dxa"/>
            <w:vAlign w:val="bottom"/>
            <w:tcBorders>
              <w:bottom w:val="single" w:sz="8" w:color="0090DA"/>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360" w:type="dxa"/>
            <w:vAlign w:val="bottom"/>
            <w:tcBorders>
              <w:bottom w:val="single" w:sz="8" w:color="0090DA"/>
            </w:tcBorders>
          </w:tcPr>
          <w:p>
            <w:pPr>
              <w:spacing w:after="0"/>
              <w:rPr>
                <w:sz w:val="21"/>
                <w:szCs w:val="21"/>
                <w:color w:val="auto"/>
              </w:rPr>
            </w:pPr>
          </w:p>
        </w:tc>
        <w:tc>
          <w:tcPr>
            <w:tcW w:w="1140" w:type="dxa"/>
            <w:vAlign w:val="bottom"/>
            <w:tcBorders>
              <w:bottom w:val="single" w:sz="8" w:color="0090DA"/>
            </w:tcBorders>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40"/>
        </w:trPr>
        <w:tc>
          <w:tcPr>
            <w:tcW w:w="68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57"/>
        </w:trPr>
        <w:tc>
          <w:tcPr>
            <w:tcW w:w="6820" w:type="dxa"/>
            <w:vAlign w:val="bottom"/>
            <w:shd w:val="clear" w:color="auto" w:fill="D1D2D4"/>
          </w:tcPr>
          <w:p>
            <w:pPr>
              <w:ind w:left="20"/>
              <w:spacing w:after="0"/>
              <w:rPr>
                <w:sz w:val="20"/>
                <w:szCs w:val="20"/>
                <w:color w:val="auto"/>
              </w:rPr>
            </w:pPr>
            <w:r>
              <w:rPr>
                <w:rFonts w:ascii="Arial" w:cs="Arial" w:eastAsia="Arial" w:hAnsi="Arial"/>
                <w:sz w:val="18"/>
                <w:szCs w:val="18"/>
                <w:color w:val="auto"/>
              </w:rPr>
              <w:t>DRAM</w:t>
            </w:r>
          </w:p>
        </w:tc>
        <w:tc>
          <w:tcPr>
            <w:tcW w:w="34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14,510</w:t>
            </w:r>
          </w:p>
        </w:tc>
        <w:tc>
          <w:tcPr>
            <w:tcW w:w="36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16,841</w:t>
            </w:r>
          </w:p>
        </w:tc>
        <w:tc>
          <w:tcPr>
            <w:tcW w:w="36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22,625</w:t>
            </w:r>
          </w:p>
        </w:tc>
      </w:tr>
      <w:tr>
        <w:trPr>
          <w:trHeight w:val="250"/>
        </w:trPr>
        <w:tc>
          <w:tcPr>
            <w:tcW w:w="6820" w:type="dxa"/>
            <w:vAlign w:val="bottom"/>
          </w:tcPr>
          <w:p>
            <w:pPr>
              <w:ind w:left="20"/>
              <w:spacing w:after="0"/>
              <w:rPr>
                <w:sz w:val="20"/>
                <w:szCs w:val="20"/>
                <w:color w:val="auto"/>
              </w:rPr>
            </w:pPr>
            <w:r>
              <w:rPr>
                <w:rFonts w:ascii="Arial" w:cs="Arial" w:eastAsia="Arial" w:hAnsi="Arial"/>
                <w:sz w:val="18"/>
                <w:szCs w:val="18"/>
                <w:color w:val="auto"/>
              </w:rPr>
              <w:t>NAND</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6,131</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5,355</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6,510</w:t>
            </w:r>
          </w:p>
        </w:tc>
      </w:tr>
      <w:tr>
        <w:trPr>
          <w:trHeight w:val="257"/>
        </w:trPr>
        <w:tc>
          <w:tcPr>
            <w:tcW w:w="682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(primarily 3D XPoint memory and NOR)</w:t>
            </w:r>
          </w:p>
        </w:tc>
        <w:tc>
          <w:tcPr>
            <w:tcW w:w="340" w:type="dxa"/>
            <w:vAlign w:val="bottom"/>
            <w:tcBorders>
              <w:bottom w:val="single" w:sz="8" w:color="auto"/>
            </w:tcBorders>
            <w:shd w:val="clear" w:color="auto" w:fill="D1D2D4"/>
          </w:tcPr>
          <w:p>
            <w:pPr>
              <w:spacing w:after="0"/>
              <w:rPr>
                <w:sz w:val="22"/>
                <w:szCs w:val="22"/>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794</w:t>
            </w:r>
          </w:p>
        </w:tc>
        <w:tc>
          <w:tcPr>
            <w:tcW w:w="360" w:type="dxa"/>
            <w:vAlign w:val="bottom"/>
            <w:tcBorders>
              <w:bottom w:val="single" w:sz="8" w:color="auto"/>
            </w:tcBorders>
            <w:shd w:val="clear" w:color="auto" w:fill="D1D2D4"/>
          </w:tcPr>
          <w:p>
            <w:pPr>
              <w:spacing w:after="0"/>
              <w:rPr>
                <w:sz w:val="22"/>
                <w:szCs w:val="22"/>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1,210</w:t>
            </w:r>
          </w:p>
        </w:tc>
        <w:tc>
          <w:tcPr>
            <w:tcW w:w="360" w:type="dxa"/>
            <w:vAlign w:val="bottom"/>
            <w:tcBorders>
              <w:bottom w:val="single" w:sz="8" w:color="auto"/>
            </w:tcBorders>
            <w:shd w:val="clear" w:color="auto" w:fill="D1D2D4"/>
          </w:tcPr>
          <w:p>
            <w:pPr>
              <w:spacing w:after="0"/>
              <w:rPr>
                <w:sz w:val="22"/>
                <w:szCs w:val="22"/>
                <w:color w:val="auto"/>
              </w:rPr>
            </w:pPr>
          </w:p>
        </w:tc>
        <w:tc>
          <w:tcPr>
            <w:tcW w:w="114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1,256</w:t>
            </w:r>
          </w:p>
        </w:tc>
      </w:tr>
      <w:tr>
        <w:trPr>
          <w:trHeight w:val="250"/>
        </w:trPr>
        <w:tc>
          <w:tcPr>
            <w:tcW w:w="682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21,435</w:t>
            </w: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23,406</w:t>
            </w: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30,391</w:t>
            </w:r>
          </w:p>
        </w:tc>
      </w:tr>
      <w:tr>
        <w:trPr>
          <w:trHeight w:val="27"/>
        </w:trPr>
        <w:tc>
          <w:tcPr>
            <w:tcW w:w="68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35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Beginning in 2020, revenues for MCPs and SSDs, which contain both DRAM and NAND, are disaggregated into DRAM and NAND based on the relative values of each component. The amounts for 2019 and 2018 in the table above have been conformed to current period presentation.</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26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As of</w:t>
            </w:r>
          </w:p>
        </w:tc>
        <w:tc>
          <w:tcPr>
            <w:tcW w:w="340" w:type="dxa"/>
            <w:vAlign w:val="bottom"/>
            <w:tcBorders>
              <w:bottom w:val="single" w:sz="8" w:color="0090DA"/>
            </w:tcBorders>
          </w:tcPr>
          <w:p>
            <w:pPr>
              <w:spacing w:after="0"/>
              <w:rPr>
                <w:sz w:val="21"/>
                <w:szCs w:val="21"/>
                <w:color w:val="auto"/>
              </w:rPr>
            </w:pPr>
          </w:p>
        </w:tc>
        <w:tc>
          <w:tcPr>
            <w:tcW w:w="1120" w:type="dxa"/>
            <w:vAlign w:val="bottom"/>
            <w:tcBorders>
              <w:bottom w:val="single" w:sz="8" w:color="0090DA"/>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360" w:type="dxa"/>
            <w:vAlign w:val="bottom"/>
            <w:tcBorders>
              <w:bottom w:val="single" w:sz="8" w:color="0090DA"/>
            </w:tcBorders>
          </w:tcPr>
          <w:p>
            <w:pPr>
              <w:spacing w:after="0"/>
              <w:rPr>
                <w:sz w:val="21"/>
                <w:szCs w:val="21"/>
                <w:color w:val="auto"/>
              </w:rPr>
            </w:pPr>
          </w:p>
        </w:tc>
        <w:tc>
          <w:tcPr>
            <w:tcW w:w="1160" w:type="dxa"/>
            <w:vAlign w:val="bottom"/>
            <w:tcBorders>
              <w:bottom w:val="single" w:sz="8" w:color="0090DA"/>
            </w:tcBorders>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41"/>
        </w:trPr>
        <w:tc>
          <w:tcPr>
            <w:tcW w:w="82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56"/>
        </w:trPr>
        <w:tc>
          <w:tcPr>
            <w:tcW w:w="8260" w:type="dxa"/>
            <w:vAlign w:val="bottom"/>
            <w:shd w:val="clear" w:color="auto" w:fill="D1D2D4"/>
          </w:tcPr>
          <w:p>
            <w:pPr>
              <w:ind w:left="20"/>
              <w:spacing w:after="0"/>
              <w:rPr>
                <w:sz w:val="20"/>
                <w:szCs w:val="20"/>
                <w:color w:val="auto"/>
              </w:rPr>
            </w:pPr>
            <w:r>
              <w:rPr>
                <w:rFonts w:ascii="Arial" w:cs="Arial" w:eastAsia="Arial" w:hAnsi="Arial"/>
                <w:sz w:val="18"/>
                <w:szCs w:val="18"/>
                <w:color w:val="auto"/>
              </w:rPr>
              <w:t>Contract liabilities from customer advances</w:t>
            </w:r>
          </w:p>
        </w:tc>
        <w:tc>
          <w:tcPr>
            <w:tcW w:w="34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40</w:t>
            </w:r>
          </w:p>
        </w:tc>
        <w:tc>
          <w:tcPr>
            <w:tcW w:w="36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61</w:t>
            </w:r>
          </w:p>
        </w:tc>
      </w:tr>
      <w:tr>
        <w:trPr>
          <w:trHeight w:val="250"/>
        </w:trPr>
        <w:tc>
          <w:tcPr>
            <w:tcW w:w="82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contract liabilities</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w:t>
            </w:r>
          </w:p>
        </w:tc>
      </w:tr>
      <w:tr>
        <w:trPr>
          <w:trHeight w:val="275"/>
        </w:trPr>
        <w:tc>
          <w:tcPr>
            <w:tcW w:w="8260" w:type="dxa"/>
            <w:vAlign w:val="bottom"/>
            <w:tcBorders>
              <w:bottom w:val="single" w:sz="8" w:color="D1D2D4"/>
            </w:tcBorders>
            <w:shd w:val="clear" w:color="auto" w:fill="D1D2D4"/>
          </w:tcPr>
          <w:p>
            <w:pPr>
              <w:spacing w:after="0"/>
              <w:rPr>
                <w:sz w:val="23"/>
                <w:szCs w:val="23"/>
                <w:color w:val="auto"/>
              </w:rPr>
            </w:pPr>
          </w:p>
        </w:tc>
        <w:tc>
          <w:tcPr>
            <w:tcW w:w="340" w:type="dxa"/>
            <w:vAlign w:val="bottom"/>
            <w:tcBorders>
              <w:bottom w:val="single" w:sz="8" w:color="auto"/>
            </w:tcBorders>
            <w:shd w:val="clear" w:color="auto" w:fill="D1D2D4"/>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65</w:t>
            </w:r>
          </w:p>
        </w:tc>
        <w:tc>
          <w:tcPr>
            <w:tcW w:w="360" w:type="dxa"/>
            <w:vAlign w:val="bottom"/>
            <w:tcBorders>
              <w:bottom w:val="single" w:sz="8" w:color="auto"/>
            </w:tcBorders>
            <w:shd w:val="clear" w:color="auto" w:fill="D1D2D4"/>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130</w:t>
            </w:r>
          </w:p>
        </w:tc>
      </w:tr>
      <w:tr>
        <w:trPr>
          <w:trHeight w:val="20"/>
        </w:trPr>
        <w:tc>
          <w:tcPr>
            <w:tcW w:w="8260" w:type="dxa"/>
            <w:vAlign w:val="bottom"/>
            <w:tcBorders>
              <w:top w:val="single" w:sz="8" w:color="D1D2D4"/>
            </w:tcBorders>
          </w:tcPr>
          <w:p>
            <w:pPr>
              <w:spacing w:after="0" w:line="20" w:lineRule="exact"/>
              <w:rPr>
                <w:sz w:val="1"/>
                <w:szCs w:val="1"/>
                <w:color w:val="auto"/>
              </w:rPr>
            </w:pPr>
          </w:p>
        </w:tc>
        <w:tc>
          <w:tcPr>
            <w:tcW w:w="34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c>
          <w:tcPr>
            <w:tcW w:w="360" w:type="dxa"/>
            <w:vAlign w:val="bottom"/>
            <w:tcBorders>
              <w:top w:val="single" w:sz="8" w:color="D1D2D4"/>
              <w:bottom w:val="single" w:sz="8" w:color="auto"/>
            </w:tcBorders>
          </w:tcPr>
          <w:p>
            <w:pPr>
              <w:spacing w:after="0" w:line="20" w:lineRule="exact"/>
              <w:rPr>
                <w:sz w:val="1"/>
                <w:szCs w:val="1"/>
                <w:color w:val="auto"/>
              </w:rPr>
            </w:pPr>
          </w:p>
        </w:tc>
        <w:tc>
          <w:tcPr>
            <w:tcW w:w="1160" w:type="dxa"/>
            <w:vAlign w:val="bottom"/>
            <w:tcBorders>
              <w:top w:val="single" w:sz="8" w:color="D1D2D4"/>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contract liabilities from customer advances are for advance payments received from customers to secure product in future periods. Other contract liabilities consist of amounts received in advance of satisfying performance obligations. These balances are reported within other current liabilities and other noncurrent liabilities. Revenue recognized during 2020 from the ending balance of 2019 included $81 million from meeting performance obligations of other contract liabilities and shipments against customer advances. Contract liabilities from customer advances also decreased $22 million due to the return of an unutilized customer advance upon expiration of a contract.</w:t>
      </w:r>
    </w:p>
    <w:p>
      <w:pPr>
        <w:spacing w:after="0" w:line="23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Revenue is primarily recognized at a point in time when control of the promised goods is transferred to our customers in an amount that reflects the consideration we expect to be entitled to in exchange for those goods. Substantially all contracts with our customers are short-term in duration at fixed, negotiated prices with payment generally due shortly after delivery. From time to time, we have contracts with initial terms that include performance obligations that extend, in some cases, beyond one year. As of September 3, 2020, we expect future revenue related to these longer-term contracts of approximately $498 million, of which approximately 72% relates to performance obligations and product shipments we expect to satisfy within the next 12 months and 28% beyond 12 months.</w:t>
      </w:r>
    </w:p>
    <w:p>
      <w:pPr>
        <w:spacing w:after="0" w:line="235" w:lineRule="exact"/>
        <w:rPr>
          <w:sz w:val="20"/>
          <w:szCs w:val="20"/>
          <w:color w:val="auto"/>
        </w:rPr>
      </w:pPr>
    </w:p>
    <w:p>
      <w:pPr>
        <w:ind w:right="700"/>
        <w:spacing w:after="0" w:line="261" w:lineRule="auto"/>
        <w:rPr>
          <w:sz w:val="20"/>
          <w:szCs w:val="20"/>
          <w:color w:val="auto"/>
        </w:rPr>
      </w:pPr>
      <w:r>
        <w:rPr>
          <w:rFonts w:ascii="Arial" w:cs="Arial" w:eastAsia="Arial" w:hAnsi="Arial"/>
          <w:sz w:val="18"/>
          <w:szCs w:val="18"/>
          <w:color w:val="auto"/>
        </w:rPr>
        <w:t>As of September 3, 2020, other current liabilities included $466 million for estimates of consideration payable to customers, including estimates for pricing adjustments and returns.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Research and Development</w:t>
      </w:r>
    </w:p>
    <w:p>
      <w:pPr>
        <w:spacing w:after="0" w:line="28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shared the cost of certain product and process development activities with development partners, including agreements to jointly develop NAND and 3D XPoint technologies with Intel. We substantially completed our cost-sharing agreements with Intel to develop 3D NAND and 3D XPoint technology in 2019 and 2020, respectively. Our R&amp;D expenses were reduced by $60 million and $201 million for 2019 and 2018, respectively, pursuant to reimbursements under these arrangements. Reimbursements were not significant for 2020.</w:t>
      </w:r>
    </w:p>
    <w:p>
      <w:pPr>
        <w:spacing w:after="0" w:line="200" w:lineRule="exact"/>
        <w:rPr>
          <w:sz w:val="20"/>
          <w:szCs w:val="20"/>
          <w:color w:val="auto"/>
        </w:rPr>
      </w:pPr>
    </w:p>
    <w:p>
      <w:pPr>
        <w:spacing w:after="0" w:line="275" w:lineRule="exact"/>
        <w:rPr>
          <w:sz w:val="20"/>
          <w:szCs w:val="20"/>
          <w:color w:val="auto"/>
        </w:rPr>
      </w:pPr>
    </w:p>
    <w:p>
      <w:pPr>
        <w:jc w:val="right"/>
        <w:spacing w:after="0"/>
        <w:rPr>
          <w:sz w:val="20"/>
          <w:szCs w:val="20"/>
          <w:color w:val="auto"/>
        </w:rPr>
      </w:pPr>
      <w:r>
        <w:rPr>
          <w:sz w:val="1"/>
          <w:szCs w:val="1"/>
          <w:color w:val="auto"/>
        </w:rPr>
        <w:drawing>
          <wp:inline distT="0" distB="0" distL="0" distR="0">
            <wp:extent cx="608330" cy="171450"/>
            <wp:effectExtent l="0" t="0" r="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8330" cy="171450"/>
                    </a:xfrm>
                    <a:prstGeom prst="rect">
                      <a:avLst/>
                    </a:prstGeom>
                    <a:noFill/>
                    <a:ln>
                      <a:noFill/>
                    </a:ln>
                  </pic:spPr>
                </pic:pic>
              </a:graphicData>
            </a:graphic>
          </wp:inline>
        </w:drawing>
      </w:r>
      <w:r>
        <w:rPr>
          <w:rFonts w:ascii="Arial" w:cs="Arial" w:eastAsia="Arial" w:hAnsi="Arial"/>
          <w:sz w:val="18"/>
          <w:szCs w:val="18"/>
          <w:color w:val="auto"/>
        </w:rPr>
        <w:t xml:space="preserve">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bookmarkStart w:id="77" w:name="page78"/>
    <w:bookmarkEnd w:id="77"/>
    <w:p>
      <w:pPr>
        <w:spacing w:after="0"/>
        <w:rPr>
          <w:sz w:val="20"/>
          <w:szCs w:val="20"/>
          <w:color w:val="auto"/>
        </w:rPr>
      </w:pPr>
      <w:r>
        <w:rPr>
          <w:rFonts w:ascii="Arial" w:cs="Arial" w:eastAsia="Arial" w:hAnsi="Arial"/>
          <w:sz w:val="40"/>
          <w:szCs w:val="40"/>
          <w:b w:val="1"/>
          <w:bCs w:val="1"/>
          <w:color w:val="auto"/>
        </w:rPr>
        <w:t>Other Operating (Income) Expense, Net</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86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For the year ended</w:t>
            </w:r>
          </w:p>
        </w:tc>
        <w:tc>
          <w:tcPr>
            <w:tcW w:w="320" w:type="dxa"/>
            <w:vAlign w:val="bottom"/>
            <w:tcBorders>
              <w:bottom w:val="single" w:sz="8" w:color="0090DA"/>
            </w:tcBorders>
          </w:tcPr>
          <w:p>
            <w:pPr>
              <w:spacing w:after="0"/>
              <w:rPr>
                <w:sz w:val="21"/>
                <w:szCs w:val="21"/>
                <w:color w:val="auto"/>
              </w:rPr>
            </w:pPr>
          </w:p>
        </w:tc>
        <w:tc>
          <w:tcPr>
            <w:tcW w:w="114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0090DA"/>
            </w:tcBorders>
          </w:tcPr>
          <w:p>
            <w:pPr>
              <w:spacing w:after="0"/>
              <w:rPr>
                <w:sz w:val="21"/>
                <w:szCs w:val="21"/>
                <w:color w:val="auto"/>
              </w:rPr>
            </w:pPr>
          </w:p>
        </w:tc>
        <w:tc>
          <w:tcPr>
            <w:tcW w:w="114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bottom w:val="single" w:sz="8" w:color="0090DA"/>
            </w:tcBorders>
          </w:tcPr>
          <w:p>
            <w:pPr>
              <w:spacing w:after="0"/>
              <w:rPr>
                <w:sz w:val="21"/>
                <w:szCs w:val="21"/>
                <w:color w:val="auto"/>
              </w:rPr>
            </w:pPr>
          </w:p>
        </w:tc>
        <w:tc>
          <w:tcPr>
            <w:tcW w:w="114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2018</w:t>
            </w:r>
          </w:p>
        </w:tc>
      </w:tr>
      <w:tr>
        <w:trPr>
          <w:trHeight w:val="41"/>
        </w:trPr>
        <w:tc>
          <w:tcPr>
            <w:tcW w:w="6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57"/>
        </w:trPr>
        <w:tc>
          <w:tcPr>
            <w:tcW w:w="686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Restructure and asset impairments</w:t>
            </w:r>
          </w:p>
        </w:tc>
        <w:tc>
          <w:tcPr>
            <w:tcW w:w="32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60</w:t>
            </w:r>
          </w:p>
        </w:tc>
        <w:tc>
          <w:tcPr>
            <w:tcW w:w="32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1D2D4"/>
          </w:tcPr>
          <w:p>
            <w:pPr>
              <w:jc w:val="center"/>
              <w:ind w:left="650"/>
              <w:spacing w:after="0"/>
              <w:rPr>
                <w:sz w:val="20"/>
                <w:szCs w:val="20"/>
                <w:color w:val="auto"/>
              </w:rPr>
            </w:pPr>
            <w:r>
              <w:rPr>
                <w:rFonts w:ascii="Arial" w:cs="Arial" w:eastAsia="Arial" w:hAnsi="Arial"/>
                <w:sz w:val="18"/>
                <w:szCs w:val="18"/>
                <w:color w:val="auto"/>
                <w:w w:val="99"/>
              </w:rPr>
              <w:t>(29)</w:t>
            </w:r>
          </w:p>
        </w:tc>
        <w:tc>
          <w:tcPr>
            <w:tcW w:w="32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1D2D4"/>
          </w:tcPr>
          <w:p>
            <w:pPr>
              <w:jc w:val="center"/>
              <w:ind w:left="650"/>
              <w:spacing w:after="0"/>
              <w:rPr>
                <w:sz w:val="20"/>
                <w:szCs w:val="20"/>
                <w:color w:val="auto"/>
              </w:rPr>
            </w:pPr>
            <w:r>
              <w:rPr>
                <w:rFonts w:ascii="Arial" w:cs="Arial" w:eastAsia="Arial" w:hAnsi="Arial"/>
                <w:sz w:val="18"/>
                <w:szCs w:val="18"/>
                <w:color w:val="auto"/>
                <w:w w:val="99"/>
              </w:rPr>
              <w:t>28</w:t>
            </w:r>
          </w:p>
        </w:tc>
      </w:tr>
      <w:tr>
        <w:trPr>
          <w:trHeight w:val="256"/>
        </w:trPr>
        <w:tc>
          <w:tcPr>
            <w:tcW w:w="6860" w:type="dxa"/>
            <w:vAlign w:val="bottom"/>
          </w:tcPr>
          <w:p>
            <w:pPr>
              <w:ind w:left="20"/>
              <w:spacing w:after="0"/>
              <w:rPr>
                <w:sz w:val="20"/>
                <w:szCs w:val="20"/>
                <w:color w:val="auto"/>
              </w:rPr>
            </w:pPr>
            <w:r>
              <w:rPr>
                <w:rFonts w:ascii="Arial" w:cs="Arial" w:eastAsia="Arial" w:hAnsi="Arial"/>
                <w:sz w:val="18"/>
                <w:szCs w:val="18"/>
                <w:color w:val="auto"/>
              </w:rPr>
              <w:t>(Gain) loss on disposition of property, plant, and equipment</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22"/>
                <w:szCs w:val="22"/>
                <w:color w:val="auto"/>
              </w:rPr>
            </w:pPr>
          </w:p>
        </w:tc>
        <w:tc>
          <w:tcPr>
            <w:tcW w:w="1140" w:type="dxa"/>
            <w:vAlign w:val="bottom"/>
          </w:tcPr>
          <w:p>
            <w:pPr>
              <w:jc w:val="center"/>
              <w:ind w:left="690"/>
              <w:spacing w:after="0"/>
              <w:rPr>
                <w:sz w:val="20"/>
                <w:szCs w:val="20"/>
                <w:color w:val="auto"/>
              </w:rPr>
            </w:pPr>
            <w:r>
              <w:rPr>
                <w:rFonts w:ascii="Arial" w:cs="Arial" w:eastAsia="Arial" w:hAnsi="Arial"/>
                <w:sz w:val="18"/>
                <w:szCs w:val="18"/>
                <w:color w:val="auto"/>
                <w:w w:val="99"/>
              </w:rPr>
              <w:t>43</w:t>
            </w:r>
          </w:p>
        </w:tc>
        <w:tc>
          <w:tcPr>
            <w:tcW w:w="320" w:type="dxa"/>
            <w:vAlign w:val="bottom"/>
          </w:tcPr>
          <w:p>
            <w:pPr>
              <w:spacing w:after="0"/>
              <w:rPr>
                <w:sz w:val="22"/>
                <w:szCs w:val="22"/>
                <w:color w:val="auto"/>
              </w:rPr>
            </w:pPr>
          </w:p>
        </w:tc>
        <w:tc>
          <w:tcPr>
            <w:tcW w:w="1140" w:type="dxa"/>
            <w:vAlign w:val="bottom"/>
          </w:tcPr>
          <w:p>
            <w:pPr>
              <w:jc w:val="center"/>
              <w:ind w:left="650"/>
              <w:spacing w:after="0"/>
              <w:rPr>
                <w:sz w:val="20"/>
                <w:szCs w:val="20"/>
                <w:color w:val="auto"/>
              </w:rPr>
            </w:pPr>
            <w:r>
              <w:rPr>
                <w:rFonts w:ascii="Arial" w:cs="Arial" w:eastAsia="Arial" w:hAnsi="Arial"/>
                <w:sz w:val="18"/>
                <w:szCs w:val="18"/>
                <w:color w:val="auto"/>
                <w:w w:val="99"/>
              </w:rPr>
              <w:t>(96)</w:t>
            </w:r>
          </w:p>
        </w:tc>
      </w:tr>
      <w:tr>
        <w:trPr>
          <w:trHeight w:val="250"/>
        </w:trPr>
        <w:tc>
          <w:tcPr>
            <w:tcW w:w="68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D1D2D4"/>
          </w:tcPr>
          <w:p>
            <w:pPr>
              <w:spacing w:after="0"/>
              <w:rPr>
                <w:sz w:val="21"/>
                <w:szCs w:val="21"/>
                <w:color w:val="auto"/>
              </w:rPr>
            </w:pP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w:t>
            </w:r>
          </w:p>
        </w:tc>
        <w:tc>
          <w:tcPr>
            <w:tcW w:w="320" w:type="dxa"/>
            <w:vAlign w:val="bottom"/>
            <w:tcBorders>
              <w:bottom w:val="single" w:sz="8" w:color="auto"/>
            </w:tcBorders>
            <w:shd w:val="clear" w:color="auto" w:fill="D1D2D4"/>
          </w:tcPr>
          <w:p>
            <w:pPr>
              <w:spacing w:after="0"/>
              <w:rPr>
                <w:sz w:val="21"/>
                <w:szCs w:val="21"/>
                <w:color w:val="auto"/>
              </w:rPr>
            </w:pPr>
          </w:p>
        </w:tc>
        <w:tc>
          <w:tcPr>
            <w:tcW w:w="1140" w:type="dxa"/>
            <w:vAlign w:val="bottom"/>
            <w:tcBorders>
              <w:bottom w:val="single" w:sz="8" w:color="auto"/>
            </w:tcBorders>
            <w:shd w:val="clear" w:color="auto" w:fill="D1D2D4"/>
          </w:tcPr>
          <w:p>
            <w:pPr>
              <w:jc w:val="center"/>
              <w:ind w:left="690"/>
              <w:spacing w:after="0"/>
              <w:rPr>
                <w:sz w:val="20"/>
                <w:szCs w:val="20"/>
                <w:color w:val="auto"/>
              </w:rPr>
            </w:pPr>
            <w:r>
              <w:rPr>
                <w:rFonts w:ascii="Arial" w:cs="Arial" w:eastAsia="Arial" w:hAnsi="Arial"/>
                <w:sz w:val="18"/>
                <w:szCs w:val="18"/>
                <w:color w:val="auto"/>
                <w:w w:val="99"/>
              </w:rPr>
              <w:t>35</w:t>
            </w:r>
          </w:p>
        </w:tc>
        <w:tc>
          <w:tcPr>
            <w:tcW w:w="320" w:type="dxa"/>
            <w:vAlign w:val="bottom"/>
            <w:tcBorders>
              <w:bottom w:val="single" w:sz="8" w:color="auto"/>
            </w:tcBorders>
            <w:shd w:val="clear" w:color="auto" w:fill="D1D2D4"/>
          </w:tcPr>
          <w:p>
            <w:pPr>
              <w:spacing w:after="0"/>
              <w:rPr>
                <w:sz w:val="21"/>
                <w:szCs w:val="21"/>
                <w:color w:val="auto"/>
              </w:rPr>
            </w:pPr>
          </w:p>
        </w:tc>
        <w:tc>
          <w:tcPr>
            <w:tcW w:w="1140" w:type="dxa"/>
            <w:vAlign w:val="bottom"/>
            <w:tcBorders>
              <w:bottom w:val="single" w:sz="8" w:color="auto"/>
            </w:tcBorders>
            <w:shd w:val="clear" w:color="auto" w:fill="D1D2D4"/>
          </w:tcPr>
          <w:p>
            <w:pPr>
              <w:jc w:val="center"/>
              <w:ind w:left="650"/>
              <w:spacing w:after="0"/>
              <w:rPr>
                <w:sz w:val="20"/>
                <w:szCs w:val="20"/>
                <w:color w:val="auto"/>
              </w:rPr>
            </w:pPr>
            <w:r>
              <w:rPr>
                <w:rFonts w:ascii="Arial" w:cs="Arial" w:eastAsia="Arial" w:hAnsi="Arial"/>
                <w:sz w:val="18"/>
                <w:szCs w:val="18"/>
                <w:color w:val="auto"/>
                <w:w w:val="99"/>
              </w:rPr>
              <w:t>11</w:t>
            </w:r>
          </w:p>
        </w:tc>
      </w:tr>
      <w:tr>
        <w:trPr>
          <w:trHeight w:val="250"/>
        </w:trPr>
        <w:tc>
          <w:tcPr>
            <w:tcW w:w="686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center"/>
              <w:ind w:left="690"/>
              <w:spacing w:after="0"/>
              <w:rPr>
                <w:sz w:val="20"/>
                <w:szCs w:val="20"/>
                <w:color w:val="auto"/>
              </w:rPr>
            </w:pPr>
            <w:r>
              <w:rPr>
                <w:rFonts w:ascii="Arial" w:cs="Arial" w:eastAsia="Arial" w:hAnsi="Arial"/>
                <w:sz w:val="18"/>
                <w:szCs w:val="18"/>
                <w:color w:val="auto"/>
                <w:w w:val="99"/>
              </w:rPr>
              <w:t>49</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center"/>
              <w:ind w:left="650"/>
              <w:spacing w:after="0"/>
              <w:rPr>
                <w:sz w:val="20"/>
                <w:szCs w:val="20"/>
                <w:color w:val="auto"/>
              </w:rPr>
            </w:pPr>
            <w:r>
              <w:rPr>
                <w:rFonts w:ascii="Arial" w:cs="Arial" w:eastAsia="Arial" w:hAnsi="Arial"/>
                <w:sz w:val="18"/>
                <w:szCs w:val="18"/>
                <w:color w:val="auto"/>
                <w:w w:val="99"/>
              </w:rPr>
              <w:t>(57)</w:t>
            </w:r>
          </w:p>
        </w:tc>
      </w:tr>
      <w:tr>
        <w:trPr>
          <w:trHeight w:val="27"/>
        </w:trPr>
        <w:tc>
          <w:tcPr>
            <w:tcW w:w="68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350"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Restructure and asset impairments for 2020 primarily related to asset impairments and employee relocation and severance costs related to right-sizing our Lehi, Utah facility. Restructure and asset impairments for 2019 and 2018 primarily related to our continued emphasis to centralize certain key functions. In addition, in 2019, we finalized the sale of our 200mm fabrication facility in Singapore and recognized restructure gains of $128 million.</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Other Non-Operating Income (Expense), Net</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86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For the year ended</w:t>
            </w:r>
          </w:p>
        </w:tc>
        <w:tc>
          <w:tcPr>
            <w:tcW w:w="320" w:type="dxa"/>
            <w:vAlign w:val="bottom"/>
            <w:tcBorders>
              <w:bottom w:val="single" w:sz="8" w:color="0090DA"/>
            </w:tcBorders>
          </w:tcPr>
          <w:p>
            <w:pPr>
              <w:spacing w:after="0"/>
              <w:rPr>
                <w:sz w:val="21"/>
                <w:szCs w:val="21"/>
                <w:color w:val="auto"/>
              </w:rPr>
            </w:pPr>
          </w:p>
        </w:tc>
        <w:tc>
          <w:tcPr>
            <w:tcW w:w="11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980" w:type="dxa"/>
            <w:vAlign w:val="bottom"/>
            <w:tcBorders>
              <w:bottom w:val="single" w:sz="8" w:color="0090DA"/>
            </w:tcBorders>
          </w:tcPr>
          <w:p>
            <w:pPr>
              <w:jc w:val="right"/>
              <w:spacing w:after="0"/>
              <w:rPr>
                <w:sz w:val="20"/>
                <w:szCs w:val="20"/>
                <w:color w:val="auto"/>
              </w:rPr>
            </w:pPr>
            <w:r>
              <w:rPr>
                <w:rFonts w:ascii="Arial" w:cs="Arial" w:eastAsia="Arial" w:hAnsi="Arial"/>
                <w:sz w:val="18"/>
                <w:szCs w:val="18"/>
                <w:b w:val="1"/>
                <w:bCs w:val="1"/>
                <w:color w:val="auto"/>
              </w:rPr>
              <w:t>2019</w:t>
            </w:r>
          </w:p>
        </w:tc>
        <w:tc>
          <w:tcPr>
            <w:tcW w:w="480" w:type="dxa"/>
            <w:vAlign w:val="bottom"/>
            <w:tcBorders>
              <w:bottom w:val="single" w:sz="8" w:color="0090DA"/>
            </w:tcBorders>
          </w:tcPr>
          <w:p>
            <w:pPr>
              <w:spacing w:after="0"/>
              <w:rPr>
                <w:sz w:val="21"/>
                <w:szCs w:val="21"/>
                <w:color w:val="auto"/>
              </w:rPr>
            </w:pPr>
          </w:p>
        </w:tc>
        <w:tc>
          <w:tcPr>
            <w:tcW w:w="340" w:type="dxa"/>
            <w:vAlign w:val="bottom"/>
            <w:tcBorders>
              <w:bottom w:val="single" w:sz="8" w:color="0090DA"/>
            </w:tcBorders>
          </w:tcPr>
          <w:p>
            <w:pPr>
              <w:spacing w:after="0"/>
              <w:rPr>
                <w:sz w:val="21"/>
                <w:szCs w:val="21"/>
                <w:color w:val="auto"/>
              </w:rPr>
            </w:pPr>
          </w:p>
        </w:tc>
        <w:tc>
          <w:tcPr>
            <w:tcW w:w="1140" w:type="dxa"/>
            <w:vAlign w:val="bottom"/>
            <w:tcBorders>
              <w:bottom w:val="single" w:sz="8" w:color="0090DA"/>
            </w:tcBorders>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41"/>
        </w:trPr>
        <w:tc>
          <w:tcPr>
            <w:tcW w:w="6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56"/>
        </w:trPr>
        <w:tc>
          <w:tcPr>
            <w:tcW w:w="6860" w:type="dxa"/>
            <w:vAlign w:val="bottom"/>
            <w:shd w:val="clear" w:color="auto" w:fill="D1D2D4"/>
          </w:tcPr>
          <w:p>
            <w:pPr>
              <w:ind w:left="20"/>
              <w:spacing w:after="0"/>
              <w:rPr>
                <w:sz w:val="20"/>
                <w:szCs w:val="20"/>
                <w:color w:val="auto"/>
              </w:rPr>
            </w:pPr>
            <w:r>
              <w:rPr>
                <w:rFonts w:ascii="Arial" w:cs="Arial" w:eastAsia="Arial" w:hAnsi="Arial"/>
                <w:sz w:val="18"/>
                <w:szCs w:val="18"/>
                <w:color w:val="auto"/>
              </w:rPr>
              <w:t>Gain (loss) on debt prepayments, repurchases, and conversions</w:t>
            </w:r>
          </w:p>
        </w:tc>
        <w:tc>
          <w:tcPr>
            <w:tcW w:w="32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40</w:t>
            </w:r>
          </w:p>
        </w:tc>
        <w:tc>
          <w:tcPr>
            <w:tcW w:w="980" w:type="dxa"/>
            <w:vAlign w:val="bottom"/>
            <w:shd w:val="clear" w:color="auto" w:fill="D1D2D4"/>
          </w:tcPr>
          <w:p>
            <w:pPr>
              <w:jc w:val="right"/>
              <w:ind w:right="77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(396)</w:t>
            </w:r>
          </w:p>
        </w:tc>
        <w:tc>
          <w:tcPr>
            <w:tcW w:w="34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(385)</w:t>
            </w:r>
          </w:p>
        </w:tc>
      </w:tr>
      <w:tr>
        <w:trPr>
          <w:trHeight w:val="250"/>
        </w:trPr>
        <w:tc>
          <w:tcPr>
            <w:tcW w:w="6860" w:type="dxa"/>
            <w:vAlign w:val="bottom"/>
          </w:tcPr>
          <w:p>
            <w:pPr>
              <w:ind w:left="20"/>
              <w:spacing w:after="0"/>
              <w:rPr>
                <w:sz w:val="20"/>
                <w:szCs w:val="20"/>
                <w:color w:val="auto"/>
              </w:rPr>
            </w:pPr>
            <w:r>
              <w:rPr>
                <w:rFonts w:ascii="Arial" w:cs="Arial" w:eastAsia="Arial" w:hAnsi="Arial"/>
                <w:sz w:val="18"/>
                <w:szCs w:val="18"/>
                <w:color w:val="auto"/>
              </w:rPr>
              <w:t>Gain (loss) from changes in currency exchange rates</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w:t>
            </w:r>
          </w:p>
        </w:tc>
        <w:tc>
          <w:tcPr>
            <w:tcW w:w="9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57"/>
        </w:trPr>
        <w:tc>
          <w:tcPr>
            <w:tcW w:w="68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D1D2D4"/>
          </w:tcPr>
          <w:p>
            <w:pPr>
              <w:spacing w:after="0"/>
              <w:rPr>
                <w:sz w:val="22"/>
                <w:szCs w:val="22"/>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28</w:t>
            </w:r>
          </w:p>
        </w:tc>
        <w:tc>
          <w:tcPr>
            <w:tcW w:w="980" w:type="dxa"/>
            <w:vAlign w:val="bottom"/>
            <w:tcBorders>
              <w:bottom w:val="single" w:sz="8" w:color="auto"/>
            </w:tcBorders>
            <w:shd w:val="clear" w:color="auto" w:fill="D1D2D4"/>
          </w:tcPr>
          <w:p>
            <w:pPr>
              <w:spacing w:after="0"/>
              <w:rPr>
                <w:sz w:val="22"/>
                <w:szCs w:val="22"/>
                <w:color w:val="auto"/>
              </w:rPr>
            </w:pPr>
          </w:p>
        </w:tc>
        <w:tc>
          <w:tcPr>
            <w:tcW w:w="4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D1D2D4"/>
          </w:tcPr>
          <w:p>
            <w:pPr>
              <w:spacing w:after="0"/>
              <w:rPr>
                <w:sz w:val="22"/>
                <w:szCs w:val="22"/>
                <w:color w:val="auto"/>
              </w:rPr>
            </w:pP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w:t>
            </w:r>
          </w:p>
        </w:tc>
      </w:tr>
      <w:tr>
        <w:trPr>
          <w:trHeight w:val="250"/>
        </w:trPr>
        <w:tc>
          <w:tcPr>
            <w:tcW w:w="686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9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(405)</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w:t>
            </w:r>
          </w:p>
        </w:tc>
      </w:tr>
      <w:tr>
        <w:trPr>
          <w:trHeight w:val="27"/>
        </w:trPr>
        <w:tc>
          <w:tcPr>
            <w:tcW w:w="68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Income Taxes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860" w:type="dxa"/>
            <w:vAlign w:val="bottom"/>
          </w:tcPr>
          <w:p>
            <w:pPr>
              <w:spacing w:after="0"/>
              <w:rPr>
                <w:sz w:val="20"/>
                <w:szCs w:val="20"/>
                <w:color w:val="auto"/>
              </w:rPr>
            </w:pPr>
            <w:r>
              <w:rPr>
                <w:rFonts w:ascii="Arial" w:cs="Arial" w:eastAsia="Arial" w:hAnsi="Arial"/>
                <w:sz w:val="18"/>
                <w:szCs w:val="18"/>
                <w:color w:val="auto"/>
              </w:rPr>
              <w:t>Our income tax (provision) benefit consisted of the following:</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77"/>
        </w:trPr>
        <w:tc>
          <w:tcPr>
            <w:tcW w:w="686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For the year ended</w:t>
            </w:r>
          </w:p>
        </w:tc>
        <w:tc>
          <w:tcPr>
            <w:tcW w:w="320" w:type="dxa"/>
            <w:vAlign w:val="bottom"/>
            <w:tcBorders>
              <w:bottom w:val="single" w:sz="8" w:color="0090DA"/>
            </w:tcBorders>
          </w:tcPr>
          <w:p>
            <w:pPr>
              <w:spacing w:after="0"/>
              <w:rPr>
                <w:sz w:val="24"/>
                <w:szCs w:val="24"/>
                <w:color w:val="auto"/>
              </w:rPr>
            </w:pPr>
          </w:p>
        </w:tc>
        <w:tc>
          <w:tcPr>
            <w:tcW w:w="11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bottom w:val="single" w:sz="8" w:color="0090DA"/>
            </w:tcBorders>
          </w:tcPr>
          <w:p>
            <w:pPr>
              <w:spacing w:after="0"/>
              <w:rPr>
                <w:sz w:val="24"/>
                <w:szCs w:val="24"/>
                <w:color w:val="auto"/>
              </w:rPr>
            </w:pPr>
          </w:p>
        </w:tc>
        <w:tc>
          <w:tcPr>
            <w:tcW w:w="11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340" w:type="dxa"/>
            <w:vAlign w:val="bottom"/>
            <w:tcBorders>
              <w:bottom w:val="single" w:sz="8" w:color="0090DA"/>
            </w:tcBorders>
          </w:tcPr>
          <w:p>
            <w:pPr>
              <w:spacing w:after="0"/>
              <w:rPr>
                <w:sz w:val="24"/>
                <w:szCs w:val="24"/>
                <w:color w:val="auto"/>
              </w:rPr>
            </w:pPr>
          </w:p>
        </w:tc>
        <w:tc>
          <w:tcPr>
            <w:tcW w:w="1140" w:type="dxa"/>
            <w:vAlign w:val="bottom"/>
            <w:tcBorders>
              <w:bottom w:val="single" w:sz="8" w:color="0090DA"/>
            </w:tcBorders>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40"/>
        </w:trPr>
        <w:tc>
          <w:tcPr>
            <w:tcW w:w="6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29"/>
        </w:trPr>
        <w:tc>
          <w:tcPr>
            <w:tcW w:w="686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Income (loss) before income taxes, net income (loss) attributable to noncontrolling</w:t>
            </w: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c>
          <w:tcPr>
            <w:tcW w:w="34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c>
          <w:tcPr>
            <w:tcW w:w="340" w:type="dxa"/>
            <w:vAlign w:val="bottom"/>
            <w:shd w:val="clear" w:color="auto" w:fill="D1D2D4"/>
          </w:tcPr>
          <w:p>
            <w:pPr>
              <w:spacing w:after="0"/>
              <w:rPr>
                <w:sz w:val="19"/>
                <w:szCs w:val="19"/>
                <w:color w:val="auto"/>
              </w:rPr>
            </w:pPr>
          </w:p>
        </w:tc>
        <w:tc>
          <w:tcPr>
            <w:tcW w:w="1140" w:type="dxa"/>
            <w:vAlign w:val="bottom"/>
            <w:shd w:val="clear" w:color="auto" w:fill="D1D2D4"/>
          </w:tcPr>
          <w:p>
            <w:pPr>
              <w:spacing w:after="0"/>
              <w:rPr>
                <w:sz w:val="19"/>
                <w:szCs w:val="19"/>
                <w:color w:val="auto"/>
              </w:rPr>
            </w:pPr>
          </w:p>
        </w:tc>
      </w:tr>
      <w:tr>
        <w:trPr>
          <w:trHeight w:val="230"/>
        </w:trPr>
        <w:tc>
          <w:tcPr>
            <w:tcW w:w="686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interests, and equity in net income (loss) of equity method investees</w:t>
            </w:r>
          </w:p>
        </w:tc>
        <w:tc>
          <w:tcPr>
            <w:tcW w:w="320" w:type="dxa"/>
            <w:vAlign w:val="bottom"/>
            <w:shd w:val="clear" w:color="auto" w:fill="D1D2D4"/>
          </w:tcPr>
          <w:p>
            <w:pPr>
              <w:spacing w:after="0"/>
              <w:rPr>
                <w:sz w:val="20"/>
                <w:szCs w:val="20"/>
                <w:color w:val="auto"/>
              </w:rPr>
            </w:pPr>
          </w:p>
        </w:tc>
        <w:tc>
          <w:tcPr>
            <w:tcW w:w="1120" w:type="dxa"/>
            <w:vAlign w:val="bottom"/>
            <w:shd w:val="clear" w:color="auto" w:fill="D1D2D4"/>
          </w:tcPr>
          <w:p>
            <w:pPr>
              <w:spacing w:after="0"/>
              <w:rPr>
                <w:sz w:val="20"/>
                <w:szCs w:val="20"/>
                <w:color w:val="auto"/>
              </w:rPr>
            </w:pPr>
          </w:p>
        </w:tc>
        <w:tc>
          <w:tcPr>
            <w:tcW w:w="340" w:type="dxa"/>
            <w:vAlign w:val="bottom"/>
            <w:shd w:val="clear" w:color="auto" w:fill="D1D2D4"/>
          </w:tcPr>
          <w:p>
            <w:pPr>
              <w:spacing w:after="0"/>
              <w:rPr>
                <w:sz w:val="20"/>
                <w:szCs w:val="20"/>
                <w:color w:val="auto"/>
              </w:rPr>
            </w:pPr>
          </w:p>
        </w:tc>
        <w:tc>
          <w:tcPr>
            <w:tcW w:w="1120" w:type="dxa"/>
            <w:vAlign w:val="bottom"/>
            <w:shd w:val="clear" w:color="auto" w:fill="D1D2D4"/>
          </w:tcPr>
          <w:p>
            <w:pPr>
              <w:spacing w:after="0"/>
              <w:rPr>
                <w:sz w:val="20"/>
                <w:szCs w:val="20"/>
                <w:color w:val="auto"/>
              </w:rPr>
            </w:pPr>
          </w:p>
        </w:tc>
        <w:tc>
          <w:tcPr>
            <w:tcW w:w="340" w:type="dxa"/>
            <w:vAlign w:val="bottom"/>
            <w:shd w:val="clear" w:color="auto" w:fill="D1D2D4"/>
          </w:tcPr>
          <w:p>
            <w:pPr>
              <w:spacing w:after="0"/>
              <w:rPr>
                <w:sz w:val="20"/>
                <w:szCs w:val="20"/>
                <w:color w:val="auto"/>
              </w:rPr>
            </w:pPr>
          </w:p>
        </w:tc>
        <w:tc>
          <w:tcPr>
            <w:tcW w:w="1140" w:type="dxa"/>
            <w:vAlign w:val="bottom"/>
            <w:shd w:val="clear" w:color="auto" w:fill="D1D2D4"/>
          </w:tcPr>
          <w:p>
            <w:pPr>
              <w:spacing w:after="0"/>
              <w:rPr>
                <w:sz w:val="20"/>
                <w:szCs w:val="20"/>
                <w:color w:val="auto"/>
              </w:rPr>
            </w:pPr>
          </w:p>
        </w:tc>
      </w:tr>
      <w:tr>
        <w:trPr>
          <w:trHeight w:val="250"/>
        </w:trPr>
        <w:tc>
          <w:tcPr>
            <w:tcW w:w="6860" w:type="dxa"/>
            <w:vAlign w:val="bottom"/>
          </w:tcPr>
          <w:p>
            <w:pPr>
              <w:ind w:left="340"/>
              <w:spacing w:after="0"/>
              <w:rPr>
                <w:sz w:val="20"/>
                <w:szCs w:val="20"/>
                <w:color w:val="auto"/>
              </w:rPr>
            </w:pPr>
            <w:r>
              <w:rPr>
                <w:rFonts w:ascii="Arial" w:cs="Arial" w:eastAsia="Arial" w:hAnsi="Arial"/>
                <w:sz w:val="18"/>
                <w:szCs w:val="18"/>
                <w:color w:val="auto"/>
              </w:rPr>
              <w:t>U.S.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308</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(67)</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141</w:t>
            </w:r>
          </w:p>
        </w:tc>
      </w:tr>
      <w:tr>
        <w:trPr>
          <w:trHeight w:val="257"/>
        </w:trPr>
        <w:tc>
          <w:tcPr>
            <w:tcW w:w="6860" w:type="dxa"/>
            <w:vAlign w:val="bottom"/>
            <w:shd w:val="clear" w:color="auto" w:fill="D1D2D4"/>
          </w:tcPr>
          <w:p>
            <w:pPr>
              <w:ind w:left="340"/>
              <w:spacing w:after="0"/>
              <w:rPr>
                <w:sz w:val="20"/>
                <w:szCs w:val="20"/>
                <w:color w:val="auto"/>
              </w:rPr>
            </w:pPr>
            <w:r>
              <w:rPr>
                <w:rFonts w:ascii="Arial" w:cs="Arial" w:eastAsia="Arial" w:hAnsi="Arial"/>
                <w:sz w:val="18"/>
                <w:szCs w:val="18"/>
                <w:color w:val="auto"/>
              </w:rPr>
              <w:t>Foreign</w:t>
            </w:r>
          </w:p>
        </w:tc>
        <w:tc>
          <w:tcPr>
            <w:tcW w:w="320" w:type="dxa"/>
            <w:vAlign w:val="bottom"/>
            <w:tcBorders>
              <w:bottom w:val="single" w:sz="8" w:color="auto"/>
            </w:tcBorders>
            <w:shd w:val="clear" w:color="auto" w:fill="D1D2D4"/>
          </w:tcPr>
          <w:p>
            <w:pPr>
              <w:spacing w:after="0"/>
              <w:rPr>
                <w:sz w:val="22"/>
                <w:szCs w:val="22"/>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2,675</w:t>
            </w:r>
          </w:p>
        </w:tc>
        <w:tc>
          <w:tcPr>
            <w:tcW w:w="340" w:type="dxa"/>
            <w:vAlign w:val="bottom"/>
            <w:tcBorders>
              <w:bottom w:val="single" w:sz="8" w:color="auto"/>
            </w:tcBorders>
            <w:shd w:val="clear" w:color="auto" w:fill="D1D2D4"/>
          </w:tcPr>
          <w:p>
            <w:pPr>
              <w:spacing w:after="0"/>
              <w:rPr>
                <w:sz w:val="22"/>
                <w:szCs w:val="22"/>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7,115</w:t>
            </w:r>
          </w:p>
        </w:tc>
        <w:tc>
          <w:tcPr>
            <w:tcW w:w="340" w:type="dxa"/>
            <w:vAlign w:val="bottom"/>
            <w:tcBorders>
              <w:bottom w:val="single" w:sz="8" w:color="auto"/>
            </w:tcBorders>
            <w:shd w:val="clear" w:color="auto" w:fill="D1D2D4"/>
          </w:tcPr>
          <w:p>
            <w:pPr>
              <w:spacing w:after="0"/>
              <w:rPr>
                <w:sz w:val="22"/>
                <w:szCs w:val="22"/>
                <w:color w:val="auto"/>
              </w:rPr>
            </w:pPr>
          </w:p>
        </w:tc>
        <w:tc>
          <w:tcPr>
            <w:tcW w:w="114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14,166</w:t>
            </w:r>
          </w:p>
        </w:tc>
      </w:tr>
      <w:tr>
        <w:trPr>
          <w:trHeight w:val="250"/>
        </w:trPr>
        <w:tc>
          <w:tcPr>
            <w:tcW w:w="686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2,983</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7,048</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14,307</w:t>
            </w:r>
          </w:p>
        </w:tc>
      </w:tr>
      <w:tr>
        <w:trPr>
          <w:trHeight w:val="20"/>
        </w:trPr>
        <w:tc>
          <w:tcPr>
            <w:tcW w:w="6860" w:type="dxa"/>
            <w:vAlign w:val="bottom"/>
            <w:tcBorders>
              <w:bottom w:val="single" w:sz="8" w:color="D1D2D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0"/>
        </w:trPr>
        <w:tc>
          <w:tcPr>
            <w:tcW w:w="6860" w:type="dxa"/>
            <w:vAlign w:val="bottom"/>
            <w:shd w:val="clear" w:color="auto" w:fill="D1D2D4"/>
          </w:tcPr>
          <w:p>
            <w:pPr>
              <w:spacing w:after="0"/>
              <w:rPr>
                <w:sz w:val="19"/>
                <w:szCs w:val="19"/>
                <w:color w:val="auto"/>
              </w:rPr>
            </w:pP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c>
          <w:tcPr>
            <w:tcW w:w="34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c>
          <w:tcPr>
            <w:tcW w:w="340" w:type="dxa"/>
            <w:vAlign w:val="bottom"/>
            <w:shd w:val="clear" w:color="auto" w:fill="D1D2D4"/>
          </w:tcPr>
          <w:p>
            <w:pPr>
              <w:spacing w:after="0"/>
              <w:rPr>
                <w:sz w:val="19"/>
                <w:szCs w:val="19"/>
                <w:color w:val="auto"/>
              </w:rPr>
            </w:pPr>
          </w:p>
        </w:tc>
        <w:tc>
          <w:tcPr>
            <w:tcW w:w="1140" w:type="dxa"/>
            <w:vAlign w:val="bottom"/>
            <w:shd w:val="clear" w:color="auto" w:fill="D1D2D4"/>
          </w:tcPr>
          <w:p>
            <w:pPr>
              <w:spacing w:after="0"/>
              <w:rPr>
                <w:sz w:val="19"/>
                <w:szCs w:val="19"/>
                <w:color w:val="auto"/>
              </w:rPr>
            </w:pPr>
          </w:p>
        </w:tc>
      </w:tr>
      <w:tr>
        <w:trPr>
          <w:trHeight w:val="250"/>
        </w:trPr>
        <w:tc>
          <w:tcPr>
            <w:tcW w:w="6860" w:type="dxa"/>
            <w:vAlign w:val="bottom"/>
          </w:tcPr>
          <w:p>
            <w:pPr>
              <w:ind w:left="20"/>
              <w:spacing w:after="0"/>
              <w:rPr>
                <w:sz w:val="20"/>
                <w:szCs w:val="20"/>
                <w:color w:val="auto"/>
              </w:rPr>
            </w:pPr>
            <w:r>
              <w:rPr>
                <w:rFonts w:ascii="Arial" w:cs="Arial" w:eastAsia="Arial" w:hAnsi="Arial"/>
                <w:sz w:val="18"/>
                <w:szCs w:val="18"/>
                <w:color w:val="auto"/>
              </w:rPr>
              <w:t>Income tax (provision) benefit</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3"/>
        </w:trPr>
        <w:tc>
          <w:tcPr>
            <w:tcW w:w="6860" w:type="dxa"/>
            <w:vAlign w:val="bottom"/>
            <w:shd w:val="clear" w:color="auto" w:fill="D1D2D4"/>
          </w:tcPr>
          <w:p>
            <w:pPr>
              <w:ind w:left="180"/>
              <w:spacing w:after="0"/>
              <w:rPr>
                <w:sz w:val="20"/>
                <w:szCs w:val="20"/>
                <w:color w:val="auto"/>
              </w:rPr>
            </w:pPr>
            <w:r>
              <w:rPr>
                <w:rFonts w:ascii="Arial" w:cs="Arial" w:eastAsia="Arial" w:hAnsi="Arial"/>
                <w:sz w:val="18"/>
                <w:szCs w:val="18"/>
                <w:color w:val="auto"/>
              </w:rPr>
              <w:t>Current</w:t>
            </w:r>
          </w:p>
        </w:tc>
        <w:tc>
          <w:tcPr>
            <w:tcW w:w="320" w:type="dxa"/>
            <w:vAlign w:val="bottom"/>
            <w:shd w:val="clear" w:color="auto" w:fill="D1D2D4"/>
          </w:tcPr>
          <w:p>
            <w:pPr>
              <w:spacing w:after="0"/>
              <w:rPr>
                <w:sz w:val="22"/>
                <w:szCs w:val="22"/>
                <w:color w:val="auto"/>
              </w:rPr>
            </w:pPr>
          </w:p>
        </w:tc>
        <w:tc>
          <w:tcPr>
            <w:tcW w:w="1120" w:type="dxa"/>
            <w:vAlign w:val="bottom"/>
            <w:shd w:val="clear" w:color="auto" w:fill="D1D2D4"/>
          </w:tcPr>
          <w:p>
            <w:pPr>
              <w:spacing w:after="0"/>
              <w:rPr>
                <w:sz w:val="22"/>
                <w:szCs w:val="22"/>
                <w:color w:val="auto"/>
              </w:rPr>
            </w:pPr>
          </w:p>
        </w:tc>
        <w:tc>
          <w:tcPr>
            <w:tcW w:w="340" w:type="dxa"/>
            <w:vAlign w:val="bottom"/>
            <w:shd w:val="clear" w:color="auto" w:fill="D1D2D4"/>
          </w:tcPr>
          <w:p>
            <w:pPr>
              <w:spacing w:after="0"/>
              <w:rPr>
                <w:sz w:val="22"/>
                <w:szCs w:val="22"/>
                <w:color w:val="auto"/>
              </w:rPr>
            </w:pPr>
          </w:p>
        </w:tc>
        <w:tc>
          <w:tcPr>
            <w:tcW w:w="1120" w:type="dxa"/>
            <w:vAlign w:val="bottom"/>
            <w:shd w:val="clear" w:color="auto" w:fill="D1D2D4"/>
          </w:tcPr>
          <w:p>
            <w:pPr>
              <w:spacing w:after="0"/>
              <w:rPr>
                <w:sz w:val="22"/>
                <w:szCs w:val="22"/>
                <w:color w:val="auto"/>
              </w:rPr>
            </w:pPr>
          </w:p>
        </w:tc>
        <w:tc>
          <w:tcPr>
            <w:tcW w:w="340" w:type="dxa"/>
            <w:vAlign w:val="bottom"/>
            <w:shd w:val="clear" w:color="auto" w:fill="D1D2D4"/>
          </w:tcPr>
          <w:p>
            <w:pPr>
              <w:spacing w:after="0"/>
              <w:rPr>
                <w:sz w:val="22"/>
                <w:szCs w:val="22"/>
                <w:color w:val="auto"/>
              </w:rPr>
            </w:pPr>
          </w:p>
        </w:tc>
        <w:tc>
          <w:tcPr>
            <w:tcW w:w="1140" w:type="dxa"/>
            <w:vAlign w:val="bottom"/>
            <w:shd w:val="clear" w:color="auto" w:fill="D1D2D4"/>
          </w:tcPr>
          <w:p>
            <w:pPr>
              <w:spacing w:after="0"/>
              <w:rPr>
                <w:sz w:val="22"/>
                <w:szCs w:val="22"/>
                <w:color w:val="auto"/>
              </w:rPr>
            </w:pPr>
          </w:p>
        </w:tc>
      </w:tr>
      <w:tr>
        <w:trPr>
          <w:trHeight w:val="250"/>
        </w:trPr>
        <w:tc>
          <w:tcPr>
            <w:tcW w:w="6860" w:type="dxa"/>
            <w:vAlign w:val="bottom"/>
          </w:tcPr>
          <w:p>
            <w:pPr>
              <w:ind w:left="340"/>
              <w:spacing w:after="0"/>
              <w:rPr>
                <w:sz w:val="20"/>
                <w:szCs w:val="20"/>
                <w:color w:val="auto"/>
              </w:rPr>
            </w:pPr>
            <w:r>
              <w:rPr>
                <w:rFonts w:ascii="Arial" w:cs="Arial" w:eastAsia="Arial" w:hAnsi="Arial"/>
                <w:sz w:val="18"/>
                <w:szCs w:val="18"/>
                <w:color w:val="auto"/>
              </w:rPr>
              <w:t>U.S. federal</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(20)</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(36)</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63"/>
        </w:trPr>
        <w:tc>
          <w:tcPr>
            <w:tcW w:w="6860" w:type="dxa"/>
            <w:vAlign w:val="bottom"/>
            <w:shd w:val="clear" w:color="auto" w:fill="D1D2D4"/>
          </w:tcPr>
          <w:p>
            <w:pPr>
              <w:ind w:left="340"/>
              <w:spacing w:after="0"/>
              <w:rPr>
                <w:sz w:val="20"/>
                <w:szCs w:val="20"/>
                <w:color w:val="auto"/>
              </w:rPr>
            </w:pPr>
            <w:r>
              <w:rPr>
                <w:rFonts w:ascii="Arial" w:cs="Arial" w:eastAsia="Arial" w:hAnsi="Arial"/>
                <w:sz w:val="18"/>
                <w:szCs w:val="18"/>
                <w:color w:val="auto"/>
              </w:rPr>
              <w:t>State</w:t>
            </w:r>
          </w:p>
        </w:tc>
        <w:tc>
          <w:tcPr>
            <w:tcW w:w="320" w:type="dxa"/>
            <w:vAlign w:val="bottom"/>
            <w:shd w:val="clear" w:color="auto" w:fill="D1D2D4"/>
          </w:tcPr>
          <w:p>
            <w:pPr>
              <w:spacing w:after="0"/>
              <w:rPr>
                <w:sz w:val="22"/>
                <w:szCs w:val="22"/>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340" w:type="dxa"/>
            <w:vAlign w:val="bottom"/>
            <w:shd w:val="clear" w:color="auto" w:fill="D1D2D4"/>
          </w:tcPr>
          <w:p>
            <w:pPr>
              <w:spacing w:after="0"/>
              <w:rPr>
                <w:sz w:val="22"/>
                <w:szCs w:val="22"/>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340" w:type="dxa"/>
            <w:vAlign w:val="bottom"/>
            <w:shd w:val="clear" w:color="auto" w:fill="D1D2D4"/>
          </w:tcPr>
          <w:p>
            <w:pPr>
              <w:spacing w:after="0"/>
              <w:rPr>
                <w:sz w:val="22"/>
                <w:szCs w:val="22"/>
                <w:color w:val="auto"/>
              </w:rPr>
            </w:pPr>
          </w:p>
        </w:tc>
        <w:tc>
          <w:tcPr>
            <w:tcW w:w="11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1</w:t>
            </w:r>
          </w:p>
        </w:tc>
      </w:tr>
      <w:tr>
        <w:trPr>
          <w:trHeight w:val="250"/>
        </w:trPr>
        <w:tc>
          <w:tcPr>
            <w:tcW w:w="6860" w:type="dxa"/>
            <w:vAlign w:val="bottom"/>
            <w:tcBorders>
              <w:bottom w:val="single" w:sz="8" w:color="D1D2D4"/>
            </w:tcBorders>
          </w:tcPr>
          <w:p>
            <w:pPr>
              <w:ind w:left="340"/>
              <w:spacing w:after="0"/>
              <w:rPr>
                <w:sz w:val="20"/>
                <w:szCs w:val="20"/>
                <w:color w:val="auto"/>
              </w:rPr>
            </w:pPr>
            <w:r>
              <w:rPr>
                <w:rFonts w:ascii="Arial" w:cs="Arial" w:eastAsia="Arial" w:hAnsi="Arial"/>
                <w:sz w:val="18"/>
                <w:szCs w:val="18"/>
                <w:color w:val="auto"/>
              </w:rPr>
              <w:t>Foreign</w:t>
            </w: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w:t>
            </w:r>
          </w:p>
        </w:tc>
      </w:tr>
      <w:tr>
        <w:trPr>
          <w:trHeight w:val="256"/>
        </w:trPr>
        <w:tc>
          <w:tcPr>
            <w:tcW w:w="6860" w:type="dxa"/>
            <w:vAlign w:val="bottom"/>
            <w:shd w:val="clear" w:color="auto" w:fill="D1D2D4"/>
          </w:tcPr>
          <w:p>
            <w:pPr>
              <w:spacing w:after="0"/>
              <w:rPr>
                <w:sz w:val="22"/>
                <w:szCs w:val="22"/>
                <w:color w:val="auto"/>
              </w:rPr>
            </w:pPr>
          </w:p>
        </w:tc>
        <w:tc>
          <w:tcPr>
            <w:tcW w:w="320" w:type="dxa"/>
            <w:vAlign w:val="bottom"/>
            <w:tcBorders>
              <w:bottom w:val="single" w:sz="8" w:color="auto"/>
            </w:tcBorders>
            <w:shd w:val="clear" w:color="auto" w:fill="D1D2D4"/>
          </w:tcPr>
          <w:p>
            <w:pPr>
              <w:spacing w:after="0"/>
              <w:rPr>
                <w:sz w:val="22"/>
                <w:szCs w:val="22"/>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(170)</w:t>
            </w:r>
          </w:p>
        </w:tc>
        <w:tc>
          <w:tcPr>
            <w:tcW w:w="340" w:type="dxa"/>
            <w:vAlign w:val="bottom"/>
            <w:tcBorders>
              <w:bottom w:val="single" w:sz="8" w:color="auto"/>
            </w:tcBorders>
            <w:shd w:val="clear" w:color="auto" w:fill="D1D2D4"/>
          </w:tcPr>
          <w:p>
            <w:pPr>
              <w:spacing w:after="0"/>
              <w:rPr>
                <w:sz w:val="22"/>
                <w:szCs w:val="22"/>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(357)</w:t>
            </w:r>
          </w:p>
        </w:tc>
        <w:tc>
          <w:tcPr>
            <w:tcW w:w="340" w:type="dxa"/>
            <w:vAlign w:val="bottom"/>
            <w:tcBorders>
              <w:bottom w:val="single" w:sz="8" w:color="auto"/>
            </w:tcBorders>
            <w:shd w:val="clear" w:color="auto" w:fill="D1D2D4"/>
          </w:tcPr>
          <w:p>
            <w:pPr>
              <w:spacing w:after="0"/>
              <w:rPr>
                <w:sz w:val="22"/>
                <w:szCs w:val="22"/>
                <w:color w:val="auto"/>
              </w:rPr>
            </w:pP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(427)</w:t>
            </w:r>
          </w:p>
        </w:tc>
      </w:tr>
      <w:tr>
        <w:trPr>
          <w:trHeight w:val="230"/>
        </w:trPr>
        <w:tc>
          <w:tcPr>
            <w:tcW w:w="6860" w:type="dxa"/>
            <w:vAlign w:val="bottom"/>
          </w:tcPr>
          <w:p>
            <w:pPr>
              <w:ind w:left="180"/>
              <w:spacing w:after="0"/>
              <w:rPr>
                <w:sz w:val="20"/>
                <w:szCs w:val="20"/>
                <w:color w:val="auto"/>
              </w:rPr>
            </w:pPr>
            <w:r>
              <w:rPr>
                <w:rFonts w:ascii="Arial" w:cs="Arial" w:eastAsia="Arial" w:hAnsi="Arial"/>
                <w:sz w:val="18"/>
                <w:szCs w:val="18"/>
                <w:color w:val="auto"/>
              </w:rPr>
              <w:t>Deferred</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63"/>
        </w:trPr>
        <w:tc>
          <w:tcPr>
            <w:tcW w:w="6860" w:type="dxa"/>
            <w:vAlign w:val="bottom"/>
            <w:shd w:val="clear" w:color="auto" w:fill="D1D2D4"/>
          </w:tcPr>
          <w:p>
            <w:pPr>
              <w:ind w:left="340"/>
              <w:spacing w:after="0"/>
              <w:rPr>
                <w:sz w:val="20"/>
                <w:szCs w:val="20"/>
                <w:color w:val="auto"/>
              </w:rPr>
            </w:pPr>
            <w:r>
              <w:rPr>
                <w:rFonts w:ascii="Arial" w:cs="Arial" w:eastAsia="Arial" w:hAnsi="Arial"/>
                <w:sz w:val="18"/>
                <w:szCs w:val="18"/>
                <w:color w:val="auto"/>
              </w:rPr>
              <w:t>U.S. federal</w:t>
            </w:r>
          </w:p>
        </w:tc>
        <w:tc>
          <w:tcPr>
            <w:tcW w:w="320" w:type="dxa"/>
            <w:vAlign w:val="bottom"/>
            <w:shd w:val="clear" w:color="auto" w:fill="D1D2D4"/>
          </w:tcPr>
          <w:p>
            <w:pPr>
              <w:spacing w:after="0"/>
              <w:rPr>
                <w:sz w:val="22"/>
                <w:szCs w:val="22"/>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39</w:t>
            </w:r>
          </w:p>
        </w:tc>
        <w:tc>
          <w:tcPr>
            <w:tcW w:w="340" w:type="dxa"/>
            <w:vAlign w:val="bottom"/>
            <w:shd w:val="clear" w:color="auto" w:fill="D1D2D4"/>
          </w:tcPr>
          <w:p>
            <w:pPr>
              <w:spacing w:after="0"/>
              <w:rPr>
                <w:sz w:val="22"/>
                <w:szCs w:val="22"/>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(146)</w:t>
            </w:r>
          </w:p>
        </w:tc>
        <w:tc>
          <w:tcPr>
            <w:tcW w:w="340" w:type="dxa"/>
            <w:vAlign w:val="bottom"/>
            <w:shd w:val="clear" w:color="auto" w:fill="D1D2D4"/>
          </w:tcPr>
          <w:p>
            <w:pPr>
              <w:spacing w:after="0"/>
              <w:rPr>
                <w:sz w:val="22"/>
                <w:szCs w:val="22"/>
                <w:color w:val="auto"/>
              </w:rPr>
            </w:pPr>
          </w:p>
        </w:tc>
        <w:tc>
          <w:tcPr>
            <w:tcW w:w="11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232</w:t>
            </w:r>
          </w:p>
        </w:tc>
      </w:tr>
      <w:tr>
        <w:trPr>
          <w:trHeight w:val="250"/>
        </w:trPr>
        <w:tc>
          <w:tcPr>
            <w:tcW w:w="6860" w:type="dxa"/>
            <w:vAlign w:val="bottom"/>
          </w:tcPr>
          <w:p>
            <w:pPr>
              <w:ind w:left="340"/>
              <w:spacing w:after="0"/>
              <w:rPr>
                <w:sz w:val="20"/>
                <w:szCs w:val="20"/>
                <w:color w:val="auto"/>
              </w:rPr>
            </w:pPr>
            <w:r>
              <w:rPr>
                <w:rFonts w:ascii="Arial" w:cs="Arial" w:eastAsia="Arial" w:hAnsi="Arial"/>
                <w:sz w:val="18"/>
                <w:szCs w:val="18"/>
                <w:color w:val="auto"/>
              </w:rPr>
              <w:t>State</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91</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101</w:t>
            </w:r>
          </w:p>
        </w:tc>
      </w:tr>
      <w:tr>
        <w:trPr>
          <w:trHeight w:val="257"/>
        </w:trPr>
        <w:tc>
          <w:tcPr>
            <w:tcW w:w="6860" w:type="dxa"/>
            <w:vAlign w:val="bottom"/>
            <w:shd w:val="clear" w:color="auto" w:fill="D1D2D4"/>
          </w:tcPr>
          <w:p>
            <w:pPr>
              <w:ind w:left="340"/>
              <w:spacing w:after="0"/>
              <w:rPr>
                <w:sz w:val="20"/>
                <w:szCs w:val="20"/>
                <w:color w:val="auto"/>
              </w:rPr>
            </w:pPr>
            <w:r>
              <w:rPr>
                <w:rFonts w:ascii="Arial" w:cs="Arial" w:eastAsia="Arial" w:hAnsi="Arial"/>
                <w:sz w:val="18"/>
                <w:szCs w:val="18"/>
                <w:color w:val="auto"/>
              </w:rPr>
              <w:t>Foreign</w:t>
            </w:r>
          </w:p>
        </w:tc>
        <w:tc>
          <w:tcPr>
            <w:tcW w:w="320" w:type="dxa"/>
            <w:vAlign w:val="bottom"/>
            <w:tcBorders>
              <w:bottom w:val="single" w:sz="8" w:color="auto"/>
            </w:tcBorders>
            <w:shd w:val="clear" w:color="auto" w:fill="D1D2D4"/>
          </w:tcPr>
          <w:p>
            <w:pPr>
              <w:spacing w:after="0"/>
              <w:rPr>
                <w:sz w:val="22"/>
                <w:szCs w:val="22"/>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(172)</w:t>
            </w:r>
          </w:p>
        </w:tc>
        <w:tc>
          <w:tcPr>
            <w:tcW w:w="340" w:type="dxa"/>
            <w:vAlign w:val="bottom"/>
            <w:tcBorders>
              <w:bottom w:val="single" w:sz="8" w:color="auto"/>
            </w:tcBorders>
            <w:shd w:val="clear" w:color="auto" w:fill="D1D2D4"/>
          </w:tcPr>
          <w:p>
            <w:pPr>
              <w:spacing w:after="0"/>
              <w:rPr>
                <w:sz w:val="22"/>
                <w:szCs w:val="22"/>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(281)</w:t>
            </w:r>
          </w:p>
        </w:tc>
        <w:tc>
          <w:tcPr>
            <w:tcW w:w="340" w:type="dxa"/>
            <w:vAlign w:val="bottom"/>
            <w:tcBorders>
              <w:bottom w:val="single" w:sz="8" w:color="auto"/>
            </w:tcBorders>
            <w:shd w:val="clear" w:color="auto" w:fill="D1D2D4"/>
          </w:tcPr>
          <w:p>
            <w:pPr>
              <w:spacing w:after="0"/>
              <w:rPr>
                <w:sz w:val="22"/>
                <w:szCs w:val="22"/>
                <w:color w:val="auto"/>
              </w:rPr>
            </w:pP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(74)</w:t>
            </w:r>
          </w:p>
        </w:tc>
      </w:tr>
      <w:tr>
        <w:trPr>
          <w:trHeight w:val="250"/>
        </w:trPr>
        <w:tc>
          <w:tcPr>
            <w:tcW w:w="6860" w:type="dxa"/>
            <w:vAlign w:val="bottom"/>
            <w:tcBorders>
              <w:bottom w:val="single" w:sz="8" w:color="D1D2D4"/>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259</w:t>
            </w:r>
          </w:p>
        </w:tc>
      </w:tr>
      <w:tr>
        <w:trPr>
          <w:trHeight w:val="243"/>
        </w:trPr>
        <w:tc>
          <w:tcPr>
            <w:tcW w:w="6860" w:type="dxa"/>
            <w:vAlign w:val="bottom"/>
            <w:shd w:val="clear" w:color="auto" w:fill="D1D2D4"/>
          </w:tcPr>
          <w:p>
            <w:pPr>
              <w:spacing w:after="0"/>
              <w:rPr>
                <w:sz w:val="21"/>
                <w:szCs w:val="21"/>
                <w:color w:val="auto"/>
              </w:rPr>
            </w:pPr>
          </w:p>
        </w:tc>
        <w:tc>
          <w:tcPr>
            <w:tcW w:w="320" w:type="dxa"/>
            <w:vAlign w:val="bottom"/>
            <w:shd w:val="clear" w:color="auto" w:fill="D1D2D4"/>
          </w:tcPr>
          <w:p>
            <w:pPr>
              <w:spacing w:after="0"/>
              <w:rPr>
                <w:sz w:val="21"/>
                <w:szCs w:val="21"/>
                <w:color w:val="auto"/>
              </w:rPr>
            </w:pPr>
          </w:p>
        </w:tc>
        <w:tc>
          <w:tcPr>
            <w:tcW w:w="1120" w:type="dxa"/>
            <w:vAlign w:val="bottom"/>
            <w:shd w:val="clear" w:color="auto" w:fill="D1D2D4"/>
          </w:tcPr>
          <w:p>
            <w:pPr>
              <w:spacing w:after="0"/>
              <w:rPr>
                <w:sz w:val="21"/>
                <w:szCs w:val="21"/>
                <w:color w:val="auto"/>
              </w:rPr>
            </w:pPr>
          </w:p>
        </w:tc>
        <w:tc>
          <w:tcPr>
            <w:tcW w:w="340" w:type="dxa"/>
            <w:vAlign w:val="bottom"/>
            <w:shd w:val="clear" w:color="auto" w:fill="D1D2D4"/>
          </w:tcPr>
          <w:p>
            <w:pPr>
              <w:spacing w:after="0"/>
              <w:rPr>
                <w:sz w:val="21"/>
                <w:szCs w:val="21"/>
                <w:color w:val="auto"/>
              </w:rPr>
            </w:pPr>
          </w:p>
        </w:tc>
        <w:tc>
          <w:tcPr>
            <w:tcW w:w="1120" w:type="dxa"/>
            <w:vAlign w:val="bottom"/>
            <w:shd w:val="clear" w:color="auto" w:fill="D1D2D4"/>
          </w:tcPr>
          <w:p>
            <w:pPr>
              <w:spacing w:after="0"/>
              <w:rPr>
                <w:sz w:val="21"/>
                <w:szCs w:val="21"/>
                <w:color w:val="auto"/>
              </w:rPr>
            </w:pPr>
          </w:p>
        </w:tc>
        <w:tc>
          <w:tcPr>
            <w:tcW w:w="340" w:type="dxa"/>
            <w:vAlign w:val="bottom"/>
            <w:shd w:val="clear" w:color="auto" w:fill="D1D2D4"/>
          </w:tcPr>
          <w:p>
            <w:pPr>
              <w:spacing w:after="0"/>
              <w:rPr>
                <w:sz w:val="21"/>
                <w:szCs w:val="21"/>
                <w:color w:val="auto"/>
              </w:rPr>
            </w:pPr>
          </w:p>
        </w:tc>
        <w:tc>
          <w:tcPr>
            <w:tcW w:w="1140" w:type="dxa"/>
            <w:vAlign w:val="bottom"/>
            <w:shd w:val="clear" w:color="auto" w:fill="D1D2D4"/>
          </w:tcPr>
          <w:p>
            <w:pPr>
              <w:spacing w:after="0"/>
              <w:rPr>
                <w:sz w:val="21"/>
                <w:szCs w:val="21"/>
                <w:color w:val="auto"/>
              </w:rPr>
            </w:pPr>
          </w:p>
        </w:tc>
      </w:tr>
      <w:tr>
        <w:trPr>
          <w:trHeight w:val="256"/>
        </w:trPr>
        <w:tc>
          <w:tcPr>
            <w:tcW w:w="6860" w:type="dxa"/>
            <w:vAlign w:val="bottom"/>
          </w:tcPr>
          <w:p>
            <w:pPr>
              <w:ind w:left="500"/>
              <w:spacing w:after="0"/>
              <w:rPr>
                <w:sz w:val="20"/>
                <w:szCs w:val="20"/>
                <w:color w:val="auto"/>
              </w:rPr>
            </w:pPr>
            <w:r>
              <w:rPr>
                <w:rFonts w:ascii="Arial" w:cs="Arial" w:eastAsia="Arial" w:hAnsi="Arial"/>
                <w:sz w:val="18"/>
                <w:szCs w:val="18"/>
                <w:color w:val="auto"/>
              </w:rPr>
              <w:t>Income tax (provision) benefit</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r>
      <w:tr>
        <w:trPr>
          <w:trHeight w:val="20"/>
        </w:trPr>
        <w:tc>
          <w:tcPr>
            <w:tcW w:w="6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19" w:right="33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75 </w:t>
      </w:r>
      <w:r>
        <w:rPr>
          <w:rFonts w:ascii="Arial" w:cs="Arial" w:eastAsia="Arial" w:hAnsi="Arial"/>
          <w:sz w:val="21"/>
          <w:szCs w:val="21"/>
          <w:b w:val="1"/>
          <w:bCs w:val="1"/>
          <w:color w:val="0090DA"/>
        </w:rPr>
        <w:t>|</w:t>
      </w:r>
      <w:r>
        <w:rPr>
          <w:rFonts w:ascii="Arial" w:cs="Arial" w:eastAsia="Arial" w:hAnsi="Arial"/>
          <w:sz w:val="18"/>
          <w:szCs w:val="18"/>
          <w:color w:val="auto"/>
        </w:rPr>
        <w:t xml:space="preserve"> 2020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type w:val="continuous"/>
        </w:sectPr>
      </w:pPr>
    </w:p>
    <w:bookmarkStart w:id="78" w:name="page79"/>
    <w:bookmarkEnd w:id="78"/>
    <w:p>
      <w:pPr>
        <w:jc w:val="both"/>
        <w:ind w:right="240"/>
        <w:spacing w:after="0" w:line="256" w:lineRule="auto"/>
        <w:rPr>
          <w:sz w:val="20"/>
          <w:szCs w:val="20"/>
          <w:color w:val="auto"/>
        </w:rPr>
      </w:pPr>
      <w:r>
        <w:rPr>
          <w:rFonts w:ascii="Arial" w:cs="Arial" w:eastAsia="Arial" w:hAnsi="Arial"/>
          <w:sz w:val="18"/>
          <w:szCs w:val="18"/>
          <w:color w:val="auto"/>
        </w:rPr>
        <w:t>On December 22, 2017, the United States enacted comprehensive tax legislation, commonly referred to as the Tax Cuts and Jobs Act (the “Tax Act”), which imposed a one-time transition tax in 2018 (the “Repatriation Tax”) and, beginning in 2019, created a new minimum tax on certain foreign earnings (the “Foreign Minimum Tax”). We recognize the Foreign Minimum Tax in the period the tax is incurred.</w:t>
      </w:r>
    </w:p>
    <w:p>
      <w:pPr>
        <w:spacing w:after="0" w:line="229"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Pursuant to SEC Staff Accounting Bulletin No. 118, measurement period adjustments in 2019 included $47 million of benefit for the Repatriation Tax, net of adjustments related to uncertain tax positions. Provisional estimates in 2018 included $1.34 billion of benefit for the release of the valuation allowance on the net deferred tax assets of our U.S. operations and $1.03 billion of provision for the Repatriation Tax, net of adjustments related to uncertain tax positions.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reconciles our tax (provision) benefit based on the U.S. federal statutory rate to our effective rate: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12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For the year ended</w:t>
            </w:r>
          </w:p>
        </w:tc>
        <w:tc>
          <w:tcPr>
            <w:tcW w:w="300" w:type="dxa"/>
            <w:vAlign w:val="bottom"/>
            <w:tcBorders>
              <w:bottom w:val="single" w:sz="8" w:color="0090DA"/>
            </w:tcBorders>
          </w:tcPr>
          <w:p>
            <w:pPr>
              <w:spacing w:after="0"/>
              <w:rPr>
                <w:sz w:val="21"/>
                <w:szCs w:val="21"/>
                <w:color w:val="auto"/>
              </w:rPr>
            </w:pPr>
          </w:p>
        </w:tc>
        <w:tc>
          <w:tcPr>
            <w:tcW w:w="1000" w:type="dxa"/>
            <w:vAlign w:val="bottom"/>
            <w:tcBorders>
              <w:bottom w:val="single" w:sz="8" w:color="0090DA"/>
            </w:tcBorders>
          </w:tcPr>
          <w:p>
            <w:pPr>
              <w:jc w:val="right"/>
              <w:ind w:right="10"/>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bottom w:val="single" w:sz="8" w:color="0090DA"/>
            </w:tcBorders>
          </w:tcPr>
          <w:p>
            <w:pPr>
              <w:spacing w:after="0"/>
              <w:rPr>
                <w:sz w:val="21"/>
                <w:szCs w:val="21"/>
                <w:color w:val="auto"/>
              </w:rPr>
            </w:pPr>
          </w:p>
        </w:tc>
        <w:tc>
          <w:tcPr>
            <w:tcW w:w="460" w:type="dxa"/>
            <w:vAlign w:val="bottom"/>
            <w:tcBorders>
              <w:bottom w:val="single" w:sz="8" w:color="0090DA"/>
            </w:tcBorders>
          </w:tcPr>
          <w:p>
            <w:pPr>
              <w:spacing w:after="0"/>
              <w:rPr>
                <w:sz w:val="21"/>
                <w:szCs w:val="21"/>
                <w:color w:val="auto"/>
              </w:rPr>
            </w:pPr>
          </w:p>
        </w:tc>
        <w:tc>
          <w:tcPr>
            <w:tcW w:w="1060" w:type="dxa"/>
            <w:vAlign w:val="bottom"/>
            <w:tcBorders>
              <w:bottom w:val="single" w:sz="8" w:color="0090DA"/>
            </w:tcBorders>
          </w:tcPr>
          <w:p>
            <w:pPr>
              <w:jc w:val="right"/>
              <w:spacing w:after="0"/>
              <w:rPr>
                <w:sz w:val="20"/>
                <w:szCs w:val="20"/>
                <w:color w:val="auto"/>
              </w:rPr>
            </w:pPr>
            <w:r>
              <w:rPr>
                <w:rFonts w:ascii="Arial" w:cs="Arial" w:eastAsia="Arial" w:hAnsi="Arial"/>
                <w:sz w:val="18"/>
                <w:szCs w:val="18"/>
                <w:b w:val="1"/>
                <w:bCs w:val="1"/>
                <w:color w:val="auto"/>
              </w:rPr>
              <w:t>2019</w:t>
            </w:r>
          </w:p>
        </w:tc>
        <w:tc>
          <w:tcPr>
            <w:tcW w:w="540" w:type="dxa"/>
            <w:vAlign w:val="bottom"/>
            <w:tcBorders>
              <w:bottom w:val="single" w:sz="8" w:color="0090DA"/>
            </w:tcBorders>
          </w:tcPr>
          <w:p>
            <w:pPr>
              <w:spacing w:after="0"/>
              <w:rPr>
                <w:sz w:val="21"/>
                <w:szCs w:val="21"/>
                <w:color w:val="auto"/>
              </w:rPr>
            </w:pPr>
          </w:p>
        </w:tc>
        <w:tc>
          <w:tcPr>
            <w:tcW w:w="440" w:type="dxa"/>
            <w:vAlign w:val="bottom"/>
            <w:tcBorders>
              <w:bottom w:val="single" w:sz="8" w:color="0090DA"/>
            </w:tcBorders>
          </w:tcPr>
          <w:p>
            <w:pPr>
              <w:spacing w:after="0"/>
              <w:rPr>
                <w:sz w:val="21"/>
                <w:szCs w:val="21"/>
                <w:color w:val="auto"/>
              </w:rPr>
            </w:pPr>
          </w:p>
        </w:tc>
        <w:tc>
          <w:tcPr>
            <w:tcW w:w="1080" w:type="dxa"/>
            <w:vAlign w:val="bottom"/>
            <w:tcBorders>
              <w:bottom w:val="single" w:sz="8" w:color="0090DA"/>
            </w:tcBorders>
          </w:tcPr>
          <w:p>
            <w:pPr>
              <w:jc w:val="right"/>
              <w:spacing w:after="0"/>
              <w:rPr>
                <w:sz w:val="20"/>
                <w:szCs w:val="20"/>
                <w:color w:val="auto"/>
              </w:rPr>
            </w:pPr>
            <w:r>
              <w:rPr>
                <w:rFonts w:ascii="Arial" w:cs="Arial" w:eastAsia="Arial" w:hAnsi="Arial"/>
                <w:sz w:val="18"/>
                <w:szCs w:val="18"/>
                <w:b w:val="1"/>
                <w:bCs w:val="1"/>
                <w:color w:val="auto"/>
              </w:rPr>
              <w:t>2018</w:t>
            </w:r>
          </w:p>
        </w:tc>
        <w:tc>
          <w:tcPr>
            <w:tcW w:w="520" w:type="dxa"/>
            <w:vAlign w:val="bottom"/>
            <w:tcBorders>
              <w:bottom w:val="single" w:sz="8" w:color="0090DA"/>
            </w:tcBorders>
          </w:tcPr>
          <w:p>
            <w:pPr>
              <w:spacing w:after="0"/>
              <w:rPr>
                <w:sz w:val="21"/>
                <w:szCs w:val="21"/>
                <w:color w:val="auto"/>
              </w:rPr>
            </w:pPr>
          </w:p>
        </w:tc>
        <w:tc>
          <w:tcPr>
            <w:tcW w:w="220" w:type="dxa"/>
            <w:vAlign w:val="bottom"/>
            <w:tcBorders>
              <w:bottom w:val="single" w:sz="8" w:color="0090DA"/>
            </w:tcBorders>
          </w:tcPr>
          <w:p>
            <w:pPr>
              <w:spacing w:after="0"/>
              <w:rPr>
                <w:sz w:val="21"/>
                <w:szCs w:val="21"/>
                <w:color w:val="auto"/>
              </w:rPr>
            </w:pPr>
          </w:p>
        </w:tc>
      </w:tr>
      <w:tr>
        <w:trPr>
          <w:trHeight w:val="41"/>
        </w:trPr>
        <w:tc>
          <w:tcPr>
            <w:tcW w:w="5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56"/>
        </w:trPr>
        <w:tc>
          <w:tcPr>
            <w:tcW w:w="5120" w:type="dxa"/>
            <w:vAlign w:val="bottom"/>
            <w:shd w:val="clear" w:color="auto" w:fill="D1D2D4"/>
          </w:tcPr>
          <w:p>
            <w:pPr>
              <w:ind w:left="20"/>
              <w:spacing w:after="0"/>
              <w:rPr>
                <w:sz w:val="20"/>
                <w:szCs w:val="20"/>
                <w:color w:val="auto"/>
              </w:rPr>
            </w:pPr>
            <w:r>
              <w:rPr>
                <w:rFonts w:ascii="Arial" w:cs="Arial" w:eastAsia="Arial" w:hAnsi="Arial"/>
                <w:sz w:val="18"/>
                <w:szCs w:val="18"/>
                <w:color w:val="auto"/>
              </w:rPr>
              <w:t>U.S. federal income tax (provision) benefit at statutory rate</w:t>
            </w:r>
          </w:p>
        </w:tc>
        <w:tc>
          <w:tcPr>
            <w:tcW w:w="30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D1D2D4"/>
          </w:tcPr>
          <w:p>
            <w:pPr>
              <w:jc w:val="right"/>
              <w:ind w:right="310"/>
              <w:spacing w:after="0"/>
              <w:rPr>
                <w:sz w:val="20"/>
                <w:szCs w:val="20"/>
                <w:color w:val="auto"/>
              </w:rPr>
            </w:pPr>
            <w:r>
              <w:rPr>
                <w:rFonts w:ascii="Arial" w:cs="Arial" w:eastAsia="Arial" w:hAnsi="Arial"/>
                <w:sz w:val="18"/>
                <w:szCs w:val="18"/>
                <w:color w:val="auto"/>
              </w:rPr>
              <w:t>(626)</w:t>
            </w:r>
          </w:p>
        </w:tc>
        <w:tc>
          <w:tcPr>
            <w:tcW w:w="5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21.0</w:t>
            </w:r>
          </w:p>
        </w:tc>
        <w:tc>
          <w:tcPr>
            <w:tcW w:w="4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 $</w:t>
            </w:r>
          </w:p>
        </w:tc>
        <w:tc>
          <w:tcPr>
            <w:tcW w:w="1060" w:type="dxa"/>
            <w:vAlign w:val="bottom"/>
            <w:shd w:val="clear" w:color="auto" w:fill="D1D2D4"/>
          </w:tcPr>
          <w:p>
            <w:pPr>
              <w:jc w:val="right"/>
              <w:ind w:right="290"/>
              <w:spacing w:after="0"/>
              <w:rPr>
                <w:sz w:val="20"/>
                <w:szCs w:val="20"/>
                <w:color w:val="auto"/>
              </w:rPr>
            </w:pPr>
            <w:r>
              <w:rPr>
                <w:rFonts w:ascii="Arial" w:cs="Arial" w:eastAsia="Arial" w:hAnsi="Arial"/>
                <w:sz w:val="18"/>
                <w:szCs w:val="18"/>
                <w:color w:val="auto"/>
              </w:rPr>
              <w:t>(1,480)</w:t>
            </w:r>
          </w:p>
        </w:tc>
        <w:tc>
          <w:tcPr>
            <w:tcW w:w="5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21.0</w:t>
            </w:r>
          </w:p>
        </w:tc>
        <w:tc>
          <w:tcPr>
            <w:tcW w:w="4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6"/>
              </w:rPr>
              <w:t>% $</w:t>
            </w:r>
          </w:p>
        </w:tc>
        <w:tc>
          <w:tcPr>
            <w:tcW w:w="1080" w:type="dxa"/>
            <w:vAlign w:val="bottom"/>
            <w:shd w:val="clear" w:color="auto" w:fill="D1D2D4"/>
          </w:tcPr>
          <w:p>
            <w:pPr>
              <w:jc w:val="right"/>
              <w:ind w:right="290"/>
              <w:spacing w:after="0"/>
              <w:rPr>
                <w:sz w:val="20"/>
                <w:szCs w:val="20"/>
                <w:color w:val="auto"/>
              </w:rPr>
            </w:pPr>
            <w:r>
              <w:rPr>
                <w:rFonts w:ascii="Arial" w:cs="Arial" w:eastAsia="Arial" w:hAnsi="Arial"/>
                <w:sz w:val="18"/>
                <w:szCs w:val="18"/>
                <w:color w:val="auto"/>
              </w:rPr>
              <w:t>(3,677)</w:t>
            </w:r>
          </w:p>
        </w:tc>
        <w:tc>
          <w:tcPr>
            <w:tcW w:w="5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25.7</w:t>
            </w:r>
          </w:p>
        </w:tc>
        <w:tc>
          <w:tcPr>
            <w:tcW w:w="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5120" w:type="dxa"/>
            <w:vAlign w:val="bottom"/>
          </w:tcPr>
          <w:p>
            <w:pPr>
              <w:ind w:left="20"/>
              <w:spacing w:after="0"/>
              <w:rPr>
                <w:sz w:val="20"/>
                <w:szCs w:val="20"/>
                <w:color w:val="auto"/>
              </w:rPr>
            </w:pPr>
            <w:r>
              <w:rPr>
                <w:rFonts w:ascii="Arial" w:cs="Arial" w:eastAsia="Arial" w:hAnsi="Arial"/>
                <w:sz w:val="18"/>
                <w:szCs w:val="18"/>
                <w:color w:val="auto"/>
              </w:rPr>
              <w:t>Change in unrecognized tax benefits</w:t>
            </w:r>
          </w:p>
        </w:tc>
        <w:tc>
          <w:tcPr>
            <w:tcW w:w="300" w:type="dxa"/>
            <w:vAlign w:val="bottom"/>
          </w:tcPr>
          <w:p>
            <w:pPr>
              <w:spacing w:after="0"/>
              <w:rPr>
                <w:sz w:val="21"/>
                <w:szCs w:val="21"/>
                <w:color w:val="auto"/>
              </w:rPr>
            </w:pPr>
          </w:p>
        </w:tc>
        <w:tc>
          <w:tcPr>
            <w:tcW w:w="1000" w:type="dxa"/>
            <w:vAlign w:val="bottom"/>
          </w:tcPr>
          <w:p>
            <w:pPr>
              <w:jc w:val="right"/>
              <w:ind w:right="310"/>
              <w:spacing w:after="0"/>
              <w:rPr>
                <w:sz w:val="20"/>
                <w:szCs w:val="20"/>
                <w:color w:val="auto"/>
              </w:rPr>
            </w:pPr>
            <w:r>
              <w:rPr>
                <w:rFonts w:ascii="Arial" w:cs="Arial" w:eastAsia="Arial" w:hAnsi="Arial"/>
                <w:sz w:val="18"/>
                <w:szCs w:val="18"/>
                <w:color w:val="auto"/>
              </w:rPr>
              <w:t>(33)</w:t>
            </w:r>
          </w:p>
        </w:tc>
        <w:tc>
          <w:tcPr>
            <w:tcW w:w="500" w:type="dxa"/>
            <w:vAlign w:val="bottom"/>
          </w:tcPr>
          <w:p>
            <w:pPr>
              <w:jc w:val="right"/>
              <w:spacing w:after="0"/>
              <w:rPr>
                <w:sz w:val="20"/>
                <w:szCs w:val="20"/>
                <w:color w:val="auto"/>
              </w:rPr>
            </w:pPr>
            <w:r>
              <w:rPr>
                <w:rFonts w:ascii="Arial" w:cs="Arial" w:eastAsia="Arial" w:hAnsi="Arial"/>
                <w:sz w:val="18"/>
                <w:szCs w:val="18"/>
                <w:color w:val="auto"/>
              </w:rPr>
              <w:t>1.1</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90"/>
              <w:spacing w:after="0"/>
              <w:rPr>
                <w:sz w:val="20"/>
                <w:szCs w:val="20"/>
                <w:color w:val="auto"/>
              </w:rPr>
            </w:pPr>
            <w:r>
              <w:rPr>
                <w:rFonts w:ascii="Arial" w:cs="Arial" w:eastAsia="Arial" w:hAnsi="Arial"/>
                <w:sz w:val="18"/>
                <w:szCs w:val="18"/>
                <w:color w:val="auto"/>
              </w:rPr>
              <w:t>(59)</w:t>
            </w:r>
          </w:p>
        </w:tc>
        <w:tc>
          <w:tcPr>
            <w:tcW w:w="540" w:type="dxa"/>
            <w:vAlign w:val="bottom"/>
          </w:tcPr>
          <w:p>
            <w:pPr>
              <w:jc w:val="right"/>
              <w:spacing w:after="0"/>
              <w:rPr>
                <w:sz w:val="20"/>
                <w:szCs w:val="20"/>
                <w:color w:val="auto"/>
              </w:rPr>
            </w:pPr>
            <w:r>
              <w:rPr>
                <w:rFonts w:ascii="Arial" w:cs="Arial" w:eastAsia="Arial" w:hAnsi="Arial"/>
                <w:sz w:val="18"/>
                <w:szCs w:val="18"/>
                <w:color w:val="auto"/>
              </w:rPr>
              <w:t>0.8</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50"/>
              <w:spacing w:after="0"/>
              <w:rPr>
                <w:sz w:val="20"/>
                <w:szCs w:val="20"/>
                <w:color w:val="auto"/>
              </w:rPr>
            </w:pPr>
            <w:r>
              <w:rPr>
                <w:rFonts w:ascii="Arial" w:cs="Arial" w:eastAsia="Arial" w:hAnsi="Arial"/>
                <w:sz w:val="18"/>
                <w:szCs w:val="18"/>
                <w:color w:val="auto"/>
              </w:rPr>
              <w:t>60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(0.4)%</w:t>
            </w:r>
          </w:p>
        </w:tc>
      </w:tr>
      <w:tr>
        <w:trPr>
          <w:trHeight w:val="263"/>
        </w:trPr>
        <w:tc>
          <w:tcPr>
            <w:tcW w:w="5120" w:type="dxa"/>
            <w:vAlign w:val="bottom"/>
            <w:shd w:val="clear" w:color="auto" w:fill="D1D2D4"/>
          </w:tcPr>
          <w:p>
            <w:pPr>
              <w:ind w:left="20"/>
              <w:spacing w:after="0"/>
              <w:rPr>
                <w:sz w:val="20"/>
                <w:szCs w:val="20"/>
                <w:color w:val="auto"/>
              </w:rPr>
            </w:pPr>
            <w:r>
              <w:rPr>
                <w:rFonts w:ascii="Arial" w:cs="Arial" w:eastAsia="Arial" w:hAnsi="Arial"/>
                <w:sz w:val="18"/>
                <w:szCs w:val="18"/>
                <w:color w:val="auto"/>
              </w:rPr>
              <w:t>Change in valuation allowance</w:t>
            </w:r>
          </w:p>
        </w:tc>
        <w:tc>
          <w:tcPr>
            <w:tcW w:w="300" w:type="dxa"/>
            <w:vAlign w:val="bottom"/>
            <w:shd w:val="clear" w:color="auto" w:fill="D1D2D4"/>
          </w:tcPr>
          <w:p>
            <w:pPr>
              <w:spacing w:after="0"/>
              <w:rPr>
                <w:sz w:val="22"/>
                <w:szCs w:val="22"/>
                <w:color w:val="auto"/>
              </w:rPr>
            </w:pPr>
          </w:p>
        </w:tc>
        <w:tc>
          <w:tcPr>
            <w:tcW w:w="1000" w:type="dxa"/>
            <w:vAlign w:val="bottom"/>
            <w:shd w:val="clear" w:color="auto" w:fill="D1D2D4"/>
          </w:tcPr>
          <w:p>
            <w:pPr>
              <w:jc w:val="right"/>
              <w:ind w:right="310"/>
              <w:spacing w:after="0"/>
              <w:rPr>
                <w:sz w:val="20"/>
                <w:szCs w:val="20"/>
                <w:color w:val="auto"/>
              </w:rPr>
            </w:pPr>
            <w:r>
              <w:rPr>
                <w:rFonts w:ascii="Arial" w:cs="Arial" w:eastAsia="Arial" w:hAnsi="Arial"/>
                <w:sz w:val="18"/>
                <w:szCs w:val="18"/>
                <w:color w:val="auto"/>
              </w:rPr>
              <w:t>(20)</w:t>
            </w:r>
          </w:p>
        </w:tc>
        <w:tc>
          <w:tcPr>
            <w:tcW w:w="5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0.7</w:t>
            </w:r>
          </w:p>
        </w:tc>
        <w:tc>
          <w:tcPr>
            <w:tcW w:w="460" w:type="dxa"/>
            <w:vAlign w:val="bottom"/>
            <w:shd w:val="clear" w:color="auto" w:fill="D1D2D4"/>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1D2D4"/>
          </w:tcPr>
          <w:p>
            <w:pPr>
              <w:jc w:val="right"/>
              <w:ind w:right="290"/>
              <w:spacing w:after="0"/>
              <w:rPr>
                <w:sz w:val="20"/>
                <w:szCs w:val="20"/>
                <w:color w:val="auto"/>
              </w:rPr>
            </w:pPr>
            <w:r>
              <w:rPr>
                <w:rFonts w:ascii="Arial" w:cs="Arial" w:eastAsia="Arial" w:hAnsi="Arial"/>
                <w:sz w:val="18"/>
                <w:szCs w:val="18"/>
                <w:color w:val="auto"/>
              </w:rPr>
              <w:t>(40)</w:t>
            </w:r>
          </w:p>
        </w:tc>
        <w:tc>
          <w:tcPr>
            <w:tcW w:w="5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0.6</w:t>
            </w:r>
          </w:p>
        </w:tc>
        <w:tc>
          <w:tcPr>
            <w:tcW w:w="44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1D2D4"/>
          </w:tcPr>
          <w:p>
            <w:pPr>
              <w:jc w:val="right"/>
              <w:ind w:right="350"/>
              <w:spacing w:after="0"/>
              <w:rPr>
                <w:sz w:val="20"/>
                <w:szCs w:val="20"/>
                <w:color w:val="auto"/>
              </w:rPr>
            </w:pPr>
            <w:r>
              <w:rPr>
                <w:rFonts w:ascii="Arial" w:cs="Arial" w:eastAsia="Arial" w:hAnsi="Arial"/>
                <w:sz w:val="18"/>
                <w:szCs w:val="18"/>
                <w:color w:val="auto"/>
              </w:rPr>
              <w:t>2,079</w:t>
            </w:r>
          </w:p>
        </w:tc>
        <w:tc>
          <w:tcPr>
            <w:tcW w:w="74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(14.5)%</w:t>
            </w:r>
          </w:p>
        </w:tc>
      </w:tr>
      <w:tr>
        <w:trPr>
          <w:trHeight w:val="250"/>
        </w:trPr>
        <w:tc>
          <w:tcPr>
            <w:tcW w:w="5120" w:type="dxa"/>
            <w:vAlign w:val="bottom"/>
          </w:tcPr>
          <w:p>
            <w:pPr>
              <w:ind w:left="20"/>
              <w:spacing w:after="0"/>
              <w:rPr>
                <w:sz w:val="20"/>
                <w:szCs w:val="20"/>
                <w:color w:val="auto"/>
              </w:rPr>
            </w:pPr>
            <w:r>
              <w:rPr>
                <w:rFonts w:ascii="Arial" w:cs="Arial" w:eastAsia="Arial" w:hAnsi="Arial"/>
                <w:sz w:val="18"/>
                <w:szCs w:val="18"/>
                <w:color w:val="auto"/>
              </w:rPr>
              <w:t>U.S. tax on foreign operations</w:t>
            </w:r>
          </w:p>
        </w:tc>
        <w:tc>
          <w:tcPr>
            <w:tcW w:w="300" w:type="dxa"/>
            <w:vAlign w:val="bottom"/>
          </w:tcPr>
          <w:p>
            <w:pPr>
              <w:spacing w:after="0"/>
              <w:rPr>
                <w:sz w:val="21"/>
                <w:szCs w:val="21"/>
                <w:color w:val="auto"/>
              </w:rPr>
            </w:pPr>
          </w:p>
        </w:tc>
        <w:tc>
          <w:tcPr>
            <w:tcW w:w="1000" w:type="dxa"/>
            <w:vAlign w:val="bottom"/>
          </w:tcPr>
          <w:p>
            <w:pPr>
              <w:jc w:val="right"/>
              <w:ind w:right="310"/>
              <w:spacing w:after="0"/>
              <w:rPr>
                <w:sz w:val="20"/>
                <w:szCs w:val="20"/>
                <w:color w:val="auto"/>
              </w:rPr>
            </w:pPr>
            <w:r>
              <w:rPr>
                <w:rFonts w:ascii="Arial" w:cs="Arial" w:eastAsia="Arial" w:hAnsi="Arial"/>
                <w:sz w:val="18"/>
                <w:szCs w:val="18"/>
                <w:color w:val="auto"/>
              </w:rPr>
              <w:t>(14)</w:t>
            </w:r>
          </w:p>
        </w:tc>
        <w:tc>
          <w:tcPr>
            <w:tcW w:w="500" w:type="dxa"/>
            <w:vAlign w:val="bottom"/>
          </w:tcPr>
          <w:p>
            <w:pPr>
              <w:jc w:val="right"/>
              <w:spacing w:after="0"/>
              <w:rPr>
                <w:sz w:val="20"/>
                <w:szCs w:val="20"/>
                <w:color w:val="auto"/>
              </w:rPr>
            </w:pPr>
            <w:r>
              <w:rPr>
                <w:rFonts w:ascii="Arial" w:cs="Arial" w:eastAsia="Arial" w:hAnsi="Arial"/>
                <w:sz w:val="18"/>
                <w:szCs w:val="18"/>
                <w:color w:val="auto"/>
              </w:rPr>
              <w:t>0.5</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90"/>
              <w:spacing w:after="0"/>
              <w:rPr>
                <w:sz w:val="20"/>
                <w:szCs w:val="20"/>
                <w:color w:val="auto"/>
              </w:rPr>
            </w:pPr>
            <w:r>
              <w:rPr>
                <w:rFonts w:ascii="Arial" w:cs="Arial" w:eastAsia="Arial" w:hAnsi="Arial"/>
                <w:sz w:val="18"/>
                <w:szCs w:val="18"/>
                <w:color w:val="auto"/>
              </w:rPr>
              <w:t>(327)</w:t>
            </w:r>
          </w:p>
        </w:tc>
        <w:tc>
          <w:tcPr>
            <w:tcW w:w="540" w:type="dxa"/>
            <w:vAlign w:val="bottom"/>
          </w:tcPr>
          <w:p>
            <w:pPr>
              <w:jc w:val="right"/>
              <w:spacing w:after="0"/>
              <w:rPr>
                <w:sz w:val="20"/>
                <w:szCs w:val="20"/>
                <w:color w:val="auto"/>
              </w:rPr>
            </w:pPr>
            <w:r>
              <w:rPr>
                <w:rFonts w:ascii="Arial" w:cs="Arial" w:eastAsia="Arial" w:hAnsi="Arial"/>
                <w:sz w:val="18"/>
                <w:szCs w:val="18"/>
                <w:color w:val="auto"/>
              </w:rPr>
              <w:t>4.6</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90"/>
              <w:spacing w:after="0"/>
              <w:rPr>
                <w:sz w:val="20"/>
                <w:szCs w:val="20"/>
                <w:color w:val="auto"/>
              </w:rPr>
            </w:pPr>
            <w:r>
              <w:rPr>
                <w:rFonts w:ascii="Arial" w:cs="Arial" w:eastAsia="Arial" w:hAnsi="Arial"/>
                <w:sz w:val="18"/>
                <w:szCs w:val="18"/>
                <w:color w:val="auto"/>
              </w:rPr>
              <w:t>(20)</w:t>
            </w:r>
          </w:p>
        </w:tc>
        <w:tc>
          <w:tcPr>
            <w:tcW w:w="520" w:type="dxa"/>
            <w:vAlign w:val="bottom"/>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5120" w:type="dxa"/>
            <w:vAlign w:val="bottom"/>
            <w:shd w:val="clear" w:color="auto" w:fill="D1D2D4"/>
          </w:tcPr>
          <w:p>
            <w:pPr>
              <w:ind w:left="20"/>
              <w:spacing w:after="0"/>
              <w:rPr>
                <w:sz w:val="20"/>
                <w:szCs w:val="20"/>
                <w:color w:val="auto"/>
              </w:rPr>
            </w:pPr>
            <w:r>
              <w:rPr>
                <w:rFonts w:ascii="Arial" w:cs="Arial" w:eastAsia="Arial" w:hAnsi="Arial"/>
                <w:sz w:val="18"/>
                <w:szCs w:val="18"/>
                <w:color w:val="auto"/>
              </w:rPr>
              <w:t>Foreign tax rate differential</w:t>
            </w:r>
          </w:p>
        </w:tc>
        <w:tc>
          <w:tcPr>
            <w:tcW w:w="300" w:type="dxa"/>
            <w:vAlign w:val="bottom"/>
            <w:shd w:val="clear" w:color="auto" w:fill="D1D2D4"/>
          </w:tcPr>
          <w:p>
            <w:pPr>
              <w:spacing w:after="0"/>
              <w:rPr>
                <w:sz w:val="22"/>
                <w:szCs w:val="22"/>
                <w:color w:val="auto"/>
              </w:rPr>
            </w:pPr>
          </w:p>
        </w:tc>
        <w:tc>
          <w:tcPr>
            <w:tcW w:w="1000" w:type="dxa"/>
            <w:vAlign w:val="bottom"/>
            <w:shd w:val="clear" w:color="auto" w:fill="D1D2D4"/>
          </w:tcPr>
          <w:p>
            <w:pPr>
              <w:jc w:val="right"/>
              <w:ind w:right="370"/>
              <w:spacing w:after="0"/>
              <w:rPr>
                <w:sz w:val="20"/>
                <w:szCs w:val="20"/>
                <w:color w:val="auto"/>
              </w:rPr>
            </w:pPr>
            <w:r>
              <w:rPr>
                <w:rFonts w:ascii="Arial" w:cs="Arial" w:eastAsia="Arial" w:hAnsi="Arial"/>
                <w:sz w:val="18"/>
                <w:szCs w:val="18"/>
                <w:color w:val="auto"/>
              </w:rPr>
              <w:t>253</w:t>
            </w:r>
          </w:p>
        </w:tc>
        <w:tc>
          <w:tcPr>
            <w:tcW w:w="960" w:type="dxa"/>
            <w:vAlign w:val="bottom"/>
            <w:gridSpan w:val="2"/>
            <w:shd w:val="clear" w:color="auto" w:fill="D1D2D4"/>
          </w:tcPr>
          <w:p>
            <w:pPr>
              <w:jc w:val="right"/>
              <w:ind w:right="170"/>
              <w:spacing w:after="0"/>
              <w:rPr>
                <w:sz w:val="20"/>
                <w:szCs w:val="20"/>
                <w:color w:val="auto"/>
              </w:rPr>
            </w:pPr>
            <w:r>
              <w:rPr>
                <w:rFonts w:ascii="Arial" w:cs="Arial" w:eastAsia="Arial" w:hAnsi="Arial"/>
                <w:sz w:val="18"/>
                <w:szCs w:val="18"/>
                <w:color w:val="auto"/>
              </w:rPr>
              <w:t>(8.5)%</w:t>
            </w:r>
          </w:p>
        </w:tc>
        <w:tc>
          <w:tcPr>
            <w:tcW w:w="1060" w:type="dxa"/>
            <w:vAlign w:val="bottom"/>
            <w:shd w:val="clear" w:color="auto" w:fill="D1D2D4"/>
          </w:tcPr>
          <w:p>
            <w:pPr>
              <w:jc w:val="right"/>
              <w:ind w:right="330"/>
              <w:spacing w:after="0"/>
              <w:rPr>
                <w:sz w:val="20"/>
                <w:szCs w:val="20"/>
                <w:color w:val="auto"/>
              </w:rPr>
            </w:pPr>
            <w:r>
              <w:rPr>
                <w:rFonts w:ascii="Arial" w:cs="Arial" w:eastAsia="Arial" w:hAnsi="Arial"/>
                <w:sz w:val="18"/>
                <w:szCs w:val="18"/>
                <w:color w:val="auto"/>
              </w:rPr>
              <w:t>993</w:t>
            </w:r>
          </w:p>
        </w:tc>
        <w:tc>
          <w:tcPr>
            <w:tcW w:w="980" w:type="dxa"/>
            <w:vAlign w:val="bottom"/>
            <w:gridSpan w:val="2"/>
            <w:shd w:val="clear" w:color="auto" w:fill="D1D2D4"/>
          </w:tcPr>
          <w:p>
            <w:pPr>
              <w:jc w:val="right"/>
              <w:ind w:right="150"/>
              <w:spacing w:after="0"/>
              <w:rPr>
                <w:sz w:val="20"/>
                <w:szCs w:val="20"/>
                <w:color w:val="auto"/>
              </w:rPr>
            </w:pPr>
            <w:r>
              <w:rPr>
                <w:rFonts w:ascii="Arial" w:cs="Arial" w:eastAsia="Arial" w:hAnsi="Arial"/>
                <w:sz w:val="18"/>
                <w:szCs w:val="18"/>
                <w:color w:val="auto"/>
              </w:rPr>
              <w:t>(14.1)%</w:t>
            </w:r>
          </w:p>
        </w:tc>
        <w:tc>
          <w:tcPr>
            <w:tcW w:w="1080" w:type="dxa"/>
            <w:vAlign w:val="bottom"/>
            <w:shd w:val="clear" w:color="auto" w:fill="D1D2D4"/>
          </w:tcPr>
          <w:p>
            <w:pPr>
              <w:jc w:val="right"/>
              <w:ind w:right="350"/>
              <w:spacing w:after="0"/>
              <w:rPr>
                <w:sz w:val="20"/>
                <w:szCs w:val="20"/>
                <w:color w:val="auto"/>
              </w:rPr>
            </w:pPr>
            <w:r>
              <w:rPr>
                <w:rFonts w:ascii="Arial" w:cs="Arial" w:eastAsia="Arial" w:hAnsi="Arial"/>
                <w:sz w:val="18"/>
                <w:szCs w:val="18"/>
                <w:color w:val="auto"/>
              </w:rPr>
              <w:t>2,606</w:t>
            </w:r>
          </w:p>
        </w:tc>
        <w:tc>
          <w:tcPr>
            <w:tcW w:w="74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(18.2)%</w:t>
            </w:r>
          </w:p>
        </w:tc>
      </w:tr>
      <w:tr>
        <w:trPr>
          <w:trHeight w:val="250"/>
        </w:trPr>
        <w:tc>
          <w:tcPr>
            <w:tcW w:w="5120" w:type="dxa"/>
            <w:vAlign w:val="bottom"/>
          </w:tcPr>
          <w:p>
            <w:pPr>
              <w:ind w:left="20"/>
              <w:spacing w:after="0"/>
              <w:rPr>
                <w:sz w:val="20"/>
                <w:szCs w:val="20"/>
                <w:color w:val="auto"/>
              </w:rPr>
            </w:pPr>
            <w:r>
              <w:rPr>
                <w:rFonts w:ascii="Arial" w:cs="Arial" w:eastAsia="Arial" w:hAnsi="Arial"/>
                <w:sz w:val="18"/>
                <w:szCs w:val="18"/>
                <w:color w:val="auto"/>
              </w:rPr>
              <w:t>Foreign derived intangible income deduction</w:t>
            </w:r>
          </w:p>
        </w:tc>
        <w:tc>
          <w:tcPr>
            <w:tcW w:w="300" w:type="dxa"/>
            <w:vAlign w:val="bottom"/>
          </w:tcPr>
          <w:p>
            <w:pPr>
              <w:spacing w:after="0"/>
              <w:rPr>
                <w:sz w:val="21"/>
                <w:szCs w:val="21"/>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color w:val="auto"/>
              </w:rPr>
              <w:t>67</w:t>
            </w:r>
          </w:p>
        </w:tc>
        <w:tc>
          <w:tcPr>
            <w:tcW w:w="960" w:type="dxa"/>
            <w:vAlign w:val="bottom"/>
            <w:gridSpan w:val="2"/>
          </w:tcPr>
          <w:p>
            <w:pPr>
              <w:jc w:val="right"/>
              <w:ind w:right="170"/>
              <w:spacing w:after="0"/>
              <w:rPr>
                <w:sz w:val="20"/>
                <w:szCs w:val="20"/>
                <w:color w:val="auto"/>
              </w:rPr>
            </w:pPr>
            <w:r>
              <w:rPr>
                <w:rFonts w:ascii="Arial" w:cs="Arial" w:eastAsia="Arial" w:hAnsi="Arial"/>
                <w:sz w:val="18"/>
                <w:szCs w:val="18"/>
                <w:color w:val="auto"/>
              </w:rPr>
              <w:t>(2.2)%</w:t>
            </w:r>
          </w:p>
        </w:tc>
        <w:tc>
          <w:tcPr>
            <w:tcW w:w="10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50"/>
              <w:spacing w:after="0"/>
              <w:rPr>
                <w:sz w:val="20"/>
                <w:szCs w:val="20"/>
                <w:color w:val="auto"/>
              </w:rPr>
            </w:pPr>
            <w:r>
              <w:rPr>
                <w:rFonts w:ascii="Arial" w:cs="Arial" w:eastAsia="Arial" w:hAnsi="Arial"/>
                <w:sz w:val="18"/>
                <w:szCs w:val="18"/>
                <w:color w:val="auto"/>
              </w:rPr>
              <w:t>— %</w:t>
            </w:r>
          </w:p>
        </w:tc>
        <w:tc>
          <w:tcPr>
            <w:tcW w:w="10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 %</w:t>
            </w:r>
          </w:p>
        </w:tc>
      </w:tr>
      <w:tr>
        <w:trPr>
          <w:trHeight w:val="263"/>
        </w:trPr>
        <w:tc>
          <w:tcPr>
            <w:tcW w:w="512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Research and development tax credits</w:t>
            </w:r>
          </w:p>
        </w:tc>
        <w:tc>
          <w:tcPr>
            <w:tcW w:w="300" w:type="dxa"/>
            <w:vAlign w:val="bottom"/>
            <w:shd w:val="clear" w:color="auto" w:fill="D1D2D4"/>
          </w:tcPr>
          <w:p>
            <w:pPr>
              <w:spacing w:after="0"/>
              <w:rPr>
                <w:sz w:val="22"/>
                <w:szCs w:val="22"/>
                <w:color w:val="auto"/>
              </w:rPr>
            </w:pPr>
          </w:p>
        </w:tc>
        <w:tc>
          <w:tcPr>
            <w:tcW w:w="1000" w:type="dxa"/>
            <w:vAlign w:val="bottom"/>
            <w:shd w:val="clear" w:color="auto" w:fill="D1D2D4"/>
          </w:tcPr>
          <w:p>
            <w:pPr>
              <w:jc w:val="right"/>
              <w:ind w:right="370"/>
              <w:spacing w:after="0"/>
              <w:rPr>
                <w:sz w:val="20"/>
                <w:szCs w:val="20"/>
                <w:color w:val="auto"/>
              </w:rPr>
            </w:pPr>
            <w:r>
              <w:rPr>
                <w:rFonts w:ascii="Arial" w:cs="Arial" w:eastAsia="Arial" w:hAnsi="Arial"/>
                <w:sz w:val="18"/>
                <w:szCs w:val="18"/>
                <w:color w:val="auto"/>
              </w:rPr>
              <w:t>62</w:t>
            </w:r>
          </w:p>
        </w:tc>
        <w:tc>
          <w:tcPr>
            <w:tcW w:w="960" w:type="dxa"/>
            <w:vAlign w:val="bottom"/>
            <w:gridSpan w:val="2"/>
            <w:shd w:val="clear" w:color="auto" w:fill="D1D2D4"/>
          </w:tcPr>
          <w:p>
            <w:pPr>
              <w:jc w:val="right"/>
              <w:ind w:right="170"/>
              <w:spacing w:after="0"/>
              <w:rPr>
                <w:sz w:val="20"/>
                <w:szCs w:val="20"/>
                <w:color w:val="auto"/>
              </w:rPr>
            </w:pPr>
            <w:r>
              <w:rPr>
                <w:rFonts w:ascii="Arial" w:cs="Arial" w:eastAsia="Arial" w:hAnsi="Arial"/>
                <w:sz w:val="18"/>
                <w:szCs w:val="18"/>
                <w:color w:val="auto"/>
              </w:rPr>
              <w:t>(2.1)%</w:t>
            </w:r>
          </w:p>
        </w:tc>
        <w:tc>
          <w:tcPr>
            <w:tcW w:w="1060" w:type="dxa"/>
            <w:vAlign w:val="bottom"/>
            <w:shd w:val="clear" w:color="auto" w:fill="D1D2D4"/>
          </w:tcPr>
          <w:p>
            <w:pPr>
              <w:jc w:val="right"/>
              <w:ind w:right="330"/>
              <w:spacing w:after="0"/>
              <w:rPr>
                <w:sz w:val="20"/>
                <w:szCs w:val="20"/>
                <w:color w:val="auto"/>
              </w:rPr>
            </w:pPr>
            <w:r>
              <w:rPr>
                <w:rFonts w:ascii="Arial" w:cs="Arial" w:eastAsia="Arial" w:hAnsi="Arial"/>
                <w:sz w:val="18"/>
                <w:szCs w:val="18"/>
                <w:color w:val="auto"/>
              </w:rPr>
              <w:t>92</w:t>
            </w:r>
          </w:p>
        </w:tc>
        <w:tc>
          <w:tcPr>
            <w:tcW w:w="980" w:type="dxa"/>
            <w:vAlign w:val="bottom"/>
            <w:gridSpan w:val="2"/>
            <w:shd w:val="clear" w:color="auto" w:fill="D1D2D4"/>
          </w:tcPr>
          <w:p>
            <w:pPr>
              <w:jc w:val="right"/>
              <w:ind w:right="150"/>
              <w:spacing w:after="0"/>
              <w:rPr>
                <w:sz w:val="20"/>
                <w:szCs w:val="20"/>
                <w:color w:val="auto"/>
              </w:rPr>
            </w:pPr>
            <w:r>
              <w:rPr>
                <w:rFonts w:ascii="Arial" w:cs="Arial" w:eastAsia="Arial" w:hAnsi="Arial"/>
                <w:sz w:val="18"/>
                <w:szCs w:val="18"/>
                <w:color w:val="auto"/>
              </w:rPr>
              <w:t>(1.3)%</w:t>
            </w:r>
          </w:p>
        </w:tc>
        <w:tc>
          <w:tcPr>
            <w:tcW w:w="1080" w:type="dxa"/>
            <w:vAlign w:val="bottom"/>
            <w:shd w:val="clear" w:color="auto" w:fill="D1D2D4"/>
          </w:tcPr>
          <w:p>
            <w:pPr>
              <w:jc w:val="right"/>
              <w:ind w:right="350"/>
              <w:spacing w:after="0"/>
              <w:rPr>
                <w:sz w:val="20"/>
                <w:szCs w:val="20"/>
                <w:color w:val="auto"/>
              </w:rPr>
            </w:pPr>
            <w:r>
              <w:rPr>
                <w:rFonts w:ascii="Arial" w:cs="Arial" w:eastAsia="Arial" w:hAnsi="Arial"/>
                <w:sz w:val="18"/>
                <w:szCs w:val="18"/>
                <w:color w:val="auto"/>
              </w:rPr>
              <w:t>67</w:t>
            </w:r>
          </w:p>
        </w:tc>
        <w:tc>
          <w:tcPr>
            <w:tcW w:w="74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(0.5)%</w:t>
            </w:r>
          </w:p>
        </w:tc>
      </w:tr>
      <w:tr>
        <w:trPr>
          <w:trHeight w:val="250"/>
        </w:trPr>
        <w:tc>
          <w:tcPr>
            <w:tcW w:w="5120" w:type="dxa"/>
            <w:vAlign w:val="bottom"/>
          </w:tcPr>
          <w:p>
            <w:pPr>
              <w:ind w:left="20"/>
              <w:spacing w:after="0"/>
              <w:rPr>
                <w:sz w:val="20"/>
                <w:szCs w:val="20"/>
                <w:color w:val="auto"/>
              </w:rPr>
            </w:pPr>
            <w:r>
              <w:rPr>
                <w:rFonts w:ascii="Arial" w:cs="Arial" w:eastAsia="Arial" w:hAnsi="Arial"/>
                <w:sz w:val="18"/>
                <w:szCs w:val="18"/>
                <w:color w:val="auto"/>
              </w:rPr>
              <w:t>State taxes, net of federal benefit</w:t>
            </w:r>
          </w:p>
        </w:tc>
        <w:tc>
          <w:tcPr>
            <w:tcW w:w="300" w:type="dxa"/>
            <w:vAlign w:val="bottom"/>
          </w:tcPr>
          <w:p>
            <w:pPr>
              <w:spacing w:after="0"/>
              <w:rPr>
                <w:sz w:val="21"/>
                <w:szCs w:val="21"/>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color w:val="auto"/>
              </w:rPr>
              <w:t>23</w:t>
            </w:r>
          </w:p>
        </w:tc>
        <w:tc>
          <w:tcPr>
            <w:tcW w:w="960" w:type="dxa"/>
            <w:vAlign w:val="bottom"/>
            <w:gridSpan w:val="2"/>
          </w:tcPr>
          <w:p>
            <w:pPr>
              <w:jc w:val="right"/>
              <w:ind w:right="170"/>
              <w:spacing w:after="0"/>
              <w:rPr>
                <w:sz w:val="20"/>
                <w:szCs w:val="20"/>
                <w:color w:val="auto"/>
              </w:rPr>
            </w:pPr>
            <w:r>
              <w:rPr>
                <w:rFonts w:ascii="Arial" w:cs="Arial" w:eastAsia="Arial" w:hAnsi="Arial"/>
                <w:sz w:val="18"/>
                <w:szCs w:val="18"/>
                <w:color w:val="auto"/>
              </w:rPr>
              <w:t>(0.8)%</w:t>
            </w:r>
          </w:p>
        </w:tc>
        <w:tc>
          <w:tcPr>
            <w:tcW w:w="1060" w:type="dxa"/>
            <w:vAlign w:val="bottom"/>
          </w:tcPr>
          <w:p>
            <w:pPr>
              <w:jc w:val="right"/>
              <w:ind w:right="330"/>
              <w:spacing w:after="0"/>
              <w:rPr>
                <w:sz w:val="20"/>
                <w:szCs w:val="20"/>
                <w:color w:val="auto"/>
              </w:rPr>
            </w:pPr>
            <w:r>
              <w:rPr>
                <w:rFonts w:ascii="Arial" w:cs="Arial" w:eastAsia="Arial" w:hAnsi="Arial"/>
                <w:sz w:val="18"/>
                <w:szCs w:val="18"/>
                <w:color w:val="auto"/>
              </w:rPr>
              <w:t>102</w:t>
            </w:r>
          </w:p>
        </w:tc>
        <w:tc>
          <w:tcPr>
            <w:tcW w:w="980" w:type="dxa"/>
            <w:vAlign w:val="bottom"/>
            <w:gridSpan w:val="2"/>
          </w:tcPr>
          <w:p>
            <w:pPr>
              <w:jc w:val="right"/>
              <w:ind w:right="150"/>
              <w:spacing w:after="0"/>
              <w:rPr>
                <w:sz w:val="20"/>
                <w:szCs w:val="20"/>
                <w:color w:val="auto"/>
              </w:rPr>
            </w:pPr>
            <w:r>
              <w:rPr>
                <w:rFonts w:ascii="Arial" w:cs="Arial" w:eastAsia="Arial" w:hAnsi="Arial"/>
                <w:sz w:val="18"/>
                <w:szCs w:val="18"/>
                <w:color w:val="auto"/>
              </w:rPr>
              <w:t>(1.4)%</w:t>
            </w:r>
          </w:p>
        </w:tc>
        <w:tc>
          <w:tcPr>
            <w:tcW w:w="1080" w:type="dxa"/>
            <w:vAlign w:val="bottom"/>
          </w:tcPr>
          <w:p>
            <w:pPr>
              <w:jc w:val="right"/>
              <w:ind w:right="290"/>
              <w:spacing w:after="0"/>
              <w:rPr>
                <w:sz w:val="20"/>
                <w:szCs w:val="20"/>
                <w:color w:val="auto"/>
              </w:rPr>
            </w:pPr>
            <w:r>
              <w:rPr>
                <w:rFonts w:ascii="Arial" w:cs="Arial" w:eastAsia="Arial" w:hAnsi="Arial"/>
                <w:sz w:val="18"/>
                <w:szCs w:val="18"/>
                <w:color w:val="auto"/>
              </w:rPr>
              <w:t>(84)</w:t>
            </w:r>
          </w:p>
        </w:tc>
        <w:tc>
          <w:tcPr>
            <w:tcW w:w="520" w:type="dxa"/>
            <w:vAlign w:val="bottom"/>
          </w:tcPr>
          <w:p>
            <w:pPr>
              <w:jc w:val="right"/>
              <w:spacing w:after="0"/>
              <w:rPr>
                <w:sz w:val="20"/>
                <w:szCs w:val="20"/>
                <w:color w:val="auto"/>
              </w:rPr>
            </w:pPr>
            <w:r>
              <w:rPr>
                <w:rFonts w:ascii="Arial" w:cs="Arial" w:eastAsia="Arial" w:hAnsi="Arial"/>
                <w:sz w:val="18"/>
                <w:szCs w:val="18"/>
                <w:color w:val="auto"/>
              </w:rPr>
              <w:t>0.6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512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Repatriation Tax related to the Tax Act</w:t>
            </w:r>
          </w:p>
        </w:tc>
        <w:tc>
          <w:tcPr>
            <w:tcW w:w="300" w:type="dxa"/>
            <w:vAlign w:val="bottom"/>
            <w:shd w:val="clear" w:color="auto" w:fill="D1D2D4"/>
          </w:tcPr>
          <w:p>
            <w:pPr>
              <w:spacing w:after="0"/>
              <w:rPr>
                <w:sz w:val="22"/>
                <w:szCs w:val="22"/>
                <w:color w:val="auto"/>
              </w:rPr>
            </w:pPr>
          </w:p>
        </w:tc>
        <w:tc>
          <w:tcPr>
            <w:tcW w:w="1000" w:type="dxa"/>
            <w:vAlign w:val="bottom"/>
            <w:shd w:val="clear" w:color="auto" w:fill="D1D2D4"/>
          </w:tcPr>
          <w:p>
            <w:pPr>
              <w:jc w:val="right"/>
              <w:ind w:right="37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D1D2D4"/>
          </w:tcPr>
          <w:p>
            <w:pPr>
              <w:jc w:val="right"/>
              <w:ind w:right="170"/>
              <w:spacing w:after="0"/>
              <w:rPr>
                <w:sz w:val="20"/>
                <w:szCs w:val="20"/>
                <w:color w:val="auto"/>
              </w:rPr>
            </w:pPr>
            <w:r>
              <w:rPr>
                <w:rFonts w:ascii="Arial" w:cs="Arial" w:eastAsia="Arial" w:hAnsi="Arial"/>
                <w:sz w:val="18"/>
                <w:szCs w:val="18"/>
                <w:color w:val="auto"/>
              </w:rPr>
              <w:t>— %</w:t>
            </w:r>
          </w:p>
        </w:tc>
        <w:tc>
          <w:tcPr>
            <w:tcW w:w="1060" w:type="dxa"/>
            <w:vAlign w:val="bottom"/>
            <w:shd w:val="clear" w:color="auto" w:fill="D1D2D4"/>
          </w:tcPr>
          <w:p>
            <w:pPr>
              <w:jc w:val="right"/>
              <w:ind w:right="290"/>
              <w:spacing w:after="0"/>
              <w:rPr>
                <w:sz w:val="20"/>
                <w:szCs w:val="20"/>
                <w:color w:val="auto"/>
              </w:rPr>
            </w:pPr>
            <w:r>
              <w:rPr>
                <w:rFonts w:ascii="Arial" w:cs="Arial" w:eastAsia="Arial" w:hAnsi="Arial"/>
                <w:sz w:val="18"/>
                <w:szCs w:val="18"/>
                <w:color w:val="auto"/>
              </w:rPr>
              <w:t>(10)</w:t>
            </w:r>
          </w:p>
        </w:tc>
        <w:tc>
          <w:tcPr>
            <w:tcW w:w="5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0.1</w:t>
            </w:r>
          </w:p>
        </w:tc>
        <w:tc>
          <w:tcPr>
            <w:tcW w:w="44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1D2D4"/>
          </w:tcPr>
          <w:p>
            <w:pPr>
              <w:jc w:val="right"/>
              <w:ind w:right="290"/>
              <w:spacing w:after="0"/>
              <w:rPr>
                <w:sz w:val="20"/>
                <w:szCs w:val="20"/>
                <w:color w:val="auto"/>
              </w:rPr>
            </w:pPr>
            <w:r>
              <w:rPr>
                <w:rFonts w:ascii="Arial" w:cs="Arial" w:eastAsia="Arial" w:hAnsi="Arial"/>
                <w:sz w:val="18"/>
                <w:szCs w:val="18"/>
                <w:color w:val="auto"/>
              </w:rPr>
              <w:t>(1,049)</w:t>
            </w:r>
          </w:p>
        </w:tc>
        <w:tc>
          <w:tcPr>
            <w:tcW w:w="5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7.3</w:t>
            </w:r>
          </w:p>
        </w:tc>
        <w:tc>
          <w:tcPr>
            <w:tcW w:w="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color w:val="auto"/>
              </w:rPr>
              <w:t>Remeasurement of deferred tax assets and liabilities related to</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24"/>
        </w:trPr>
        <w:tc>
          <w:tcPr>
            <w:tcW w:w="5120" w:type="dxa"/>
            <w:vAlign w:val="bottom"/>
          </w:tcPr>
          <w:p>
            <w:pPr>
              <w:ind w:left="20"/>
              <w:spacing w:after="0"/>
              <w:rPr>
                <w:sz w:val="20"/>
                <w:szCs w:val="20"/>
                <w:color w:val="auto"/>
              </w:rPr>
            </w:pPr>
            <w:r>
              <w:rPr>
                <w:rFonts w:ascii="Arial" w:cs="Arial" w:eastAsia="Arial" w:hAnsi="Arial"/>
                <w:sz w:val="18"/>
                <w:szCs w:val="18"/>
                <w:color w:val="auto"/>
              </w:rPr>
              <w:t>the Tax Act</w:t>
            </w:r>
          </w:p>
        </w:tc>
        <w:tc>
          <w:tcPr>
            <w:tcW w:w="300" w:type="dxa"/>
            <w:vAlign w:val="bottom"/>
          </w:tcPr>
          <w:p>
            <w:pPr>
              <w:spacing w:after="0"/>
              <w:rPr>
                <w:sz w:val="19"/>
                <w:szCs w:val="19"/>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70"/>
              <w:spacing w:after="0"/>
              <w:rPr>
                <w:sz w:val="20"/>
                <w:szCs w:val="20"/>
                <w:color w:val="auto"/>
              </w:rPr>
            </w:pPr>
            <w:r>
              <w:rPr>
                <w:rFonts w:ascii="Arial" w:cs="Arial" w:eastAsia="Arial" w:hAnsi="Arial"/>
                <w:sz w:val="18"/>
                <w:szCs w:val="18"/>
                <w:color w:val="auto"/>
              </w:rPr>
              <w:t>— %</w:t>
            </w:r>
          </w:p>
        </w:tc>
        <w:tc>
          <w:tcPr>
            <w:tcW w:w="10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50"/>
              <w:spacing w:after="0"/>
              <w:rPr>
                <w:sz w:val="20"/>
                <w:szCs w:val="20"/>
                <w:color w:val="auto"/>
              </w:rPr>
            </w:pPr>
            <w:r>
              <w:rPr>
                <w:rFonts w:ascii="Arial" w:cs="Arial" w:eastAsia="Arial" w:hAnsi="Arial"/>
                <w:sz w:val="18"/>
                <w:szCs w:val="18"/>
                <w:color w:val="auto"/>
              </w:rPr>
              <w:t>— %</w:t>
            </w:r>
          </w:p>
        </w:tc>
        <w:tc>
          <w:tcPr>
            <w:tcW w:w="1080" w:type="dxa"/>
            <w:vAlign w:val="bottom"/>
          </w:tcPr>
          <w:p>
            <w:pPr>
              <w:jc w:val="right"/>
              <w:ind w:right="290"/>
              <w:spacing w:after="0"/>
              <w:rPr>
                <w:sz w:val="20"/>
                <w:szCs w:val="20"/>
                <w:color w:val="auto"/>
              </w:rPr>
            </w:pPr>
            <w:r>
              <w:rPr>
                <w:rFonts w:ascii="Arial" w:cs="Arial" w:eastAsia="Arial" w:hAnsi="Arial"/>
                <w:sz w:val="18"/>
                <w:szCs w:val="18"/>
                <w:color w:val="auto"/>
              </w:rPr>
              <w:t>(179)</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1.3 %</w:t>
            </w:r>
          </w:p>
        </w:tc>
      </w:tr>
      <w:tr>
        <w:trPr>
          <w:trHeight w:val="257"/>
        </w:trPr>
        <w:tc>
          <w:tcPr>
            <w:tcW w:w="512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D1D2D4"/>
          </w:tcPr>
          <w:p>
            <w:pPr>
              <w:spacing w:after="0"/>
              <w:rPr>
                <w:sz w:val="22"/>
                <w:szCs w:val="22"/>
                <w:color w:val="auto"/>
              </w:rPr>
            </w:pPr>
          </w:p>
        </w:tc>
        <w:tc>
          <w:tcPr>
            <w:tcW w:w="1000" w:type="dxa"/>
            <w:vAlign w:val="bottom"/>
            <w:tcBorders>
              <w:bottom w:val="single" w:sz="8" w:color="auto"/>
            </w:tcBorders>
            <w:shd w:val="clear" w:color="auto" w:fill="D1D2D4"/>
          </w:tcPr>
          <w:p>
            <w:pPr>
              <w:jc w:val="right"/>
              <w:ind w:right="370"/>
              <w:spacing w:after="0"/>
              <w:rPr>
                <w:sz w:val="20"/>
                <w:szCs w:val="20"/>
                <w:color w:val="auto"/>
              </w:rPr>
            </w:pPr>
            <w:r>
              <w:rPr>
                <w:rFonts w:ascii="Arial" w:cs="Arial" w:eastAsia="Arial" w:hAnsi="Arial"/>
                <w:sz w:val="18"/>
                <w:szCs w:val="18"/>
                <w:color w:val="auto"/>
              </w:rPr>
              <w:t>8</w:t>
            </w:r>
          </w:p>
        </w:tc>
        <w:tc>
          <w:tcPr>
            <w:tcW w:w="960" w:type="dxa"/>
            <w:vAlign w:val="bottom"/>
            <w:tcBorders>
              <w:bottom w:val="single" w:sz="8" w:color="auto"/>
            </w:tcBorders>
            <w:gridSpan w:val="2"/>
            <w:shd w:val="clear" w:color="auto" w:fill="D1D2D4"/>
          </w:tcPr>
          <w:p>
            <w:pPr>
              <w:jc w:val="right"/>
              <w:ind w:right="170"/>
              <w:spacing w:after="0"/>
              <w:rPr>
                <w:sz w:val="20"/>
                <w:szCs w:val="20"/>
                <w:color w:val="auto"/>
              </w:rPr>
            </w:pPr>
            <w:r>
              <w:rPr>
                <w:rFonts w:ascii="Arial" w:cs="Arial" w:eastAsia="Arial" w:hAnsi="Arial"/>
                <w:sz w:val="18"/>
                <w:szCs w:val="18"/>
                <w:color w:val="auto"/>
              </w:rPr>
              <w:t>(0.3)%</w:t>
            </w:r>
          </w:p>
        </w:tc>
        <w:tc>
          <w:tcPr>
            <w:tcW w:w="1060" w:type="dxa"/>
            <w:vAlign w:val="bottom"/>
            <w:tcBorders>
              <w:bottom w:val="single" w:sz="8" w:color="auto"/>
            </w:tcBorders>
            <w:shd w:val="clear" w:color="auto" w:fill="D1D2D4"/>
          </w:tcPr>
          <w:p>
            <w:pPr>
              <w:jc w:val="right"/>
              <w:ind w:right="330"/>
              <w:spacing w:after="0"/>
              <w:rPr>
                <w:sz w:val="20"/>
                <w:szCs w:val="20"/>
                <w:color w:val="auto"/>
              </w:rPr>
            </w:pPr>
            <w:r>
              <w:rPr>
                <w:rFonts w:ascii="Arial" w:cs="Arial" w:eastAsia="Arial" w:hAnsi="Arial"/>
                <w:sz w:val="18"/>
                <w:szCs w:val="18"/>
                <w:color w:val="auto"/>
              </w:rPr>
              <w:t>36</w:t>
            </w:r>
          </w:p>
        </w:tc>
        <w:tc>
          <w:tcPr>
            <w:tcW w:w="980" w:type="dxa"/>
            <w:vAlign w:val="bottom"/>
            <w:tcBorders>
              <w:bottom w:val="single" w:sz="8" w:color="auto"/>
            </w:tcBorders>
            <w:gridSpan w:val="2"/>
            <w:shd w:val="clear" w:color="auto" w:fill="D1D2D4"/>
          </w:tcPr>
          <w:p>
            <w:pPr>
              <w:jc w:val="right"/>
              <w:ind w:right="150"/>
              <w:spacing w:after="0"/>
              <w:rPr>
                <w:sz w:val="20"/>
                <w:szCs w:val="20"/>
                <w:color w:val="auto"/>
              </w:rPr>
            </w:pPr>
            <w:r>
              <w:rPr>
                <w:rFonts w:ascii="Arial" w:cs="Arial" w:eastAsia="Arial" w:hAnsi="Arial"/>
                <w:sz w:val="18"/>
                <w:szCs w:val="18"/>
                <w:color w:val="auto"/>
              </w:rPr>
              <w:t>(0.5)%</w:t>
            </w:r>
          </w:p>
        </w:tc>
        <w:tc>
          <w:tcPr>
            <w:tcW w:w="1080" w:type="dxa"/>
            <w:vAlign w:val="bottom"/>
            <w:tcBorders>
              <w:bottom w:val="single" w:sz="8" w:color="auto"/>
            </w:tcBorders>
            <w:shd w:val="clear" w:color="auto" w:fill="D1D2D4"/>
          </w:tcPr>
          <w:p>
            <w:pPr>
              <w:jc w:val="right"/>
              <w:ind w:right="350"/>
              <w:spacing w:after="0"/>
              <w:rPr>
                <w:sz w:val="20"/>
                <w:szCs w:val="20"/>
                <w:color w:val="auto"/>
              </w:rPr>
            </w:pPr>
            <w:r>
              <w:rPr>
                <w:rFonts w:ascii="Arial" w:cs="Arial" w:eastAsia="Arial" w:hAnsi="Arial"/>
                <w:sz w:val="18"/>
                <w:szCs w:val="18"/>
                <w:color w:val="auto"/>
              </w:rPr>
              <w:t>29</w:t>
            </w:r>
          </w:p>
        </w:tc>
        <w:tc>
          <w:tcPr>
            <w:tcW w:w="740" w:type="dxa"/>
            <w:vAlign w:val="bottom"/>
            <w:tcBorders>
              <w:bottom w:val="single" w:sz="8" w:color="auto"/>
            </w:tcBorders>
            <w:gridSpan w:val="2"/>
            <w:shd w:val="clear" w:color="auto" w:fill="D1D2D4"/>
          </w:tcPr>
          <w:p>
            <w:pPr>
              <w:jc w:val="right"/>
              <w:spacing w:after="0"/>
              <w:rPr>
                <w:sz w:val="20"/>
                <w:szCs w:val="20"/>
                <w:color w:val="auto"/>
              </w:rPr>
            </w:pPr>
            <w:r>
              <w:rPr>
                <w:rFonts w:ascii="Arial" w:cs="Arial" w:eastAsia="Arial" w:hAnsi="Arial"/>
                <w:sz w:val="18"/>
                <w:szCs w:val="18"/>
                <w:color w:val="auto"/>
              </w:rPr>
              <w:t>(0.2)%</w:t>
            </w:r>
          </w:p>
        </w:tc>
      </w:tr>
      <w:tr>
        <w:trPr>
          <w:trHeight w:val="256"/>
        </w:trPr>
        <w:tc>
          <w:tcPr>
            <w:tcW w:w="5120" w:type="dxa"/>
            <w:vAlign w:val="bottom"/>
          </w:tcPr>
          <w:p>
            <w:pPr>
              <w:ind w:left="340"/>
              <w:spacing w:after="0"/>
              <w:rPr>
                <w:sz w:val="20"/>
                <w:szCs w:val="20"/>
                <w:color w:val="auto"/>
              </w:rPr>
            </w:pPr>
            <w:r>
              <w:rPr>
                <w:rFonts w:ascii="Arial" w:cs="Arial" w:eastAsia="Arial" w:hAnsi="Arial"/>
                <w:sz w:val="18"/>
                <w:szCs w:val="18"/>
                <w:color w:val="auto"/>
              </w:rPr>
              <w:t>Income tax (provision) benefit</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(280)</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 $</w:t>
            </w:r>
          </w:p>
        </w:tc>
        <w:tc>
          <w:tcPr>
            <w:tcW w:w="10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(693)</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6"/>
              </w:rPr>
              <w:t>% $</w:t>
            </w:r>
          </w:p>
        </w:tc>
        <w:tc>
          <w:tcPr>
            <w:tcW w:w="10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(168)</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operate in a number of jurisdictions outside the United States, including Singapore, where we have tax incentive arrangements. These arrangements expire in whole or in part at various dates through 2034 and are conditional, in part, upon meeting certain business operations and employment thresholds. The effect of tax incentive arrangements reduced our tax provision by $215 million (benefiting our diluted earnings per share by $0.19) for 2020, by $756 million ($0.66 per diluted share) for 2019, and by $1.96 billion ($1.59 per diluted share) for 2018.</w:t>
      </w:r>
    </w:p>
    <w:p>
      <w:pPr>
        <w:spacing w:after="0" w:line="232"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As of September 3, 2020, certain non-U.S. subsidiaries had cumulative undistributed earnings of $2.70 billion that were deemed to be indefinitely reinvested. A provision has not been recognized to the extent that distributions from such subsidiaries are subject to additional foreign withholding or state income tax. Determination of the amount of unrecognized deferred tax liabilities related to investments in these foreign subsidiaries is not practicable.</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right"/>
        <w:spacing w:after="0"/>
        <w:rPr>
          <w:sz w:val="20"/>
          <w:szCs w:val="20"/>
          <w:color w:val="auto"/>
        </w:rPr>
      </w:pPr>
      <w:r>
        <w:rPr>
          <w:sz w:val="1"/>
          <w:szCs w:val="1"/>
          <w:color w:val="auto"/>
        </w:rPr>
        <w:drawing>
          <wp:inline distT="0" distB="0" distL="0" distR="0">
            <wp:extent cx="608330" cy="171450"/>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8330" cy="171450"/>
                    </a:xfrm>
                    <a:prstGeom prst="rect">
                      <a:avLst/>
                    </a:prstGeom>
                    <a:noFill/>
                    <a:ln>
                      <a:noFill/>
                    </a:ln>
                  </pic:spPr>
                </pic:pic>
              </a:graphicData>
            </a:graphic>
          </wp:inline>
        </w:drawing>
      </w:r>
      <w:r>
        <w:rPr>
          <w:rFonts w:ascii="Arial" w:cs="Arial" w:eastAsia="Arial" w:hAnsi="Arial"/>
          <w:sz w:val="18"/>
          <w:szCs w:val="18"/>
          <w:color w:val="auto"/>
        </w:rPr>
        <w:t xml:space="preserve"> 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79" w:name="page80"/>
    <w:bookmarkEnd w:id="79"/>
    <w:p>
      <w:pPr>
        <w:ind w:right="280"/>
        <w:spacing w:after="0" w:line="261" w:lineRule="auto"/>
        <w:rPr>
          <w:sz w:val="20"/>
          <w:szCs w:val="20"/>
          <w:color w:val="auto"/>
        </w:rPr>
      </w:pPr>
      <w:r>
        <w:rPr>
          <w:rFonts w:ascii="Arial" w:cs="Arial" w:eastAsia="Arial" w:hAnsi="Arial"/>
          <w:sz w:val="18"/>
          <w:szCs w:val="18"/>
          <w:color w:val="auto"/>
        </w:rPr>
        <w:t>Deferred income taxes reflect the net tax effects of temporary differences between the bases of assets and liabilities for financial reporting and income tax purposes as well as carryforwards. Deferred tax assets and liabilities consist of the following:</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30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As of</w:t>
            </w:r>
          </w:p>
        </w:tc>
        <w:tc>
          <w:tcPr>
            <w:tcW w:w="320" w:type="dxa"/>
            <w:vAlign w:val="bottom"/>
            <w:tcBorders>
              <w:bottom w:val="single" w:sz="8" w:color="0090DA"/>
            </w:tcBorders>
          </w:tcPr>
          <w:p>
            <w:pPr>
              <w:spacing w:after="0"/>
              <w:rPr>
                <w:sz w:val="21"/>
                <w:szCs w:val="21"/>
                <w:color w:val="auto"/>
              </w:rPr>
            </w:pPr>
          </w:p>
        </w:tc>
        <w:tc>
          <w:tcPr>
            <w:tcW w:w="114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bottom w:val="single" w:sz="8" w:color="0090DA"/>
            </w:tcBorders>
          </w:tcPr>
          <w:p>
            <w:pPr>
              <w:spacing w:after="0"/>
              <w:rPr>
                <w:sz w:val="21"/>
                <w:szCs w:val="21"/>
                <w:color w:val="auto"/>
              </w:rPr>
            </w:pPr>
          </w:p>
        </w:tc>
        <w:tc>
          <w:tcPr>
            <w:tcW w:w="1140" w:type="dxa"/>
            <w:vAlign w:val="bottom"/>
            <w:tcBorders>
              <w:bottom w:val="single" w:sz="8" w:color="0090DA"/>
            </w:tcBorders>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41"/>
        </w:trPr>
        <w:tc>
          <w:tcPr>
            <w:tcW w:w="83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57"/>
        </w:trPr>
        <w:tc>
          <w:tcPr>
            <w:tcW w:w="8300" w:type="dxa"/>
            <w:vAlign w:val="bottom"/>
            <w:shd w:val="clear" w:color="auto" w:fill="D1D2D4"/>
          </w:tcPr>
          <w:p>
            <w:pPr>
              <w:ind w:left="20"/>
              <w:spacing w:after="0"/>
              <w:rPr>
                <w:sz w:val="20"/>
                <w:szCs w:val="20"/>
                <w:color w:val="auto"/>
              </w:rPr>
            </w:pPr>
            <w:r>
              <w:rPr>
                <w:rFonts w:ascii="Arial" w:cs="Arial" w:eastAsia="Arial" w:hAnsi="Arial"/>
                <w:sz w:val="18"/>
                <w:szCs w:val="18"/>
                <w:color w:val="auto"/>
              </w:rPr>
              <w:t>Deferred tax assets</w:t>
            </w:r>
          </w:p>
        </w:tc>
        <w:tc>
          <w:tcPr>
            <w:tcW w:w="320" w:type="dxa"/>
            <w:vAlign w:val="bottom"/>
            <w:shd w:val="clear" w:color="auto" w:fill="D1D2D4"/>
          </w:tcPr>
          <w:p>
            <w:pPr>
              <w:spacing w:after="0"/>
              <w:rPr>
                <w:sz w:val="22"/>
                <w:szCs w:val="22"/>
                <w:color w:val="auto"/>
              </w:rPr>
            </w:pPr>
          </w:p>
        </w:tc>
        <w:tc>
          <w:tcPr>
            <w:tcW w:w="1140" w:type="dxa"/>
            <w:vAlign w:val="bottom"/>
            <w:shd w:val="clear" w:color="auto" w:fill="D1D2D4"/>
          </w:tcPr>
          <w:p>
            <w:pPr>
              <w:spacing w:after="0"/>
              <w:rPr>
                <w:sz w:val="22"/>
                <w:szCs w:val="22"/>
                <w:color w:val="auto"/>
              </w:rPr>
            </w:pPr>
          </w:p>
        </w:tc>
        <w:tc>
          <w:tcPr>
            <w:tcW w:w="340" w:type="dxa"/>
            <w:vAlign w:val="bottom"/>
            <w:shd w:val="clear" w:color="auto" w:fill="D1D2D4"/>
          </w:tcPr>
          <w:p>
            <w:pPr>
              <w:spacing w:after="0"/>
              <w:rPr>
                <w:sz w:val="22"/>
                <w:szCs w:val="22"/>
                <w:color w:val="auto"/>
              </w:rPr>
            </w:pPr>
          </w:p>
        </w:tc>
        <w:tc>
          <w:tcPr>
            <w:tcW w:w="1140" w:type="dxa"/>
            <w:vAlign w:val="bottom"/>
            <w:shd w:val="clear" w:color="auto" w:fill="D1D2D4"/>
          </w:tcPr>
          <w:p>
            <w:pPr>
              <w:spacing w:after="0"/>
              <w:rPr>
                <w:sz w:val="22"/>
                <w:szCs w:val="22"/>
                <w:color w:val="auto"/>
              </w:rPr>
            </w:pPr>
          </w:p>
        </w:tc>
      </w:tr>
      <w:tr>
        <w:trPr>
          <w:trHeight w:val="250"/>
        </w:trPr>
        <w:tc>
          <w:tcPr>
            <w:tcW w:w="8300" w:type="dxa"/>
            <w:vAlign w:val="bottom"/>
          </w:tcPr>
          <w:p>
            <w:pPr>
              <w:ind w:left="180"/>
              <w:spacing w:after="0"/>
              <w:rPr>
                <w:sz w:val="20"/>
                <w:szCs w:val="20"/>
                <w:color w:val="auto"/>
              </w:rPr>
            </w:pPr>
            <w:r>
              <w:rPr>
                <w:rFonts w:ascii="Arial" w:cs="Arial" w:eastAsia="Arial" w:hAnsi="Arial"/>
                <w:sz w:val="18"/>
                <w:szCs w:val="18"/>
                <w:color w:val="auto"/>
              </w:rPr>
              <w:t>Net operating loss and tax credit carryforwards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912</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1,045</w:t>
            </w:r>
          </w:p>
        </w:tc>
      </w:tr>
      <w:tr>
        <w:trPr>
          <w:trHeight w:val="263"/>
        </w:trPr>
        <w:tc>
          <w:tcPr>
            <w:tcW w:w="8300" w:type="dxa"/>
            <w:vAlign w:val="bottom"/>
            <w:shd w:val="clear" w:color="auto" w:fill="D1D2D4"/>
          </w:tcPr>
          <w:p>
            <w:pPr>
              <w:ind w:left="180"/>
              <w:spacing w:after="0"/>
              <w:rPr>
                <w:sz w:val="20"/>
                <w:szCs w:val="20"/>
                <w:color w:val="auto"/>
              </w:rPr>
            </w:pPr>
            <w:r>
              <w:rPr>
                <w:rFonts w:ascii="Arial" w:cs="Arial" w:eastAsia="Arial" w:hAnsi="Arial"/>
                <w:sz w:val="18"/>
                <w:szCs w:val="18"/>
                <w:color w:val="auto"/>
              </w:rPr>
              <w:t>Accrued salaries, wages, and benefits</w:t>
            </w:r>
          </w:p>
        </w:tc>
        <w:tc>
          <w:tcPr>
            <w:tcW w:w="320" w:type="dxa"/>
            <w:vAlign w:val="bottom"/>
            <w:shd w:val="clear" w:color="auto" w:fill="D1D2D4"/>
          </w:tcPr>
          <w:p>
            <w:pPr>
              <w:spacing w:after="0"/>
              <w:rPr>
                <w:sz w:val="22"/>
                <w:szCs w:val="22"/>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176</w:t>
            </w:r>
          </w:p>
        </w:tc>
        <w:tc>
          <w:tcPr>
            <w:tcW w:w="340" w:type="dxa"/>
            <w:vAlign w:val="bottom"/>
            <w:shd w:val="clear" w:color="auto" w:fill="D1D2D4"/>
          </w:tcPr>
          <w:p>
            <w:pPr>
              <w:spacing w:after="0"/>
              <w:rPr>
                <w:sz w:val="22"/>
                <w:szCs w:val="22"/>
                <w:color w:val="auto"/>
              </w:rPr>
            </w:pPr>
          </w:p>
        </w:tc>
        <w:tc>
          <w:tcPr>
            <w:tcW w:w="11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122</w:t>
            </w:r>
          </w:p>
        </w:tc>
      </w:tr>
      <w:tr>
        <w:trPr>
          <w:trHeight w:val="250"/>
        </w:trPr>
        <w:tc>
          <w:tcPr>
            <w:tcW w:w="8300" w:type="dxa"/>
            <w:vAlign w:val="bottom"/>
          </w:tcPr>
          <w:p>
            <w:pPr>
              <w:ind w:left="180"/>
              <w:spacing w:after="0"/>
              <w:rPr>
                <w:sz w:val="20"/>
                <w:szCs w:val="20"/>
                <w:color w:val="auto"/>
              </w:rPr>
            </w:pPr>
            <w:r>
              <w:rPr>
                <w:rFonts w:ascii="Arial" w:cs="Arial" w:eastAsia="Arial" w:hAnsi="Arial"/>
                <w:sz w:val="18"/>
                <w:szCs w:val="18"/>
                <w:color w:val="auto"/>
              </w:rPr>
              <w:t>Operating lease liabilities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114</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8300" w:type="dxa"/>
            <w:vAlign w:val="bottom"/>
            <w:shd w:val="clear" w:color="auto" w:fill="D1D2D4"/>
          </w:tcPr>
          <w:p>
            <w:pPr>
              <w:ind w:left="180"/>
              <w:spacing w:after="0"/>
              <w:rPr>
                <w:sz w:val="20"/>
                <w:szCs w:val="20"/>
                <w:color w:val="auto"/>
              </w:rPr>
            </w:pPr>
            <w:r>
              <w:rPr>
                <w:rFonts w:ascii="Arial" w:cs="Arial" w:eastAsia="Arial" w:hAnsi="Arial"/>
                <w:sz w:val="18"/>
                <w:szCs w:val="18"/>
                <w:color w:val="auto"/>
              </w:rPr>
              <w:t>Property, plant, and equipment</w:t>
            </w:r>
          </w:p>
        </w:tc>
        <w:tc>
          <w:tcPr>
            <w:tcW w:w="320" w:type="dxa"/>
            <w:vAlign w:val="bottom"/>
            <w:shd w:val="clear" w:color="auto" w:fill="D1D2D4"/>
          </w:tcPr>
          <w:p>
            <w:pPr>
              <w:spacing w:after="0"/>
              <w:rPr>
                <w:sz w:val="22"/>
                <w:szCs w:val="22"/>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D1D2D4"/>
          </w:tcPr>
          <w:p>
            <w:pPr>
              <w:spacing w:after="0"/>
              <w:rPr>
                <w:sz w:val="22"/>
                <w:szCs w:val="22"/>
                <w:color w:val="auto"/>
              </w:rPr>
            </w:pPr>
          </w:p>
        </w:tc>
        <w:tc>
          <w:tcPr>
            <w:tcW w:w="11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80</w:t>
            </w:r>
          </w:p>
        </w:tc>
      </w:tr>
      <w:tr>
        <w:trPr>
          <w:trHeight w:val="250"/>
        </w:trPr>
        <w:tc>
          <w:tcPr>
            <w:tcW w:w="8300" w:type="dxa"/>
            <w:vAlign w:val="bottom"/>
            <w:tcBorders>
              <w:bottom w:val="single" w:sz="8" w:color="D1D2D4"/>
            </w:tcBorders>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110</w:t>
            </w:r>
          </w:p>
        </w:tc>
      </w:tr>
      <w:tr>
        <w:trPr>
          <w:trHeight w:val="256"/>
        </w:trPr>
        <w:tc>
          <w:tcPr>
            <w:tcW w:w="8300" w:type="dxa"/>
            <w:vAlign w:val="bottom"/>
            <w:shd w:val="clear" w:color="auto" w:fill="D1D2D4"/>
          </w:tcPr>
          <w:p>
            <w:pPr>
              <w:ind w:left="340"/>
              <w:spacing w:after="0"/>
              <w:rPr>
                <w:sz w:val="20"/>
                <w:szCs w:val="20"/>
                <w:color w:val="auto"/>
              </w:rPr>
            </w:pPr>
            <w:r>
              <w:rPr>
                <w:rFonts w:ascii="Arial" w:cs="Arial" w:eastAsia="Arial" w:hAnsi="Arial"/>
                <w:sz w:val="18"/>
                <w:szCs w:val="18"/>
                <w:color w:val="auto"/>
              </w:rPr>
              <w:t>Gross deferred tax assets</w:t>
            </w:r>
          </w:p>
        </w:tc>
        <w:tc>
          <w:tcPr>
            <w:tcW w:w="320" w:type="dxa"/>
            <w:vAlign w:val="bottom"/>
            <w:shd w:val="clear" w:color="auto" w:fill="D1D2D4"/>
          </w:tcPr>
          <w:p>
            <w:pPr>
              <w:spacing w:after="0"/>
              <w:rPr>
                <w:sz w:val="22"/>
                <w:szCs w:val="22"/>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1,293</w:t>
            </w:r>
          </w:p>
        </w:tc>
        <w:tc>
          <w:tcPr>
            <w:tcW w:w="340" w:type="dxa"/>
            <w:vAlign w:val="bottom"/>
            <w:shd w:val="clear" w:color="auto" w:fill="D1D2D4"/>
          </w:tcPr>
          <w:p>
            <w:pPr>
              <w:spacing w:after="0"/>
              <w:rPr>
                <w:sz w:val="22"/>
                <w:szCs w:val="22"/>
                <w:color w:val="auto"/>
              </w:rPr>
            </w:pPr>
          </w:p>
        </w:tc>
        <w:tc>
          <w:tcPr>
            <w:tcW w:w="11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1,357</w:t>
            </w:r>
          </w:p>
        </w:tc>
      </w:tr>
      <w:tr>
        <w:trPr>
          <w:trHeight w:val="250"/>
        </w:trPr>
        <w:tc>
          <w:tcPr>
            <w:tcW w:w="8300" w:type="dxa"/>
            <w:vAlign w:val="bottom"/>
            <w:tcBorders>
              <w:bottom w:val="single" w:sz="8" w:color="D1D2D4"/>
            </w:tcBorders>
          </w:tcPr>
          <w:p>
            <w:pPr>
              <w:ind w:left="180"/>
              <w:spacing w:after="0"/>
              <w:rPr>
                <w:sz w:val="20"/>
                <w:szCs w:val="20"/>
                <w:color w:val="auto"/>
              </w:rPr>
            </w:pPr>
            <w:r>
              <w:rPr>
                <w:rFonts w:ascii="Arial" w:cs="Arial" w:eastAsia="Arial" w:hAnsi="Arial"/>
                <w:sz w:val="18"/>
                <w:szCs w:val="18"/>
                <w:color w:val="auto"/>
              </w:rPr>
              <w:t>Less valuation allowance</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w:t>
            </w:r>
          </w:p>
        </w:tc>
      </w:tr>
      <w:tr>
        <w:trPr>
          <w:trHeight w:val="250"/>
        </w:trPr>
        <w:tc>
          <w:tcPr>
            <w:tcW w:w="8300" w:type="dxa"/>
            <w:vAlign w:val="bottom"/>
            <w:shd w:val="clear" w:color="auto" w:fill="D1D2D4"/>
          </w:tcPr>
          <w:p>
            <w:pPr>
              <w:ind w:left="340"/>
              <w:spacing w:after="0"/>
              <w:rPr>
                <w:sz w:val="20"/>
                <w:szCs w:val="20"/>
                <w:color w:val="auto"/>
              </w:rPr>
            </w:pPr>
            <w:r>
              <w:rPr>
                <w:rFonts w:ascii="Arial" w:cs="Arial" w:eastAsia="Arial" w:hAnsi="Arial"/>
                <w:sz w:val="18"/>
                <w:szCs w:val="18"/>
                <w:color w:val="auto"/>
              </w:rPr>
              <w:t>Deferred tax assets, net of valuation allowance</w:t>
            </w:r>
          </w:p>
        </w:tc>
        <w:tc>
          <w:tcPr>
            <w:tcW w:w="320" w:type="dxa"/>
            <w:vAlign w:val="bottom"/>
            <w:tcBorders>
              <w:bottom w:val="single" w:sz="8" w:color="auto"/>
            </w:tcBorders>
            <w:shd w:val="clear" w:color="auto" w:fill="D1D2D4"/>
          </w:tcPr>
          <w:p>
            <w:pPr>
              <w:spacing w:after="0"/>
              <w:rPr>
                <w:sz w:val="21"/>
                <w:szCs w:val="21"/>
                <w:color w:val="auto"/>
              </w:rPr>
            </w:pP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999</w:t>
            </w:r>
          </w:p>
        </w:tc>
        <w:tc>
          <w:tcPr>
            <w:tcW w:w="340" w:type="dxa"/>
            <w:vAlign w:val="bottom"/>
            <w:tcBorders>
              <w:bottom w:val="single" w:sz="8" w:color="auto"/>
            </w:tcBorders>
            <w:shd w:val="clear" w:color="auto" w:fill="D1D2D4"/>
          </w:tcPr>
          <w:p>
            <w:pPr>
              <w:spacing w:after="0"/>
              <w:rPr>
                <w:sz w:val="21"/>
                <w:szCs w:val="21"/>
                <w:color w:val="auto"/>
              </w:rPr>
            </w:pPr>
          </w:p>
        </w:tc>
        <w:tc>
          <w:tcPr>
            <w:tcW w:w="114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1,080</w:t>
            </w:r>
          </w:p>
        </w:tc>
      </w:tr>
      <w:tr>
        <w:trPr>
          <w:trHeight w:val="243"/>
        </w:trPr>
        <w:tc>
          <w:tcPr>
            <w:tcW w:w="8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57"/>
        </w:trPr>
        <w:tc>
          <w:tcPr>
            <w:tcW w:w="8300" w:type="dxa"/>
            <w:vAlign w:val="bottom"/>
            <w:shd w:val="clear" w:color="auto" w:fill="D1D2D4"/>
          </w:tcPr>
          <w:p>
            <w:pPr>
              <w:ind w:left="20"/>
              <w:spacing w:after="0"/>
              <w:rPr>
                <w:sz w:val="20"/>
                <w:szCs w:val="20"/>
                <w:color w:val="auto"/>
              </w:rPr>
            </w:pPr>
            <w:r>
              <w:rPr>
                <w:rFonts w:ascii="Arial" w:cs="Arial" w:eastAsia="Arial" w:hAnsi="Arial"/>
                <w:sz w:val="18"/>
                <w:szCs w:val="18"/>
                <w:color w:val="auto"/>
              </w:rPr>
              <w:t>Deferred tax liabilities</w:t>
            </w:r>
          </w:p>
        </w:tc>
        <w:tc>
          <w:tcPr>
            <w:tcW w:w="320" w:type="dxa"/>
            <w:vAlign w:val="bottom"/>
            <w:shd w:val="clear" w:color="auto" w:fill="D1D2D4"/>
          </w:tcPr>
          <w:p>
            <w:pPr>
              <w:spacing w:after="0"/>
              <w:rPr>
                <w:sz w:val="22"/>
                <w:szCs w:val="22"/>
                <w:color w:val="auto"/>
              </w:rPr>
            </w:pPr>
          </w:p>
        </w:tc>
        <w:tc>
          <w:tcPr>
            <w:tcW w:w="1140" w:type="dxa"/>
            <w:vAlign w:val="bottom"/>
            <w:shd w:val="clear" w:color="auto" w:fill="D1D2D4"/>
          </w:tcPr>
          <w:p>
            <w:pPr>
              <w:spacing w:after="0"/>
              <w:rPr>
                <w:sz w:val="22"/>
                <w:szCs w:val="22"/>
                <w:color w:val="auto"/>
              </w:rPr>
            </w:pPr>
          </w:p>
        </w:tc>
        <w:tc>
          <w:tcPr>
            <w:tcW w:w="340" w:type="dxa"/>
            <w:vAlign w:val="bottom"/>
            <w:shd w:val="clear" w:color="auto" w:fill="D1D2D4"/>
          </w:tcPr>
          <w:p>
            <w:pPr>
              <w:spacing w:after="0"/>
              <w:rPr>
                <w:sz w:val="22"/>
                <w:szCs w:val="22"/>
                <w:color w:val="auto"/>
              </w:rPr>
            </w:pPr>
          </w:p>
        </w:tc>
        <w:tc>
          <w:tcPr>
            <w:tcW w:w="1140" w:type="dxa"/>
            <w:vAlign w:val="bottom"/>
            <w:shd w:val="clear" w:color="auto" w:fill="D1D2D4"/>
          </w:tcPr>
          <w:p>
            <w:pPr>
              <w:spacing w:after="0"/>
              <w:rPr>
                <w:sz w:val="22"/>
                <w:szCs w:val="22"/>
                <w:color w:val="auto"/>
              </w:rPr>
            </w:pPr>
          </w:p>
        </w:tc>
      </w:tr>
      <w:tr>
        <w:trPr>
          <w:trHeight w:val="250"/>
        </w:trPr>
        <w:tc>
          <w:tcPr>
            <w:tcW w:w="8300" w:type="dxa"/>
            <w:vAlign w:val="bottom"/>
          </w:tcPr>
          <w:p>
            <w:pPr>
              <w:ind w:left="180"/>
              <w:spacing w:after="0"/>
              <w:rPr>
                <w:sz w:val="20"/>
                <w:szCs w:val="20"/>
                <w:color w:val="auto"/>
              </w:rPr>
            </w:pPr>
            <w:r>
              <w:rPr>
                <w:rFonts w:ascii="Arial" w:cs="Arial" w:eastAsia="Arial" w:hAnsi="Arial"/>
                <w:sz w:val="18"/>
                <w:szCs w:val="18"/>
                <w:color w:val="auto"/>
              </w:rPr>
              <w:t>Right-of-use assets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(95)</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8300" w:type="dxa"/>
            <w:vAlign w:val="bottom"/>
            <w:shd w:val="clear" w:color="auto" w:fill="D1D2D4"/>
          </w:tcPr>
          <w:p>
            <w:pPr>
              <w:ind w:left="180"/>
              <w:spacing w:after="0"/>
              <w:rPr>
                <w:sz w:val="20"/>
                <w:szCs w:val="20"/>
                <w:color w:val="auto"/>
              </w:rPr>
            </w:pPr>
            <w:r>
              <w:rPr>
                <w:rFonts w:ascii="Arial" w:cs="Arial" w:eastAsia="Arial" w:hAnsi="Arial"/>
                <w:sz w:val="18"/>
                <w:szCs w:val="18"/>
                <w:color w:val="auto"/>
              </w:rPr>
              <w:t>Product and process technology</w:t>
            </w:r>
          </w:p>
        </w:tc>
        <w:tc>
          <w:tcPr>
            <w:tcW w:w="320" w:type="dxa"/>
            <w:vAlign w:val="bottom"/>
            <w:shd w:val="clear" w:color="auto" w:fill="D1D2D4"/>
          </w:tcPr>
          <w:p>
            <w:pPr>
              <w:spacing w:after="0"/>
              <w:rPr>
                <w:sz w:val="22"/>
                <w:szCs w:val="22"/>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(57)</w:t>
            </w:r>
          </w:p>
        </w:tc>
        <w:tc>
          <w:tcPr>
            <w:tcW w:w="340" w:type="dxa"/>
            <w:vAlign w:val="bottom"/>
            <w:shd w:val="clear" w:color="auto" w:fill="D1D2D4"/>
          </w:tcPr>
          <w:p>
            <w:pPr>
              <w:spacing w:after="0"/>
              <w:rPr>
                <w:sz w:val="22"/>
                <w:szCs w:val="22"/>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(138)</w:t>
            </w:r>
          </w:p>
        </w:tc>
      </w:tr>
      <w:tr>
        <w:trPr>
          <w:trHeight w:val="250"/>
        </w:trPr>
        <w:tc>
          <w:tcPr>
            <w:tcW w:w="8300" w:type="dxa"/>
            <w:vAlign w:val="bottom"/>
          </w:tcPr>
          <w:p>
            <w:pPr>
              <w:ind w:left="180"/>
              <w:spacing w:after="0"/>
              <w:rPr>
                <w:sz w:val="20"/>
                <w:szCs w:val="20"/>
                <w:color w:val="auto"/>
              </w:rPr>
            </w:pPr>
            <w:r>
              <w:rPr>
                <w:rFonts w:ascii="Arial" w:cs="Arial" w:eastAsia="Arial" w:hAnsi="Arial"/>
                <w:sz w:val="18"/>
                <w:szCs w:val="18"/>
                <w:color w:val="auto"/>
              </w:rPr>
              <w:t>Property, plant, and equipment</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8300" w:type="dxa"/>
            <w:vAlign w:val="bottom"/>
            <w:shd w:val="clear" w:color="auto" w:fill="D1D2D4"/>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D1D2D4"/>
          </w:tcPr>
          <w:p>
            <w:pPr>
              <w:spacing w:after="0"/>
              <w:rPr>
                <w:sz w:val="22"/>
                <w:szCs w:val="22"/>
                <w:color w:val="auto"/>
              </w:rPr>
            </w:pP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(99)</w:t>
            </w:r>
          </w:p>
        </w:tc>
        <w:tc>
          <w:tcPr>
            <w:tcW w:w="340" w:type="dxa"/>
            <w:vAlign w:val="bottom"/>
            <w:tcBorders>
              <w:bottom w:val="single" w:sz="8" w:color="auto"/>
            </w:tcBorders>
            <w:shd w:val="clear" w:color="auto" w:fill="D1D2D4"/>
          </w:tcPr>
          <w:p>
            <w:pPr>
              <w:spacing w:after="0"/>
              <w:rPr>
                <w:sz w:val="22"/>
                <w:szCs w:val="22"/>
                <w:color w:val="auto"/>
              </w:rPr>
            </w:pP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(109)</w:t>
            </w:r>
          </w:p>
        </w:tc>
      </w:tr>
      <w:tr>
        <w:trPr>
          <w:trHeight w:val="250"/>
        </w:trPr>
        <w:tc>
          <w:tcPr>
            <w:tcW w:w="8300" w:type="dxa"/>
            <w:vAlign w:val="bottom"/>
            <w:tcBorders>
              <w:bottom w:val="single" w:sz="8" w:color="D1D2D4"/>
            </w:tcBorders>
          </w:tcPr>
          <w:p>
            <w:pPr>
              <w:ind w:left="340"/>
              <w:spacing w:after="0"/>
              <w:rPr>
                <w:sz w:val="20"/>
                <w:szCs w:val="20"/>
                <w:color w:val="auto"/>
              </w:rPr>
            </w:pPr>
            <w:r>
              <w:rPr>
                <w:rFonts w:ascii="Arial" w:cs="Arial" w:eastAsia="Arial" w:hAnsi="Arial"/>
                <w:sz w:val="18"/>
                <w:szCs w:val="18"/>
                <w:color w:val="auto"/>
              </w:rPr>
              <w:t>Deferred tax liabilities</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r>
      <w:tr>
        <w:trPr>
          <w:trHeight w:val="243"/>
        </w:trPr>
        <w:tc>
          <w:tcPr>
            <w:tcW w:w="8300" w:type="dxa"/>
            <w:vAlign w:val="bottom"/>
            <w:shd w:val="clear" w:color="auto" w:fill="D1D2D4"/>
          </w:tcPr>
          <w:p>
            <w:pPr>
              <w:spacing w:after="0"/>
              <w:rPr>
                <w:sz w:val="21"/>
                <w:szCs w:val="21"/>
                <w:color w:val="auto"/>
              </w:rPr>
            </w:pPr>
          </w:p>
        </w:tc>
        <w:tc>
          <w:tcPr>
            <w:tcW w:w="320" w:type="dxa"/>
            <w:vAlign w:val="bottom"/>
            <w:shd w:val="clear" w:color="auto" w:fill="D1D2D4"/>
          </w:tcPr>
          <w:p>
            <w:pPr>
              <w:spacing w:after="0"/>
              <w:rPr>
                <w:sz w:val="21"/>
                <w:szCs w:val="21"/>
                <w:color w:val="auto"/>
              </w:rPr>
            </w:pPr>
          </w:p>
        </w:tc>
        <w:tc>
          <w:tcPr>
            <w:tcW w:w="1140" w:type="dxa"/>
            <w:vAlign w:val="bottom"/>
            <w:shd w:val="clear" w:color="auto" w:fill="D1D2D4"/>
          </w:tcPr>
          <w:p>
            <w:pPr>
              <w:spacing w:after="0"/>
              <w:rPr>
                <w:sz w:val="21"/>
                <w:szCs w:val="21"/>
                <w:color w:val="auto"/>
              </w:rPr>
            </w:pPr>
          </w:p>
        </w:tc>
        <w:tc>
          <w:tcPr>
            <w:tcW w:w="340" w:type="dxa"/>
            <w:vAlign w:val="bottom"/>
            <w:shd w:val="clear" w:color="auto" w:fill="D1D2D4"/>
          </w:tcPr>
          <w:p>
            <w:pPr>
              <w:spacing w:after="0"/>
              <w:rPr>
                <w:sz w:val="21"/>
                <w:szCs w:val="21"/>
                <w:color w:val="auto"/>
              </w:rPr>
            </w:pPr>
          </w:p>
        </w:tc>
        <w:tc>
          <w:tcPr>
            <w:tcW w:w="1140" w:type="dxa"/>
            <w:vAlign w:val="bottom"/>
            <w:shd w:val="clear" w:color="auto" w:fill="D1D2D4"/>
          </w:tcPr>
          <w:p>
            <w:pPr>
              <w:spacing w:after="0"/>
              <w:rPr>
                <w:sz w:val="21"/>
                <w:szCs w:val="21"/>
                <w:color w:val="auto"/>
              </w:rPr>
            </w:pPr>
          </w:p>
        </w:tc>
      </w:tr>
      <w:tr>
        <w:trPr>
          <w:trHeight w:val="256"/>
        </w:trPr>
        <w:tc>
          <w:tcPr>
            <w:tcW w:w="8300" w:type="dxa"/>
            <w:vAlign w:val="bottom"/>
          </w:tcPr>
          <w:p>
            <w:pPr>
              <w:ind w:left="20"/>
              <w:spacing w:after="0"/>
              <w:rPr>
                <w:sz w:val="20"/>
                <w:szCs w:val="20"/>
                <w:color w:val="auto"/>
              </w:rPr>
            </w:pPr>
            <w:r>
              <w:rPr>
                <w:rFonts w:ascii="Arial" w:cs="Arial" w:eastAsia="Arial" w:hAnsi="Arial"/>
                <w:sz w:val="18"/>
                <w:szCs w:val="18"/>
                <w:color w:val="auto"/>
              </w:rPr>
              <w:t>Net deferred tax assets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833</w:t>
            </w:r>
          </w:p>
        </w:tc>
      </w:tr>
      <w:tr>
        <w:trPr>
          <w:trHeight w:val="20"/>
        </w:trPr>
        <w:tc>
          <w:tcPr>
            <w:tcW w:w="8300" w:type="dxa"/>
            <w:vAlign w:val="bottom"/>
            <w:tcBorders>
              <w:bottom w:val="single" w:sz="8" w:color="D1D2D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4"/>
        </w:trPr>
        <w:tc>
          <w:tcPr>
            <w:tcW w:w="8300" w:type="dxa"/>
            <w:vAlign w:val="bottom"/>
            <w:shd w:val="clear" w:color="auto" w:fill="D1D2D4"/>
          </w:tcPr>
          <w:p>
            <w:pPr>
              <w:spacing w:after="0"/>
              <w:rPr>
                <w:sz w:val="19"/>
                <w:szCs w:val="19"/>
                <w:color w:val="auto"/>
              </w:rPr>
            </w:pPr>
          </w:p>
        </w:tc>
        <w:tc>
          <w:tcPr>
            <w:tcW w:w="320" w:type="dxa"/>
            <w:vAlign w:val="bottom"/>
            <w:shd w:val="clear" w:color="auto" w:fill="D1D2D4"/>
          </w:tcPr>
          <w:p>
            <w:pPr>
              <w:spacing w:after="0"/>
              <w:rPr>
                <w:sz w:val="19"/>
                <w:szCs w:val="19"/>
                <w:color w:val="auto"/>
              </w:rPr>
            </w:pPr>
          </w:p>
        </w:tc>
        <w:tc>
          <w:tcPr>
            <w:tcW w:w="1140" w:type="dxa"/>
            <w:vAlign w:val="bottom"/>
            <w:shd w:val="clear" w:color="auto" w:fill="D1D2D4"/>
          </w:tcPr>
          <w:p>
            <w:pPr>
              <w:spacing w:after="0"/>
              <w:rPr>
                <w:sz w:val="19"/>
                <w:szCs w:val="19"/>
                <w:color w:val="auto"/>
              </w:rPr>
            </w:pPr>
          </w:p>
        </w:tc>
        <w:tc>
          <w:tcPr>
            <w:tcW w:w="340" w:type="dxa"/>
            <w:vAlign w:val="bottom"/>
            <w:shd w:val="clear" w:color="auto" w:fill="D1D2D4"/>
          </w:tcPr>
          <w:p>
            <w:pPr>
              <w:spacing w:after="0"/>
              <w:rPr>
                <w:sz w:val="19"/>
                <w:szCs w:val="19"/>
                <w:color w:val="auto"/>
              </w:rPr>
            </w:pPr>
          </w:p>
        </w:tc>
        <w:tc>
          <w:tcPr>
            <w:tcW w:w="1140" w:type="dxa"/>
            <w:vAlign w:val="bottom"/>
            <w:shd w:val="clear" w:color="auto" w:fill="D1D2D4"/>
          </w:tcPr>
          <w:p>
            <w:pPr>
              <w:spacing w:after="0"/>
              <w:rPr>
                <w:sz w:val="19"/>
                <w:szCs w:val="19"/>
                <w:color w:val="auto"/>
              </w:rPr>
            </w:pPr>
          </w:p>
        </w:tc>
      </w:tr>
      <w:tr>
        <w:trPr>
          <w:trHeight w:val="250"/>
        </w:trPr>
        <w:tc>
          <w:tcPr>
            <w:tcW w:w="8300" w:type="dxa"/>
            <w:vAlign w:val="bottom"/>
          </w:tcPr>
          <w:p>
            <w:pPr>
              <w:ind w:left="20"/>
              <w:spacing w:after="0"/>
              <w:rPr>
                <w:sz w:val="20"/>
                <w:szCs w:val="20"/>
                <w:color w:val="auto"/>
              </w:rPr>
            </w:pPr>
            <w:r>
              <w:rPr>
                <w:rFonts w:ascii="Arial" w:cs="Arial" w:eastAsia="Arial" w:hAnsi="Arial"/>
                <w:sz w:val="18"/>
                <w:szCs w:val="18"/>
                <w:color w:val="auto"/>
              </w:rPr>
              <w:t>Reported as</w:t>
            </w: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3"/>
        </w:trPr>
        <w:tc>
          <w:tcPr>
            <w:tcW w:w="8300" w:type="dxa"/>
            <w:vAlign w:val="bottom"/>
            <w:shd w:val="clear" w:color="auto" w:fill="D1D2D4"/>
          </w:tcPr>
          <w:p>
            <w:pPr>
              <w:ind w:left="180"/>
              <w:spacing w:after="0"/>
              <w:rPr>
                <w:sz w:val="20"/>
                <w:szCs w:val="20"/>
                <w:color w:val="auto"/>
              </w:rPr>
            </w:pPr>
            <w:r>
              <w:rPr>
                <w:rFonts w:ascii="Arial" w:cs="Arial" w:eastAsia="Arial" w:hAnsi="Arial"/>
                <w:sz w:val="18"/>
                <w:szCs w:val="18"/>
                <w:color w:val="auto"/>
              </w:rPr>
              <w:t>Deferred tax assets</w:t>
            </w:r>
          </w:p>
        </w:tc>
        <w:tc>
          <w:tcPr>
            <w:tcW w:w="32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707</w:t>
            </w:r>
          </w:p>
        </w:tc>
        <w:tc>
          <w:tcPr>
            <w:tcW w:w="34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837</w:t>
            </w:r>
          </w:p>
        </w:tc>
      </w:tr>
      <w:tr>
        <w:trPr>
          <w:trHeight w:val="250"/>
        </w:trPr>
        <w:tc>
          <w:tcPr>
            <w:tcW w:w="8300" w:type="dxa"/>
            <w:vAlign w:val="bottom"/>
            <w:tcBorders>
              <w:bottom w:val="single" w:sz="8" w:color="D1D2D4"/>
            </w:tcBorders>
          </w:tcPr>
          <w:p>
            <w:pPr>
              <w:ind w:left="180"/>
              <w:spacing w:after="0"/>
              <w:rPr>
                <w:sz w:val="20"/>
                <w:szCs w:val="20"/>
                <w:color w:val="auto"/>
              </w:rPr>
            </w:pPr>
            <w:r>
              <w:rPr>
                <w:rFonts w:ascii="Arial" w:cs="Arial" w:eastAsia="Arial" w:hAnsi="Arial"/>
                <w:sz w:val="18"/>
                <w:szCs w:val="18"/>
                <w:color w:val="auto"/>
              </w:rPr>
              <w:t>Deferred tax liabilities (included in other noncurrent liabilities)</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82"/>
        </w:trPr>
        <w:tc>
          <w:tcPr>
            <w:tcW w:w="8300" w:type="dxa"/>
            <w:vAlign w:val="bottom"/>
            <w:tcBorders>
              <w:bottom w:val="single" w:sz="8" w:color="D1D2D4"/>
            </w:tcBorders>
            <w:shd w:val="clear" w:color="auto" w:fill="D1D2D4"/>
          </w:tcPr>
          <w:p>
            <w:pPr>
              <w:ind w:left="340"/>
              <w:spacing w:after="0"/>
              <w:rPr>
                <w:sz w:val="20"/>
                <w:szCs w:val="20"/>
                <w:color w:val="auto"/>
              </w:rPr>
            </w:pPr>
            <w:r>
              <w:rPr>
                <w:rFonts w:ascii="Arial" w:cs="Arial" w:eastAsia="Arial" w:hAnsi="Arial"/>
                <w:sz w:val="18"/>
                <w:szCs w:val="18"/>
                <w:color w:val="auto"/>
              </w:rPr>
              <w:t>Net deferred tax assets</w:t>
            </w:r>
          </w:p>
        </w:tc>
        <w:tc>
          <w:tcPr>
            <w:tcW w:w="320" w:type="dxa"/>
            <w:vAlign w:val="bottom"/>
            <w:tcBorders>
              <w:bottom w:val="single" w:sz="8" w:color="auto"/>
            </w:tcBorders>
            <w:shd w:val="clear" w:color="auto" w:fill="D1D2D4"/>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698</w:t>
            </w:r>
          </w:p>
        </w:tc>
        <w:tc>
          <w:tcPr>
            <w:tcW w:w="340" w:type="dxa"/>
            <w:vAlign w:val="bottom"/>
            <w:tcBorders>
              <w:bottom w:val="single" w:sz="8" w:color="auto"/>
            </w:tcBorders>
            <w:shd w:val="clear" w:color="auto" w:fill="D1D2D4"/>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833</w:t>
            </w:r>
          </w:p>
        </w:tc>
      </w:tr>
      <w:tr>
        <w:trPr>
          <w:trHeight w:val="20"/>
        </w:trPr>
        <w:tc>
          <w:tcPr>
            <w:tcW w:w="8300" w:type="dxa"/>
            <w:vAlign w:val="bottom"/>
            <w:tcBorders>
              <w:top w:val="single" w:sz="8" w:color="D1D2D4"/>
            </w:tcBorders>
          </w:tcPr>
          <w:p>
            <w:pPr>
              <w:spacing w:after="0" w:line="20" w:lineRule="exact"/>
              <w:rPr>
                <w:sz w:val="1"/>
                <w:szCs w:val="1"/>
                <w:color w:val="auto"/>
              </w:rPr>
            </w:pPr>
          </w:p>
        </w:tc>
        <w:tc>
          <w:tcPr>
            <w:tcW w:w="320" w:type="dxa"/>
            <w:vAlign w:val="bottom"/>
            <w:tcBorders>
              <w:top w:val="single" w:sz="8" w:color="D1D2D4"/>
              <w:bottom w:val="single" w:sz="8" w:color="auto"/>
            </w:tcBorders>
          </w:tcPr>
          <w:p>
            <w:pPr>
              <w:spacing w:after="0" w:line="20" w:lineRule="exact"/>
              <w:rPr>
                <w:sz w:val="1"/>
                <w:szCs w:val="1"/>
                <w:color w:val="auto"/>
              </w:rPr>
            </w:pPr>
          </w:p>
        </w:tc>
        <w:tc>
          <w:tcPr>
            <w:tcW w:w="1140" w:type="dxa"/>
            <w:vAlign w:val="bottom"/>
            <w:tcBorders>
              <w:top w:val="single" w:sz="8" w:color="D1D2D4"/>
              <w:bottom w:val="single" w:sz="8" w:color="auto"/>
            </w:tcBorders>
          </w:tcPr>
          <w:p>
            <w:pPr>
              <w:spacing w:after="0" w:line="20" w:lineRule="exact"/>
              <w:rPr>
                <w:sz w:val="1"/>
                <w:szCs w:val="1"/>
                <w:color w:val="auto"/>
              </w:rPr>
            </w:pPr>
          </w:p>
        </w:tc>
        <w:tc>
          <w:tcPr>
            <w:tcW w:w="340" w:type="dxa"/>
            <w:vAlign w:val="bottom"/>
            <w:tcBorders>
              <w:top w:val="single" w:sz="8" w:color="D1D2D4"/>
              <w:bottom w:val="single" w:sz="8" w:color="auto"/>
            </w:tcBorders>
          </w:tcPr>
          <w:p>
            <w:pPr>
              <w:spacing w:after="0" w:line="20" w:lineRule="exact"/>
              <w:rPr>
                <w:sz w:val="1"/>
                <w:szCs w:val="1"/>
                <w:color w:val="auto"/>
              </w:rPr>
            </w:pPr>
          </w:p>
        </w:tc>
        <w:tc>
          <w:tcPr>
            <w:tcW w:w="1140" w:type="dxa"/>
            <w:vAlign w:val="bottom"/>
            <w:tcBorders>
              <w:top w:val="single" w:sz="8" w:color="D1D2D4"/>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right="420"/>
        <w:spacing w:after="0" w:line="253" w:lineRule="auto"/>
        <w:rPr>
          <w:sz w:val="20"/>
          <w:szCs w:val="20"/>
          <w:color w:val="auto"/>
        </w:rPr>
      </w:pPr>
      <w:r>
        <w:rPr>
          <w:rFonts w:ascii="Arial" w:cs="Arial" w:eastAsia="Arial" w:hAnsi="Arial"/>
          <w:sz w:val="18"/>
          <w:szCs w:val="18"/>
          <w:color w:val="auto"/>
        </w:rPr>
        <w:t>We assess positive and negative evidence for each jurisdiction to determine whether it is more likely than not that existing deferred tax assets will be realized. As of September 3, 2020, and August 29, 2019, we had a valuation allowance of $294 million and $ 277 million, respectively, against our net deferred tax assets, primarily related to net operating loss carryforwards in Japan. Changes in 2020 in the valuation allowance were due to adjustments based on management’s assessment of tax credits and net operating losses that are more likely than not to be realized.</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 2020, our net operating loss carryforward amounts and expiration periods, as reported to tax authorities,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98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Year of Expiration</w:t>
            </w:r>
          </w:p>
        </w:tc>
        <w:tc>
          <w:tcPr>
            <w:tcW w:w="300" w:type="dxa"/>
            <w:vAlign w:val="bottom"/>
            <w:tcBorders>
              <w:bottom w:val="single" w:sz="8" w:color="0090DA"/>
            </w:tcBorders>
          </w:tcPr>
          <w:p>
            <w:pPr>
              <w:spacing w:after="0"/>
              <w:rPr>
                <w:sz w:val="21"/>
                <w:szCs w:val="21"/>
                <w:color w:val="auto"/>
              </w:rPr>
            </w:pPr>
          </w:p>
        </w:tc>
        <w:tc>
          <w:tcPr>
            <w:tcW w:w="1100" w:type="dxa"/>
            <w:vAlign w:val="bottom"/>
            <w:tcBorders>
              <w:bottom w:val="single" w:sz="8" w:color="0090DA"/>
            </w:tcBorders>
          </w:tcPr>
          <w:p>
            <w:pPr>
              <w:jc w:val="right"/>
              <w:ind w:right="370"/>
              <w:spacing w:after="0"/>
              <w:rPr>
                <w:sz w:val="20"/>
                <w:szCs w:val="20"/>
                <w:color w:val="auto"/>
              </w:rPr>
            </w:pPr>
            <w:r>
              <w:rPr>
                <w:rFonts w:ascii="Arial" w:cs="Arial" w:eastAsia="Arial" w:hAnsi="Arial"/>
                <w:sz w:val="18"/>
                <w:szCs w:val="18"/>
                <w:b w:val="1"/>
                <w:bCs w:val="1"/>
                <w:color w:val="auto"/>
              </w:rPr>
              <w:t>State</w:t>
            </w:r>
          </w:p>
        </w:tc>
        <w:tc>
          <w:tcPr>
            <w:tcW w:w="340" w:type="dxa"/>
            <w:vAlign w:val="bottom"/>
            <w:tcBorders>
              <w:bottom w:val="single" w:sz="8" w:color="0090DA"/>
            </w:tcBorders>
          </w:tcPr>
          <w:p>
            <w:pPr>
              <w:spacing w:after="0"/>
              <w:rPr>
                <w:sz w:val="21"/>
                <w:szCs w:val="21"/>
                <w:color w:val="auto"/>
              </w:rPr>
            </w:pPr>
          </w:p>
        </w:tc>
        <w:tc>
          <w:tcPr>
            <w:tcW w:w="1120" w:type="dxa"/>
            <w:vAlign w:val="bottom"/>
            <w:tcBorders>
              <w:bottom w:val="single" w:sz="8" w:color="0090DA"/>
            </w:tcBorders>
          </w:tcPr>
          <w:p>
            <w:pPr>
              <w:jc w:val="right"/>
              <w:ind w:right="330"/>
              <w:spacing w:after="0"/>
              <w:rPr>
                <w:sz w:val="20"/>
                <w:szCs w:val="20"/>
                <w:color w:val="auto"/>
              </w:rPr>
            </w:pPr>
            <w:r>
              <w:rPr>
                <w:rFonts w:ascii="Arial" w:cs="Arial" w:eastAsia="Arial" w:hAnsi="Arial"/>
                <w:sz w:val="18"/>
                <w:szCs w:val="18"/>
                <w:b w:val="1"/>
                <w:bCs w:val="1"/>
                <w:color w:val="auto"/>
              </w:rPr>
              <w:t>Japan</w:t>
            </w:r>
          </w:p>
        </w:tc>
        <w:tc>
          <w:tcPr>
            <w:tcW w:w="240" w:type="dxa"/>
            <w:vAlign w:val="bottom"/>
            <w:tcBorders>
              <w:bottom w:val="single" w:sz="8" w:color="0090DA"/>
            </w:tcBorders>
          </w:tcPr>
          <w:p>
            <w:pPr>
              <w:spacing w:after="0"/>
              <w:rPr>
                <w:sz w:val="21"/>
                <w:szCs w:val="21"/>
                <w:color w:val="auto"/>
              </w:rPr>
            </w:pPr>
          </w:p>
        </w:tc>
        <w:tc>
          <w:tcPr>
            <w:tcW w:w="1220" w:type="dxa"/>
            <w:vAlign w:val="bottom"/>
            <w:tcBorders>
              <w:bottom w:val="single" w:sz="8" w:color="0090DA"/>
            </w:tcBorders>
          </w:tcPr>
          <w:p>
            <w:pPr>
              <w:jc w:val="right"/>
              <w:ind w:right="170"/>
              <w:spacing w:after="0"/>
              <w:rPr>
                <w:sz w:val="20"/>
                <w:szCs w:val="20"/>
                <w:color w:val="auto"/>
              </w:rPr>
            </w:pPr>
            <w:r>
              <w:rPr>
                <w:rFonts w:ascii="Arial" w:cs="Arial" w:eastAsia="Arial" w:hAnsi="Arial"/>
                <w:sz w:val="18"/>
                <w:szCs w:val="18"/>
                <w:b w:val="1"/>
                <w:bCs w:val="1"/>
                <w:color w:val="auto"/>
              </w:rPr>
              <w:t>Singapore</w:t>
            </w:r>
          </w:p>
        </w:tc>
        <w:tc>
          <w:tcPr>
            <w:tcW w:w="1040" w:type="dxa"/>
            <w:vAlign w:val="bottom"/>
            <w:tcBorders>
              <w:bottom w:val="single" w:sz="8" w:color="0090DA"/>
            </w:tcBorders>
          </w:tcPr>
          <w:p>
            <w:pPr>
              <w:jc w:val="right"/>
              <w:spacing w:after="0"/>
              <w:rPr>
                <w:sz w:val="20"/>
                <w:szCs w:val="20"/>
                <w:color w:val="auto"/>
              </w:rPr>
            </w:pPr>
            <w:r>
              <w:rPr>
                <w:rFonts w:ascii="Arial" w:cs="Arial" w:eastAsia="Arial" w:hAnsi="Arial"/>
                <w:sz w:val="18"/>
                <w:szCs w:val="18"/>
                <w:b w:val="1"/>
                <w:bCs w:val="1"/>
                <w:color w:val="auto"/>
              </w:rPr>
              <w:t>Other</w:t>
            </w:r>
          </w:p>
        </w:tc>
        <w:tc>
          <w:tcPr>
            <w:tcW w:w="400" w:type="dxa"/>
            <w:vAlign w:val="bottom"/>
            <w:tcBorders>
              <w:bottom w:val="single" w:sz="8" w:color="0090DA"/>
            </w:tcBorders>
          </w:tcPr>
          <w:p>
            <w:pPr>
              <w:spacing w:after="0"/>
              <w:rPr>
                <w:sz w:val="21"/>
                <w:szCs w:val="21"/>
                <w:color w:val="auto"/>
              </w:rPr>
            </w:pPr>
          </w:p>
        </w:tc>
        <w:tc>
          <w:tcPr>
            <w:tcW w:w="360" w:type="dxa"/>
            <w:vAlign w:val="bottom"/>
            <w:tcBorders>
              <w:bottom w:val="single" w:sz="8" w:color="0090DA"/>
            </w:tcBorders>
          </w:tcPr>
          <w:p>
            <w:pPr>
              <w:spacing w:after="0"/>
              <w:rPr>
                <w:sz w:val="21"/>
                <w:szCs w:val="21"/>
                <w:color w:val="auto"/>
              </w:rPr>
            </w:pPr>
          </w:p>
        </w:tc>
        <w:tc>
          <w:tcPr>
            <w:tcW w:w="114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Total</w:t>
            </w:r>
          </w:p>
        </w:tc>
      </w:tr>
      <w:tr>
        <w:trPr>
          <w:trHeight w:val="40"/>
        </w:trPr>
        <w:tc>
          <w:tcPr>
            <w:tcW w:w="39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56"/>
        </w:trPr>
        <w:tc>
          <w:tcPr>
            <w:tcW w:w="3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2021 - 2025</w:t>
            </w:r>
          </w:p>
        </w:tc>
        <w:tc>
          <w:tcPr>
            <w:tcW w:w="300" w:type="dxa"/>
            <w:vAlign w:val="bottom"/>
            <w:shd w:val="clear" w:color="auto" w:fill="D1D2D4"/>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w:t>
            </w:r>
          </w:p>
        </w:tc>
        <w:tc>
          <w:tcPr>
            <w:tcW w:w="340" w:type="dxa"/>
            <w:vAlign w:val="bottom"/>
            <w:shd w:val="clear" w:color="auto" w:fill="D1D2D4"/>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1,224</w:t>
            </w:r>
          </w:p>
        </w:tc>
        <w:tc>
          <w:tcPr>
            <w:tcW w:w="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D1D2D4"/>
          </w:tcPr>
          <w:p>
            <w:pPr>
              <w:jc w:val="right"/>
              <w:ind w:right="790"/>
              <w:spacing w:after="0"/>
              <w:rPr>
                <w:sz w:val="20"/>
                <w:szCs w:val="20"/>
                <w:color w:val="auto"/>
              </w:rPr>
            </w:pPr>
            <w:r>
              <w:rPr>
                <w:rFonts w:ascii="Arial" w:cs="Arial" w:eastAsia="Arial" w:hAnsi="Arial"/>
                <w:sz w:val="18"/>
                <w:szCs w:val="18"/>
                <w:color w:val="auto"/>
              </w:rPr>
              <w:t>$</w:t>
            </w:r>
          </w:p>
        </w:tc>
        <w:tc>
          <w:tcPr>
            <w:tcW w:w="4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w:t>
            </w:r>
          </w:p>
        </w:tc>
        <w:tc>
          <w:tcPr>
            <w:tcW w:w="36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1,293</w:t>
            </w:r>
          </w:p>
        </w:tc>
      </w:tr>
      <w:tr>
        <w:trPr>
          <w:trHeight w:val="250"/>
        </w:trPr>
        <w:tc>
          <w:tcPr>
            <w:tcW w:w="3980" w:type="dxa"/>
            <w:vAlign w:val="bottom"/>
          </w:tcPr>
          <w:p>
            <w:pPr>
              <w:ind w:left="20"/>
              <w:spacing w:after="0"/>
              <w:rPr>
                <w:sz w:val="20"/>
                <w:szCs w:val="20"/>
                <w:color w:val="auto"/>
              </w:rPr>
            </w:pPr>
            <w:r>
              <w:rPr>
                <w:rFonts w:ascii="Arial" w:cs="Arial" w:eastAsia="Arial" w:hAnsi="Arial"/>
                <w:sz w:val="18"/>
                <w:szCs w:val="18"/>
                <w:color w:val="auto"/>
              </w:rPr>
              <w:t>2026 - 2030</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313</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407</w:t>
            </w:r>
          </w:p>
        </w:tc>
      </w:tr>
      <w:tr>
        <w:trPr>
          <w:trHeight w:val="263"/>
        </w:trPr>
        <w:tc>
          <w:tcPr>
            <w:tcW w:w="3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2031 - 2035</w:t>
            </w:r>
          </w:p>
        </w:tc>
        <w:tc>
          <w:tcPr>
            <w:tcW w:w="300" w:type="dxa"/>
            <w:vAlign w:val="bottom"/>
            <w:shd w:val="clear" w:color="auto" w:fill="D1D2D4"/>
          </w:tcPr>
          <w:p>
            <w:pPr>
              <w:spacing w:after="0"/>
              <w:rPr>
                <w:sz w:val="22"/>
                <w:szCs w:val="22"/>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337</w:t>
            </w:r>
          </w:p>
        </w:tc>
        <w:tc>
          <w:tcPr>
            <w:tcW w:w="340" w:type="dxa"/>
            <w:vAlign w:val="bottom"/>
            <w:shd w:val="clear" w:color="auto" w:fill="D1D2D4"/>
          </w:tcPr>
          <w:p>
            <w:pPr>
              <w:spacing w:after="0"/>
              <w:rPr>
                <w:sz w:val="22"/>
                <w:szCs w:val="22"/>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22"/>
                <w:szCs w:val="22"/>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D1D2D4"/>
          </w:tcPr>
          <w:p>
            <w:pPr>
              <w:spacing w:after="0"/>
              <w:rPr>
                <w:sz w:val="22"/>
                <w:szCs w:val="22"/>
                <w:color w:val="auto"/>
              </w:rPr>
            </w:pPr>
          </w:p>
        </w:tc>
        <w:tc>
          <w:tcPr>
            <w:tcW w:w="4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360" w:type="dxa"/>
            <w:vAlign w:val="bottom"/>
            <w:shd w:val="clear" w:color="auto" w:fill="D1D2D4"/>
          </w:tcPr>
          <w:p>
            <w:pPr>
              <w:spacing w:after="0"/>
              <w:rPr>
                <w:sz w:val="22"/>
                <w:szCs w:val="22"/>
                <w:color w:val="auto"/>
              </w:rPr>
            </w:pPr>
          </w:p>
        </w:tc>
        <w:tc>
          <w:tcPr>
            <w:tcW w:w="11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338</w:t>
            </w:r>
          </w:p>
        </w:tc>
      </w:tr>
      <w:tr>
        <w:trPr>
          <w:trHeight w:val="250"/>
        </w:trPr>
        <w:tc>
          <w:tcPr>
            <w:tcW w:w="3980" w:type="dxa"/>
            <w:vAlign w:val="bottom"/>
          </w:tcPr>
          <w:p>
            <w:pPr>
              <w:ind w:left="20"/>
              <w:spacing w:after="0"/>
              <w:rPr>
                <w:sz w:val="20"/>
                <w:szCs w:val="20"/>
                <w:color w:val="auto"/>
              </w:rPr>
            </w:pPr>
            <w:r>
              <w:rPr>
                <w:rFonts w:ascii="Arial" w:cs="Arial" w:eastAsia="Arial" w:hAnsi="Arial"/>
                <w:sz w:val="18"/>
                <w:szCs w:val="18"/>
                <w:color w:val="auto"/>
              </w:rPr>
              <w:t>2036 - 2040</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30</w:t>
            </w:r>
          </w:p>
        </w:tc>
      </w:tr>
      <w:tr>
        <w:trPr>
          <w:trHeight w:val="257"/>
        </w:trPr>
        <w:tc>
          <w:tcPr>
            <w:tcW w:w="3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Indefinite</w:t>
            </w:r>
          </w:p>
        </w:tc>
        <w:tc>
          <w:tcPr>
            <w:tcW w:w="300" w:type="dxa"/>
            <w:vAlign w:val="bottom"/>
            <w:tcBorders>
              <w:bottom w:val="single" w:sz="8" w:color="auto"/>
            </w:tcBorders>
            <w:shd w:val="clear" w:color="auto" w:fill="D1D2D4"/>
          </w:tcPr>
          <w:p>
            <w:pPr>
              <w:spacing w:after="0"/>
              <w:rPr>
                <w:sz w:val="22"/>
                <w:szCs w:val="22"/>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340" w:type="dxa"/>
            <w:vAlign w:val="bottom"/>
            <w:tcBorders>
              <w:bottom w:val="single" w:sz="8" w:color="auto"/>
            </w:tcBorders>
            <w:shd w:val="clear" w:color="auto" w:fill="D1D2D4"/>
          </w:tcPr>
          <w:p>
            <w:pPr>
              <w:spacing w:after="0"/>
              <w:rPr>
                <w:sz w:val="22"/>
                <w:szCs w:val="22"/>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D1D2D4"/>
          </w:tcPr>
          <w:p>
            <w:pPr>
              <w:spacing w:after="0"/>
              <w:rPr>
                <w:sz w:val="22"/>
                <w:szCs w:val="22"/>
                <w:color w:val="auto"/>
              </w:rPr>
            </w:pP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621</w:t>
            </w:r>
          </w:p>
        </w:tc>
        <w:tc>
          <w:tcPr>
            <w:tcW w:w="1040" w:type="dxa"/>
            <w:vAlign w:val="bottom"/>
            <w:tcBorders>
              <w:bottom w:val="single" w:sz="8" w:color="auto"/>
            </w:tcBorders>
            <w:shd w:val="clear" w:color="auto" w:fill="D1D2D4"/>
          </w:tcPr>
          <w:p>
            <w:pPr>
              <w:spacing w:after="0"/>
              <w:rPr>
                <w:sz w:val="22"/>
                <w:szCs w:val="22"/>
                <w:color w:val="auto"/>
              </w:rPr>
            </w:pPr>
          </w:p>
        </w:tc>
        <w:tc>
          <w:tcPr>
            <w:tcW w:w="4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119</w:t>
            </w:r>
          </w:p>
        </w:tc>
        <w:tc>
          <w:tcPr>
            <w:tcW w:w="360" w:type="dxa"/>
            <w:vAlign w:val="bottom"/>
            <w:tcBorders>
              <w:bottom w:val="single" w:sz="8" w:color="auto"/>
            </w:tcBorders>
            <w:shd w:val="clear" w:color="auto" w:fill="D1D2D4"/>
          </w:tcPr>
          <w:p>
            <w:pPr>
              <w:spacing w:after="0"/>
              <w:rPr>
                <w:sz w:val="22"/>
                <w:szCs w:val="22"/>
                <w:color w:val="auto"/>
              </w:rPr>
            </w:pPr>
          </w:p>
        </w:tc>
        <w:tc>
          <w:tcPr>
            <w:tcW w:w="114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741</w:t>
            </w:r>
          </w:p>
        </w:tc>
      </w:tr>
      <w:tr>
        <w:trPr>
          <w:trHeight w:val="250"/>
        </w:trPr>
        <w:tc>
          <w:tcPr>
            <w:tcW w:w="398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w:t>
            </w:r>
          </w:p>
        </w:tc>
        <w:tc>
          <w:tcPr>
            <w:tcW w:w="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w:t>
            </w:r>
          </w:p>
        </w:tc>
        <w:tc>
          <w:tcPr>
            <w:tcW w:w="104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2,809</w:t>
            </w:r>
          </w:p>
        </w:tc>
      </w:tr>
      <w:tr>
        <w:trPr>
          <w:trHeight w:val="27"/>
        </w:trPr>
        <w:tc>
          <w:tcPr>
            <w:tcW w:w="39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77 </w:t>
      </w:r>
      <w:r>
        <w:rPr>
          <w:rFonts w:ascii="Arial" w:cs="Arial" w:eastAsia="Arial" w:hAnsi="Arial"/>
          <w:sz w:val="21"/>
          <w:szCs w:val="21"/>
          <w:b w:val="1"/>
          <w:bCs w:val="1"/>
          <w:color w:val="0090DA"/>
        </w:rPr>
        <w:t>|</w:t>
      </w:r>
      <w:r>
        <w:rPr>
          <w:rFonts w:ascii="Arial" w:cs="Arial" w:eastAsia="Arial" w:hAnsi="Arial"/>
          <w:sz w:val="18"/>
          <w:szCs w:val="18"/>
          <w:color w:val="auto"/>
        </w:rPr>
        <w:t xml:space="preserve"> 2020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80" w:name="page81"/>
    <w:bookmarkEnd w:id="80"/>
    <w:p>
      <w:pPr>
        <w:ind w:right="240"/>
        <w:spacing w:after="0" w:line="261" w:lineRule="auto"/>
        <w:rPr>
          <w:sz w:val="20"/>
          <w:szCs w:val="20"/>
          <w:color w:val="auto"/>
        </w:rPr>
      </w:pPr>
      <w:r>
        <w:rPr>
          <w:rFonts w:ascii="Arial" w:cs="Arial" w:eastAsia="Arial" w:hAnsi="Arial"/>
          <w:sz w:val="18"/>
          <w:szCs w:val="18"/>
          <w:color w:val="auto"/>
        </w:rPr>
        <w:t>As of September 3, 2020, our federal and state tax credit carryforward amounts and expiration periods, as reported to tax authorities, were as follows: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86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Year of Tax Credit Expiration</w:t>
            </w:r>
          </w:p>
        </w:tc>
        <w:tc>
          <w:tcPr>
            <w:tcW w:w="160" w:type="dxa"/>
            <w:vAlign w:val="bottom"/>
            <w:tcBorders>
              <w:bottom w:val="single" w:sz="8" w:color="0090DA"/>
            </w:tcBorders>
          </w:tcPr>
          <w:p>
            <w:pPr>
              <w:spacing w:after="0"/>
              <w:rPr>
                <w:sz w:val="21"/>
                <w:szCs w:val="21"/>
                <w:color w:val="auto"/>
              </w:rPr>
            </w:pPr>
          </w:p>
        </w:tc>
        <w:tc>
          <w:tcPr>
            <w:tcW w:w="1260" w:type="dxa"/>
            <w:vAlign w:val="bottom"/>
            <w:tcBorders>
              <w:bottom w:val="single" w:sz="8" w:color="0090DA"/>
            </w:tcBorders>
          </w:tcPr>
          <w:p>
            <w:pPr>
              <w:jc w:val="right"/>
              <w:ind w:right="90"/>
              <w:spacing w:after="0"/>
              <w:rPr>
                <w:sz w:val="20"/>
                <w:szCs w:val="20"/>
                <w:color w:val="auto"/>
              </w:rPr>
            </w:pPr>
            <w:r>
              <w:rPr>
                <w:rFonts w:ascii="Arial" w:cs="Arial" w:eastAsia="Arial" w:hAnsi="Arial"/>
                <w:sz w:val="18"/>
                <w:szCs w:val="18"/>
                <w:b w:val="1"/>
                <w:bCs w:val="1"/>
                <w:color w:val="auto"/>
              </w:rPr>
              <w:t>U.S. Federal</w:t>
            </w:r>
          </w:p>
        </w:tc>
        <w:tc>
          <w:tcPr>
            <w:tcW w:w="1060" w:type="dxa"/>
            <w:vAlign w:val="bottom"/>
            <w:tcBorders>
              <w:bottom w:val="single" w:sz="8" w:color="0090DA"/>
            </w:tcBorders>
          </w:tcPr>
          <w:p>
            <w:pPr>
              <w:jc w:val="right"/>
              <w:spacing w:after="0"/>
              <w:rPr>
                <w:sz w:val="20"/>
                <w:szCs w:val="20"/>
                <w:color w:val="auto"/>
              </w:rPr>
            </w:pPr>
            <w:r>
              <w:rPr>
                <w:rFonts w:ascii="Arial" w:cs="Arial" w:eastAsia="Arial" w:hAnsi="Arial"/>
                <w:sz w:val="18"/>
                <w:szCs w:val="18"/>
                <w:b w:val="1"/>
                <w:bCs w:val="1"/>
                <w:color w:val="auto"/>
              </w:rPr>
              <w:t>State</w:t>
            </w:r>
          </w:p>
        </w:tc>
        <w:tc>
          <w:tcPr>
            <w:tcW w:w="400" w:type="dxa"/>
            <w:vAlign w:val="bottom"/>
            <w:tcBorders>
              <w:bottom w:val="single" w:sz="8" w:color="0090DA"/>
            </w:tcBorders>
          </w:tcPr>
          <w:p>
            <w:pPr>
              <w:spacing w:after="0"/>
              <w:rPr>
                <w:sz w:val="21"/>
                <w:szCs w:val="21"/>
                <w:color w:val="auto"/>
              </w:rPr>
            </w:pPr>
          </w:p>
        </w:tc>
        <w:tc>
          <w:tcPr>
            <w:tcW w:w="360" w:type="dxa"/>
            <w:vAlign w:val="bottom"/>
            <w:tcBorders>
              <w:bottom w:val="single" w:sz="8" w:color="0090DA"/>
            </w:tcBorders>
          </w:tcPr>
          <w:p>
            <w:pPr>
              <w:spacing w:after="0"/>
              <w:rPr>
                <w:sz w:val="21"/>
                <w:szCs w:val="21"/>
                <w:color w:val="auto"/>
              </w:rPr>
            </w:pPr>
          </w:p>
        </w:tc>
        <w:tc>
          <w:tcPr>
            <w:tcW w:w="114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Total</w:t>
            </w:r>
          </w:p>
        </w:tc>
      </w:tr>
      <w:tr>
        <w:trPr>
          <w:trHeight w:val="41"/>
        </w:trPr>
        <w:tc>
          <w:tcPr>
            <w:tcW w:w="6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57"/>
        </w:trPr>
        <w:tc>
          <w:tcPr>
            <w:tcW w:w="686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2021 - 2025</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2320" w:type="dxa"/>
            <w:vAlign w:val="bottom"/>
            <w:gridSpan w:val="2"/>
            <w:shd w:val="clear" w:color="auto" w:fill="D1D2D4"/>
          </w:tcPr>
          <w:p>
            <w:pPr>
              <w:jc w:val="right"/>
              <w:ind w:right="810"/>
              <w:spacing w:after="0"/>
              <w:rPr>
                <w:sz w:val="20"/>
                <w:szCs w:val="20"/>
                <w:color w:val="auto"/>
              </w:rPr>
            </w:pPr>
            <w:r>
              <w:rPr>
                <w:rFonts w:ascii="Arial" w:cs="Arial" w:eastAsia="Arial" w:hAnsi="Arial"/>
                <w:sz w:val="18"/>
                <w:szCs w:val="18"/>
                <w:color w:val="auto"/>
              </w:rPr>
              <w:t>— $</w:t>
            </w:r>
          </w:p>
        </w:tc>
        <w:tc>
          <w:tcPr>
            <w:tcW w:w="4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43</w:t>
            </w:r>
          </w:p>
        </w:tc>
        <w:tc>
          <w:tcPr>
            <w:tcW w:w="36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43</w:t>
            </w:r>
          </w:p>
        </w:tc>
      </w:tr>
      <w:tr>
        <w:trPr>
          <w:trHeight w:val="250"/>
        </w:trPr>
        <w:tc>
          <w:tcPr>
            <w:tcW w:w="6860" w:type="dxa"/>
            <w:vAlign w:val="bottom"/>
          </w:tcPr>
          <w:p>
            <w:pPr>
              <w:ind w:left="20"/>
              <w:spacing w:after="0"/>
              <w:rPr>
                <w:sz w:val="20"/>
                <w:szCs w:val="20"/>
                <w:color w:val="auto"/>
              </w:rPr>
            </w:pPr>
            <w:r>
              <w:rPr>
                <w:rFonts w:ascii="Arial" w:cs="Arial" w:eastAsia="Arial" w:hAnsi="Arial"/>
                <w:sz w:val="18"/>
                <w:szCs w:val="18"/>
                <w:color w:val="auto"/>
              </w:rPr>
              <w:t>2026 - 2030</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71</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71</w:t>
            </w:r>
          </w:p>
        </w:tc>
      </w:tr>
      <w:tr>
        <w:trPr>
          <w:trHeight w:val="263"/>
        </w:trPr>
        <w:tc>
          <w:tcPr>
            <w:tcW w:w="686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2031 - 2035</w:t>
            </w:r>
          </w:p>
        </w:tc>
        <w:tc>
          <w:tcPr>
            <w:tcW w:w="160" w:type="dxa"/>
            <w:vAlign w:val="bottom"/>
            <w:shd w:val="clear" w:color="auto" w:fill="D1D2D4"/>
          </w:tcPr>
          <w:p>
            <w:pPr>
              <w:spacing w:after="0"/>
              <w:rPr>
                <w:sz w:val="22"/>
                <w:szCs w:val="22"/>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D1D2D4"/>
          </w:tcPr>
          <w:p>
            <w:pPr>
              <w:spacing w:after="0"/>
              <w:rPr>
                <w:sz w:val="22"/>
                <w:szCs w:val="22"/>
                <w:color w:val="auto"/>
              </w:rPr>
            </w:pPr>
          </w:p>
        </w:tc>
        <w:tc>
          <w:tcPr>
            <w:tcW w:w="4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131</w:t>
            </w:r>
          </w:p>
        </w:tc>
        <w:tc>
          <w:tcPr>
            <w:tcW w:w="360" w:type="dxa"/>
            <w:vAlign w:val="bottom"/>
            <w:shd w:val="clear" w:color="auto" w:fill="D1D2D4"/>
          </w:tcPr>
          <w:p>
            <w:pPr>
              <w:spacing w:after="0"/>
              <w:rPr>
                <w:sz w:val="22"/>
                <w:szCs w:val="22"/>
                <w:color w:val="auto"/>
              </w:rPr>
            </w:pPr>
          </w:p>
        </w:tc>
        <w:tc>
          <w:tcPr>
            <w:tcW w:w="11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131</w:t>
            </w:r>
          </w:p>
        </w:tc>
      </w:tr>
      <w:tr>
        <w:trPr>
          <w:trHeight w:val="250"/>
        </w:trPr>
        <w:tc>
          <w:tcPr>
            <w:tcW w:w="6860" w:type="dxa"/>
            <w:vAlign w:val="bottom"/>
          </w:tcPr>
          <w:p>
            <w:pPr>
              <w:ind w:left="20"/>
              <w:spacing w:after="0"/>
              <w:rPr>
                <w:sz w:val="20"/>
                <w:szCs w:val="20"/>
                <w:color w:val="auto"/>
              </w:rPr>
            </w:pPr>
            <w:r>
              <w:rPr>
                <w:rFonts w:ascii="Arial" w:cs="Arial" w:eastAsia="Arial" w:hAnsi="Arial"/>
                <w:sz w:val="18"/>
                <w:szCs w:val="18"/>
                <w:color w:val="auto"/>
              </w:rPr>
              <w:t>2036 - 2040</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321</w:t>
            </w:r>
          </w:p>
        </w:tc>
        <w:tc>
          <w:tcPr>
            <w:tcW w:w="10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325</w:t>
            </w:r>
          </w:p>
        </w:tc>
      </w:tr>
      <w:tr>
        <w:trPr>
          <w:trHeight w:val="257"/>
        </w:trPr>
        <w:tc>
          <w:tcPr>
            <w:tcW w:w="686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Indefinite</w:t>
            </w:r>
          </w:p>
        </w:tc>
        <w:tc>
          <w:tcPr>
            <w:tcW w:w="160" w:type="dxa"/>
            <w:vAlign w:val="bottom"/>
            <w:tcBorders>
              <w:bottom w:val="single" w:sz="8" w:color="auto"/>
            </w:tcBorders>
            <w:shd w:val="clear" w:color="auto" w:fill="D1D2D4"/>
          </w:tcPr>
          <w:p>
            <w:pPr>
              <w:spacing w:after="0"/>
              <w:rPr>
                <w:sz w:val="22"/>
                <w:szCs w:val="22"/>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D1D2D4"/>
          </w:tcPr>
          <w:p>
            <w:pPr>
              <w:spacing w:after="0"/>
              <w:rPr>
                <w:sz w:val="22"/>
                <w:szCs w:val="22"/>
                <w:color w:val="auto"/>
              </w:rPr>
            </w:pPr>
          </w:p>
        </w:tc>
        <w:tc>
          <w:tcPr>
            <w:tcW w:w="4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81</w:t>
            </w:r>
          </w:p>
        </w:tc>
        <w:tc>
          <w:tcPr>
            <w:tcW w:w="360" w:type="dxa"/>
            <w:vAlign w:val="bottom"/>
            <w:tcBorders>
              <w:bottom w:val="single" w:sz="8" w:color="auto"/>
            </w:tcBorders>
            <w:shd w:val="clear" w:color="auto" w:fill="D1D2D4"/>
          </w:tcPr>
          <w:p>
            <w:pPr>
              <w:spacing w:after="0"/>
              <w:rPr>
                <w:sz w:val="22"/>
                <w:szCs w:val="22"/>
                <w:color w:val="auto"/>
              </w:rPr>
            </w:pPr>
          </w:p>
        </w:tc>
        <w:tc>
          <w:tcPr>
            <w:tcW w:w="114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81</w:t>
            </w:r>
          </w:p>
        </w:tc>
      </w:tr>
      <w:tr>
        <w:trPr>
          <w:trHeight w:val="250"/>
        </w:trPr>
        <w:tc>
          <w:tcPr>
            <w:tcW w:w="686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106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w:t>
            </w: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651</w:t>
            </w:r>
          </w:p>
        </w:tc>
      </w:tr>
      <w:tr>
        <w:trPr>
          <w:trHeight w:val="27"/>
        </w:trPr>
        <w:tc>
          <w:tcPr>
            <w:tcW w:w="68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Below is a reconciliation of the beginning and ending amount of our unrecognized tax benefits: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86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For the year ended</w:t>
            </w:r>
          </w:p>
        </w:tc>
        <w:tc>
          <w:tcPr>
            <w:tcW w:w="320" w:type="dxa"/>
            <w:vAlign w:val="bottom"/>
            <w:tcBorders>
              <w:bottom w:val="single" w:sz="8" w:color="0090DA"/>
            </w:tcBorders>
          </w:tcPr>
          <w:p>
            <w:pPr>
              <w:spacing w:after="0"/>
              <w:rPr>
                <w:sz w:val="21"/>
                <w:szCs w:val="21"/>
                <w:color w:val="auto"/>
              </w:rPr>
            </w:pPr>
          </w:p>
        </w:tc>
        <w:tc>
          <w:tcPr>
            <w:tcW w:w="114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0090DA"/>
            </w:tcBorders>
          </w:tcPr>
          <w:p>
            <w:pPr>
              <w:spacing w:after="0"/>
              <w:rPr>
                <w:sz w:val="21"/>
                <w:szCs w:val="21"/>
                <w:color w:val="auto"/>
              </w:rPr>
            </w:pPr>
          </w:p>
        </w:tc>
        <w:tc>
          <w:tcPr>
            <w:tcW w:w="114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bottom w:val="single" w:sz="8" w:color="0090DA"/>
            </w:tcBorders>
          </w:tcPr>
          <w:p>
            <w:pPr>
              <w:spacing w:after="0"/>
              <w:rPr>
                <w:sz w:val="21"/>
                <w:szCs w:val="21"/>
                <w:color w:val="auto"/>
              </w:rPr>
            </w:pPr>
          </w:p>
        </w:tc>
        <w:tc>
          <w:tcPr>
            <w:tcW w:w="114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2018</w:t>
            </w:r>
          </w:p>
        </w:tc>
      </w:tr>
      <w:tr>
        <w:trPr>
          <w:trHeight w:val="41"/>
        </w:trPr>
        <w:tc>
          <w:tcPr>
            <w:tcW w:w="6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57"/>
        </w:trPr>
        <w:tc>
          <w:tcPr>
            <w:tcW w:w="6860" w:type="dxa"/>
            <w:vAlign w:val="bottom"/>
            <w:shd w:val="clear" w:color="auto" w:fill="D1D2D4"/>
          </w:tcPr>
          <w:p>
            <w:pPr>
              <w:ind w:left="20"/>
              <w:spacing w:after="0"/>
              <w:rPr>
                <w:sz w:val="20"/>
                <w:szCs w:val="20"/>
                <w:color w:val="auto"/>
              </w:rPr>
            </w:pPr>
            <w:r>
              <w:rPr>
                <w:rFonts w:ascii="Arial" w:cs="Arial" w:eastAsia="Arial" w:hAnsi="Arial"/>
                <w:sz w:val="18"/>
                <w:szCs w:val="18"/>
                <w:color w:val="auto"/>
              </w:rPr>
              <w:t>Beginning unrecognized tax benefits</w:t>
            </w:r>
          </w:p>
        </w:tc>
        <w:tc>
          <w:tcPr>
            <w:tcW w:w="32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383</w:t>
            </w:r>
          </w:p>
        </w:tc>
        <w:tc>
          <w:tcPr>
            <w:tcW w:w="32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261</w:t>
            </w:r>
          </w:p>
        </w:tc>
        <w:tc>
          <w:tcPr>
            <w:tcW w:w="32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327</w:t>
            </w:r>
          </w:p>
        </w:tc>
      </w:tr>
      <w:tr>
        <w:trPr>
          <w:trHeight w:val="250"/>
        </w:trPr>
        <w:tc>
          <w:tcPr>
            <w:tcW w:w="6860" w:type="dxa"/>
            <w:vAlign w:val="bottom"/>
          </w:tcPr>
          <w:p>
            <w:pPr>
              <w:ind w:left="20"/>
              <w:spacing w:after="0"/>
              <w:rPr>
                <w:sz w:val="20"/>
                <w:szCs w:val="20"/>
                <w:color w:val="auto"/>
              </w:rPr>
            </w:pPr>
            <w:r>
              <w:rPr>
                <w:rFonts w:ascii="Arial" w:cs="Arial" w:eastAsia="Arial" w:hAnsi="Arial"/>
                <w:sz w:val="18"/>
                <w:szCs w:val="18"/>
                <w:color w:val="auto"/>
              </w:rPr>
              <w:t>Increases related to tax positions from prior years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124</w:t>
            </w: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686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Increases related to tax positions taken in current year</w:t>
            </w:r>
          </w:p>
        </w:tc>
        <w:tc>
          <w:tcPr>
            <w:tcW w:w="320" w:type="dxa"/>
            <w:vAlign w:val="bottom"/>
            <w:shd w:val="clear" w:color="auto" w:fill="D1D2D4"/>
          </w:tcPr>
          <w:p>
            <w:pPr>
              <w:spacing w:after="0"/>
              <w:rPr>
                <w:sz w:val="22"/>
                <w:szCs w:val="22"/>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w:t>
            </w:r>
          </w:p>
        </w:tc>
        <w:tc>
          <w:tcPr>
            <w:tcW w:w="320" w:type="dxa"/>
            <w:vAlign w:val="bottom"/>
            <w:shd w:val="clear" w:color="auto" w:fill="D1D2D4"/>
          </w:tcPr>
          <w:p>
            <w:pPr>
              <w:spacing w:after="0"/>
              <w:rPr>
                <w:sz w:val="22"/>
                <w:szCs w:val="22"/>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44</w:t>
            </w:r>
          </w:p>
        </w:tc>
        <w:tc>
          <w:tcPr>
            <w:tcW w:w="320" w:type="dxa"/>
            <w:vAlign w:val="bottom"/>
            <w:shd w:val="clear" w:color="auto" w:fill="D1D2D4"/>
          </w:tcPr>
          <w:p>
            <w:pPr>
              <w:spacing w:after="0"/>
              <w:rPr>
                <w:sz w:val="22"/>
                <w:szCs w:val="22"/>
                <w:color w:val="auto"/>
              </w:rPr>
            </w:pPr>
          </w:p>
        </w:tc>
        <w:tc>
          <w:tcPr>
            <w:tcW w:w="11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68</w:t>
            </w:r>
          </w:p>
        </w:tc>
      </w:tr>
      <w:tr>
        <w:trPr>
          <w:trHeight w:val="250"/>
        </w:trPr>
        <w:tc>
          <w:tcPr>
            <w:tcW w:w="6860" w:type="dxa"/>
            <w:vAlign w:val="bottom"/>
          </w:tcPr>
          <w:p>
            <w:pPr>
              <w:ind w:left="20"/>
              <w:spacing w:after="0"/>
              <w:rPr>
                <w:sz w:val="20"/>
                <w:szCs w:val="20"/>
                <w:color w:val="auto"/>
              </w:rPr>
            </w:pPr>
            <w:r>
              <w:rPr>
                <w:rFonts w:ascii="Arial" w:cs="Arial" w:eastAsia="Arial" w:hAnsi="Arial"/>
                <w:sz w:val="18"/>
                <w:szCs w:val="18"/>
                <w:color w:val="auto"/>
              </w:rPr>
              <w:t>Decreases related to tax positions from prior years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57"/>
        </w:trPr>
        <w:tc>
          <w:tcPr>
            <w:tcW w:w="6860" w:type="dxa"/>
            <w:vAlign w:val="bottom"/>
            <w:shd w:val="clear" w:color="auto" w:fill="D1D2D4"/>
          </w:tcPr>
          <w:p>
            <w:pPr>
              <w:ind w:left="20"/>
              <w:spacing w:after="0"/>
              <w:rPr>
                <w:sz w:val="20"/>
                <w:szCs w:val="20"/>
                <w:color w:val="auto"/>
              </w:rPr>
            </w:pPr>
            <w:r>
              <w:rPr>
                <w:rFonts w:ascii="Arial" w:cs="Arial" w:eastAsia="Arial" w:hAnsi="Arial"/>
                <w:sz w:val="18"/>
                <w:szCs w:val="18"/>
                <w:color w:val="auto"/>
              </w:rPr>
              <w:t>Settlements with tax authorities</w:t>
            </w:r>
          </w:p>
        </w:tc>
        <w:tc>
          <w:tcPr>
            <w:tcW w:w="320" w:type="dxa"/>
            <w:vAlign w:val="bottom"/>
            <w:tcBorders>
              <w:bottom w:val="single" w:sz="8" w:color="auto"/>
            </w:tcBorders>
            <w:shd w:val="clear" w:color="auto" w:fill="D1D2D4"/>
          </w:tcPr>
          <w:p>
            <w:pPr>
              <w:spacing w:after="0"/>
              <w:rPr>
                <w:sz w:val="22"/>
                <w:szCs w:val="22"/>
                <w:color w:val="auto"/>
              </w:rPr>
            </w:pP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D1D2D4"/>
          </w:tcPr>
          <w:p>
            <w:pPr>
              <w:spacing w:after="0"/>
              <w:rPr>
                <w:sz w:val="22"/>
                <w:szCs w:val="22"/>
                <w:color w:val="auto"/>
              </w:rPr>
            </w:pP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D1D2D4"/>
          </w:tcPr>
          <w:p>
            <w:pPr>
              <w:spacing w:after="0"/>
              <w:rPr>
                <w:sz w:val="22"/>
                <w:szCs w:val="22"/>
                <w:color w:val="auto"/>
              </w:rPr>
            </w:pP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w:t>
            </w:r>
          </w:p>
        </w:tc>
      </w:tr>
      <w:tr>
        <w:trPr>
          <w:trHeight w:val="257"/>
        </w:trPr>
        <w:tc>
          <w:tcPr>
            <w:tcW w:w="6860" w:type="dxa"/>
            <w:vAlign w:val="bottom"/>
          </w:tcPr>
          <w:p>
            <w:pPr>
              <w:ind w:left="20"/>
              <w:spacing w:after="0"/>
              <w:rPr>
                <w:sz w:val="20"/>
                <w:szCs w:val="20"/>
                <w:color w:val="auto"/>
              </w:rPr>
            </w:pPr>
            <w:r>
              <w:rPr>
                <w:rFonts w:ascii="Arial" w:cs="Arial" w:eastAsia="Arial" w:hAnsi="Arial"/>
                <w:sz w:val="18"/>
                <w:szCs w:val="18"/>
                <w:color w:val="auto"/>
              </w:rPr>
              <w:t>Ending unrecognized tax benefits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261</w:t>
            </w:r>
          </w:p>
        </w:tc>
      </w:tr>
      <w:tr>
        <w:trPr>
          <w:trHeight w:val="20"/>
        </w:trPr>
        <w:tc>
          <w:tcPr>
            <w:tcW w:w="6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As of September 3, 2020, gross unrecognized tax benefits were $411 million, substantially all of which would affect our effective tax rate in the future, if recognized. Amounts accrued for interest and penalties related to uncertain tax positions were not material for any period presented. The resolution of tax audits or expiration of statute of limitations could also reduce our unrecognized tax benefits. Although the timing of final resolution is uncertain, the estimated potential reduction in our unrecognized tax benefits in the next 12 months would not be material.</w:t>
      </w:r>
    </w:p>
    <w:p>
      <w:pPr>
        <w:spacing w:after="0" w:line="232"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and our subsidiaries file income tax returns with the U.S. federal government, various U.S. states, and various foreign jurisdictions throughout the world. We regularly engage in discussions and negotiations with tax authorities regarding tax matters, including transfer pricing, and we continue to defend any and all such claims presented. Our U.S. federal and state tax returns remain open to examination for 2016 through 2020. In addition, tax returns that remain open to examination in Japan range from the years 2014 to 2020 and in Singapore and Taiwan from 2015 to 2020. We believe that adequate amounts of taxes and related interest and penalties have been provided, and any adjustments as a result of examinations are not expected to materially adversely affect our business, results of operations, or financial condition.</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Earnings Per Share</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86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For the year ended</w:t>
            </w:r>
          </w:p>
        </w:tc>
        <w:tc>
          <w:tcPr>
            <w:tcW w:w="320" w:type="dxa"/>
            <w:vAlign w:val="bottom"/>
            <w:tcBorders>
              <w:bottom w:val="single" w:sz="8" w:color="0090DA"/>
            </w:tcBorders>
          </w:tcPr>
          <w:p>
            <w:pPr>
              <w:spacing w:after="0"/>
              <w:rPr>
                <w:sz w:val="21"/>
                <w:szCs w:val="21"/>
                <w:color w:val="auto"/>
              </w:rPr>
            </w:pPr>
          </w:p>
        </w:tc>
        <w:tc>
          <w:tcPr>
            <w:tcW w:w="11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bottom w:val="single" w:sz="8" w:color="0090DA"/>
            </w:tcBorders>
          </w:tcPr>
          <w:p>
            <w:pPr>
              <w:spacing w:after="0"/>
              <w:rPr>
                <w:sz w:val="21"/>
                <w:szCs w:val="21"/>
                <w:color w:val="auto"/>
              </w:rPr>
            </w:pPr>
          </w:p>
        </w:tc>
        <w:tc>
          <w:tcPr>
            <w:tcW w:w="11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340" w:type="dxa"/>
            <w:vAlign w:val="bottom"/>
            <w:tcBorders>
              <w:bottom w:val="single" w:sz="8" w:color="0090DA"/>
            </w:tcBorders>
          </w:tcPr>
          <w:p>
            <w:pPr>
              <w:spacing w:after="0"/>
              <w:rPr>
                <w:sz w:val="21"/>
                <w:szCs w:val="21"/>
                <w:color w:val="auto"/>
              </w:rPr>
            </w:pPr>
          </w:p>
        </w:tc>
        <w:tc>
          <w:tcPr>
            <w:tcW w:w="1140" w:type="dxa"/>
            <w:vAlign w:val="bottom"/>
            <w:tcBorders>
              <w:bottom w:val="single" w:sz="8" w:color="0090DA"/>
            </w:tcBorders>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40"/>
        </w:trPr>
        <w:tc>
          <w:tcPr>
            <w:tcW w:w="6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56"/>
        </w:trPr>
        <w:tc>
          <w:tcPr>
            <w:tcW w:w="686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income attributable to Micron – Basic</w:t>
            </w:r>
          </w:p>
        </w:tc>
        <w:tc>
          <w:tcPr>
            <w:tcW w:w="32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2,687</w:t>
            </w:r>
          </w:p>
        </w:tc>
        <w:tc>
          <w:tcPr>
            <w:tcW w:w="34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6,313</w:t>
            </w:r>
          </w:p>
        </w:tc>
        <w:tc>
          <w:tcPr>
            <w:tcW w:w="34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14,135</w:t>
            </w:r>
          </w:p>
        </w:tc>
      </w:tr>
      <w:tr>
        <w:trPr>
          <w:trHeight w:val="250"/>
        </w:trPr>
        <w:tc>
          <w:tcPr>
            <w:tcW w:w="68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Assumed conversion of debt</w:t>
            </w: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82"/>
        </w:trPr>
        <w:tc>
          <w:tcPr>
            <w:tcW w:w="686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Net income attributable to Micron – Diluted</w:t>
            </w:r>
          </w:p>
        </w:tc>
        <w:tc>
          <w:tcPr>
            <w:tcW w:w="320" w:type="dxa"/>
            <w:vAlign w:val="bottom"/>
            <w:tcBorders>
              <w:bottom w:val="single" w:sz="8" w:color="auto"/>
            </w:tcBorders>
            <w:shd w:val="clear" w:color="auto" w:fill="D1D2D4"/>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2,683</w:t>
            </w:r>
          </w:p>
        </w:tc>
        <w:tc>
          <w:tcPr>
            <w:tcW w:w="340" w:type="dxa"/>
            <w:vAlign w:val="bottom"/>
            <w:tcBorders>
              <w:bottom w:val="single" w:sz="8" w:color="auto"/>
            </w:tcBorders>
            <w:shd w:val="clear" w:color="auto" w:fill="D1D2D4"/>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6,301</w:t>
            </w:r>
          </w:p>
        </w:tc>
        <w:tc>
          <w:tcPr>
            <w:tcW w:w="340" w:type="dxa"/>
            <w:vAlign w:val="bottom"/>
            <w:tcBorders>
              <w:bottom w:val="single" w:sz="8" w:color="auto"/>
            </w:tcBorders>
            <w:shd w:val="clear" w:color="auto" w:fill="D1D2D4"/>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14,135</w:t>
            </w:r>
          </w:p>
        </w:tc>
      </w:tr>
      <w:tr>
        <w:trPr>
          <w:trHeight w:val="20"/>
        </w:trPr>
        <w:tc>
          <w:tcPr>
            <w:tcW w:w="6860" w:type="dxa"/>
            <w:vAlign w:val="bottom"/>
            <w:tcBorders>
              <w:top w:val="single" w:sz="8" w:color="D1D2D4"/>
            </w:tcBorders>
          </w:tcPr>
          <w:p>
            <w:pPr>
              <w:spacing w:after="0" w:line="20" w:lineRule="exact"/>
              <w:rPr>
                <w:sz w:val="1"/>
                <w:szCs w:val="1"/>
                <w:color w:val="auto"/>
              </w:rPr>
            </w:pPr>
          </w:p>
        </w:tc>
        <w:tc>
          <w:tcPr>
            <w:tcW w:w="32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c>
          <w:tcPr>
            <w:tcW w:w="34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c>
          <w:tcPr>
            <w:tcW w:w="340" w:type="dxa"/>
            <w:vAlign w:val="bottom"/>
            <w:tcBorders>
              <w:top w:val="single" w:sz="8" w:color="D1D2D4"/>
              <w:bottom w:val="single" w:sz="8" w:color="auto"/>
            </w:tcBorders>
          </w:tcPr>
          <w:p>
            <w:pPr>
              <w:spacing w:after="0" w:line="20" w:lineRule="exact"/>
              <w:rPr>
                <w:sz w:val="1"/>
                <w:szCs w:val="1"/>
                <w:color w:val="auto"/>
              </w:rPr>
            </w:pPr>
          </w:p>
        </w:tc>
        <w:tc>
          <w:tcPr>
            <w:tcW w:w="1140" w:type="dxa"/>
            <w:vAlign w:val="bottom"/>
            <w:tcBorders>
              <w:top w:val="single" w:sz="8" w:color="D1D2D4"/>
              <w:bottom w:val="single" w:sz="8" w:color="auto"/>
            </w:tcBorders>
          </w:tcPr>
          <w:p>
            <w:pPr>
              <w:spacing w:after="0" w:line="20" w:lineRule="exact"/>
              <w:rPr>
                <w:sz w:val="1"/>
                <w:szCs w:val="1"/>
                <w:color w:val="auto"/>
              </w:rPr>
            </w:pPr>
          </w:p>
        </w:tc>
      </w:tr>
      <w:tr>
        <w:trPr>
          <w:trHeight w:val="203"/>
        </w:trPr>
        <w:tc>
          <w:tcPr>
            <w:tcW w:w="6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57"/>
        </w:trPr>
        <w:tc>
          <w:tcPr>
            <w:tcW w:w="6860" w:type="dxa"/>
            <w:vAlign w:val="bottom"/>
            <w:shd w:val="clear" w:color="auto" w:fill="D1D2D4"/>
          </w:tcPr>
          <w:p>
            <w:pPr>
              <w:ind w:left="20"/>
              <w:spacing w:after="0"/>
              <w:rPr>
                <w:sz w:val="20"/>
                <w:szCs w:val="20"/>
                <w:color w:val="auto"/>
              </w:rPr>
            </w:pPr>
            <w:r>
              <w:rPr>
                <w:rFonts w:ascii="Arial" w:cs="Arial" w:eastAsia="Arial" w:hAnsi="Arial"/>
                <w:sz w:val="18"/>
                <w:szCs w:val="18"/>
                <w:color w:val="auto"/>
              </w:rPr>
              <w:t>Weighted-average common shares outstanding – Basic</w:t>
            </w:r>
          </w:p>
        </w:tc>
        <w:tc>
          <w:tcPr>
            <w:tcW w:w="320" w:type="dxa"/>
            <w:vAlign w:val="bottom"/>
            <w:shd w:val="clear" w:color="auto" w:fill="D1D2D4"/>
          </w:tcPr>
          <w:p>
            <w:pPr>
              <w:spacing w:after="0"/>
              <w:rPr>
                <w:sz w:val="22"/>
                <w:szCs w:val="22"/>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1,110</w:t>
            </w:r>
          </w:p>
        </w:tc>
        <w:tc>
          <w:tcPr>
            <w:tcW w:w="340" w:type="dxa"/>
            <w:vAlign w:val="bottom"/>
            <w:shd w:val="clear" w:color="auto" w:fill="D1D2D4"/>
          </w:tcPr>
          <w:p>
            <w:pPr>
              <w:spacing w:after="0"/>
              <w:rPr>
                <w:sz w:val="22"/>
                <w:szCs w:val="22"/>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1,114</w:t>
            </w:r>
          </w:p>
        </w:tc>
        <w:tc>
          <w:tcPr>
            <w:tcW w:w="340" w:type="dxa"/>
            <w:vAlign w:val="bottom"/>
            <w:shd w:val="clear" w:color="auto" w:fill="D1D2D4"/>
          </w:tcPr>
          <w:p>
            <w:pPr>
              <w:spacing w:after="0"/>
              <w:rPr>
                <w:sz w:val="22"/>
                <w:szCs w:val="22"/>
                <w:color w:val="auto"/>
              </w:rPr>
            </w:pPr>
          </w:p>
        </w:tc>
        <w:tc>
          <w:tcPr>
            <w:tcW w:w="11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1,152</w:t>
            </w:r>
          </w:p>
        </w:tc>
      </w:tr>
      <w:tr>
        <w:trPr>
          <w:trHeight w:val="256"/>
        </w:trPr>
        <w:tc>
          <w:tcPr>
            <w:tcW w:w="68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Dilutive effect of equity plans and convertible notes</w:t>
            </w: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77</w:t>
            </w:r>
          </w:p>
        </w:tc>
      </w:tr>
      <w:tr>
        <w:trPr>
          <w:trHeight w:val="275"/>
        </w:trPr>
        <w:tc>
          <w:tcPr>
            <w:tcW w:w="686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Weighted-average common shares outstanding – Diluted</w:t>
            </w:r>
          </w:p>
        </w:tc>
        <w:tc>
          <w:tcPr>
            <w:tcW w:w="320" w:type="dxa"/>
            <w:vAlign w:val="bottom"/>
            <w:tcBorders>
              <w:bottom w:val="single" w:sz="8" w:color="auto"/>
            </w:tcBorders>
            <w:shd w:val="clear" w:color="auto" w:fill="D1D2D4"/>
          </w:tcPr>
          <w:p>
            <w:pPr>
              <w:spacing w:after="0"/>
              <w:rPr>
                <w:sz w:val="23"/>
                <w:szCs w:val="23"/>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1,131</w:t>
            </w:r>
          </w:p>
        </w:tc>
        <w:tc>
          <w:tcPr>
            <w:tcW w:w="340" w:type="dxa"/>
            <w:vAlign w:val="bottom"/>
            <w:tcBorders>
              <w:bottom w:val="single" w:sz="8" w:color="auto"/>
            </w:tcBorders>
            <w:shd w:val="clear" w:color="auto" w:fill="D1D2D4"/>
          </w:tcPr>
          <w:p>
            <w:pPr>
              <w:spacing w:after="0"/>
              <w:rPr>
                <w:sz w:val="23"/>
                <w:szCs w:val="23"/>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1,143</w:t>
            </w:r>
          </w:p>
        </w:tc>
        <w:tc>
          <w:tcPr>
            <w:tcW w:w="340" w:type="dxa"/>
            <w:vAlign w:val="bottom"/>
            <w:tcBorders>
              <w:bottom w:val="single" w:sz="8" w:color="auto"/>
            </w:tcBorders>
            <w:shd w:val="clear" w:color="auto" w:fill="D1D2D4"/>
          </w:tcPr>
          <w:p>
            <w:pPr>
              <w:spacing w:after="0"/>
              <w:rPr>
                <w:sz w:val="23"/>
                <w:szCs w:val="23"/>
                <w:color w:val="auto"/>
              </w:rPr>
            </w:pPr>
          </w:p>
        </w:tc>
        <w:tc>
          <w:tcPr>
            <w:tcW w:w="114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1,229</w:t>
            </w:r>
          </w:p>
        </w:tc>
      </w:tr>
      <w:tr>
        <w:trPr>
          <w:trHeight w:val="20"/>
        </w:trPr>
        <w:tc>
          <w:tcPr>
            <w:tcW w:w="6860" w:type="dxa"/>
            <w:vAlign w:val="bottom"/>
            <w:tcBorders>
              <w:top w:val="single" w:sz="8" w:color="D1D2D4"/>
            </w:tcBorders>
          </w:tcPr>
          <w:p>
            <w:pPr>
              <w:spacing w:after="0" w:line="20" w:lineRule="exact"/>
              <w:rPr>
                <w:sz w:val="1"/>
                <w:szCs w:val="1"/>
                <w:color w:val="auto"/>
              </w:rPr>
            </w:pPr>
          </w:p>
        </w:tc>
        <w:tc>
          <w:tcPr>
            <w:tcW w:w="32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c>
          <w:tcPr>
            <w:tcW w:w="34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c>
          <w:tcPr>
            <w:tcW w:w="340" w:type="dxa"/>
            <w:vAlign w:val="bottom"/>
            <w:tcBorders>
              <w:top w:val="single" w:sz="8" w:color="D1D2D4"/>
              <w:bottom w:val="single" w:sz="8" w:color="auto"/>
            </w:tcBorders>
          </w:tcPr>
          <w:p>
            <w:pPr>
              <w:spacing w:after="0" w:line="20" w:lineRule="exact"/>
              <w:rPr>
                <w:sz w:val="1"/>
                <w:szCs w:val="1"/>
                <w:color w:val="auto"/>
              </w:rPr>
            </w:pPr>
          </w:p>
        </w:tc>
        <w:tc>
          <w:tcPr>
            <w:tcW w:w="1140" w:type="dxa"/>
            <w:vAlign w:val="bottom"/>
            <w:tcBorders>
              <w:top w:val="single" w:sz="8" w:color="D1D2D4"/>
              <w:bottom w:val="single" w:sz="8" w:color="auto"/>
            </w:tcBorders>
          </w:tcPr>
          <w:p>
            <w:pPr>
              <w:spacing w:after="0" w:line="20" w:lineRule="exact"/>
              <w:rPr>
                <w:sz w:val="1"/>
                <w:szCs w:val="1"/>
                <w:color w:val="auto"/>
              </w:rPr>
            </w:pPr>
          </w:p>
        </w:tc>
      </w:tr>
      <w:tr>
        <w:trPr>
          <w:trHeight w:val="203"/>
        </w:trPr>
        <w:tc>
          <w:tcPr>
            <w:tcW w:w="6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57"/>
        </w:trPr>
        <w:tc>
          <w:tcPr>
            <w:tcW w:w="6860" w:type="dxa"/>
            <w:vAlign w:val="bottom"/>
            <w:shd w:val="clear" w:color="auto" w:fill="D1D2D4"/>
          </w:tcPr>
          <w:p>
            <w:pPr>
              <w:ind w:left="20"/>
              <w:spacing w:after="0"/>
              <w:rPr>
                <w:sz w:val="20"/>
                <w:szCs w:val="20"/>
                <w:color w:val="auto"/>
              </w:rPr>
            </w:pPr>
            <w:r>
              <w:rPr>
                <w:rFonts w:ascii="Arial" w:cs="Arial" w:eastAsia="Arial" w:hAnsi="Arial"/>
                <w:sz w:val="18"/>
                <w:szCs w:val="18"/>
                <w:color w:val="auto"/>
              </w:rPr>
              <w:t>Earnings per share</w:t>
            </w:r>
          </w:p>
        </w:tc>
        <w:tc>
          <w:tcPr>
            <w:tcW w:w="320" w:type="dxa"/>
            <w:vAlign w:val="bottom"/>
            <w:shd w:val="clear" w:color="auto" w:fill="D1D2D4"/>
          </w:tcPr>
          <w:p>
            <w:pPr>
              <w:spacing w:after="0"/>
              <w:rPr>
                <w:sz w:val="22"/>
                <w:szCs w:val="22"/>
                <w:color w:val="auto"/>
              </w:rPr>
            </w:pPr>
          </w:p>
        </w:tc>
        <w:tc>
          <w:tcPr>
            <w:tcW w:w="1120" w:type="dxa"/>
            <w:vAlign w:val="bottom"/>
            <w:shd w:val="clear" w:color="auto" w:fill="D1D2D4"/>
          </w:tcPr>
          <w:p>
            <w:pPr>
              <w:spacing w:after="0"/>
              <w:rPr>
                <w:sz w:val="22"/>
                <w:szCs w:val="22"/>
                <w:color w:val="auto"/>
              </w:rPr>
            </w:pPr>
          </w:p>
        </w:tc>
        <w:tc>
          <w:tcPr>
            <w:tcW w:w="340" w:type="dxa"/>
            <w:vAlign w:val="bottom"/>
            <w:shd w:val="clear" w:color="auto" w:fill="D1D2D4"/>
          </w:tcPr>
          <w:p>
            <w:pPr>
              <w:spacing w:after="0"/>
              <w:rPr>
                <w:sz w:val="22"/>
                <w:szCs w:val="22"/>
                <w:color w:val="auto"/>
              </w:rPr>
            </w:pPr>
          </w:p>
        </w:tc>
        <w:tc>
          <w:tcPr>
            <w:tcW w:w="1120" w:type="dxa"/>
            <w:vAlign w:val="bottom"/>
            <w:shd w:val="clear" w:color="auto" w:fill="D1D2D4"/>
          </w:tcPr>
          <w:p>
            <w:pPr>
              <w:spacing w:after="0"/>
              <w:rPr>
                <w:sz w:val="22"/>
                <w:szCs w:val="22"/>
                <w:color w:val="auto"/>
              </w:rPr>
            </w:pPr>
          </w:p>
        </w:tc>
        <w:tc>
          <w:tcPr>
            <w:tcW w:w="340" w:type="dxa"/>
            <w:vAlign w:val="bottom"/>
            <w:shd w:val="clear" w:color="auto" w:fill="D1D2D4"/>
          </w:tcPr>
          <w:p>
            <w:pPr>
              <w:spacing w:after="0"/>
              <w:rPr>
                <w:sz w:val="22"/>
                <w:szCs w:val="22"/>
                <w:color w:val="auto"/>
              </w:rPr>
            </w:pPr>
          </w:p>
        </w:tc>
        <w:tc>
          <w:tcPr>
            <w:tcW w:w="1140" w:type="dxa"/>
            <w:vAlign w:val="bottom"/>
            <w:shd w:val="clear" w:color="auto" w:fill="D1D2D4"/>
          </w:tcPr>
          <w:p>
            <w:pPr>
              <w:spacing w:after="0"/>
              <w:rPr>
                <w:sz w:val="22"/>
                <w:szCs w:val="22"/>
                <w:color w:val="auto"/>
              </w:rPr>
            </w:pPr>
          </w:p>
        </w:tc>
      </w:tr>
      <w:tr>
        <w:trPr>
          <w:trHeight w:val="250"/>
        </w:trPr>
        <w:tc>
          <w:tcPr>
            <w:tcW w:w="6860" w:type="dxa"/>
            <w:vAlign w:val="bottom"/>
          </w:tcPr>
          <w:p>
            <w:pPr>
              <w:ind w:left="300"/>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2.42</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5.67</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12.27</w:t>
            </w:r>
          </w:p>
        </w:tc>
      </w:tr>
      <w:tr>
        <w:trPr>
          <w:trHeight w:val="263"/>
        </w:trPr>
        <w:tc>
          <w:tcPr>
            <w:tcW w:w="6860" w:type="dxa"/>
            <w:vAlign w:val="bottom"/>
            <w:shd w:val="clear" w:color="auto" w:fill="D1D2D4"/>
          </w:tcPr>
          <w:p>
            <w:pPr>
              <w:ind w:left="30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D1D2D4"/>
          </w:tcPr>
          <w:p>
            <w:pPr>
              <w:spacing w:after="0"/>
              <w:rPr>
                <w:sz w:val="22"/>
                <w:szCs w:val="22"/>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2.37</w:t>
            </w:r>
          </w:p>
        </w:tc>
        <w:tc>
          <w:tcPr>
            <w:tcW w:w="340" w:type="dxa"/>
            <w:vAlign w:val="bottom"/>
            <w:shd w:val="clear" w:color="auto" w:fill="D1D2D4"/>
          </w:tcPr>
          <w:p>
            <w:pPr>
              <w:spacing w:after="0"/>
              <w:rPr>
                <w:sz w:val="22"/>
                <w:szCs w:val="22"/>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5.51</w:t>
            </w:r>
          </w:p>
        </w:tc>
        <w:tc>
          <w:tcPr>
            <w:tcW w:w="340" w:type="dxa"/>
            <w:vAlign w:val="bottom"/>
            <w:shd w:val="clear" w:color="auto" w:fill="D1D2D4"/>
          </w:tcPr>
          <w:p>
            <w:pPr>
              <w:spacing w:after="0"/>
              <w:rPr>
                <w:sz w:val="22"/>
                <w:szCs w:val="22"/>
                <w:color w:val="auto"/>
              </w:rPr>
            </w:pPr>
          </w:p>
        </w:tc>
        <w:tc>
          <w:tcPr>
            <w:tcW w:w="11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11.51</w:t>
            </w:r>
          </w:p>
        </w:tc>
      </w:tr>
    </w:tbl>
    <w:p>
      <w:pPr>
        <w:spacing w:after="0" w:line="200" w:lineRule="exact"/>
        <w:rPr>
          <w:sz w:val="20"/>
          <w:szCs w:val="20"/>
          <w:color w:val="auto"/>
        </w:rPr>
      </w:pPr>
    </w:p>
    <w:p>
      <w:pPr>
        <w:sectPr>
          <w:pgSz w:w="11900" w:h="16838" w:orient="portrait"/>
          <w:cols w:equalWidth="0" w:num="1">
            <w:col w:w="11240"/>
          </w:cols>
          <w:pgMar w:left="320" w:top="94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0040"/>
        <w:spacing w:after="0"/>
        <w:rPr>
          <w:sz w:val="20"/>
          <w:szCs w:val="20"/>
          <w:color w:val="auto"/>
        </w:rPr>
      </w:pPr>
      <w:r>
        <w:rPr>
          <w:sz w:val="1"/>
          <w:szCs w:val="1"/>
          <w:color w:val="auto"/>
        </w:rPr>
        <w:drawing>
          <wp:inline distT="0" distB="0" distL="0" distR="0">
            <wp:extent cx="608330" cy="171450"/>
            <wp:effectExtent l="0" t="0" r="0"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8330" cy="171450"/>
                    </a:xfrm>
                    <a:prstGeom prst="rect">
                      <a:avLst/>
                    </a:prstGeom>
                    <a:noFill/>
                    <a:ln>
                      <a:noFill/>
                    </a:ln>
                  </pic:spPr>
                </pic:pic>
              </a:graphicData>
            </a:graphic>
          </wp:inline>
        </w:drawing>
      </w:r>
      <w:r>
        <w:rPr>
          <w:rFonts w:ascii="Arial" w:cs="Arial" w:eastAsia="Arial" w:hAnsi="Arial"/>
          <w:sz w:val="13"/>
          <w:szCs w:val="13"/>
          <w:color w:val="auto"/>
        </w:rPr>
        <w:t xml:space="preserve"> 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type w:val="continuous"/>
        </w:sectPr>
      </w:pPr>
    </w:p>
    <w:bookmarkStart w:id="81" w:name="page82"/>
    <w:bookmarkEnd w:id="81"/>
    <w:p>
      <w:pPr>
        <w:ind w:right="320"/>
        <w:spacing w:after="0" w:line="261" w:lineRule="auto"/>
        <w:rPr>
          <w:sz w:val="20"/>
          <w:szCs w:val="20"/>
          <w:color w:val="auto"/>
        </w:rPr>
      </w:pPr>
      <w:r>
        <w:rPr>
          <w:rFonts w:ascii="Arial" w:cs="Arial" w:eastAsia="Arial" w:hAnsi="Arial"/>
          <w:sz w:val="18"/>
          <w:szCs w:val="18"/>
          <w:color w:val="auto"/>
        </w:rPr>
        <w:t>Listed below are the potential common shares, as of the end of the periods shown, that could dilute basic earnings per share in the future that were not included in the computation of diluted earnings per share because to do so would have been antidilutive:</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54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For the year ended</w:t>
            </w:r>
          </w:p>
        </w:tc>
        <w:tc>
          <w:tcPr>
            <w:tcW w:w="4020" w:type="dxa"/>
            <w:vAlign w:val="bottom"/>
            <w:tcBorders>
              <w:bottom w:val="single" w:sz="8" w:color="0090DA"/>
            </w:tcBorders>
          </w:tcPr>
          <w:p>
            <w:pPr>
              <w:jc w:val="right"/>
              <w:ind w:right="650"/>
              <w:spacing w:after="0"/>
              <w:rPr>
                <w:sz w:val="20"/>
                <w:szCs w:val="20"/>
                <w:color w:val="auto"/>
              </w:rPr>
            </w:pPr>
            <w:r>
              <w:rPr>
                <w:rFonts w:ascii="Arial" w:cs="Arial" w:eastAsia="Arial" w:hAnsi="Arial"/>
                <w:sz w:val="18"/>
                <w:szCs w:val="18"/>
                <w:b w:val="1"/>
                <w:bCs w:val="1"/>
                <w:color w:val="auto"/>
              </w:rPr>
              <w:t>2020</w:t>
            </w:r>
          </w:p>
        </w:tc>
        <w:tc>
          <w:tcPr>
            <w:tcW w:w="1460" w:type="dxa"/>
            <w:vAlign w:val="bottom"/>
            <w:tcBorders>
              <w:bottom w:val="single" w:sz="8" w:color="0090DA"/>
            </w:tcBorders>
          </w:tcPr>
          <w:p>
            <w:pPr>
              <w:jc w:val="right"/>
              <w:ind w:right="650"/>
              <w:spacing w:after="0"/>
              <w:rPr>
                <w:sz w:val="20"/>
                <w:szCs w:val="20"/>
                <w:color w:val="auto"/>
              </w:rPr>
            </w:pPr>
            <w:r>
              <w:rPr>
                <w:rFonts w:ascii="Arial" w:cs="Arial" w:eastAsia="Arial" w:hAnsi="Arial"/>
                <w:sz w:val="18"/>
                <w:szCs w:val="18"/>
                <w:b w:val="1"/>
                <w:bCs w:val="1"/>
                <w:color w:val="auto"/>
              </w:rPr>
              <w:t>2019</w:t>
            </w:r>
          </w:p>
        </w:tc>
        <w:tc>
          <w:tcPr>
            <w:tcW w:w="12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2018</w:t>
            </w:r>
          </w:p>
        </w:tc>
      </w:tr>
      <w:tr>
        <w:trPr>
          <w:trHeight w:val="41"/>
        </w:trPr>
        <w:tc>
          <w:tcPr>
            <w:tcW w:w="4540" w:type="dxa"/>
            <w:vAlign w:val="bottom"/>
          </w:tcPr>
          <w:p>
            <w:pPr>
              <w:spacing w:after="0"/>
              <w:rPr>
                <w:sz w:val="3"/>
                <w:szCs w:val="3"/>
                <w:color w:val="auto"/>
              </w:rPr>
            </w:pPr>
          </w:p>
        </w:tc>
        <w:tc>
          <w:tcPr>
            <w:tcW w:w="40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57"/>
        </w:trPr>
        <w:tc>
          <w:tcPr>
            <w:tcW w:w="4540" w:type="dxa"/>
            <w:vAlign w:val="bottom"/>
            <w:shd w:val="clear" w:color="auto" w:fill="D1D2D4"/>
          </w:tcPr>
          <w:p>
            <w:pPr>
              <w:ind w:left="20"/>
              <w:spacing w:after="0"/>
              <w:rPr>
                <w:sz w:val="20"/>
                <w:szCs w:val="20"/>
                <w:color w:val="auto"/>
              </w:rPr>
            </w:pPr>
            <w:r>
              <w:rPr>
                <w:rFonts w:ascii="Arial" w:cs="Arial" w:eastAsia="Arial" w:hAnsi="Arial"/>
                <w:sz w:val="18"/>
                <w:szCs w:val="18"/>
                <w:color w:val="auto"/>
              </w:rPr>
              <w:t>Equity plans</w:t>
            </w:r>
          </w:p>
        </w:tc>
        <w:tc>
          <w:tcPr>
            <w:tcW w:w="4020" w:type="dxa"/>
            <w:vAlign w:val="bottom"/>
            <w:shd w:val="clear" w:color="auto" w:fill="D1D2D4"/>
          </w:tcPr>
          <w:p>
            <w:pPr>
              <w:jc w:val="right"/>
              <w:ind w:right="210"/>
              <w:spacing w:after="0"/>
              <w:rPr>
                <w:sz w:val="20"/>
                <w:szCs w:val="20"/>
                <w:color w:val="auto"/>
              </w:rPr>
            </w:pPr>
            <w:r>
              <w:rPr>
                <w:rFonts w:ascii="Arial" w:cs="Arial" w:eastAsia="Arial" w:hAnsi="Arial"/>
                <w:sz w:val="18"/>
                <w:szCs w:val="18"/>
                <w:color w:val="auto"/>
              </w:rPr>
              <w:t>5</w:t>
            </w:r>
          </w:p>
        </w:tc>
        <w:tc>
          <w:tcPr>
            <w:tcW w:w="1460" w:type="dxa"/>
            <w:vAlign w:val="bottom"/>
            <w:shd w:val="clear" w:color="auto" w:fill="D1D2D4"/>
          </w:tcPr>
          <w:p>
            <w:pPr>
              <w:jc w:val="right"/>
              <w:ind w:right="230"/>
              <w:spacing w:after="0"/>
              <w:rPr>
                <w:sz w:val="20"/>
                <w:szCs w:val="20"/>
                <w:color w:val="auto"/>
              </w:rPr>
            </w:pPr>
            <w:r>
              <w:rPr>
                <w:rFonts w:ascii="Arial" w:cs="Arial" w:eastAsia="Arial" w:hAnsi="Arial"/>
                <w:sz w:val="18"/>
                <w:szCs w:val="18"/>
                <w:color w:val="auto"/>
              </w:rPr>
              <w:t>8</w:t>
            </w:r>
          </w:p>
        </w:tc>
        <w:tc>
          <w:tcPr>
            <w:tcW w:w="12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3</w:t>
            </w:r>
          </w:p>
        </w:tc>
      </w:tr>
    </w:tbl>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Segment and Other Information</w:t>
      </w:r>
    </w:p>
    <w:p>
      <w:pPr>
        <w:spacing w:after="0" w:line="285" w:lineRule="exact"/>
        <w:rPr>
          <w:sz w:val="20"/>
          <w:szCs w:val="20"/>
          <w:color w:val="auto"/>
        </w:rPr>
      </w:pPr>
    </w:p>
    <w:p>
      <w:pPr>
        <w:jc w:val="both"/>
        <w:ind w:right="100"/>
        <w:spacing w:after="0" w:line="261" w:lineRule="auto"/>
        <w:rPr>
          <w:sz w:val="20"/>
          <w:szCs w:val="20"/>
          <w:color w:val="auto"/>
        </w:rPr>
      </w:pPr>
      <w:r>
        <w:rPr>
          <w:rFonts w:ascii="Arial" w:cs="Arial" w:eastAsia="Arial" w:hAnsi="Arial"/>
          <w:sz w:val="18"/>
          <w:szCs w:val="18"/>
          <w:color w:val="auto"/>
        </w:rPr>
        <w:t>Segment information reported herein is consistent with how it is reviewed and evaluated by our chief operating decision maker. We have the following four business units, which are our reportable segments:</w:t>
      </w:r>
    </w:p>
    <w:p>
      <w:pPr>
        <w:spacing w:after="0" w:line="203" w:lineRule="exact"/>
        <w:rPr>
          <w:sz w:val="20"/>
          <w:szCs w:val="20"/>
          <w:color w:val="auto"/>
        </w:rPr>
      </w:pPr>
    </w:p>
    <w:p>
      <w:pPr>
        <w:ind w:left="340" w:right="380" w:hanging="323"/>
        <w:spacing w:after="0" w:line="263" w:lineRule="auto"/>
        <w:rPr>
          <w:sz w:val="20"/>
          <w:szCs w:val="20"/>
          <w:color w:val="auto"/>
        </w:rPr>
      </w:pPr>
      <w:r>
        <w:rPr>
          <w:rFonts w:ascii="Arial" w:cs="Arial" w:eastAsia="Arial" w:hAnsi="Arial"/>
          <w:sz w:val="18"/>
          <w:szCs w:val="18"/>
          <w:b w:val="1"/>
          <w:bCs w:val="1"/>
          <w:i w:val="1"/>
          <w:iCs w:val="1"/>
          <w:color w:val="auto"/>
        </w:rPr>
        <w:t>Compute and Networking Business Unit (“CNBU”)</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memory products sold into client, cloud server, enterprise, graphics,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networking markets and sales of certain 3D XPoint products.</w:t>
      </w:r>
    </w:p>
    <w:p>
      <w:pPr>
        <w:spacing w:after="0"/>
        <w:rPr>
          <w:sz w:val="20"/>
          <w:szCs w:val="20"/>
          <w:color w:val="auto"/>
        </w:rPr>
      </w:pPr>
      <w:r>
        <w:rPr>
          <w:rFonts w:ascii="Arial" w:cs="Arial" w:eastAsia="Arial" w:hAnsi="Arial"/>
          <w:sz w:val="18"/>
          <w:szCs w:val="18"/>
          <w:b w:val="1"/>
          <w:bCs w:val="1"/>
          <w:i w:val="1"/>
          <w:iCs w:val="1"/>
          <w:color w:val="auto"/>
        </w:rPr>
        <w:t>Mobile Business Unit (“MBU”)</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memory products sold into smartphone and other mobile-device markets.</w:t>
      </w:r>
    </w:p>
    <w:p>
      <w:pPr>
        <w:spacing w:after="0" w:line="9" w:lineRule="exact"/>
        <w:rPr>
          <w:sz w:val="20"/>
          <w:szCs w:val="20"/>
          <w:color w:val="auto"/>
        </w:rPr>
      </w:pPr>
    </w:p>
    <w:p>
      <w:pPr>
        <w:ind w:left="340" w:hanging="323"/>
        <w:spacing w:after="0" w:line="250" w:lineRule="auto"/>
        <w:rPr>
          <w:sz w:val="20"/>
          <w:szCs w:val="20"/>
          <w:color w:val="auto"/>
        </w:rPr>
      </w:pPr>
      <w:r>
        <w:rPr>
          <w:rFonts w:ascii="Arial" w:cs="Arial" w:eastAsia="Arial" w:hAnsi="Arial"/>
          <w:sz w:val="18"/>
          <w:szCs w:val="18"/>
          <w:b w:val="1"/>
          <w:bCs w:val="1"/>
          <w:i w:val="1"/>
          <w:iCs w:val="1"/>
          <w:color w:val="auto"/>
        </w:rPr>
        <w:t>Storage Business Unit (“SBU”)</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SSDs and component-level solutions sold into enterprise and cloud, client, and consumer storage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markets, other discrete storage products sold in component and wafer form to the removable storage market, and sales of certain 3D XPoint products.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Embedded Business Unit (“EBU”)</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memory and storage products sold into automotive, industrial, and consumer markets.</w:t>
      </w:r>
    </w:p>
    <w:p>
      <w:pPr>
        <w:spacing w:after="0" w:line="252"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Certain operating expenses directly associated with the activities of a specific segment are charged to that segment. Other indirect operating income and expenses are generally allocated to segments based on their respective percentage of cost of goods sold or forecasted wafer production. We do not identify or report internally our assets (other than goodwill) or capital expenditures by segment, nor do we allocate gains and losses from equity method investments, interest, other non-operating income or expense items, or taxes to segments. As of September 3, 2020 and August 29, 2019, CNBU, MBU, SBU, and EBU had goodwill of $832 million, $198 million, $101 million, and $97 million, respectively.</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79 </w:t>
      </w:r>
      <w:r>
        <w:rPr>
          <w:rFonts w:ascii="Arial" w:cs="Arial" w:eastAsia="Arial" w:hAnsi="Arial"/>
          <w:sz w:val="21"/>
          <w:szCs w:val="21"/>
          <w:b w:val="1"/>
          <w:bCs w:val="1"/>
          <w:color w:val="0090DA"/>
        </w:rPr>
        <w:t>|</w:t>
      </w:r>
      <w:r>
        <w:rPr>
          <w:rFonts w:ascii="Arial" w:cs="Arial" w:eastAsia="Arial" w:hAnsi="Arial"/>
          <w:sz w:val="18"/>
          <w:szCs w:val="18"/>
          <w:color w:val="auto"/>
        </w:rPr>
        <w:t xml:space="preserve"> 2020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46"/>
        </w:trPr>
        <w:tc>
          <w:tcPr>
            <w:tcW w:w="684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For the year ended</w:t>
            </w:r>
          </w:p>
        </w:tc>
        <w:tc>
          <w:tcPr>
            <w:tcW w:w="20" w:type="dxa"/>
            <w:vAlign w:val="bottom"/>
            <w:tcBorders>
              <w:bottom w:val="single" w:sz="8" w:color="0090DA"/>
            </w:tcBorders>
          </w:tcPr>
          <w:p>
            <w:pPr>
              <w:spacing w:after="0"/>
              <w:rPr>
                <w:sz w:val="21"/>
                <w:szCs w:val="21"/>
                <w:color w:val="auto"/>
              </w:rPr>
            </w:pPr>
          </w:p>
        </w:tc>
        <w:tc>
          <w:tcPr>
            <w:tcW w:w="300" w:type="dxa"/>
            <w:vAlign w:val="bottom"/>
            <w:tcBorders>
              <w:bottom w:val="single" w:sz="8" w:color="0090DA"/>
            </w:tcBorders>
          </w:tcPr>
          <w:p>
            <w:pPr>
              <w:spacing w:after="0"/>
              <w:rPr>
                <w:sz w:val="21"/>
                <w:szCs w:val="21"/>
                <w:color w:val="auto"/>
              </w:rPr>
            </w:pPr>
          </w:p>
        </w:tc>
        <w:tc>
          <w:tcPr>
            <w:tcW w:w="11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360" w:type="dxa"/>
            <w:vAlign w:val="bottom"/>
            <w:tcBorders>
              <w:bottom w:val="single" w:sz="8" w:color="0090DA"/>
            </w:tcBorders>
          </w:tcPr>
          <w:p>
            <w:pPr>
              <w:spacing w:after="0"/>
              <w:rPr>
                <w:sz w:val="21"/>
                <w:szCs w:val="21"/>
                <w:color w:val="auto"/>
              </w:rPr>
            </w:pPr>
          </w:p>
        </w:tc>
        <w:tc>
          <w:tcPr>
            <w:tcW w:w="11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340" w:type="dxa"/>
            <w:vAlign w:val="bottom"/>
            <w:tcBorders>
              <w:bottom w:val="single" w:sz="8" w:color="0090DA"/>
            </w:tcBorders>
          </w:tcPr>
          <w:p>
            <w:pPr>
              <w:spacing w:after="0"/>
              <w:rPr>
                <w:sz w:val="21"/>
                <w:szCs w:val="21"/>
                <w:color w:val="auto"/>
              </w:rPr>
            </w:pPr>
          </w:p>
        </w:tc>
        <w:tc>
          <w:tcPr>
            <w:tcW w:w="1140" w:type="dxa"/>
            <w:vAlign w:val="bottom"/>
            <w:tcBorders>
              <w:bottom w:val="single" w:sz="8" w:color="0090DA"/>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40"/>
        </w:trPr>
        <w:tc>
          <w:tcPr>
            <w:tcW w:w="684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684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Revenue</w:t>
            </w:r>
          </w:p>
        </w:tc>
        <w:tc>
          <w:tcPr>
            <w:tcW w:w="20" w:type="dxa"/>
            <w:vAlign w:val="bottom"/>
            <w:shd w:val="clear" w:color="auto" w:fill="D1D2D4"/>
          </w:tcPr>
          <w:p>
            <w:pPr>
              <w:spacing w:after="0"/>
              <w:rPr>
                <w:sz w:val="22"/>
                <w:szCs w:val="22"/>
                <w:color w:val="auto"/>
              </w:rPr>
            </w:pPr>
          </w:p>
        </w:tc>
        <w:tc>
          <w:tcPr>
            <w:tcW w:w="300" w:type="dxa"/>
            <w:vAlign w:val="bottom"/>
            <w:shd w:val="clear" w:color="auto" w:fill="D1D2D4"/>
          </w:tcPr>
          <w:p>
            <w:pPr>
              <w:spacing w:after="0"/>
              <w:rPr>
                <w:sz w:val="22"/>
                <w:szCs w:val="22"/>
                <w:color w:val="auto"/>
              </w:rPr>
            </w:pPr>
          </w:p>
        </w:tc>
        <w:tc>
          <w:tcPr>
            <w:tcW w:w="1120" w:type="dxa"/>
            <w:vAlign w:val="bottom"/>
            <w:shd w:val="clear" w:color="auto" w:fill="D1D2D4"/>
          </w:tcPr>
          <w:p>
            <w:pPr>
              <w:spacing w:after="0"/>
              <w:rPr>
                <w:sz w:val="22"/>
                <w:szCs w:val="22"/>
                <w:color w:val="auto"/>
              </w:rPr>
            </w:pPr>
          </w:p>
        </w:tc>
        <w:tc>
          <w:tcPr>
            <w:tcW w:w="360" w:type="dxa"/>
            <w:vAlign w:val="bottom"/>
            <w:shd w:val="clear" w:color="auto" w:fill="D1D2D4"/>
          </w:tcPr>
          <w:p>
            <w:pPr>
              <w:spacing w:after="0"/>
              <w:rPr>
                <w:sz w:val="22"/>
                <w:szCs w:val="22"/>
                <w:color w:val="auto"/>
              </w:rPr>
            </w:pPr>
          </w:p>
        </w:tc>
        <w:tc>
          <w:tcPr>
            <w:tcW w:w="1120" w:type="dxa"/>
            <w:vAlign w:val="bottom"/>
            <w:shd w:val="clear" w:color="auto" w:fill="D1D2D4"/>
          </w:tcPr>
          <w:p>
            <w:pPr>
              <w:spacing w:after="0"/>
              <w:rPr>
                <w:sz w:val="22"/>
                <w:szCs w:val="22"/>
                <w:color w:val="auto"/>
              </w:rPr>
            </w:pPr>
          </w:p>
        </w:tc>
        <w:tc>
          <w:tcPr>
            <w:tcW w:w="340" w:type="dxa"/>
            <w:vAlign w:val="bottom"/>
            <w:shd w:val="clear" w:color="auto" w:fill="D1D2D4"/>
          </w:tcPr>
          <w:p>
            <w:pPr>
              <w:spacing w:after="0"/>
              <w:rPr>
                <w:sz w:val="22"/>
                <w:szCs w:val="22"/>
                <w:color w:val="auto"/>
              </w:rPr>
            </w:pPr>
          </w:p>
        </w:tc>
        <w:tc>
          <w:tcPr>
            <w:tcW w:w="1140" w:type="dxa"/>
            <w:vAlign w:val="bottom"/>
            <w:shd w:val="clear" w:color="auto" w:fill="D1D2D4"/>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840" w:type="dxa"/>
            <w:vAlign w:val="bottom"/>
          </w:tcPr>
          <w:p>
            <w:pPr>
              <w:ind w:left="120"/>
              <w:spacing w:after="0"/>
              <w:rPr>
                <w:sz w:val="20"/>
                <w:szCs w:val="20"/>
                <w:color w:val="auto"/>
              </w:rPr>
            </w:pPr>
            <w:r>
              <w:rPr>
                <w:rFonts w:ascii="Arial" w:cs="Arial" w:eastAsia="Arial" w:hAnsi="Arial"/>
                <w:sz w:val="18"/>
                <w:szCs w:val="18"/>
                <w:color w:val="auto"/>
              </w:rPr>
              <w:t>CNBU</w:t>
            </w: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9,184</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9,968</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15,252</w:t>
            </w:r>
          </w:p>
        </w:tc>
        <w:tc>
          <w:tcPr>
            <w:tcW w:w="0" w:type="dxa"/>
            <w:vAlign w:val="bottom"/>
          </w:tcPr>
          <w:p>
            <w:pPr>
              <w:spacing w:after="0"/>
              <w:rPr>
                <w:sz w:val="1"/>
                <w:szCs w:val="1"/>
                <w:color w:val="auto"/>
              </w:rPr>
            </w:pPr>
          </w:p>
        </w:tc>
      </w:tr>
      <w:tr>
        <w:trPr>
          <w:trHeight w:val="263"/>
        </w:trPr>
        <w:tc>
          <w:tcPr>
            <w:tcW w:w="6840" w:type="dxa"/>
            <w:vAlign w:val="bottom"/>
            <w:shd w:val="clear" w:color="auto" w:fill="D1D2D4"/>
          </w:tcPr>
          <w:p>
            <w:pPr>
              <w:ind w:left="120"/>
              <w:spacing w:after="0"/>
              <w:rPr>
                <w:sz w:val="20"/>
                <w:szCs w:val="20"/>
                <w:color w:val="auto"/>
              </w:rPr>
            </w:pPr>
            <w:r>
              <w:rPr>
                <w:rFonts w:ascii="Arial" w:cs="Arial" w:eastAsia="Arial" w:hAnsi="Arial"/>
                <w:sz w:val="18"/>
                <w:szCs w:val="18"/>
                <w:color w:val="auto"/>
              </w:rPr>
              <w:t>MBU</w:t>
            </w:r>
          </w:p>
        </w:tc>
        <w:tc>
          <w:tcPr>
            <w:tcW w:w="20" w:type="dxa"/>
            <w:vAlign w:val="bottom"/>
            <w:shd w:val="clear" w:color="auto" w:fill="D1D2D4"/>
          </w:tcPr>
          <w:p>
            <w:pPr>
              <w:spacing w:after="0"/>
              <w:rPr>
                <w:sz w:val="22"/>
                <w:szCs w:val="22"/>
                <w:color w:val="auto"/>
              </w:rPr>
            </w:pPr>
          </w:p>
        </w:tc>
        <w:tc>
          <w:tcPr>
            <w:tcW w:w="300" w:type="dxa"/>
            <w:vAlign w:val="bottom"/>
            <w:shd w:val="clear" w:color="auto" w:fill="D1D2D4"/>
          </w:tcPr>
          <w:p>
            <w:pPr>
              <w:spacing w:after="0"/>
              <w:rPr>
                <w:sz w:val="22"/>
                <w:szCs w:val="22"/>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5,702</w:t>
            </w:r>
          </w:p>
        </w:tc>
        <w:tc>
          <w:tcPr>
            <w:tcW w:w="360" w:type="dxa"/>
            <w:vAlign w:val="bottom"/>
            <w:shd w:val="clear" w:color="auto" w:fill="D1D2D4"/>
          </w:tcPr>
          <w:p>
            <w:pPr>
              <w:spacing w:after="0"/>
              <w:rPr>
                <w:sz w:val="22"/>
                <w:szCs w:val="22"/>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6,403</w:t>
            </w:r>
          </w:p>
        </w:tc>
        <w:tc>
          <w:tcPr>
            <w:tcW w:w="340" w:type="dxa"/>
            <w:vAlign w:val="bottom"/>
            <w:shd w:val="clear" w:color="auto" w:fill="D1D2D4"/>
          </w:tcPr>
          <w:p>
            <w:pPr>
              <w:spacing w:after="0"/>
              <w:rPr>
                <w:sz w:val="22"/>
                <w:szCs w:val="22"/>
                <w:color w:val="auto"/>
              </w:rPr>
            </w:pPr>
          </w:p>
        </w:tc>
        <w:tc>
          <w:tcPr>
            <w:tcW w:w="11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6,579</w:t>
            </w:r>
          </w:p>
        </w:tc>
        <w:tc>
          <w:tcPr>
            <w:tcW w:w="0" w:type="dxa"/>
            <w:vAlign w:val="bottom"/>
          </w:tcPr>
          <w:p>
            <w:pPr>
              <w:spacing w:after="0"/>
              <w:rPr>
                <w:sz w:val="1"/>
                <w:szCs w:val="1"/>
                <w:color w:val="auto"/>
              </w:rPr>
            </w:pPr>
          </w:p>
        </w:tc>
      </w:tr>
      <w:tr>
        <w:trPr>
          <w:trHeight w:val="250"/>
        </w:trPr>
        <w:tc>
          <w:tcPr>
            <w:tcW w:w="6840" w:type="dxa"/>
            <w:vAlign w:val="bottom"/>
          </w:tcPr>
          <w:p>
            <w:pPr>
              <w:ind w:left="120"/>
              <w:spacing w:after="0"/>
              <w:rPr>
                <w:sz w:val="20"/>
                <w:szCs w:val="20"/>
                <w:color w:val="auto"/>
              </w:rPr>
            </w:pPr>
            <w:r>
              <w:rPr>
                <w:rFonts w:ascii="Arial" w:cs="Arial" w:eastAsia="Arial" w:hAnsi="Arial"/>
                <w:sz w:val="18"/>
                <w:szCs w:val="18"/>
                <w:color w:val="auto"/>
              </w:rPr>
              <w:t>SBU</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3,765</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3,826</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5,022</w:t>
            </w:r>
          </w:p>
        </w:tc>
        <w:tc>
          <w:tcPr>
            <w:tcW w:w="0" w:type="dxa"/>
            <w:vAlign w:val="bottom"/>
          </w:tcPr>
          <w:p>
            <w:pPr>
              <w:spacing w:after="0"/>
              <w:rPr>
                <w:sz w:val="1"/>
                <w:szCs w:val="1"/>
                <w:color w:val="auto"/>
              </w:rPr>
            </w:pPr>
          </w:p>
        </w:tc>
      </w:tr>
      <w:tr>
        <w:trPr>
          <w:trHeight w:val="263"/>
        </w:trPr>
        <w:tc>
          <w:tcPr>
            <w:tcW w:w="6840" w:type="dxa"/>
            <w:vAlign w:val="bottom"/>
            <w:shd w:val="clear" w:color="auto" w:fill="D1D2D4"/>
          </w:tcPr>
          <w:p>
            <w:pPr>
              <w:ind w:left="120"/>
              <w:spacing w:after="0"/>
              <w:rPr>
                <w:sz w:val="20"/>
                <w:szCs w:val="20"/>
                <w:color w:val="auto"/>
              </w:rPr>
            </w:pPr>
            <w:r>
              <w:rPr>
                <w:rFonts w:ascii="Arial" w:cs="Arial" w:eastAsia="Arial" w:hAnsi="Arial"/>
                <w:sz w:val="18"/>
                <w:szCs w:val="18"/>
                <w:color w:val="auto"/>
              </w:rPr>
              <w:t>EBU</w:t>
            </w:r>
          </w:p>
        </w:tc>
        <w:tc>
          <w:tcPr>
            <w:tcW w:w="20" w:type="dxa"/>
            <w:vAlign w:val="bottom"/>
            <w:shd w:val="clear" w:color="auto" w:fill="D1D2D4"/>
          </w:tcPr>
          <w:p>
            <w:pPr>
              <w:spacing w:after="0"/>
              <w:rPr>
                <w:sz w:val="22"/>
                <w:szCs w:val="22"/>
                <w:color w:val="auto"/>
              </w:rPr>
            </w:pPr>
          </w:p>
        </w:tc>
        <w:tc>
          <w:tcPr>
            <w:tcW w:w="300" w:type="dxa"/>
            <w:vAlign w:val="bottom"/>
            <w:shd w:val="clear" w:color="auto" w:fill="D1D2D4"/>
          </w:tcPr>
          <w:p>
            <w:pPr>
              <w:spacing w:after="0"/>
              <w:rPr>
                <w:sz w:val="22"/>
                <w:szCs w:val="22"/>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2,759</w:t>
            </w:r>
          </w:p>
        </w:tc>
        <w:tc>
          <w:tcPr>
            <w:tcW w:w="360" w:type="dxa"/>
            <w:vAlign w:val="bottom"/>
            <w:shd w:val="clear" w:color="auto" w:fill="D1D2D4"/>
          </w:tcPr>
          <w:p>
            <w:pPr>
              <w:spacing w:after="0"/>
              <w:rPr>
                <w:sz w:val="22"/>
                <w:szCs w:val="22"/>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3,137</w:t>
            </w:r>
          </w:p>
        </w:tc>
        <w:tc>
          <w:tcPr>
            <w:tcW w:w="340" w:type="dxa"/>
            <w:vAlign w:val="bottom"/>
            <w:shd w:val="clear" w:color="auto" w:fill="D1D2D4"/>
          </w:tcPr>
          <w:p>
            <w:pPr>
              <w:spacing w:after="0"/>
              <w:rPr>
                <w:sz w:val="22"/>
                <w:szCs w:val="22"/>
                <w:color w:val="auto"/>
              </w:rPr>
            </w:pPr>
          </w:p>
        </w:tc>
        <w:tc>
          <w:tcPr>
            <w:tcW w:w="11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3,479</w:t>
            </w:r>
          </w:p>
        </w:tc>
        <w:tc>
          <w:tcPr>
            <w:tcW w:w="0" w:type="dxa"/>
            <w:vAlign w:val="bottom"/>
          </w:tcPr>
          <w:p>
            <w:pPr>
              <w:spacing w:after="0"/>
              <w:rPr>
                <w:sz w:val="1"/>
                <w:szCs w:val="1"/>
                <w:color w:val="auto"/>
              </w:rPr>
            </w:pPr>
          </w:p>
        </w:tc>
      </w:tr>
      <w:tr>
        <w:trPr>
          <w:trHeight w:val="250"/>
        </w:trPr>
        <w:tc>
          <w:tcPr>
            <w:tcW w:w="6840" w:type="dxa"/>
            <w:vAlign w:val="bottom"/>
            <w:tcBorders>
              <w:bottom w:val="single" w:sz="8" w:color="D1D2D4"/>
            </w:tcBorders>
          </w:tcPr>
          <w:p>
            <w:pPr>
              <w:ind w:left="120"/>
              <w:spacing w:after="0"/>
              <w:rPr>
                <w:sz w:val="20"/>
                <w:szCs w:val="20"/>
                <w:color w:val="auto"/>
              </w:rPr>
            </w:pPr>
            <w:r>
              <w:rPr>
                <w:rFonts w:ascii="Arial" w:cs="Arial" w:eastAsia="Arial" w:hAnsi="Arial"/>
                <w:sz w:val="18"/>
                <w:szCs w:val="18"/>
                <w:color w:val="auto"/>
              </w:rPr>
              <w:t>All Other</w:t>
            </w:r>
          </w:p>
        </w:tc>
        <w:tc>
          <w:tcPr>
            <w:tcW w:w="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5"/>
        </w:trPr>
        <w:tc>
          <w:tcPr>
            <w:tcW w:w="6840" w:type="dxa"/>
            <w:vAlign w:val="bottom"/>
            <w:tcBorders>
              <w:bottom w:val="single" w:sz="8" w:color="D1D2D4"/>
            </w:tcBorders>
            <w:shd w:val="clear" w:color="auto" w:fill="D1D2D4"/>
          </w:tcPr>
          <w:p>
            <w:pPr>
              <w:spacing w:after="0"/>
              <w:rPr>
                <w:sz w:val="23"/>
                <w:szCs w:val="23"/>
                <w:color w:val="auto"/>
              </w:rPr>
            </w:pPr>
          </w:p>
        </w:tc>
        <w:tc>
          <w:tcPr>
            <w:tcW w:w="320" w:type="dxa"/>
            <w:vAlign w:val="bottom"/>
            <w:tcBorders>
              <w:bottom w:val="single" w:sz="8" w:color="auto"/>
            </w:tcBorders>
            <w:gridSpan w:val="2"/>
            <w:shd w:val="clear" w:color="auto" w:fill="D1D2D4"/>
          </w:tcPr>
          <w:p>
            <w:pPr>
              <w:jc w:val="right"/>
              <w:ind w:right="20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21,435</w:t>
            </w:r>
          </w:p>
        </w:tc>
        <w:tc>
          <w:tcPr>
            <w:tcW w:w="360" w:type="dxa"/>
            <w:vAlign w:val="bottom"/>
            <w:tcBorders>
              <w:bottom w:val="single" w:sz="8" w:color="auto"/>
            </w:tcBorders>
            <w:shd w:val="clear" w:color="auto" w:fill="D1D2D4"/>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23,406</w:t>
            </w:r>
          </w:p>
        </w:tc>
        <w:tc>
          <w:tcPr>
            <w:tcW w:w="340" w:type="dxa"/>
            <w:vAlign w:val="bottom"/>
            <w:tcBorders>
              <w:bottom w:val="single" w:sz="8" w:color="auto"/>
            </w:tcBorders>
            <w:shd w:val="clear" w:color="auto" w:fill="D1D2D4"/>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30,391</w:t>
            </w:r>
          </w:p>
        </w:tc>
        <w:tc>
          <w:tcPr>
            <w:tcW w:w="0" w:type="dxa"/>
            <w:vAlign w:val="bottom"/>
          </w:tcPr>
          <w:p>
            <w:pPr>
              <w:spacing w:after="0"/>
              <w:rPr>
                <w:sz w:val="1"/>
                <w:szCs w:val="1"/>
                <w:color w:val="auto"/>
              </w:rPr>
            </w:pPr>
          </w:p>
        </w:tc>
      </w:tr>
      <w:tr>
        <w:trPr>
          <w:trHeight w:val="20"/>
        </w:trPr>
        <w:tc>
          <w:tcPr>
            <w:tcW w:w="6840" w:type="dxa"/>
            <w:vAlign w:val="bottom"/>
            <w:tcBorders>
              <w:top w:val="single" w:sz="8" w:color="D1D2D4"/>
            </w:tcBorders>
          </w:tcPr>
          <w:p>
            <w:pPr>
              <w:spacing w:after="0" w:line="20" w:lineRule="exact"/>
              <w:rPr>
                <w:sz w:val="1"/>
                <w:szCs w:val="1"/>
                <w:color w:val="auto"/>
              </w:rPr>
            </w:pPr>
          </w:p>
        </w:tc>
        <w:tc>
          <w:tcPr>
            <w:tcW w:w="20" w:type="dxa"/>
            <w:vAlign w:val="bottom"/>
            <w:tcBorders>
              <w:top w:val="single" w:sz="8" w:color="D1D2D4"/>
              <w:bottom w:val="single" w:sz="8" w:color="auto"/>
            </w:tcBorders>
          </w:tcPr>
          <w:p>
            <w:pPr>
              <w:spacing w:after="0" w:line="20" w:lineRule="exact"/>
              <w:rPr>
                <w:sz w:val="1"/>
                <w:szCs w:val="1"/>
                <w:color w:val="auto"/>
              </w:rPr>
            </w:pPr>
          </w:p>
        </w:tc>
        <w:tc>
          <w:tcPr>
            <w:tcW w:w="30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c>
          <w:tcPr>
            <w:tcW w:w="36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c>
          <w:tcPr>
            <w:tcW w:w="340" w:type="dxa"/>
            <w:vAlign w:val="bottom"/>
            <w:tcBorders>
              <w:top w:val="single" w:sz="8" w:color="D1D2D4"/>
              <w:bottom w:val="single" w:sz="8" w:color="auto"/>
            </w:tcBorders>
          </w:tcPr>
          <w:p>
            <w:pPr>
              <w:spacing w:after="0" w:line="20" w:lineRule="exact"/>
              <w:rPr>
                <w:sz w:val="1"/>
                <w:szCs w:val="1"/>
                <w:color w:val="auto"/>
              </w:rPr>
            </w:pPr>
          </w:p>
        </w:tc>
        <w:tc>
          <w:tcPr>
            <w:tcW w:w="114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840" w:type="dxa"/>
            <w:vAlign w:val="bottom"/>
            <w:shd w:val="clear" w:color="auto" w:fill="D1D2D4"/>
          </w:tcPr>
          <w:p>
            <w:pPr>
              <w:ind w:left="20"/>
              <w:spacing w:after="0"/>
              <w:rPr>
                <w:sz w:val="20"/>
                <w:szCs w:val="20"/>
                <w:color w:val="auto"/>
              </w:rPr>
            </w:pPr>
            <w:r>
              <w:rPr>
                <w:rFonts w:ascii="Arial" w:cs="Arial" w:eastAsia="Arial" w:hAnsi="Arial"/>
                <w:sz w:val="18"/>
                <w:szCs w:val="18"/>
                <w:color w:val="auto"/>
              </w:rPr>
              <w:t>Operating income (loss)</w:t>
            </w:r>
          </w:p>
        </w:tc>
        <w:tc>
          <w:tcPr>
            <w:tcW w:w="20" w:type="dxa"/>
            <w:vAlign w:val="bottom"/>
            <w:shd w:val="clear" w:color="auto" w:fill="D1D2D4"/>
          </w:tcPr>
          <w:p>
            <w:pPr>
              <w:spacing w:after="0"/>
              <w:rPr>
                <w:sz w:val="22"/>
                <w:szCs w:val="22"/>
                <w:color w:val="auto"/>
              </w:rPr>
            </w:pPr>
          </w:p>
        </w:tc>
        <w:tc>
          <w:tcPr>
            <w:tcW w:w="300" w:type="dxa"/>
            <w:vAlign w:val="bottom"/>
            <w:shd w:val="clear" w:color="auto" w:fill="D1D2D4"/>
          </w:tcPr>
          <w:p>
            <w:pPr>
              <w:spacing w:after="0"/>
              <w:rPr>
                <w:sz w:val="22"/>
                <w:szCs w:val="22"/>
                <w:color w:val="auto"/>
              </w:rPr>
            </w:pPr>
          </w:p>
        </w:tc>
        <w:tc>
          <w:tcPr>
            <w:tcW w:w="1120" w:type="dxa"/>
            <w:vAlign w:val="bottom"/>
            <w:shd w:val="clear" w:color="auto" w:fill="D1D2D4"/>
          </w:tcPr>
          <w:p>
            <w:pPr>
              <w:spacing w:after="0"/>
              <w:rPr>
                <w:sz w:val="22"/>
                <w:szCs w:val="22"/>
                <w:color w:val="auto"/>
              </w:rPr>
            </w:pPr>
          </w:p>
        </w:tc>
        <w:tc>
          <w:tcPr>
            <w:tcW w:w="360" w:type="dxa"/>
            <w:vAlign w:val="bottom"/>
            <w:shd w:val="clear" w:color="auto" w:fill="D1D2D4"/>
          </w:tcPr>
          <w:p>
            <w:pPr>
              <w:spacing w:after="0"/>
              <w:rPr>
                <w:sz w:val="22"/>
                <w:szCs w:val="22"/>
                <w:color w:val="auto"/>
              </w:rPr>
            </w:pPr>
          </w:p>
        </w:tc>
        <w:tc>
          <w:tcPr>
            <w:tcW w:w="1120" w:type="dxa"/>
            <w:vAlign w:val="bottom"/>
            <w:shd w:val="clear" w:color="auto" w:fill="D1D2D4"/>
          </w:tcPr>
          <w:p>
            <w:pPr>
              <w:spacing w:after="0"/>
              <w:rPr>
                <w:sz w:val="22"/>
                <w:szCs w:val="22"/>
                <w:color w:val="auto"/>
              </w:rPr>
            </w:pPr>
          </w:p>
        </w:tc>
        <w:tc>
          <w:tcPr>
            <w:tcW w:w="340" w:type="dxa"/>
            <w:vAlign w:val="bottom"/>
            <w:shd w:val="clear" w:color="auto" w:fill="D1D2D4"/>
          </w:tcPr>
          <w:p>
            <w:pPr>
              <w:spacing w:after="0"/>
              <w:rPr>
                <w:sz w:val="22"/>
                <w:szCs w:val="22"/>
                <w:color w:val="auto"/>
              </w:rPr>
            </w:pPr>
          </w:p>
        </w:tc>
        <w:tc>
          <w:tcPr>
            <w:tcW w:w="1140" w:type="dxa"/>
            <w:vAlign w:val="bottom"/>
            <w:shd w:val="clear" w:color="auto" w:fill="D1D2D4"/>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840" w:type="dxa"/>
            <w:vAlign w:val="bottom"/>
          </w:tcPr>
          <w:p>
            <w:pPr>
              <w:ind w:left="120"/>
              <w:spacing w:after="0"/>
              <w:rPr>
                <w:sz w:val="20"/>
                <w:szCs w:val="20"/>
                <w:color w:val="auto"/>
              </w:rPr>
            </w:pPr>
            <w:r>
              <w:rPr>
                <w:rFonts w:ascii="Arial" w:cs="Arial" w:eastAsia="Arial" w:hAnsi="Arial"/>
                <w:sz w:val="18"/>
                <w:szCs w:val="18"/>
                <w:color w:val="auto"/>
              </w:rPr>
              <w:t>CNBU</w:t>
            </w: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2,010</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4,645</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9,773</w:t>
            </w:r>
          </w:p>
        </w:tc>
        <w:tc>
          <w:tcPr>
            <w:tcW w:w="0" w:type="dxa"/>
            <w:vAlign w:val="bottom"/>
          </w:tcPr>
          <w:p>
            <w:pPr>
              <w:spacing w:after="0"/>
              <w:rPr>
                <w:sz w:val="1"/>
                <w:szCs w:val="1"/>
                <w:color w:val="auto"/>
              </w:rPr>
            </w:pPr>
          </w:p>
        </w:tc>
      </w:tr>
      <w:tr>
        <w:trPr>
          <w:trHeight w:val="263"/>
        </w:trPr>
        <w:tc>
          <w:tcPr>
            <w:tcW w:w="6840" w:type="dxa"/>
            <w:vAlign w:val="bottom"/>
            <w:shd w:val="clear" w:color="auto" w:fill="D1D2D4"/>
          </w:tcPr>
          <w:p>
            <w:pPr>
              <w:ind w:left="120"/>
              <w:spacing w:after="0"/>
              <w:rPr>
                <w:sz w:val="20"/>
                <w:szCs w:val="20"/>
                <w:color w:val="auto"/>
              </w:rPr>
            </w:pPr>
            <w:r>
              <w:rPr>
                <w:rFonts w:ascii="Arial" w:cs="Arial" w:eastAsia="Arial" w:hAnsi="Arial"/>
                <w:sz w:val="18"/>
                <w:szCs w:val="18"/>
                <w:color w:val="auto"/>
              </w:rPr>
              <w:t>MBU</w:t>
            </w:r>
          </w:p>
        </w:tc>
        <w:tc>
          <w:tcPr>
            <w:tcW w:w="20" w:type="dxa"/>
            <w:vAlign w:val="bottom"/>
            <w:shd w:val="clear" w:color="auto" w:fill="D1D2D4"/>
          </w:tcPr>
          <w:p>
            <w:pPr>
              <w:spacing w:after="0"/>
              <w:rPr>
                <w:sz w:val="22"/>
                <w:szCs w:val="22"/>
                <w:color w:val="auto"/>
              </w:rPr>
            </w:pPr>
          </w:p>
        </w:tc>
        <w:tc>
          <w:tcPr>
            <w:tcW w:w="300" w:type="dxa"/>
            <w:vAlign w:val="bottom"/>
            <w:shd w:val="clear" w:color="auto" w:fill="D1D2D4"/>
          </w:tcPr>
          <w:p>
            <w:pPr>
              <w:spacing w:after="0"/>
              <w:rPr>
                <w:sz w:val="22"/>
                <w:szCs w:val="22"/>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1,074</w:t>
            </w:r>
          </w:p>
        </w:tc>
        <w:tc>
          <w:tcPr>
            <w:tcW w:w="360" w:type="dxa"/>
            <w:vAlign w:val="bottom"/>
            <w:shd w:val="clear" w:color="auto" w:fill="D1D2D4"/>
          </w:tcPr>
          <w:p>
            <w:pPr>
              <w:spacing w:after="0"/>
              <w:rPr>
                <w:sz w:val="22"/>
                <w:szCs w:val="22"/>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2,606</w:t>
            </w:r>
          </w:p>
        </w:tc>
        <w:tc>
          <w:tcPr>
            <w:tcW w:w="340" w:type="dxa"/>
            <w:vAlign w:val="bottom"/>
            <w:shd w:val="clear" w:color="auto" w:fill="D1D2D4"/>
          </w:tcPr>
          <w:p>
            <w:pPr>
              <w:spacing w:after="0"/>
              <w:rPr>
                <w:sz w:val="22"/>
                <w:szCs w:val="22"/>
                <w:color w:val="auto"/>
              </w:rPr>
            </w:pPr>
          </w:p>
        </w:tc>
        <w:tc>
          <w:tcPr>
            <w:tcW w:w="11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3,033</w:t>
            </w:r>
          </w:p>
        </w:tc>
        <w:tc>
          <w:tcPr>
            <w:tcW w:w="0" w:type="dxa"/>
            <w:vAlign w:val="bottom"/>
          </w:tcPr>
          <w:p>
            <w:pPr>
              <w:spacing w:after="0"/>
              <w:rPr>
                <w:sz w:val="1"/>
                <w:szCs w:val="1"/>
                <w:color w:val="auto"/>
              </w:rPr>
            </w:pPr>
          </w:p>
        </w:tc>
      </w:tr>
      <w:tr>
        <w:trPr>
          <w:trHeight w:val="250"/>
        </w:trPr>
        <w:tc>
          <w:tcPr>
            <w:tcW w:w="6840" w:type="dxa"/>
            <w:vAlign w:val="bottom"/>
          </w:tcPr>
          <w:p>
            <w:pPr>
              <w:ind w:left="120"/>
              <w:spacing w:after="0"/>
              <w:rPr>
                <w:sz w:val="20"/>
                <w:szCs w:val="20"/>
                <w:color w:val="auto"/>
              </w:rPr>
            </w:pPr>
            <w:r>
              <w:rPr>
                <w:rFonts w:ascii="Arial" w:cs="Arial" w:eastAsia="Arial" w:hAnsi="Arial"/>
                <w:sz w:val="18"/>
                <w:szCs w:val="18"/>
                <w:color w:val="auto"/>
              </w:rPr>
              <w:t>SBU</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(386)</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964</w:t>
            </w:r>
          </w:p>
        </w:tc>
        <w:tc>
          <w:tcPr>
            <w:tcW w:w="0" w:type="dxa"/>
            <w:vAlign w:val="bottom"/>
          </w:tcPr>
          <w:p>
            <w:pPr>
              <w:spacing w:after="0"/>
              <w:rPr>
                <w:sz w:val="1"/>
                <w:szCs w:val="1"/>
                <w:color w:val="auto"/>
              </w:rPr>
            </w:pPr>
          </w:p>
        </w:tc>
      </w:tr>
      <w:tr>
        <w:trPr>
          <w:trHeight w:val="263"/>
        </w:trPr>
        <w:tc>
          <w:tcPr>
            <w:tcW w:w="6840" w:type="dxa"/>
            <w:vAlign w:val="bottom"/>
            <w:shd w:val="clear" w:color="auto" w:fill="D1D2D4"/>
          </w:tcPr>
          <w:p>
            <w:pPr>
              <w:ind w:left="120"/>
              <w:spacing w:after="0"/>
              <w:rPr>
                <w:sz w:val="20"/>
                <w:szCs w:val="20"/>
                <w:color w:val="auto"/>
              </w:rPr>
            </w:pPr>
            <w:r>
              <w:rPr>
                <w:rFonts w:ascii="Arial" w:cs="Arial" w:eastAsia="Arial" w:hAnsi="Arial"/>
                <w:sz w:val="18"/>
                <w:szCs w:val="18"/>
                <w:color w:val="auto"/>
              </w:rPr>
              <w:t>EBU</w:t>
            </w:r>
          </w:p>
        </w:tc>
        <w:tc>
          <w:tcPr>
            <w:tcW w:w="20" w:type="dxa"/>
            <w:vAlign w:val="bottom"/>
            <w:shd w:val="clear" w:color="auto" w:fill="D1D2D4"/>
          </w:tcPr>
          <w:p>
            <w:pPr>
              <w:spacing w:after="0"/>
              <w:rPr>
                <w:sz w:val="22"/>
                <w:szCs w:val="22"/>
                <w:color w:val="auto"/>
              </w:rPr>
            </w:pPr>
          </w:p>
        </w:tc>
        <w:tc>
          <w:tcPr>
            <w:tcW w:w="300" w:type="dxa"/>
            <w:vAlign w:val="bottom"/>
            <w:shd w:val="clear" w:color="auto" w:fill="D1D2D4"/>
          </w:tcPr>
          <w:p>
            <w:pPr>
              <w:spacing w:after="0"/>
              <w:rPr>
                <w:sz w:val="22"/>
                <w:szCs w:val="22"/>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301</w:t>
            </w:r>
          </w:p>
        </w:tc>
        <w:tc>
          <w:tcPr>
            <w:tcW w:w="360" w:type="dxa"/>
            <w:vAlign w:val="bottom"/>
            <w:shd w:val="clear" w:color="auto" w:fill="D1D2D4"/>
          </w:tcPr>
          <w:p>
            <w:pPr>
              <w:spacing w:after="0"/>
              <w:rPr>
                <w:sz w:val="22"/>
                <w:szCs w:val="22"/>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923</w:t>
            </w:r>
          </w:p>
        </w:tc>
        <w:tc>
          <w:tcPr>
            <w:tcW w:w="340" w:type="dxa"/>
            <w:vAlign w:val="bottom"/>
            <w:shd w:val="clear" w:color="auto" w:fill="D1D2D4"/>
          </w:tcPr>
          <w:p>
            <w:pPr>
              <w:spacing w:after="0"/>
              <w:rPr>
                <w:sz w:val="22"/>
                <w:szCs w:val="22"/>
                <w:color w:val="auto"/>
              </w:rPr>
            </w:pPr>
          </w:p>
        </w:tc>
        <w:tc>
          <w:tcPr>
            <w:tcW w:w="11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1,473</w:t>
            </w:r>
          </w:p>
        </w:tc>
        <w:tc>
          <w:tcPr>
            <w:tcW w:w="0" w:type="dxa"/>
            <w:vAlign w:val="bottom"/>
          </w:tcPr>
          <w:p>
            <w:pPr>
              <w:spacing w:after="0"/>
              <w:rPr>
                <w:sz w:val="1"/>
                <w:szCs w:val="1"/>
                <w:color w:val="auto"/>
              </w:rPr>
            </w:pPr>
          </w:p>
        </w:tc>
      </w:tr>
      <w:tr>
        <w:trPr>
          <w:trHeight w:val="250"/>
        </w:trPr>
        <w:tc>
          <w:tcPr>
            <w:tcW w:w="6840" w:type="dxa"/>
            <w:vAlign w:val="bottom"/>
            <w:tcBorders>
              <w:bottom w:val="single" w:sz="8" w:color="D1D2D4"/>
            </w:tcBorders>
          </w:tcPr>
          <w:p>
            <w:pPr>
              <w:ind w:left="120"/>
              <w:spacing w:after="0"/>
              <w:rPr>
                <w:sz w:val="20"/>
                <w:szCs w:val="20"/>
                <w:color w:val="auto"/>
              </w:rPr>
            </w:pPr>
            <w:r>
              <w:rPr>
                <w:rFonts w:ascii="Arial" w:cs="Arial" w:eastAsia="Arial" w:hAnsi="Arial"/>
                <w:sz w:val="18"/>
                <w:szCs w:val="18"/>
                <w:color w:val="auto"/>
              </w:rPr>
              <w:t>All Other</w:t>
            </w:r>
          </w:p>
        </w:tc>
        <w:tc>
          <w:tcPr>
            <w:tcW w:w="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6840" w:type="dxa"/>
            <w:vAlign w:val="bottom"/>
            <w:shd w:val="clear" w:color="auto" w:fill="D1D2D4"/>
          </w:tcPr>
          <w:p>
            <w:pPr>
              <w:spacing w:after="0"/>
              <w:rPr>
                <w:sz w:val="21"/>
                <w:szCs w:val="21"/>
                <w:color w:val="auto"/>
              </w:rPr>
            </w:pPr>
          </w:p>
        </w:tc>
        <w:tc>
          <w:tcPr>
            <w:tcW w:w="20" w:type="dxa"/>
            <w:vAlign w:val="bottom"/>
            <w:tcBorders>
              <w:bottom w:val="single" w:sz="8" w:color="auto"/>
            </w:tcBorders>
            <w:shd w:val="clear" w:color="auto" w:fill="D1D2D4"/>
          </w:tcPr>
          <w:p>
            <w:pPr>
              <w:spacing w:after="0"/>
              <w:rPr>
                <w:sz w:val="21"/>
                <w:szCs w:val="21"/>
                <w:color w:val="auto"/>
              </w:rPr>
            </w:pPr>
          </w:p>
        </w:tc>
        <w:tc>
          <w:tcPr>
            <w:tcW w:w="300" w:type="dxa"/>
            <w:vAlign w:val="bottom"/>
            <w:tcBorders>
              <w:bottom w:val="single" w:sz="8" w:color="auto"/>
            </w:tcBorders>
            <w:shd w:val="clear" w:color="auto" w:fill="D1D2D4"/>
          </w:tcPr>
          <w:p>
            <w:pPr>
              <w:spacing w:after="0"/>
              <w:rPr>
                <w:sz w:val="21"/>
                <w:szCs w:val="21"/>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3,419</w:t>
            </w:r>
          </w:p>
        </w:tc>
        <w:tc>
          <w:tcPr>
            <w:tcW w:w="360" w:type="dxa"/>
            <w:vAlign w:val="bottom"/>
            <w:tcBorders>
              <w:bottom w:val="single" w:sz="8" w:color="auto"/>
            </w:tcBorders>
            <w:shd w:val="clear" w:color="auto" w:fill="D1D2D4"/>
          </w:tcPr>
          <w:p>
            <w:pPr>
              <w:spacing w:after="0"/>
              <w:rPr>
                <w:sz w:val="21"/>
                <w:szCs w:val="21"/>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7,801</w:t>
            </w:r>
          </w:p>
        </w:tc>
        <w:tc>
          <w:tcPr>
            <w:tcW w:w="340" w:type="dxa"/>
            <w:vAlign w:val="bottom"/>
            <w:tcBorders>
              <w:bottom w:val="single" w:sz="8" w:color="auto"/>
            </w:tcBorders>
            <w:shd w:val="clear" w:color="auto" w:fill="D1D2D4"/>
          </w:tcPr>
          <w:p>
            <w:pPr>
              <w:spacing w:after="0"/>
              <w:rPr>
                <w:sz w:val="21"/>
                <w:szCs w:val="21"/>
                <w:color w:val="auto"/>
              </w:rPr>
            </w:pPr>
          </w:p>
        </w:tc>
        <w:tc>
          <w:tcPr>
            <w:tcW w:w="114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15,243</w:t>
            </w:r>
          </w:p>
        </w:tc>
        <w:tc>
          <w:tcPr>
            <w:tcW w:w="0" w:type="dxa"/>
            <w:vAlign w:val="bottom"/>
          </w:tcPr>
          <w:p>
            <w:pPr>
              <w:spacing w:after="0"/>
              <w:rPr>
                <w:sz w:val="1"/>
                <w:szCs w:val="1"/>
                <w:color w:val="auto"/>
              </w:rPr>
            </w:pPr>
          </w:p>
        </w:tc>
      </w:tr>
      <w:tr>
        <w:trPr>
          <w:trHeight w:val="243"/>
        </w:trPr>
        <w:tc>
          <w:tcPr>
            <w:tcW w:w="6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840" w:type="dxa"/>
            <w:vAlign w:val="bottom"/>
            <w:shd w:val="clear" w:color="auto" w:fill="D1D2D4"/>
          </w:tcPr>
          <w:p>
            <w:pPr>
              <w:ind w:left="20"/>
              <w:spacing w:after="0"/>
              <w:rPr>
                <w:sz w:val="20"/>
                <w:szCs w:val="20"/>
                <w:color w:val="auto"/>
              </w:rPr>
            </w:pPr>
            <w:r>
              <w:rPr>
                <w:rFonts w:ascii="Arial" w:cs="Arial" w:eastAsia="Arial" w:hAnsi="Arial"/>
                <w:sz w:val="18"/>
                <w:szCs w:val="18"/>
                <w:color w:val="auto"/>
              </w:rPr>
              <w:t>Unallocated</w:t>
            </w:r>
          </w:p>
        </w:tc>
        <w:tc>
          <w:tcPr>
            <w:tcW w:w="20" w:type="dxa"/>
            <w:vAlign w:val="bottom"/>
            <w:shd w:val="clear" w:color="auto" w:fill="D1D2D4"/>
          </w:tcPr>
          <w:p>
            <w:pPr>
              <w:spacing w:after="0"/>
              <w:rPr>
                <w:sz w:val="22"/>
                <w:szCs w:val="22"/>
                <w:color w:val="auto"/>
              </w:rPr>
            </w:pPr>
          </w:p>
        </w:tc>
        <w:tc>
          <w:tcPr>
            <w:tcW w:w="300" w:type="dxa"/>
            <w:vAlign w:val="bottom"/>
            <w:shd w:val="clear" w:color="auto" w:fill="D1D2D4"/>
          </w:tcPr>
          <w:p>
            <w:pPr>
              <w:spacing w:after="0"/>
              <w:rPr>
                <w:sz w:val="22"/>
                <w:szCs w:val="22"/>
                <w:color w:val="auto"/>
              </w:rPr>
            </w:pPr>
          </w:p>
        </w:tc>
        <w:tc>
          <w:tcPr>
            <w:tcW w:w="1120" w:type="dxa"/>
            <w:vAlign w:val="bottom"/>
            <w:shd w:val="clear" w:color="auto" w:fill="D1D2D4"/>
          </w:tcPr>
          <w:p>
            <w:pPr>
              <w:spacing w:after="0"/>
              <w:rPr>
                <w:sz w:val="22"/>
                <w:szCs w:val="22"/>
                <w:color w:val="auto"/>
              </w:rPr>
            </w:pPr>
          </w:p>
        </w:tc>
        <w:tc>
          <w:tcPr>
            <w:tcW w:w="360" w:type="dxa"/>
            <w:vAlign w:val="bottom"/>
            <w:shd w:val="clear" w:color="auto" w:fill="D1D2D4"/>
          </w:tcPr>
          <w:p>
            <w:pPr>
              <w:spacing w:after="0"/>
              <w:rPr>
                <w:sz w:val="22"/>
                <w:szCs w:val="22"/>
                <w:color w:val="auto"/>
              </w:rPr>
            </w:pPr>
          </w:p>
        </w:tc>
        <w:tc>
          <w:tcPr>
            <w:tcW w:w="1120" w:type="dxa"/>
            <w:vAlign w:val="bottom"/>
            <w:shd w:val="clear" w:color="auto" w:fill="D1D2D4"/>
          </w:tcPr>
          <w:p>
            <w:pPr>
              <w:spacing w:after="0"/>
              <w:rPr>
                <w:sz w:val="22"/>
                <w:szCs w:val="22"/>
                <w:color w:val="auto"/>
              </w:rPr>
            </w:pPr>
          </w:p>
        </w:tc>
        <w:tc>
          <w:tcPr>
            <w:tcW w:w="340" w:type="dxa"/>
            <w:vAlign w:val="bottom"/>
            <w:shd w:val="clear" w:color="auto" w:fill="D1D2D4"/>
          </w:tcPr>
          <w:p>
            <w:pPr>
              <w:spacing w:after="0"/>
              <w:rPr>
                <w:sz w:val="22"/>
                <w:szCs w:val="22"/>
                <w:color w:val="auto"/>
              </w:rPr>
            </w:pPr>
          </w:p>
        </w:tc>
        <w:tc>
          <w:tcPr>
            <w:tcW w:w="1140" w:type="dxa"/>
            <w:vAlign w:val="bottom"/>
            <w:shd w:val="clear" w:color="auto" w:fill="D1D2D4"/>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840" w:type="dxa"/>
            <w:vAlign w:val="bottom"/>
          </w:tcPr>
          <w:p>
            <w:pPr>
              <w:ind w:left="120"/>
              <w:spacing w:after="0"/>
              <w:rPr>
                <w:sz w:val="20"/>
                <w:szCs w:val="20"/>
                <w:color w:val="auto"/>
              </w:rPr>
            </w:pPr>
            <w:r>
              <w:rPr>
                <w:rFonts w:ascii="Arial" w:cs="Arial" w:eastAsia="Arial" w:hAnsi="Arial"/>
                <w:sz w:val="18"/>
                <w:szCs w:val="18"/>
                <w:color w:val="auto"/>
              </w:rPr>
              <w:t>Stock-based compensation</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(328)</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(243)</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63"/>
        </w:trPr>
        <w:tc>
          <w:tcPr>
            <w:tcW w:w="6840" w:type="dxa"/>
            <w:vAlign w:val="bottom"/>
            <w:shd w:val="clear" w:color="auto" w:fill="D1D2D4"/>
          </w:tcPr>
          <w:p>
            <w:pPr>
              <w:ind w:left="120"/>
              <w:spacing w:after="0"/>
              <w:rPr>
                <w:sz w:val="20"/>
                <w:szCs w:val="20"/>
                <w:color w:val="auto"/>
              </w:rPr>
            </w:pPr>
            <w:r>
              <w:rPr>
                <w:rFonts w:ascii="Arial" w:cs="Arial" w:eastAsia="Arial" w:hAnsi="Arial"/>
                <w:sz w:val="18"/>
                <w:szCs w:val="18"/>
                <w:color w:val="auto"/>
              </w:rPr>
              <w:t>Restructure and asset impairments</w:t>
            </w:r>
          </w:p>
        </w:tc>
        <w:tc>
          <w:tcPr>
            <w:tcW w:w="20" w:type="dxa"/>
            <w:vAlign w:val="bottom"/>
            <w:shd w:val="clear" w:color="auto" w:fill="D1D2D4"/>
          </w:tcPr>
          <w:p>
            <w:pPr>
              <w:spacing w:after="0"/>
              <w:rPr>
                <w:sz w:val="22"/>
                <w:szCs w:val="22"/>
                <w:color w:val="auto"/>
              </w:rPr>
            </w:pPr>
          </w:p>
        </w:tc>
        <w:tc>
          <w:tcPr>
            <w:tcW w:w="300" w:type="dxa"/>
            <w:vAlign w:val="bottom"/>
            <w:shd w:val="clear" w:color="auto" w:fill="D1D2D4"/>
          </w:tcPr>
          <w:p>
            <w:pPr>
              <w:spacing w:after="0"/>
              <w:rPr>
                <w:sz w:val="22"/>
                <w:szCs w:val="22"/>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(60)</w:t>
            </w:r>
          </w:p>
        </w:tc>
        <w:tc>
          <w:tcPr>
            <w:tcW w:w="360" w:type="dxa"/>
            <w:vAlign w:val="bottom"/>
            <w:shd w:val="clear" w:color="auto" w:fill="D1D2D4"/>
          </w:tcPr>
          <w:p>
            <w:pPr>
              <w:spacing w:after="0"/>
              <w:rPr>
                <w:sz w:val="22"/>
                <w:szCs w:val="22"/>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32</w:t>
            </w:r>
          </w:p>
        </w:tc>
        <w:tc>
          <w:tcPr>
            <w:tcW w:w="340" w:type="dxa"/>
            <w:vAlign w:val="bottom"/>
            <w:shd w:val="clear" w:color="auto" w:fill="D1D2D4"/>
          </w:tcPr>
          <w:p>
            <w:pPr>
              <w:spacing w:after="0"/>
              <w:rPr>
                <w:sz w:val="22"/>
                <w:szCs w:val="22"/>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50"/>
        </w:trPr>
        <w:tc>
          <w:tcPr>
            <w:tcW w:w="6840" w:type="dxa"/>
            <w:vAlign w:val="bottom"/>
          </w:tcPr>
          <w:p>
            <w:pPr>
              <w:ind w:left="120"/>
              <w:spacing w:after="0"/>
              <w:rPr>
                <w:sz w:val="20"/>
                <w:szCs w:val="20"/>
                <w:color w:val="auto"/>
              </w:rPr>
            </w:pPr>
            <w:r>
              <w:rPr>
                <w:rFonts w:ascii="Arial" w:cs="Arial" w:eastAsia="Arial" w:hAnsi="Arial"/>
                <w:sz w:val="18"/>
                <w:szCs w:val="18"/>
                <w:color w:val="auto"/>
              </w:rPr>
              <w:t>Employee severance</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(116)</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6840" w:type="dxa"/>
            <w:vAlign w:val="bottom"/>
            <w:shd w:val="clear" w:color="auto" w:fill="D1D2D4"/>
          </w:tcPr>
          <w:p>
            <w:pPr>
              <w:ind w:left="120"/>
              <w:spacing w:after="0"/>
              <w:rPr>
                <w:sz w:val="20"/>
                <w:szCs w:val="20"/>
                <w:color w:val="auto"/>
              </w:rPr>
            </w:pPr>
            <w:r>
              <w:rPr>
                <w:rFonts w:ascii="Arial" w:cs="Arial" w:eastAsia="Arial" w:hAnsi="Arial"/>
                <w:sz w:val="18"/>
                <w:szCs w:val="18"/>
                <w:color w:val="auto"/>
              </w:rPr>
              <w:t>Start-up and preproduction costs</w:t>
            </w:r>
          </w:p>
        </w:tc>
        <w:tc>
          <w:tcPr>
            <w:tcW w:w="20" w:type="dxa"/>
            <w:vAlign w:val="bottom"/>
            <w:shd w:val="clear" w:color="auto" w:fill="D1D2D4"/>
          </w:tcPr>
          <w:p>
            <w:pPr>
              <w:spacing w:after="0"/>
              <w:rPr>
                <w:sz w:val="22"/>
                <w:szCs w:val="22"/>
                <w:color w:val="auto"/>
              </w:rPr>
            </w:pPr>
          </w:p>
        </w:tc>
        <w:tc>
          <w:tcPr>
            <w:tcW w:w="300" w:type="dxa"/>
            <w:vAlign w:val="bottom"/>
            <w:shd w:val="clear" w:color="auto" w:fill="D1D2D4"/>
          </w:tcPr>
          <w:p>
            <w:pPr>
              <w:spacing w:after="0"/>
              <w:rPr>
                <w:sz w:val="22"/>
                <w:szCs w:val="22"/>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D1D2D4"/>
          </w:tcPr>
          <w:p>
            <w:pPr>
              <w:spacing w:after="0"/>
              <w:rPr>
                <w:sz w:val="22"/>
                <w:szCs w:val="22"/>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(58)</w:t>
            </w:r>
          </w:p>
        </w:tc>
        <w:tc>
          <w:tcPr>
            <w:tcW w:w="340" w:type="dxa"/>
            <w:vAlign w:val="bottom"/>
            <w:shd w:val="clear" w:color="auto" w:fill="D1D2D4"/>
          </w:tcPr>
          <w:p>
            <w:pPr>
              <w:spacing w:after="0"/>
              <w:rPr>
                <w:sz w:val="22"/>
                <w:szCs w:val="22"/>
                <w:color w:val="auto"/>
              </w:rPr>
            </w:pPr>
          </w:p>
        </w:tc>
        <w:tc>
          <w:tcPr>
            <w:tcW w:w="11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6840" w:type="dxa"/>
            <w:vAlign w:val="bottom"/>
            <w:tcBorders>
              <w:bottom w:val="single" w:sz="8" w:color="D1D2D4"/>
            </w:tcBorders>
          </w:tcPr>
          <w:p>
            <w:pPr>
              <w:ind w:left="120"/>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50"/>
        </w:trPr>
        <w:tc>
          <w:tcPr>
            <w:tcW w:w="6840" w:type="dxa"/>
            <w:vAlign w:val="bottom"/>
            <w:shd w:val="clear" w:color="auto" w:fill="D1D2D4"/>
          </w:tcPr>
          <w:p>
            <w:pPr>
              <w:spacing w:after="0"/>
              <w:rPr>
                <w:sz w:val="21"/>
                <w:szCs w:val="21"/>
                <w:color w:val="auto"/>
              </w:rPr>
            </w:pPr>
          </w:p>
        </w:tc>
        <w:tc>
          <w:tcPr>
            <w:tcW w:w="20" w:type="dxa"/>
            <w:vAlign w:val="bottom"/>
            <w:tcBorders>
              <w:bottom w:val="single" w:sz="8" w:color="auto"/>
            </w:tcBorders>
            <w:shd w:val="clear" w:color="auto" w:fill="D1D2D4"/>
          </w:tcPr>
          <w:p>
            <w:pPr>
              <w:spacing w:after="0"/>
              <w:rPr>
                <w:sz w:val="21"/>
                <w:szCs w:val="21"/>
                <w:color w:val="auto"/>
              </w:rPr>
            </w:pPr>
          </w:p>
        </w:tc>
        <w:tc>
          <w:tcPr>
            <w:tcW w:w="300" w:type="dxa"/>
            <w:vAlign w:val="bottom"/>
            <w:tcBorders>
              <w:bottom w:val="single" w:sz="8" w:color="auto"/>
            </w:tcBorders>
            <w:shd w:val="clear" w:color="auto" w:fill="D1D2D4"/>
          </w:tcPr>
          <w:p>
            <w:pPr>
              <w:spacing w:after="0"/>
              <w:rPr>
                <w:sz w:val="21"/>
                <w:szCs w:val="21"/>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(416)</w:t>
            </w:r>
          </w:p>
        </w:tc>
        <w:tc>
          <w:tcPr>
            <w:tcW w:w="360" w:type="dxa"/>
            <w:vAlign w:val="bottom"/>
            <w:tcBorders>
              <w:bottom w:val="single" w:sz="8" w:color="auto"/>
            </w:tcBorders>
            <w:shd w:val="clear" w:color="auto" w:fill="D1D2D4"/>
          </w:tcPr>
          <w:p>
            <w:pPr>
              <w:spacing w:after="0"/>
              <w:rPr>
                <w:sz w:val="21"/>
                <w:szCs w:val="21"/>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(425)</w:t>
            </w:r>
          </w:p>
        </w:tc>
        <w:tc>
          <w:tcPr>
            <w:tcW w:w="340" w:type="dxa"/>
            <w:vAlign w:val="bottom"/>
            <w:tcBorders>
              <w:bottom w:val="single" w:sz="8" w:color="auto"/>
            </w:tcBorders>
            <w:shd w:val="clear" w:color="auto" w:fill="D1D2D4"/>
          </w:tcPr>
          <w:p>
            <w:pPr>
              <w:spacing w:after="0"/>
              <w:rPr>
                <w:sz w:val="21"/>
                <w:szCs w:val="21"/>
                <w:color w:val="auto"/>
              </w:rPr>
            </w:pP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43"/>
        </w:trPr>
        <w:tc>
          <w:tcPr>
            <w:tcW w:w="6840" w:type="dxa"/>
            <w:vAlign w:val="bottom"/>
            <w:tcBorders>
              <w:bottom w:val="single" w:sz="8" w:color="D1D2D4"/>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684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Operating income</w:t>
            </w:r>
          </w:p>
        </w:tc>
        <w:tc>
          <w:tcPr>
            <w:tcW w:w="320" w:type="dxa"/>
            <w:vAlign w:val="bottom"/>
            <w:tcBorders>
              <w:bottom w:val="single" w:sz="8" w:color="auto"/>
            </w:tcBorders>
            <w:gridSpan w:val="2"/>
            <w:shd w:val="clear" w:color="auto" w:fill="D1D2D4"/>
          </w:tcPr>
          <w:p>
            <w:pPr>
              <w:jc w:val="right"/>
              <w:ind w:right="20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3,003</w:t>
            </w:r>
          </w:p>
        </w:tc>
        <w:tc>
          <w:tcPr>
            <w:tcW w:w="360" w:type="dxa"/>
            <w:vAlign w:val="bottom"/>
            <w:tcBorders>
              <w:bottom w:val="single" w:sz="8" w:color="auto"/>
            </w:tcBorders>
            <w:shd w:val="clear" w:color="auto" w:fill="D1D2D4"/>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7,376</w:t>
            </w:r>
          </w:p>
        </w:tc>
        <w:tc>
          <w:tcPr>
            <w:tcW w:w="340" w:type="dxa"/>
            <w:vAlign w:val="bottom"/>
            <w:tcBorders>
              <w:bottom w:val="single" w:sz="8" w:color="auto"/>
            </w:tcBorders>
            <w:shd w:val="clear" w:color="auto" w:fill="D1D2D4"/>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14,994</w:t>
            </w:r>
          </w:p>
        </w:tc>
        <w:tc>
          <w:tcPr>
            <w:tcW w:w="0" w:type="dxa"/>
            <w:vAlign w:val="bottom"/>
          </w:tcPr>
          <w:p>
            <w:pPr>
              <w:spacing w:after="0"/>
              <w:rPr>
                <w:sz w:val="1"/>
                <w:szCs w:val="1"/>
                <w:color w:val="auto"/>
              </w:rPr>
            </w:pPr>
          </w:p>
        </w:tc>
      </w:tr>
      <w:tr>
        <w:trPr>
          <w:trHeight w:val="20"/>
        </w:trPr>
        <w:tc>
          <w:tcPr>
            <w:tcW w:w="6840" w:type="dxa"/>
            <w:vAlign w:val="bottom"/>
            <w:tcBorders>
              <w:top w:val="single" w:sz="8" w:color="D1D2D4"/>
              <w:bottom w:val="single" w:sz="8" w:color="D1D2D4"/>
            </w:tcBorders>
            <w:vMerge w:val="restart"/>
          </w:tcPr>
          <w:p>
            <w:pPr>
              <w:spacing w:after="0"/>
              <w:rPr>
                <w:sz w:val="20"/>
                <w:szCs w:val="20"/>
                <w:color w:val="auto"/>
              </w:rPr>
            </w:pPr>
            <w:r>
              <w:rPr>
                <w:rFonts w:ascii="Arial" w:cs="Arial" w:eastAsia="Arial" w:hAnsi="Arial"/>
                <w:sz w:val="18"/>
                <w:szCs w:val="18"/>
                <w:color w:val="auto"/>
              </w:rPr>
              <w:t>Depreciation and amortization expense included in operating income was as follows:</w:t>
            </w:r>
          </w:p>
        </w:tc>
        <w:tc>
          <w:tcPr>
            <w:tcW w:w="20" w:type="dxa"/>
            <w:vAlign w:val="bottom"/>
            <w:tcBorders>
              <w:top w:val="single" w:sz="8" w:color="D1D2D4"/>
              <w:bottom w:val="single" w:sz="8" w:color="auto"/>
            </w:tcBorders>
          </w:tcPr>
          <w:p>
            <w:pPr>
              <w:spacing w:after="0" w:line="20" w:lineRule="exact"/>
              <w:rPr>
                <w:sz w:val="1"/>
                <w:szCs w:val="1"/>
                <w:color w:val="auto"/>
              </w:rPr>
            </w:pPr>
          </w:p>
        </w:tc>
        <w:tc>
          <w:tcPr>
            <w:tcW w:w="30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c>
          <w:tcPr>
            <w:tcW w:w="36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c>
          <w:tcPr>
            <w:tcW w:w="340" w:type="dxa"/>
            <w:vAlign w:val="bottom"/>
            <w:tcBorders>
              <w:top w:val="single" w:sz="8" w:color="D1D2D4"/>
              <w:bottom w:val="single" w:sz="8" w:color="auto"/>
            </w:tcBorders>
          </w:tcPr>
          <w:p>
            <w:pPr>
              <w:spacing w:after="0" w:line="20" w:lineRule="exact"/>
              <w:rPr>
                <w:sz w:val="1"/>
                <w:szCs w:val="1"/>
                <w:color w:val="auto"/>
              </w:rPr>
            </w:pPr>
          </w:p>
        </w:tc>
        <w:tc>
          <w:tcPr>
            <w:tcW w:w="114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68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684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For the year ended</w:t>
            </w:r>
          </w:p>
        </w:tc>
        <w:tc>
          <w:tcPr>
            <w:tcW w:w="20" w:type="dxa"/>
            <w:vAlign w:val="bottom"/>
            <w:tcBorders>
              <w:bottom w:val="single" w:sz="8" w:color="0090DA"/>
            </w:tcBorders>
          </w:tcPr>
          <w:p>
            <w:pPr>
              <w:spacing w:after="0"/>
              <w:rPr>
                <w:sz w:val="24"/>
                <w:szCs w:val="24"/>
                <w:color w:val="auto"/>
              </w:rPr>
            </w:pPr>
          </w:p>
        </w:tc>
        <w:tc>
          <w:tcPr>
            <w:tcW w:w="300" w:type="dxa"/>
            <w:vAlign w:val="bottom"/>
            <w:tcBorders>
              <w:bottom w:val="single" w:sz="8" w:color="0090DA"/>
            </w:tcBorders>
          </w:tcPr>
          <w:p>
            <w:pPr>
              <w:spacing w:after="0"/>
              <w:rPr>
                <w:sz w:val="24"/>
                <w:szCs w:val="24"/>
                <w:color w:val="auto"/>
              </w:rPr>
            </w:pPr>
          </w:p>
        </w:tc>
        <w:tc>
          <w:tcPr>
            <w:tcW w:w="1120" w:type="dxa"/>
            <w:vAlign w:val="bottom"/>
            <w:tcBorders>
              <w:bottom w:val="single" w:sz="8" w:color="0090DA"/>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360" w:type="dxa"/>
            <w:vAlign w:val="bottom"/>
            <w:tcBorders>
              <w:bottom w:val="single" w:sz="8" w:color="0090DA"/>
            </w:tcBorders>
          </w:tcPr>
          <w:p>
            <w:pPr>
              <w:spacing w:after="0"/>
              <w:rPr>
                <w:sz w:val="24"/>
                <w:szCs w:val="24"/>
                <w:color w:val="auto"/>
              </w:rPr>
            </w:pPr>
          </w:p>
        </w:tc>
        <w:tc>
          <w:tcPr>
            <w:tcW w:w="11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340" w:type="dxa"/>
            <w:vAlign w:val="bottom"/>
            <w:tcBorders>
              <w:bottom w:val="single" w:sz="8" w:color="0090DA"/>
            </w:tcBorders>
          </w:tcPr>
          <w:p>
            <w:pPr>
              <w:spacing w:after="0"/>
              <w:rPr>
                <w:sz w:val="24"/>
                <w:szCs w:val="24"/>
                <w:color w:val="auto"/>
              </w:rPr>
            </w:pPr>
          </w:p>
        </w:tc>
        <w:tc>
          <w:tcPr>
            <w:tcW w:w="1140" w:type="dxa"/>
            <w:vAlign w:val="bottom"/>
            <w:tcBorders>
              <w:bottom w:val="single" w:sz="8" w:color="0090DA"/>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40"/>
        </w:trPr>
        <w:tc>
          <w:tcPr>
            <w:tcW w:w="684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6840" w:type="dxa"/>
            <w:vAlign w:val="bottom"/>
            <w:shd w:val="clear" w:color="auto" w:fill="D1D2D4"/>
          </w:tcPr>
          <w:p>
            <w:pPr>
              <w:ind w:left="20"/>
              <w:spacing w:after="0"/>
              <w:rPr>
                <w:sz w:val="20"/>
                <w:szCs w:val="20"/>
                <w:color w:val="auto"/>
              </w:rPr>
            </w:pPr>
            <w:r>
              <w:rPr>
                <w:rFonts w:ascii="Arial" w:cs="Arial" w:eastAsia="Arial" w:hAnsi="Arial"/>
                <w:sz w:val="18"/>
                <w:szCs w:val="18"/>
                <w:color w:val="auto"/>
              </w:rPr>
              <w:t>CNBU</w:t>
            </w:r>
          </w:p>
        </w:tc>
        <w:tc>
          <w:tcPr>
            <w:tcW w:w="320" w:type="dxa"/>
            <w:vAlign w:val="bottom"/>
            <w:gridSpan w:val="2"/>
            <w:shd w:val="clear" w:color="auto" w:fill="D1D2D4"/>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2,318</w:t>
            </w:r>
          </w:p>
        </w:tc>
        <w:tc>
          <w:tcPr>
            <w:tcW w:w="36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1,833</w:t>
            </w:r>
          </w:p>
        </w:tc>
        <w:tc>
          <w:tcPr>
            <w:tcW w:w="34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1,755</w:t>
            </w:r>
          </w:p>
        </w:tc>
        <w:tc>
          <w:tcPr>
            <w:tcW w:w="0" w:type="dxa"/>
            <w:vAlign w:val="bottom"/>
          </w:tcPr>
          <w:p>
            <w:pPr>
              <w:spacing w:after="0"/>
              <w:rPr>
                <w:sz w:val="1"/>
                <w:szCs w:val="1"/>
                <w:color w:val="auto"/>
              </w:rPr>
            </w:pPr>
          </w:p>
        </w:tc>
      </w:tr>
      <w:tr>
        <w:trPr>
          <w:trHeight w:val="250"/>
        </w:trPr>
        <w:tc>
          <w:tcPr>
            <w:tcW w:w="6840" w:type="dxa"/>
            <w:vAlign w:val="bottom"/>
          </w:tcPr>
          <w:p>
            <w:pPr>
              <w:ind w:left="20"/>
              <w:spacing w:after="0"/>
              <w:rPr>
                <w:sz w:val="20"/>
                <w:szCs w:val="20"/>
                <w:color w:val="auto"/>
              </w:rPr>
            </w:pPr>
            <w:r>
              <w:rPr>
                <w:rFonts w:ascii="Arial" w:cs="Arial" w:eastAsia="Arial" w:hAnsi="Arial"/>
                <w:sz w:val="18"/>
                <w:szCs w:val="18"/>
                <w:color w:val="auto"/>
              </w:rPr>
              <w:t>MBU</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1,436</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1,235</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1,077</w:t>
            </w:r>
          </w:p>
        </w:tc>
        <w:tc>
          <w:tcPr>
            <w:tcW w:w="0" w:type="dxa"/>
            <w:vAlign w:val="bottom"/>
          </w:tcPr>
          <w:p>
            <w:pPr>
              <w:spacing w:after="0"/>
              <w:rPr>
                <w:sz w:val="1"/>
                <w:szCs w:val="1"/>
                <w:color w:val="auto"/>
              </w:rPr>
            </w:pPr>
          </w:p>
        </w:tc>
      </w:tr>
      <w:tr>
        <w:trPr>
          <w:trHeight w:val="263"/>
        </w:trPr>
        <w:tc>
          <w:tcPr>
            <w:tcW w:w="6840" w:type="dxa"/>
            <w:vAlign w:val="bottom"/>
            <w:shd w:val="clear" w:color="auto" w:fill="D1D2D4"/>
          </w:tcPr>
          <w:p>
            <w:pPr>
              <w:ind w:left="20"/>
              <w:spacing w:after="0"/>
              <w:rPr>
                <w:sz w:val="20"/>
                <w:szCs w:val="20"/>
                <w:color w:val="auto"/>
              </w:rPr>
            </w:pPr>
            <w:r>
              <w:rPr>
                <w:rFonts w:ascii="Arial" w:cs="Arial" w:eastAsia="Arial" w:hAnsi="Arial"/>
                <w:sz w:val="18"/>
                <w:szCs w:val="18"/>
                <w:color w:val="auto"/>
              </w:rPr>
              <w:t>SBU</w:t>
            </w:r>
          </w:p>
        </w:tc>
        <w:tc>
          <w:tcPr>
            <w:tcW w:w="20" w:type="dxa"/>
            <w:vAlign w:val="bottom"/>
            <w:shd w:val="clear" w:color="auto" w:fill="D1D2D4"/>
          </w:tcPr>
          <w:p>
            <w:pPr>
              <w:spacing w:after="0"/>
              <w:rPr>
                <w:sz w:val="22"/>
                <w:szCs w:val="22"/>
                <w:color w:val="auto"/>
              </w:rPr>
            </w:pPr>
          </w:p>
        </w:tc>
        <w:tc>
          <w:tcPr>
            <w:tcW w:w="300" w:type="dxa"/>
            <w:vAlign w:val="bottom"/>
            <w:shd w:val="clear" w:color="auto" w:fill="D1D2D4"/>
          </w:tcPr>
          <w:p>
            <w:pPr>
              <w:spacing w:after="0"/>
              <w:rPr>
                <w:sz w:val="22"/>
                <w:szCs w:val="22"/>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1,115</w:t>
            </w:r>
          </w:p>
        </w:tc>
        <w:tc>
          <w:tcPr>
            <w:tcW w:w="360" w:type="dxa"/>
            <w:vAlign w:val="bottom"/>
            <w:shd w:val="clear" w:color="auto" w:fill="D1D2D4"/>
          </w:tcPr>
          <w:p>
            <w:pPr>
              <w:spacing w:after="0"/>
              <w:rPr>
                <w:sz w:val="22"/>
                <w:szCs w:val="22"/>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1,555</w:t>
            </w:r>
          </w:p>
        </w:tc>
        <w:tc>
          <w:tcPr>
            <w:tcW w:w="340" w:type="dxa"/>
            <w:vAlign w:val="bottom"/>
            <w:shd w:val="clear" w:color="auto" w:fill="D1D2D4"/>
          </w:tcPr>
          <w:p>
            <w:pPr>
              <w:spacing w:after="0"/>
              <w:rPr>
                <w:sz w:val="22"/>
                <w:szCs w:val="22"/>
                <w:color w:val="auto"/>
              </w:rPr>
            </w:pPr>
          </w:p>
        </w:tc>
        <w:tc>
          <w:tcPr>
            <w:tcW w:w="11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1,295</w:t>
            </w:r>
          </w:p>
        </w:tc>
        <w:tc>
          <w:tcPr>
            <w:tcW w:w="0" w:type="dxa"/>
            <w:vAlign w:val="bottom"/>
          </w:tcPr>
          <w:p>
            <w:pPr>
              <w:spacing w:after="0"/>
              <w:rPr>
                <w:sz w:val="1"/>
                <w:szCs w:val="1"/>
                <w:color w:val="auto"/>
              </w:rPr>
            </w:pPr>
          </w:p>
        </w:tc>
      </w:tr>
      <w:tr>
        <w:trPr>
          <w:trHeight w:val="250"/>
        </w:trPr>
        <w:tc>
          <w:tcPr>
            <w:tcW w:w="6840" w:type="dxa"/>
            <w:vAlign w:val="bottom"/>
          </w:tcPr>
          <w:p>
            <w:pPr>
              <w:ind w:left="20"/>
              <w:spacing w:after="0"/>
              <w:rPr>
                <w:sz w:val="20"/>
                <w:szCs w:val="20"/>
                <w:color w:val="auto"/>
              </w:rPr>
            </w:pPr>
            <w:r>
              <w:rPr>
                <w:rFonts w:ascii="Arial" w:cs="Arial" w:eastAsia="Arial" w:hAnsi="Arial"/>
                <w:sz w:val="18"/>
                <w:szCs w:val="18"/>
                <w:color w:val="auto"/>
              </w:rPr>
              <w:t>EBU</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741</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748</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63"/>
        </w:trPr>
        <w:tc>
          <w:tcPr>
            <w:tcW w:w="6840" w:type="dxa"/>
            <w:vAlign w:val="bottom"/>
            <w:shd w:val="clear" w:color="auto" w:fill="D1D2D4"/>
          </w:tcPr>
          <w:p>
            <w:pPr>
              <w:ind w:left="20"/>
              <w:spacing w:after="0"/>
              <w:rPr>
                <w:sz w:val="20"/>
                <w:szCs w:val="20"/>
                <w:color w:val="auto"/>
              </w:rPr>
            </w:pPr>
            <w:r>
              <w:rPr>
                <w:rFonts w:ascii="Arial" w:cs="Arial" w:eastAsia="Arial" w:hAnsi="Arial"/>
                <w:sz w:val="18"/>
                <w:szCs w:val="18"/>
                <w:color w:val="auto"/>
              </w:rPr>
              <w:t>All Other</w:t>
            </w:r>
          </w:p>
        </w:tc>
        <w:tc>
          <w:tcPr>
            <w:tcW w:w="20" w:type="dxa"/>
            <w:vAlign w:val="bottom"/>
            <w:shd w:val="clear" w:color="auto" w:fill="D1D2D4"/>
          </w:tcPr>
          <w:p>
            <w:pPr>
              <w:spacing w:after="0"/>
              <w:rPr>
                <w:sz w:val="22"/>
                <w:szCs w:val="22"/>
                <w:color w:val="auto"/>
              </w:rPr>
            </w:pPr>
          </w:p>
        </w:tc>
        <w:tc>
          <w:tcPr>
            <w:tcW w:w="300" w:type="dxa"/>
            <w:vAlign w:val="bottom"/>
            <w:shd w:val="clear" w:color="auto" w:fill="D1D2D4"/>
          </w:tcPr>
          <w:p>
            <w:pPr>
              <w:spacing w:after="0"/>
              <w:rPr>
                <w:sz w:val="22"/>
                <w:szCs w:val="22"/>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w:t>
            </w:r>
          </w:p>
        </w:tc>
        <w:tc>
          <w:tcPr>
            <w:tcW w:w="360" w:type="dxa"/>
            <w:vAlign w:val="bottom"/>
            <w:shd w:val="clear" w:color="auto" w:fill="D1D2D4"/>
          </w:tcPr>
          <w:p>
            <w:pPr>
              <w:spacing w:after="0"/>
              <w:rPr>
                <w:sz w:val="22"/>
                <w:szCs w:val="22"/>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w:t>
            </w:r>
          </w:p>
        </w:tc>
        <w:tc>
          <w:tcPr>
            <w:tcW w:w="340" w:type="dxa"/>
            <w:vAlign w:val="bottom"/>
            <w:shd w:val="clear" w:color="auto" w:fill="D1D2D4"/>
          </w:tcPr>
          <w:p>
            <w:pPr>
              <w:spacing w:after="0"/>
              <w:rPr>
                <w:sz w:val="22"/>
                <w:szCs w:val="22"/>
                <w:color w:val="auto"/>
              </w:rPr>
            </w:pPr>
          </w:p>
        </w:tc>
        <w:tc>
          <w:tcPr>
            <w:tcW w:w="11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50"/>
        </w:trPr>
        <w:tc>
          <w:tcPr>
            <w:tcW w:w="684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Unallocated</w:t>
            </w:r>
          </w:p>
        </w:tc>
        <w:tc>
          <w:tcPr>
            <w:tcW w:w="20" w:type="dxa"/>
            <w:vAlign w:val="bottom"/>
            <w:tcBorders>
              <w:bottom w:val="single" w:sz="8" w:color="D1D2D4"/>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0"/>
        </w:trPr>
        <w:tc>
          <w:tcPr>
            <w:tcW w:w="6840" w:type="dxa"/>
            <w:vAlign w:val="bottom"/>
            <w:shd w:val="clear" w:color="auto" w:fill="D1D2D4"/>
          </w:tcPr>
          <w:p>
            <w:pPr>
              <w:spacing w:after="0"/>
              <w:rPr>
                <w:sz w:val="23"/>
                <w:szCs w:val="23"/>
                <w:color w:val="auto"/>
              </w:rPr>
            </w:pPr>
          </w:p>
        </w:tc>
        <w:tc>
          <w:tcPr>
            <w:tcW w:w="320" w:type="dxa"/>
            <w:vAlign w:val="bottom"/>
            <w:gridSpan w:val="2"/>
            <w:shd w:val="clear" w:color="auto" w:fill="D1D2D4"/>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5,650</w:t>
            </w:r>
          </w:p>
        </w:tc>
        <w:tc>
          <w:tcPr>
            <w:tcW w:w="36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5,424</w:t>
            </w:r>
          </w:p>
        </w:tc>
        <w:tc>
          <w:tcPr>
            <w:tcW w:w="34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4,759</w:t>
            </w:r>
          </w:p>
        </w:tc>
        <w:tc>
          <w:tcPr>
            <w:tcW w:w="0" w:type="dxa"/>
            <w:vAlign w:val="bottom"/>
          </w:tcPr>
          <w:p>
            <w:pPr>
              <w:spacing w:after="0"/>
              <w:rPr>
                <w:sz w:val="1"/>
                <w:szCs w:val="1"/>
                <w:color w:val="auto"/>
              </w:rPr>
            </w:pPr>
          </w:p>
        </w:tc>
      </w:tr>
      <w:tr>
        <w:trPr>
          <w:trHeight w:val="20"/>
        </w:trPr>
        <w:tc>
          <w:tcPr>
            <w:tcW w:w="6840" w:type="dxa"/>
            <w:vAlign w:val="bottom"/>
            <w:tcBorders>
              <w:top w:val="single" w:sz="8" w:color="D1D2D4"/>
            </w:tcBorders>
          </w:tcPr>
          <w:p>
            <w:pPr>
              <w:spacing w:after="0" w:line="20" w:lineRule="exact"/>
              <w:rPr>
                <w:sz w:val="1"/>
                <w:szCs w:val="1"/>
                <w:color w:val="auto"/>
              </w:rPr>
            </w:pPr>
          </w:p>
        </w:tc>
        <w:tc>
          <w:tcPr>
            <w:tcW w:w="20" w:type="dxa"/>
            <w:vAlign w:val="bottom"/>
            <w:tcBorders>
              <w:top w:val="single" w:sz="8" w:color="D1D2D4"/>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0040"/>
        <w:spacing w:after="0"/>
        <w:rPr>
          <w:sz w:val="20"/>
          <w:szCs w:val="20"/>
          <w:color w:val="auto"/>
        </w:rPr>
      </w:pPr>
      <w:r>
        <w:rPr>
          <w:sz w:val="1"/>
          <w:szCs w:val="1"/>
          <w:color w:val="auto"/>
        </w:rPr>
        <w:drawing>
          <wp:inline distT="0" distB="0" distL="0" distR="0">
            <wp:extent cx="608330" cy="171450"/>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8330" cy="171450"/>
                    </a:xfrm>
                    <a:prstGeom prst="rect">
                      <a:avLst/>
                    </a:prstGeom>
                    <a:noFill/>
                    <a:ln>
                      <a:noFill/>
                    </a:ln>
                  </pic:spPr>
                </pic:pic>
              </a:graphicData>
            </a:graphic>
          </wp:inline>
        </w:drawing>
      </w:r>
      <w:r>
        <w:rPr>
          <w:rFonts w:ascii="Arial" w:cs="Arial" w:eastAsia="Arial" w:hAnsi="Arial"/>
          <w:sz w:val="13"/>
          <w:szCs w:val="13"/>
          <w:color w:val="auto"/>
        </w:rPr>
        <w:t xml:space="preserve"> 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3" w:name="page84"/>
    <w:bookmarkEnd w:id="83"/>
    <w:p>
      <w:pPr>
        <w:spacing w:after="0"/>
        <w:rPr>
          <w:sz w:val="20"/>
          <w:szCs w:val="20"/>
          <w:color w:val="auto"/>
        </w:rPr>
      </w:pPr>
      <w:r>
        <w:rPr>
          <w:rFonts w:ascii="Arial" w:cs="Arial" w:eastAsia="Arial" w:hAnsi="Arial"/>
          <w:sz w:val="40"/>
          <w:szCs w:val="40"/>
          <w:b w:val="1"/>
          <w:bCs w:val="1"/>
          <w:color w:val="auto"/>
        </w:rPr>
        <w:t>Certain Concentrations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520" w:type="dxa"/>
            <w:vAlign w:val="bottom"/>
            <w:gridSpan w:val="3"/>
          </w:tcPr>
          <w:p>
            <w:pPr>
              <w:spacing w:after="0"/>
              <w:rPr>
                <w:sz w:val="20"/>
                <w:szCs w:val="20"/>
                <w:color w:val="auto"/>
              </w:rPr>
            </w:pPr>
            <w:r>
              <w:rPr>
                <w:rFonts w:ascii="Arial" w:cs="Arial" w:eastAsia="Arial" w:hAnsi="Arial"/>
                <w:sz w:val="18"/>
                <w:szCs w:val="18"/>
                <w:color w:val="auto"/>
              </w:rPr>
              <w:t>Revenue by market segment as an approximate percent of total revenue is presented in the table below:</w:t>
            </w: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77"/>
        </w:trPr>
        <w:tc>
          <w:tcPr>
            <w:tcW w:w="508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For the year ended</w:t>
            </w:r>
          </w:p>
        </w:tc>
        <w:tc>
          <w:tcPr>
            <w:tcW w:w="2840" w:type="dxa"/>
            <w:vAlign w:val="bottom"/>
            <w:tcBorders>
              <w:bottom w:val="single" w:sz="8" w:color="0090DA"/>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600" w:type="dxa"/>
            <w:vAlign w:val="bottom"/>
            <w:tcBorders>
              <w:bottom w:val="single" w:sz="8" w:color="0090DA"/>
            </w:tcBorders>
          </w:tcPr>
          <w:p>
            <w:pPr>
              <w:spacing w:after="0"/>
              <w:rPr>
                <w:sz w:val="24"/>
                <w:szCs w:val="24"/>
                <w:color w:val="auto"/>
              </w:rPr>
            </w:pPr>
          </w:p>
        </w:tc>
        <w:tc>
          <w:tcPr>
            <w:tcW w:w="960" w:type="dxa"/>
            <w:vAlign w:val="bottom"/>
            <w:tcBorders>
              <w:bottom w:val="single" w:sz="8" w:color="0090DA"/>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480" w:type="dxa"/>
            <w:vAlign w:val="bottom"/>
            <w:tcBorders>
              <w:bottom w:val="single" w:sz="8" w:color="0090DA"/>
            </w:tcBorders>
          </w:tcPr>
          <w:p>
            <w:pPr>
              <w:spacing w:after="0"/>
              <w:rPr>
                <w:sz w:val="24"/>
                <w:szCs w:val="24"/>
                <w:color w:val="auto"/>
              </w:rPr>
            </w:pPr>
          </w:p>
        </w:tc>
        <w:tc>
          <w:tcPr>
            <w:tcW w:w="1060" w:type="dxa"/>
            <w:vAlign w:val="bottom"/>
            <w:tcBorders>
              <w:bottom w:val="single" w:sz="8" w:color="0090DA"/>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0090DA"/>
            </w:tcBorders>
          </w:tcPr>
          <w:p>
            <w:pPr>
              <w:spacing w:after="0"/>
              <w:rPr>
                <w:sz w:val="24"/>
                <w:szCs w:val="24"/>
                <w:color w:val="auto"/>
              </w:rPr>
            </w:pPr>
          </w:p>
        </w:tc>
      </w:tr>
      <w:tr>
        <w:trPr>
          <w:trHeight w:val="40"/>
        </w:trPr>
        <w:tc>
          <w:tcPr>
            <w:tcW w:w="5080" w:type="dxa"/>
            <w:vAlign w:val="bottom"/>
          </w:tcPr>
          <w:p>
            <w:pPr>
              <w:spacing w:after="0"/>
              <w:rPr>
                <w:sz w:val="3"/>
                <w:szCs w:val="3"/>
                <w:color w:val="auto"/>
              </w:rPr>
            </w:pPr>
          </w:p>
        </w:tc>
        <w:tc>
          <w:tcPr>
            <w:tcW w:w="284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57"/>
        </w:trPr>
        <w:tc>
          <w:tcPr>
            <w:tcW w:w="5080" w:type="dxa"/>
            <w:vAlign w:val="bottom"/>
            <w:shd w:val="clear" w:color="auto" w:fill="D1D2D4"/>
          </w:tcPr>
          <w:p>
            <w:pPr>
              <w:ind w:left="20"/>
              <w:spacing w:after="0"/>
              <w:rPr>
                <w:sz w:val="20"/>
                <w:szCs w:val="20"/>
                <w:color w:val="auto"/>
              </w:rPr>
            </w:pPr>
            <w:r>
              <w:rPr>
                <w:rFonts w:ascii="Arial" w:cs="Arial" w:eastAsia="Arial" w:hAnsi="Arial"/>
                <w:sz w:val="18"/>
                <w:szCs w:val="18"/>
                <w:color w:val="auto"/>
              </w:rPr>
              <w:t>Mobile</w:t>
            </w:r>
          </w:p>
        </w:tc>
        <w:tc>
          <w:tcPr>
            <w:tcW w:w="3440" w:type="dxa"/>
            <w:vAlign w:val="bottom"/>
            <w:gridSpan w:val="2"/>
            <w:shd w:val="clear" w:color="auto" w:fill="D1D2D4"/>
          </w:tcPr>
          <w:p>
            <w:pPr>
              <w:jc w:val="right"/>
              <w:ind w:right="310"/>
              <w:spacing w:after="0"/>
              <w:rPr>
                <w:sz w:val="20"/>
                <w:szCs w:val="20"/>
                <w:color w:val="auto"/>
              </w:rPr>
            </w:pPr>
            <w:r>
              <w:rPr>
                <w:rFonts w:ascii="Arial" w:cs="Arial" w:eastAsia="Arial" w:hAnsi="Arial"/>
                <w:sz w:val="18"/>
                <w:szCs w:val="18"/>
                <w:color w:val="auto"/>
              </w:rPr>
              <w:t>25 %</w:t>
            </w:r>
          </w:p>
        </w:tc>
        <w:tc>
          <w:tcPr>
            <w:tcW w:w="1440" w:type="dxa"/>
            <w:vAlign w:val="bottom"/>
            <w:gridSpan w:val="2"/>
            <w:shd w:val="clear" w:color="auto" w:fill="D1D2D4"/>
          </w:tcPr>
          <w:p>
            <w:pPr>
              <w:jc w:val="right"/>
              <w:ind w:right="210"/>
              <w:spacing w:after="0"/>
              <w:rPr>
                <w:sz w:val="20"/>
                <w:szCs w:val="20"/>
                <w:color w:val="auto"/>
              </w:rPr>
            </w:pPr>
            <w:r>
              <w:rPr>
                <w:rFonts w:ascii="Arial" w:cs="Arial" w:eastAsia="Arial" w:hAnsi="Arial"/>
                <w:sz w:val="18"/>
                <w:szCs w:val="18"/>
                <w:color w:val="auto"/>
              </w:rPr>
              <w:t>25 %</w:t>
            </w:r>
          </w:p>
        </w:tc>
        <w:tc>
          <w:tcPr>
            <w:tcW w:w="128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20 %</w:t>
            </w:r>
          </w:p>
        </w:tc>
      </w:tr>
      <w:tr>
        <w:trPr>
          <w:trHeight w:val="250"/>
        </w:trPr>
        <w:tc>
          <w:tcPr>
            <w:tcW w:w="5080" w:type="dxa"/>
            <w:vAlign w:val="bottom"/>
          </w:tcPr>
          <w:p>
            <w:pPr>
              <w:ind w:left="20"/>
              <w:spacing w:after="0"/>
              <w:rPr>
                <w:sz w:val="20"/>
                <w:szCs w:val="20"/>
                <w:color w:val="auto"/>
              </w:rPr>
            </w:pPr>
            <w:r>
              <w:rPr>
                <w:rFonts w:ascii="Arial" w:cs="Arial" w:eastAsia="Arial" w:hAnsi="Arial"/>
                <w:sz w:val="18"/>
                <w:szCs w:val="18"/>
                <w:color w:val="auto"/>
              </w:rPr>
              <w:t>Client and graphics</w:t>
            </w:r>
          </w:p>
        </w:tc>
        <w:tc>
          <w:tcPr>
            <w:tcW w:w="2840" w:type="dxa"/>
            <w:vAlign w:val="bottom"/>
          </w:tcPr>
          <w:p>
            <w:pPr>
              <w:jc w:val="right"/>
              <w:spacing w:after="0"/>
              <w:rPr>
                <w:sz w:val="20"/>
                <w:szCs w:val="20"/>
                <w:color w:val="auto"/>
              </w:rPr>
            </w:pPr>
            <w:r>
              <w:rPr>
                <w:rFonts w:ascii="Arial" w:cs="Arial" w:eastAsia="Arial" w:hAnsi="Arial"/>
                <w:sz w:val="18"/>
                <w:szCs w:val="18"/>
                <w:color w:val="auto"/>
              </w:rPr>
              <w:t>20</w:t>
            </w:r>
          </w:p>
        </w:tc>
        <w:tc>
          <w:tcPr>
            <w:tcW w:w="6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5080" w:type="dxa"/>
            <w:vAlign w:val="bottom"/>
            <w:shd w:val="clear" w:color="auto" w:fill="D1D2D4"/>
          </w:tcPr>
          <w:p>
            <w:pPr>
              <w:ind w:left="20"/>
              <w:spacing w:after="0"/>
              <w:rPr>
                <w:sz w:val="20"/>
                <w:szCs w:val="20"/>
                <w:color w:val="auto"/>
              </w:rPr>
            </w:pPr>
            <w:r>
              <w:rPr>
                <w:rFonts w:ascii="Arial" w:cs="Arial" w:eastAsia="Arial" w:hAnsi="Arial"/>
                <w:sz w:val="18"/>
                <w:szCs w:val="18"/>
                <w:color w:val="auto"/>
              </w:rPr>
              <w:t>Enterprise and cloud server</w:t>
            </w:r>
          </w:p>
        </w:tc>
        <w:tc>
          <w:tcPr>
            <w:tcW w:w="28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w:t>
            </w:r>
          </w:p>
        </w:tc>
        <w:tc>
          <w:tcPr>
            <w:tcW w:w="600" w:type="dxa"/>
            <w:vAlign w:val="bottom"/>
            <w:shd w:val="clear" w:color="auto" w:fill="D1D2D4"/>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w:t>
            </w:r>
          </w:p>
        </w:tc>
        <w:tc>
          <w:tcPr>
            <w:tcW w:w="480" w:type="dxa"/>
            <w:vAlign w:val="bottom"/>
            <w:shd w:val="clear" w:color="auto" w:fill="D1D2D4"/>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25</w:t>
            </w:r>
          </w:p>
        </w:tc>
        <w:tc>
          <w:tcPr>
            <w:tcW w:w="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5080" w:type="dxa"/>
            <w:vAlign w:val="bottom"/>
          </w:tcPr>
          <w:p>
            <w:pPr>
              <w:ind w:left="20"/>
              <w:spacing w:after="0"/>
              <w:rPr>
                <w:sz w:val="20"/>
                <w:szCs w:val="20"/>
                <w:color w:val="auto"/>
              </w:rPr>
            </w:pPr>
            <w:r>
              <w:rPr>
                <w:rFonts w:ascii="Arial" w:cs="Arial" w:eastAsia="Arial" w:hAnsi="Arial"/>
                <w:sz w:val="18"/>
                <w:szCs w:val="18"/>
                <w:color w:val="auto"/>
              </w:rPr>
              <w:t>SSDs and other storage</w:t>
            </w:r>
          </w:p>
        </w:tc>
        <w:tc>
          <w:tcPr>
            <w:tcW w:w="3440" w:type="dxa"/>
            <w:vAlign w:val="bottom"/>
            <w:gridSpan w:val="2"/>
          </w:tcPr>
          <w:p>
            <w:pPr>
              <w:jc w:val="right"/>
              <w:ind w:right="310"/>
              <w:spacing w:after="0"/>
              <w:rPr>
                <w:sz w:val="20"/>
                <w:szCs w:val="20"/>
                <w:color w:val="auto"/>
              </w:rPr>
            </w:pPr>
            <w:r>
              <w:rPr>
                <w:rFonts w:ascii="Arial" w:cs="Arial" w:eastAsia="Arial" w:hAnsi="Arial"/>
                <w:sz w:val="18"/>
                <w:szCs w:val="18"/>
                <w:color w:val="auto"/>
              </w:rPr>
              <w:t>20 %</w:t>
            </w:r>
          </w:p>
        </w:tc>
        <w:tc>
          <w:tcPr>
            <w:tcW w:w="1440" w:type="dxa"/>
            <w:vAlign w:val="bottom"/>
            <w:gridSpan w:val="2"/>
          </w:tcPr>
          <w:p>
            <w:pPr>
              <w:jc w:val="right"/>
              <w:ind w:right="210"/>
              <w:spacing w:after="0"/>
              <w:rPr>
                <w:sz w:val="20"/>
                <w:szCs w:val="20"/>
                <w:color w:val="auto"/>
              </w:rPr>
            </w:pPr>
            <w:r>
              <w:rPr>
                <w:rFonts w:ascii="Arial" w:cs="Arial" w:eastAsia="Arial" w:hAnsi="Arial"/>
                <w:sz w:val="18"/>
                <w:szCs w:val="18"/>
                <w:color w:val="auto"/>
              </w:rPr>
              <w:t>15 %</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15 %</w:t>
            </w:r>
          </w:p>
        </w:tc>
      </w:tr>
      <w:tr>
        <w:trPr>
          <w:trHeight w:val="263"/>
        </w:trPr>
        <w:tc>
          <w:tcPr>
            <w:tcW w:w="5080" w:type="dxa"/>
            <w:vAlign w:val="bottom"/>
            <w:shd w:val="clear" w:color="auto" w:fill="D1D2D4"/>
          </w:tcPr>
          <w:p>
            <w:pPr>
              <w:ind w:left="20"/>
              <w:spacing w:after="0"/>
              <w:rPr>
                <w:sz w:val="20"/>
                <w:szCs w:val="20"/>
                <w:color w:val="auto"/>
              </w:rPr>
            </w:pPr>
            <w:r>
              <w:rPr>
                <w:rFonts w:ascii="Arial" w:cs="Arial" w:eastAsia="Arial" w:hAnsi="Arial"/>
                <w:sz w:val="18"/>
                <w:szCs w:val="18"/>
                <w:color w:val="auto"/>
              </w:rPr>
              <w:t>Automotive, industrial, and consumer</w:t>
            </w:r>
          </w:p>
        </w:tc>
        <w:tc>
          <w:tcPr>
            <w:tcW w:w="28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w:t>
            </w:r>
          </w:p>
        </w:tc>
        <w:tc>
          <w:tcPr>
            <w:tcW w:w="600" w:type="dxa"/>
            <w:vAlign w:val="bottom"/>
            <w:shd w:val="clear" w:color="auto" w:fill="D1D2D4"/>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w:t>
            </w:r>
          </w:p>
        </w:tc>
        <w:tc>
          <w:tcPr>
            <w:tcW w:w="480" w:type="dxa"/>
            <w:vAlign w:val="bottom"/>
            <w:shd w:val="clear" w:color="auto" w:fill="D1D2D4"/>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r>
    </w:tbl>
    <w:p>
      <w:pPr>
        <w:spacing w:after="0" w:line="350"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Revenue from Kingston Technology Company, Inc. was 11%, 11%, and 10% of total revenue for 2020, 2019, and 2018, respectively. Revenue from Huawei Technologies Co. Ltd. was 12% of total revenue for 2019. Our sales to Kingston were included in our CNBU, MBU, and SBU segments and our sales to Huawei were included in our MBU, CNBU, SBU, and EBU segments.</w:t>
      </w:r>
    </w:p>
    <w:p>
      <w:pPr>
        <w:spacing w:after="0" w:line="229"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We generally have multiple sources of supply for our raw materials and production equipment; however, only a limited number of suppliers are capable of delivering certain raw materials and production equipment that meet our standards and, in some cases, materials or production equipment are provided by a single supplier.</w:t>
      </w:r>
    </w:p>
    <w:p>
      <w:pPr>
        <w:spacing w:after="0" w:line="22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Financial instruments that potentially subject us to concentrations of credit risk consist principally of cash, money market accounts, certificates of deposit, fixed-rate debt securities, trade receivables, share repurchase, and derivative contracts. We invest through high-credit-quality financial institutions and, by policy, generally limit the concentration of credit exposure by restricting investments with any single obligor and monitoring credit risk of bank counterparties on an ongoing basis. A concentration of credit risk may exist with respect to receivables of certain customers. We perform ongoing credit evaluations of customers worldwide and generally do not require collateral from our customers. Historically, we have not experienced material losses on receivables. A concentration of risk may also exist with respect to our foreign currency hedges as the number of counterparties to our hedges is limited and the notional amounts are relatively large. We seek to mitigate such risk by limiting our counterparties to major financial institutions and through entering into master netting arrangements.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Geographic Information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Revenue based on the geographic location of our customers’ headquarters was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84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For the year ended</w:t>
            </w:r>
          </w:p>
        </w:tc>
        <w:tc>
          <w:tcPr>
            <w:tcW w:w="320" w:type="dxa"/>
            <w:vAlign w:val="bottom"/>
            <w:tcBorders>
              <w:bottom w:val="single" w:sz="8" w:color="0090DA"/>
            </w:tcBorders>
          </w:tcPr>
          <w:p>
            <w:pPr>
              <w:spacing w:after="0"/>
              <w:rPr>
                <w:sz w:val="21"/>
                <w:szCs w:val="21"/>
                <w:color w:val="auto"/>
              </w:rPr>
            </w:pPr>
          </w:p>
        </w:tc>
        <w:tc>
          <w:tcPr>
            <w:tcW w:w="1100" w:type="dxa"/>
            <w:vAlign w:val="bottom"/>
            <w:tcBorders>
              <w:bottom w:val="single" w:sz="8" w:color="0090DA"/>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360" w:type="dxa"/>
            <w:vAlign w:val="bottom"/>
            <w:tcBorders>
              <w:bottom w:val="single" w:sz="8" w:color="0090DA"/>
            </w:tcBorders>
          </w:tcPr>
          <w:p>
            <w:pPr>
              <w:spacing w:after="0"/>
              <w:rPr>
                <w:sz w:val="21"/>
                <w:szCs w:val="21"/>
                <w:color w:val="auto"/>
              </w:rPr>
            </w:pPr>
          </w:p>
        </w:tc>
        <w:tc>
          <w:tcPr>
            <w:tcW w:w="1120" w:type="dxa"/>
            <w:vAlign w:val="bottom"/>
            <w:tcBorders>
              <w:bottom w:val="single" w:sz="8" w:color="0090DA"/>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360" w:type="dxa"/>
            <w:vAlign w:val="bottom"/>
            <w:tcBorders>
              <w:bottom w:val="single" w:sz="8" w:color="0090DA"/>
            </w:tcBorders>
          </w:tcPr>
          <w:p>
            <w:pPr>
              <w:spacing w:after="0"/>
              <w:rPr>
                <w:sz w:val="21"/>
                <w:szCs w:val="21"/>
                <w:color w:val="auto"/>
              </w:rPr>
            </w:pPr>
          </w:p>
        </w:tc>
        <w:tc>
          <w:tcPr>
            <w:tcW w:w="1140" w:type="dxa"/>
            <w:vAlign w:val="bottom"/>
            <w:tcBorders>
              <w:bottom w:val="single" w:sz="8" w:color="0090DA"/>
            </w:tcBorders>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41"/>
        </w:trPr>
        <w:tc>
          <w:tcPr>
            <w:tcW w:w="6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56"/>
        </w:trPr>
        <w:tc>
          <w:tcPr>
            <w:tcW w:w="6840" w:type="dxa"/>
            <w:vAlign w:val="bottom"/>
            <w:shd w:val="clear" w:color="auto" w:fill="D1D2D4"/>
          </w:tcPr>
          <w:p>
            <w:pPr>
              <w:ind w:left="20"/>
              <w:spacing w:after="0"/>
              <w:rPr>
                <w:sz w:val="20"/>
                <w:szCs w:val="20"/>
                <w:color w:val="auto"/>
              </w:rPr>
            </w:pPr>
            <w:r>
              <w:rPr>
                <w:rFonts w:ascii="Arial" w:cs="Arial" w:eastAsia="Arial" w:hAnsi="Arial"/>
                <w:sz w:val="18"/>
                <w:szCs w:val="18"/>
                <w:color w:val="auto"/>
              </w:rPr>
              <w:t>United States</w:t>
            </w:r>
          </w:p>
        </w:tc>
        <w:tc>
          <w:tcPr>
            <w:tcW w:w="32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10,381</w:t>
            </w:r>
          </w:p>
        </w:tc>
        <w:tc>
          <w:tcPr>
            <w:tcW w:w="36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12,451</w:t>
            </w:r>
          </w:p>
        </w:tc>
        <w:tc>
          <w:tcPr>
            <w:tcW w:w="36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17,116</w:t>
            </w:r>
          </w:p>
        </w:tc>
      </w:tr>
      <w:tr>
        <w:trPr>
          <w:trHeight w:val="250"/>
        </w:trPr>
        <w:tc>
          <w:tcPr>
            <w:tcW w:w="6840" w:type="dxa"/>
            <w:vAlign w:val="bottom"/>
          </w:tcPr>
          <w:p>
            <w:pPr>
              <w:ind w:left="20"/>
              <w:spacing w:after="0"/>
              <w:rPr>
                <w:sz w:val="20"/>
                <w:szCs w:val="20"/>
                <w:color w:val="auto"/>
              </w:rPr>
            </w:pPr>
            <w:r>
              <w:rPr>
                <w:rFonts w:ascii="Arial" w:cs="Arial" w:eastAsia="Arial" w:hAnsi="Arial"/>
                <w:sz w:val="18"/>
                <w:szCs w:val="18"/>
                <w:color w:val="auto"/>
              </w:rPr>
              <w:t>Taiwan</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3,657</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2,703</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3,918</w:t>
            </w:r>
          </w:p>
        </w:tc>
      </w:tr>
      <w:tr>
        <w:trPr>
          <w:trHeight w:val="263"/>
        </w:trPr>
        <w:tc>
          <w:tcPr>
            <w:tcW w:w="6840" w:type="dxa"/>
            <w:vAlign w:val="bottom"/>
            <w:shd w:val="clear" w:color="auto" w:fill="D1D2D4"/>
          </w:tcPr>
          <w:p>
            <w:pPr>
              <w:ind w:left="20"/>
              <w:spacing w:after="0"/>
              <w:rPr>
                <w:sz w:val="20"/>
                <w:szCs w:val="20"/>
                <w:color w:val="auto"/>
              </w:rPr>
            </w:pPr>
            <w:r>
              <w:rPr>
                <w:rFonts w:ascii="Arial" w:cs="Arial" w:eastAsia="Arial" w:hAnsi="Arial"/>
                <w:sz w:val="18"/>
                <w:szCs w:val="18"/>
                <w:color w:val="auto"/>
              </w:rPr>
              <w:t>Mainland China (excluding Hong Kong)</w:t>
            </w:r>
          </w:p>
        </w:tc>
        <w:tc>
          <w:tcPr>
            <w:tcW w:w="320" w:type="dxa"/>
            <w:vAlign w:val="bottom"/>
            <w:shd w:val="clear" w:color="auto" w:fill="D1D2D4"/>
          </w:tcPr>
          <w:p>
            <w:pPr>
              <w:spacing w:after="0"/>
              <w:rPr>
                <w:sz w:val="22"/>
                <w:szCs w:val="22"/>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2,337</w:t>
            </w:r>
          </w:p>
        </w:tc>
        <w:tc>
          <w:tcPr>
            <w:tcW w:w="360" w:type="dxa"/>
            <w:vAlign w:val="bottom"/>
            <w:shd w:val="clear" w:color="auto" w:fill="D1D2D4"/>
          </w:tcPr>
          <w:p>
            <w:pPr>
              <w:spacing w:after="0"/>
              <w:rPr>
                <w:sz w:val="22"/>
                <w:szCs w:val="22"/>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3,595</w:t>
            </w:r>
          </w:p>
        </w:tc>
        <w:tc>
          <w:tcPr>
            <w:tcW w:w="360" w:type="dxa"/>
            <w:vAlign w:val="bottom"/>
            <w:shd w:val="clear" w:color="auto" w:fill="D1D2D4"/>
          </w:tcPr>
          <w:p>
            <w:pPr>
              <w:spacing w:after="0"/>
              <w:rPr>
                <w:sz w:val="22"/>
                <w:szCs w:val="22"/>
                <w:color w:val="auto"/>
              </w:rPr>
            </w:pPr>
          </w:p>
        </w:tc>
        <w:tc>
          <w:tcPr>
            <w:tcW w:w="11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3,607</w:t>
            </w:r>
          </w:p>
        </w:tc>
      </w:tr>
      <w:tr>
        <w:trPr>
          <w:trHeight w:val="250"/>
        </w:trPr>
        <w:tc>
          <w:tcPr>
            <w:tcW w:w="6840" w:type="dxa"/>
            <w:vAlign w:val="bottom"/>
          </w:tcPr>
          <w:p>
            <w:pPr>
              <w:ind w:left="20"/>
              <w:spacing w:after="0"/>
              <w:rPr>
                <w:sz w:val="20"/>
                <w:szCs w:val="20"/>
                <w:color w:val="auto"/>
              </w:rPr>
            </w:pPr>
            <w:r>
              <w:rPr>
                <w:rFonts w:ascii="Arial" w:cs="Arial" w:eastAsia="Arial" w:hAnsi="Arial"/>
                <w:sz w:val="18"/>
                <w:szCs w:val="18"/>
                <w:color w:val="auto"/>
              </w:rPr>
              <w:t>Hong Kong</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1,792</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1,614</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1,761</w:t>
            </w:r>
          </w:p>
        </w:tc>
      </w:tr>
      <w:tr>
        <w:trPr>
          <w:trHeight w:val="263"/>
        </w:trPr>
        <w:tc>
          <w:tcPr>
            <w:tcW w:w="6840" w:type="dxa"/>
            <w:vAlign w:val="bottom"/>
            <w:shd w:val="clear" w:color="auto" w:fill="D1D2D4"/>
          </w:tcPr>
          <w:p>
            <w:pPr>
              <w:ind w:left="20"/>
              <w:spacing w:after="0"/>
              <w:rPr>
                <w:sz w:val="20"/>
                <w:szCs w:val="20"/>
                <w:color w:val="auto"/>
              </w:rPr>
            </w:pPr>
            <w:r>
              <w:rPr>
                <w:rFonts w:ascii="Arial" w:cs="Arial" w:eastAsia="Arial" w:hAnsi="Arial"/>
                <w:sz w:val="18"/>
                <w:szCs w:val="18"/>
                <w:color w:val="auto"/>
              </w:rPr>
              <w:t>Japan</w:t>
            </w:r>
          </w:p>
        </w:tc>
        <w:tc>
          <w:tcPr>
            <w:tcW w:w="320" w:type="dxa"/>
            <w:vAlign w:val="bottom"/>
            <w:shd w:val="clear" w:color="auto" w:fill="D1D2D4"/>
          </w:tcPr>
          <w:p>
            <w:pPr>
              <w:spacing w:after="0"/>
              <w:rPr>
                <w:sz w:val="22"/>
                <w:szCs w:val="22"/>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1,387</w:t>
            </w:r>
          </w:p>
        </w:tc>
        <w:tc>
          <w:tcPr>
            <w:tcW w:w="360" w:type="dxa"/>
            <w:vAlign w:val="bottom"/>
            <w:shd w:val="clear" w:color="auto" w:fill="D1D2D4"/>
          </w:tcPr>
          <w:p>
            <w:pPr>
              <w:spacing w:after="0"/>
              <w:rPr>
                <w:sz w:val="22"/>
                <w:szCs w:val="22"/>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958</w:t>
            </w:r>
          </w:p>
        </w:tc>
        <w:tc>
          <w:tcPr>
            <w:tcW w:w="360" w:type="dxa"/>
            <w:vAlign w:val="bottom"/>
            <w:shd w:val="clear" w:color="auto" w:fill="D1D2D4"/>
          </w:tcPr>
          <w:p>
            <w:pPr>
              <w:spacing w:after="0"/>
              <w:rPr>
                <w:sz w:val="22"/>
                <w:szCs w:val="22"/>
                <w:color w:val="auto"/>
              </w:rPr>
            </w:pPr>
          </w:p>
        </w:tc>
        <w:tc>
          <w:tcPr>
            <w:tcW w:w="11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1,265</w:t>
            </w:r>
          </w:p>
        </w:tc>
      </w:tr>
      <w:tr>
        <w:trPr>
          <w:trHeight w:val="250"/>
        </w:trPr>
        <w:tc>
          <w:tcPr>
            <w:tcW w:w="6840" w:type="dxa"/>
            <w:vAlign w:val="bottom"/>
          </w:tcPr>
          <w:p>
            <w:pPr>
              <w:ind w:left="20"/>
              <w:spacing w:after="0"/>
              <w:rPr>
                <w:sz w:val="20"/>
                <w:szCs w:val="20"/>
                <w:color w:val="auto"/>
              </w:rPr>
            </w:pPr>
            <w:r>
              <w:rPr>
                <w:rFonts w:ascii="Arial" w:cs="Arial" w:eastAsia="Arial" w:hAnsi="Arial"/>
                <w:sz w:val="18"/>
                <w:szCs w:val="18"/>
                <w:color w:val="auto"/>
              </w:rPr>
              <w:t>Other Asia Pacific</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1,157</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1,032</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1,458</w:t>
            </w:r>
          </w:p>
        </w:tc>
      </w:tr>
      <w:tr>
        <w:trPr>
          <w:trHeight w:val="257"/>
        </w:trPr>
        <w:tc>
          <w:tcPr>
            <w:tcW w:w="684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D1D2D4"/>
          </w:tcPr>
          <w:p>
            <w:pPr>
              <w:spacing w:after="0"/>
              <w:rPr>
                <w:sz w:val="22"/>
                <w:szCs w:val="22"/>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724</w:t>
            </w:r>
          </w:p>
        </w:tc>
        <w:tc>
          <w:tcPr>
            <w:tcW w:w="360" w:type="dxa"/>
            <w:vAlign w:val="bottom"/>
            <w:tcBorders>
              <w:bottom w:val="single" w:sz="8" w:color="auto"/>
            </w:tcBorders>
            <w:shd w:val="clear" w:color="auto" w:fill="D1D2D4"/>
          </w:tcPr>
          <w:p>
            <w:pPr>
              <w:spacing w:after="0"/>
              <w:rPr>
                <w:sz w:val="22"/>
                <w:szCs w:val="22"/>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1,053</w:t>
            </w:r>
          </w:p>
        </w:tc>
        <w:tc>
          <w:tcPr>
            <w:tcW w:w="360" w:type="dxa"/>
            <w:vAlign w:val="bottom"/>
            <w:tcBorders>
              <w:bottom w:val="single" w:sz="8" w:color="auto"/>
            </w:tcBorders>
            <w:shd w:val="clear" w:color="auto" w:fill="D1D2D4"/>
          </w:tcPr>
          <w:p>
            <w:pPr>
              <w:spacing w:after="0"/>
              <w:rPr>
                <w:sz w:val="22"/>
                <w:szCs w:val="22"/>
                <w:color w:val="auto"/>
              </w:rPr>
            </w:pPr>
          </w:p>
        </w:tc>
        <w:tc>
          <w:tcPr>
            <w:tcW w:w="114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1,266</w:t>
            </w:r>
          </w:p>
        </w:tc>
      </w:tr>
      <w:tr>
        <w:trPr>
          <w:trHeight w:val="250"/>
        </w:trPr>
        <w:tc>
          <w:tcPr>
            <w:tcW w:w="684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21,435</w:t>
            </w: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23,406</w:t>
            </w: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30,391</w:t>
            </w:r>
          </w:p>
        </w:tc>
      </w:tr>
      <w:tr>
        <w:trPr>
          <w:trHeight w:val="27"/>
        </w:trPr>
        <w:tc>
          <w:tcPr>
            <w:tcW w:w="68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81 </w:t>
      </w:r>
      <w:r>
        <w:rPr>
          <w:rFonts w:ascii="Arial" w:cs="Arial" w:eastAsia="Arial" w:hAnsi="Arial"/>
          <w:sz w:val="21"/>
          <w:szCs w:val="21"/>
          <w:b w:val="1"/>
          <w:bCs w:val="1"/>
          <w:color w:val="0090DA"/>
        </w:rPr>
        <w:t>|</w:t>
      </w:r>
      <w:r>
        <w:rPr>
          <w:rFonts w:ascii="Arial" w:cs="Arial" w:eastAsia="Arial" w:hAnsi="Arial"/>
          <w:sz w:val="18"/>
          <w:szCs w:val="18"/>
          <w:color w:val="auto"/>
        </w:rPr>
        <w:t xml:space="preserve"> 2020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color w:val="auto"/>
        </w:rPr>
        <w:t>Long-lived assets by geographic area consisted of property, plant, and equipment and right-of-use assets and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30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As of</w:t>
            </w:r>
          </w:p>
        </w:tc>
        <w:tc>
          <w:tcPr>
            <w:tcW w:w="320" w:type="dxa"/>
            <w:vAlign w:val="bottom"/>
            <w:tcBorders>
              <w:bottom w:val="single" w:sz="8" w:color="0090DA"/>
            </w:tcBorders>
          </w:tcPr>
          <w:p>
            <w:pPr>
              <w:spacing w:after="0"/>
              <w:rPr>
                <w:sz w:val="21"/>
                <w:szCs w:val="21"/>
                <w:color w:val="auto"/>
              </w:rPr>
            </w:pPr>
          </w:p>
        </w:tc>
        <w:tc>
          <w:tcPr>
            <w:tcW w:w="1120" w:type="dxa"/>
            <w:vAlign w:val="bottom"/>
            <w:tcBorders>
              <w:bottom w:val="single" w:sz="8" w:color="0090DA"/>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360" w:type="dxa"/>
            <w:vAlign w:val="bottom"/>
            <w:tcBorders>
              <w:bottom w:val="single" w:sz="8" w:color="0090DA"/>
            </w:tcBorders>
          </w:tcPr>
          <w:p>
            <w:pPr>
              <w:spacing w:after="0"/>
              <w:rPr>
                <w:sz w:val="21"/>
                <w:szCs w:val="21"/>
                <w:color w:val="auto"/>
              </w:rPr>
            </w:pPr>
          </w:p>
        </w:tc>
        <w:tc>
          <w:tcPr>
            <w:tcW w:w="1140" w:type="dxa"/>
            <w:vAlign w:val="bottom"/>
            <w:tcBorders>
              <w:bottom w:val="single" w:sz="8" w:color="0090DA"/>
            </w:tcBorders>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41"/>
        </w:trPr>
        <w:tc>
          <w:tcPr>
            <w:tcW w:w="83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57"/>
        </w:trPr>
        <w:tc>
          <w:tcPr>
            <w:tcW w:w="8300" w:type="dxa"/>
            <w:vAlign w:val="bottom"/>
            <w:shd w:val="clear" w:color="auto" w:fill="D1D2D4"/>
          </w:tcPr>
          <w:p>
            <w:pPr>
              <w:ind w:left="20"/>
              <w:spacing w:after="0"/>
              <w:rPr>
                <w:sz w:val="20"/>
                <w:szCs w:val="20"/>
                <w:color w:val="auto"/>
              </w:rPr>
            </w:pPr>
            <w:r>
              <w:rPr>
                <w:rFonts w:ascii="Arial" w:cs="Arial" w:eastAsia="Arial" w:hAnsi="Arial"/>
                <w:sz w:val="18"/>
                <w:szCs w:val="18"/>
                <w:color w:val="auto"/>
              </w:rPr>
              <w:t>Taiwan</w:t>
            </w:r>
          </w:p>
        </w:tc>
        <w:tc>
          <w:tcPr>
            <w:tcW w:w="32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10,516</w:t>
            </w:r>
          </w:p>
        </w:tc>
        <w:tc>
          <w:tcPr>
            <w:tcW w:w="36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9,397</w:t>
            </w:r>
          </w:p>
        </w:tc>
      </w:tr>
      <w:tr>
        <w:trPr>
          <w:trHeight w:val="250"/>
        </w:trPr>
        <w:tc>
          <w:tcPr>
            <w:tcW w:w="8300" w:type="dxa"/>
            <w:vAlign w:val="bottom"/>
          </w:tcPr>
          <w:p>
            <w:pPr>
              <w:ind w:left="20"/>
              <w:spacing w:after="0"/>
              <w:rPr>
                <w:sz w:val="20"/>
                <w:szCs w:val="20"/>
                <w:color w:val="auto"/>
              </w:rPr>
            </w:pPr>
            <w:r>
              <w:rPr>
                <w:rFonts w:ascii="Arial" w:cs="Arial" w:eastAsia="Arial" w:hAnsi="Arial"/>
                <w:sz w:val="18"/>
                <w:szCs w:val="18"/>
                <w:color w:val="auto"/>
              </w:rPr>
              <w:t>Singapore</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8,161</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7,986</w:t>
            </w:r>
          </w:p>
        </w:tc>
      </w:tr>
      <w:tr>
        <w:trPr>
          <w:trHeight w:val="263"/>
        </w:trPr>
        <w:tc>
          <w:tcPr>
            <w:tcW w:w="8300" w:type="dxa"/>
            <w:vAlign w:val="bottom"/>
            <w:shd w:val="clear" w:color="auto" w:fill="D1D2D4"/>
          </w:tcPr>
          <w:p>
            <w:pPr>
              <w:ind w:left="20"/>
              <w:spacing w:after="0"/>
              <w:rPr>
                <w:sz w:val="20"/>
                <w:szCs w:val="20"/>
                <w:color w:val="auto"/>
              </w:rPr>
            </w:pPr>
            <w:r>
              <w:rPr>
                <w:rFonts w:ascii="Arial" w:cs="Arial" w:eastAsia="Arial" w:hAnsi="Arial"/>
                <w:sz w:val="18"/>
                <w:szCs w:val="18"/>
                <w:color w:val="auto"/>
              </w:rPr>
              <w:t>Japan</w:t>
            </w:r>
          </w:p>
        </w:tc>
        <w:tc>
          <w:tcPr>
            <w:tcW w:w="320" w:type="dxa"/>
            <w:vAlign w:val="bottom"/>
            <w:shd w:val="clear" w:color="auto" w:fill="D1D2D4"/>
          </w:tcPr>
          <w:p>
            <w:pPr>
              <w:spacing w:after="0"/>
              <w:rPr>
                <w:sz w:val="22"/>
                <w:szCs w:val="22"/>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6,478</w:t>
            </w:r>
          </w:p>
        </w:tc>
        <w:tc>
          <w:tcPr>
            <w:tcW w:w="360" w:type="dxa"/>
            <w:vAlign w:val="bottom"/>
            <w:shd w:val="clear" w:color="auto" w:fill="D1D2D4"/>
          </w:tcPr>
          <w:p>
            <w:pPr>
              <w:spacing w:after="0"/>
              <w:rPr>
                <w:sz w:val="22"/>
                <w:szCs w:val="22"/>
                <w:color w:val="auto"/>
              </w:rPr>
            </w:pPr>
          </w:p>
        </w:tc>
        <w:tc>
          <w:tcPr>
            <w:tcW w:w="11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5,202</w:t>
            </w:r>
          </w:p>
        </w:tc>
      </w:tr>
      <w:tr>
        <w:trPr>
          <w:trHeight w:val="250"/>
        </w:trPr>
        <w:tc>
          <w:tcPr>
            <w:tcW w:w="830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5,434</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5,048</w:t>
            </w:r>
          </w:p>
        </w:tc>
      </w:tr>
      <w:tr>
        <w:trPr>
          <w:trHeight w:val="263"/>
        </w:trPr>
        <w:tc>
          <w:tcPr>
            <w:tcW w:w="8300" w:type="dxa"/>
            <w:vAlign w:val="bottom"/>
            <w:shd w:val="clear" w:color="auto" w:fill="D1D2D4"/>
          </w:tcPr>
          <w:p>
            <w:pPr>
              <w:ind w:left="20"/>
              <w:spacing w:after="0"/>
              <w:rPr>
                <w:sz w:val="20"/>
                <w:szCs w:val="20"/>
                <w:color w:val="auto"/>
              </w:rPr>
            </w:pPr>
            <w:r>
              <w:rPr>
                <w:rFonts w:ascii="Arial" w:cs="Arial" w:eastAsia="Arial" w:hAnsi="Arial"/>
                <w:sz w:val="18"/>
                <w:szCs w:val="18"/>
                <w:color w:val="auto"/>
              </w:rPr>
              <w:t>China</w:t>
            </w:r>
          </w:p>
        </w:tc>
        <w:tc>
          <w:tcPr>
            <w:tcW w:w="320" w:type="dxa"/>
            <w:vAlign w:val="bottom"/>
            <w:shd w:val="clear" w:color="auto" w:fill="D1D2D4"/>
          </w:tcPr>
          <w:p>
            <w:pPr>
              <w:spacing w:after="0"/>
              <w:rPr>
                <w:sz w:val="22"/>
                <w:szCs w:val="22"/>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478</w:t>
            </w:r>
          </w:p>
        </w:tc>
        <w:tc>
          <w:tcPr>
            <w:tcW w:w="360" w:type="dxa"/>
            <w:vAlign w:val="bottom"/>
            <w:shd w:val="clear" w:color="auto" w:fill="D1D2D4"/>
          </w:tcPr>
          <w:p>
            <w:pPr>
              <w:spacing w:after="0"/>
              <w:rPr>
                <w:sz w:val="22"/>
                <w:szCs w:val="22"/>
                <w:color w:val="auto"/>
              </w:rPr>
            </w:pPr>
          </w:p>
        </w:tc>
        <w:tc>
          <w:tcPr>
            <w:tcW w:w="11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370</w:t>
            </w:r>
          </w:p>
        </w:tc>
      </w:tr>
      <w:tr>
        <w:trPr>
          <w:trHeight w:val="250"/>
        </w:trPr>
        <w:tc>
          <w:tcPr>
            <w:tcW w:w="830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237</w:t>
            </w:r>
          </w:p>
        </w:tc>
      </w:tr>
      <w:tr>
        <w:trPr>
          <w:trHeight w:val="275"/>
        </w:trPr>
        <w:tc>
          <w:tcPr>
            <w:tcW w:w="8300" w:type="dxa"/>
            <w:vAlign w:val="bottom"/>
            <w:tcBorders>
              <w:bottom w:val="single" w:sz="8" w:color="D1D2D4"/>
            </w:tcBorders>
            <w:shd w:val="clear" w:color="auto" w:fill="D1D2D4"/>
          </w:tcPr>
          <w:p>
            <w:pPr>
              <w:spacing w:after="0"/>
              <w:rPr>
                <w:sz w:val="23"/>
                <w:szCs w:val="23"/>
                <w:color w:val="auto"/>
              </w:rPr>
            </w:pPr>
          </w:p>
        </w:tc>
        <w:tc>
          <w:tcPr>
            <w:tcW w:w="320" w:type="dxa"/>
            <w:vAlign w:val="bottom"/>
            <w:tcBorders>
              <w:bottom w:val="single" w:sz="8" w:color="auto"/>
            </w:tcBorders>
            <w:shd w:val="clear" w:color="auto" w:fill="D1D2D4"/>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31,615</w:t>
            </w:r>
          </w:p>
        </w:tc>
        <w:tc>
          <w:tcPr>
            <w:tcW w:w="360" w:type="dxa"/>
            <w:vAlign w:val="bottom"/>
            <w:tcBorders>
              <w:bottom w:val="single" w:sz="8" w:color="auto"/>
            </w:tcBorders>
            <w:shd w:val="clear" w:color="auto" w:fill="D1D2D4"/>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28,240</w:t>
            </w:r>
          </w:p>
        </w:tc>
      </w:tr>
      <w:tr>
        <w:trPr>
          <w:trHeight w:val="20"/>
        </w:trPr>
        <w:tc>
          <w:tcPr>
            <w:tcW w:w="8300" w:type="dxa"/>
            <w:vAlign w:val="bottom"/>
            <w:tcBorders>
              <w:top w:val="single" w:sz="8" w:color="D1D2D4"/>
            </w:tcBorders>
          </w:tcPr>
          <w:p>
            <w:pPr>
              <w:spacing w:after="0" w:line="20" w:lineRule="exact"/>
              <w:rPr>
                <w:sz w:val="1"/>
                <w:szCs w:val="1"/>
                <w:color w:val="auto"/>
              </w:rPr>
            </w:pPr>
          </w:p>
        </w:tc>
        <w:tc>
          <w:tcPr>
            <w:tcW w:w="32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c>
          <w:tcPr>
            <w:tcW w:w="360" w:type="dxa"/>
            <w:vAlign w:val="bottom"/>
            <w:tcBorders>
              <w:top w:val="single" w:sz="8" w:color="D1D2D4"/>
              <w:bottom w:val="single" w:sz="8" w:color="auto"/>
            </w:tcBorders>
          </w:tcPr>
          <w:p>
            <w:pPr>
              <w:spacing w:after="0" w:line="20" w:lineRule="exact"/>
              <w:rPr>
                <w:sz w:val="1"/>
                <w:szCs w:val="1"/>
                <w:color w:val="auto"/>
              </w:rPr>
            </w:pPr>
          </w:p>
        </w:tc>
        <w:tc>
          <w:tcPr>
            <w:tcW w:w="1140" w:type="dxa"/>
            <w:vAlign w:val="bottom"/>
            <w:tcBorders>
              <w:top w:val="single" w:sz="8" w:color="D1D2D4"/>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Quarterly Financial Information</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020" w:type="dxa"/>
            <w:vAlign w:val="bottom"/>
          </w:tcPr>
          <w:p>
            <w:pPr>
              <w:jc w:val="right"/>
              <w:ind w:right="230"/>
              <w:spacing w:after="0"/>
              <w:rPr>
                <w:sz w:val="20"/>
                <w:szCs w:val="20"/>
                <w:color w:val="auto"/>
              </w:rPr>
            </w:pPr>
            <w:r>
              <w:rPr>
                <w:rFonts w:ascii="Arial" w:cs="Arial" w:eastAsia="Arial" w:hAnsi="Arial"/>
                <w:sz w:val="18"/>
                <w:szCs w:val="18"/>
                <w:b w:val="1"/>
                <w:bCs w:val="1"/>
                <w:color w:val="auto"/>
              </w:rPr>
              <w:t>Fourth</w:t>
            </w:r>
          </w:p>
        </w:tc>
        <w:tc>
          <w:tcPr>
            <w:tcW w:w="240" w:type="dxa"/>
            <w:vAlign w:val="bottom"/>
          </w:tcPr>
          <w:p>
            <w:pPr>
              <w:spacing w:after="0"/>
              <w:rPr>
                <w:sz w:val="17"/>
                <w:szCs w:val="17"/>
                <w:color w:val="auto"/>
              </w:rPr>
            </w:pPr>
          </w:p>
        </w:tc>
        <w:tc>
          <w:tcPr>
            <w:tcW w:w="980" w:type="dxa"/>
            <w:vAlign w:val="bottom"/>
          </w:tcPr>
          <w:p>
            <w:pPr>
              <w:jc w:val="right"/>
              <w:ind w:right="250"/>
              <w:spacing w:after="0"/>
              <w:rPr>
                <w:sz w:val="20"/>
                <w:szCs w:val="20"/>
                <w:color w:val="auto"/>
              </w:rPr>
            </w:pPr>
            <w:r>
              <w:rPr>
                <w:rFonts w:ascii="Arial" w:cs="Arial" w:eastAsia="Arial" w:hAnsi="Arial"/>
                <w:sz w:val="18"/>
                <w:szCs w:val="18"/>
                <w:b w:val="1"/>
                <w:bCs w:val="1"/>
                <w:color w:val="auto"/>
              </w:rPr>
              <w:t>Third</w:t>
            </w:r>
          </w:p>
        </w:tc>
        <w:tc>
          <w:tcPr>
            <w:tcW w:w="260" w:type="dxa"/>
            <w:vAlign w:val="bottom"/>
          </w:tcPr>
          <w:p>
            <w:pPr>
              <w:spacing w:after="0"/>
              <w:rPr>
                <w:sz w:val="17"/>
                <w:szCs w:val="17"/>
                <w:color w:val="auto"/>
              </w:rPr>
            </w:pPr>
          </w:p>
        </w:tc>
        <w:tc>
          <w:tcPr>
            <w:tcW w:w="1020" w:type="dxa"/>
            <w:vAlign w:val="bottom"/>
          </w:tcPr>
          <w:p>
            <w:pPr>
              <w:jc w:val="right"/>
              <w:ind w:right="190"/>
              <w:spacing w:after="0"/>
              <w:rPr>
                <w:sz w:val="20"/>
                <w:szCs w:val="20"/>
                <w:color w:val="auto"/>
              </w:rPr>
            </w:pPr>
            <w:r>
              <w:rPr>
                <w:rFonts w:ascii="Arial" w:cs="Arial" w:eastAsia="Arial" w:hAnsi="Arial"/>
                <w:sz w:val="18"/>
                <w:szCs w:val="18"/>
                <w:b w:val="1"/>
                <w:bCs w:val="1"/>
                <w:color w:val="auto"/>
              </w:rPr>
              <w:t>Second</w:t>
            </w:r>
          </w:p>
        </w:tc>
        <w:tc>
          <w:tcPr>
            <w:tcW w:w="240" w:type="dxa"/>
            <w:vAlign w:val="bottom"/>
          </w:tcPr>
          <w:p>
            <w:pPr>
              <w:spacing w:after="0"/>
              <w:rPr>
                <w:sz w:val="17"/>
                <w:szCs w:val="17"/>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First</w:t>
            </w:r>
          </w:p>
        </w:tc>
      </w:tr>
      <w:tr>
        <w:trPr>
          <w:trHeight w:val="246"/>
        </w:trPr>
        <w:tc>
          <w:tcPr>
            <w:tcW w:w="444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2020</w:t>
            </w:r>
          </w:p>
        </w:tc>
        <w:tc>
          <w:tcPr>
            <w:tcW w:w="1980" w:type="dxa"/>
            <w:vAlign w:val="bottom"/>
            <w:tcBorders>
              <w:bottom w:val="single" w:sz="8" w:color="0090DA"/>
            </w:tcBorders>
          </w:tcPr>
          <w:p>
            <w:pPr>
              <w:spacing w:after="0"/>
              <w:rPr>
                <w:sz w:val="21"/>
                <w:szCs w:val="21"/>
                <w:color w:val="auto"/>
              </w:rPr>
            </w:pPr>
          </w:p>
        </w:tc>
        <w:tc>
          <w:tcPr>
            <w:tcW w:w="1020" w:type="dxa"/>
            <w:vAlign w:val="bottom"/>
            <w:tcBorders>
              <w:bottom w:val="single" w:sz="8" w:color="0090DA"/>
            </w:tcBorders>
          </w:tcPr>
          <w:p>
            <w:pPr>
              <w:jc w:val="right"/>
              <w:ind w:right="190"/>
              <w:spacing w:after="0"/>
              <w:rPr>
                <w:sz w:val="20"/>
                <w:szCs w:val="20"/>
                <w:color w:val="auto"/>
              </w:rPr>
            </w:pPr>
            <w:r>
              <w:rPr>
                <w:rFonts w:ascii="Arial" w:cs="Arial" w:eastAsia="Arial" w:hAnsi="Arial"/>
                <w:sz w:val="18"/>
                <w:szCs w:val="18"/>
                <w:b w:val="1"/>
                <w:bCs w:val="1"/>
                <w:color w:val="auto"/>
              </w:rPr>
              <w:t>Quarter</w:t>
            </w:r>
          </w:p>
        </w:tc>
        <w:tc>
          <w:tcPr>
            <w:tcW w:w="240" w:type="dxa"/>
            <w:vAlign w:val="bottom"/>
            <w:tcBorders>
              <w:bottom w:val="single" w:sz="8" w:color="0090DA"/>
            </w:tcBorders>
          </w:tcPr>
          <w:p>
            <w:pPr>
              <w:spacing w:after="0"/>
              <w:rPr>
                <w:sz w:val="21"/>
                <w:szCs w:val="21"/>
                <w:color w:val="auto"/>
              </w:rPr>
            </w:pPr>
          </w:p>
        </w:tc>
        <w:tc>
          <w:tcPr>
            <w:tcW w:w="980" w:type="dxa"/>
            <w:vAlign w:val="bottom"/>
            <w:tcBorders>
              <w:bottom w:val="single" w:sz="8" w:color="0090DA"/>
            </w:tcBorders>
          </w:tcPr>
          <w:p>
            <w:pPr>
              <w:jc w:val="right"/>
              <w:ind w:right="150"/>
              <w:spacing w:after="0"/>
              <w:rPr>
                <w:sz w:val="20"/>
                <w:szCs w:val="20"/>
                <w:color w:val="auto"/>
              </w:rPr>
            </w:pPr>
            <w:r>
              <w:rPr>
                <w:rFonts w:ascii="Arial" w:cs="Arial" w:eastAsia="Arial" w:hAnsi="Arial"/>
                <w:sz w:val="18"/>
                <w:szCs w:val="18"/>
                <w:b w:val="1"/>
                <w:bCs w:val="1"/>
                <w:color w:val="auto"/>
              </w:rPr>
              <w:t>Quarter</w:t>
            </w:r>
          </w:p>
        </w:tc>
        <w:tc>
          <w:tcPr>
            <w:tcW w:w="260" w:type="dxa"/>
            <w:vAlign w:val="bottom"/>
            <w:tcBorders>
              <w:bottom w:val="single" w:sz="8" w:color="0090DA"/>
            </w:tcBorders>
          </w:tcPr>
          <w:p>
            <w:pPr>
              <w:spacing w:after="0"/>
              <w:rPr>
                <w:sz w:val="21"/>
                <w:szCs w:val="21"/>
                <w:color w:val="auto"/>
              </w:rPr>
            </w:pPr>
          </w:p>
        </w:tc>
        <w:tc>
          <w:tcPr>
            <w:tcW w:w="1020" w:type="dxa"/>
            <w:vAlign w:val="bottom"/>
            <w:tcBorders>
              <w:bottom w:val="single" w:sz="8" w:color="0090DA"/>
            </w:tcBorders>
          </w:tcPr>
          <w:p>
            <w:pPr>
              <w:jc w:val="right"/>
              <w:ind w:right="190"/>
              <w:spacing w:after="0"/>
              <w:rPr>
                <w:sz w:val="20"/>
                <w:szCs w:val="20"/>
                <w:color w:val="auto"/>
              </w:rPr>
            </w:pPr>
            <w:r>
              <w:rPr>
                <w:rFonts w:ascii="Arial" w:cs="Arial" w:eastAsia="Arial" w:hAnsi="Arial"/>
                <w:sz w:val="18"/>
                <w:szCs w:val="18"/>
                <w:b w:val="1"/>
                <w:bCs w:val="1"/>
                <w:color w:val="auto"/>
              </w:rPr>
              <w:t>Quarter</w:t>
            </w:r>
          </w:p>
        </w:tc>
        <w:tc>
          <w:tcPr>
            <w:tcW w:w="240" w:type="dxa"/>
            <w:vAlign w:val="bottom"/>
            <w:tcBorders>
              <w:bottom w:val="single" w:sz="8" w:color="0090DA"/>
            </w:tcBorders>
          </w:tcPr>
          <w:p>
            <w:pPr>
              <w:spacing w:after="0"/>
              <w:rPr>
                <w:sz w:val="21"/>
                <w:szCs w:val="21"/>
                <w:color w:val="auto"/>
              </w:rPr>
            </w:pPr>
          </w:p>
        </w:tc>
        <w:tc>
          <w:tcPr>
            <w:tcW w:w="1060" w:type="dxa"/>
            <w:vAlign w:val="bottom"/>
            <w:tcBorders>
              <w:bottom w:val="single" w:sz="8" w:color="0090DA"/>
            </w:tcBorders>
          </w:tcPr>
          <w:p>
            <w:pPr>
              <w:jc w:val="right"/>
              <w:ind w:right="210"/>
              <w:spacing w:after="0"/>
              <w:rPr>
                <w:sz w:val="20"/>
                <w:szCs w:val="20"/>
                <w:color w:val="auto"/>
              </w:rPr>
            </w:pPr>
            <w:r>
              <w:rPr>
                <w:rFonts w:ascii="Arial" w:cs="Arial" w:eastAsia="Arial" w:hAnsi="Arial"/>
                <w:sz w:val="18"/>
                <w:szCs w:val="18"/>
                <w:b w:val="1"/>
                <w:bCs w:val="1"/>
                <w:color w:val="auto"/>
              </w:rPr>
              <w:t>Quarter</w:t>
            </w:r>
          </w:p>
        </w:tc>
      </w:tr>
      <w:tr>
        <w:trPr>
          <w:trHeight w:val="41"/>
        </w:trPr>
        <w:tc>
          <w:tcPr>
            <w:tcW w:w="444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57"/>
        </w:trPr>
        <w:tc>
          <w:tcPr>
            <w:tcW w:w="444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Revenue</w:t>
            </w:r>
          </w:p>
        </w:tc>
        <w:tc>
          <w:tcPr>
            <w:tcW w:w="198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6,056</w:t>
            </w:r>
          </w:p>
        </w:tc>
        <w:tc>
          <w:tcPr>
            <w:tcW w:w="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5,438</w:t>
            </w:r>
          </w:p>
        </w:tc>
        <w:tc>
          <w:tcPr>
            <w:tcW w:w="26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4,797</w:t>
            </w:r>
          </w:p>
        </w:tc>
        <w:tc>
          <w:tcPr>
            <w:tcW w:w="2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5,144</w:t>
            </w:r>
          </w:p>
        </w:tc>
      </w:tr>
      <w:tr>
        <w:trPr>
          <w:trHeight w:val="250"/>
        </w:trPr>
        <w:tc>
          <w:tcPr>
            <w:tcW w:w="444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19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2,068</w:t>
            </w: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1,763</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1,355</w:t>
            </w:r>
          </w:p>
        </w:tc>
        <w:tc>
          <w:tcPr>
            <w:tcW w:w="2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1,366</w:t>
            </w:r>
          </w:p>
        </w:tc>
      </w:tr>
      <w:tr>
        <w:trPr>
          <w:trHeight w:val="263"/>
        </w:trPr>
        <w:tc>
          <w:tcPr>
            <w:tcW w:w="4440" w:type="dxa"/>
            <w:vAlign w:val="bottom"/>
            <w:shd w:val="clear" w:color="auto" w:fill="D1D2D4"/>
          </w:tcPr>
          <w:p>
            <w:pPr>
              <w:ind w:left="20"/>
              <w:spacing w:after="0"/>
              <w:rPr>
                <w:sz w:val="20"/>
                <w:szCs w:val="20"/>
                <w:color w:val="auto"/>
              </w:rPr>
            </w:pPr>
            <w:r>
              <w:rPr>
                <w:rFonts w:ascii="Arial" w:cs="Arial" w:eastAsia="Arial" w:hAnsi="Arial"/>
                <w:sz w:val="18"/>
                <w:szCs w:val="18"/>
                <w:color w:val="auto"/>
              </w:rPr>
              <w:t>Operating income</w:t>
            </w:r>
          </w:p>
        </w:tc>
        <w:tc>
          <w:tcPr>
            <w:tcW w:w="1980" w:type="dxa"/>
            <w:vAlign w:val="bottom"/>
            <w:shd w:val="clear" w:color="auto" w:fill="D1D2D4"/>
          </w:tcPr>
          <w:p>
            <w:pPr>
              <w:spacing w:after="0"/>
              <w:rPr>
                <w:sz w:val="22"/>
                <w:szCs w:val="22"/>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1,157</w:t>
            </w:r>
          </w:p>
        </w:tc>
        <w:tc>
          <w:tcPr>
            <w:tcW w:w="240" w:type="dxa"/>
            <w:vAlign w:val="bottom"/>
            <w:shd w:val="clear" w:color="auto" w:fill="D1D2D4"/>
          </w:tcPr>
          <w:p>
            <w:pPr>
              <w:spacing w:after="0"/>
              <w:rPr>
                <w:sz w:val="22"/>
                <w:szCs w:val="22"/>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888</w:t>
            </w:r>
          </w:p>
        </w:tc>
        <w:tc>
          <w:tcPr>
            <w:tcW w:w="260" w:type="dxa"/>
            <w:vAlign w:val="bottom"/>
            <w:shd w:val="clear" w:color="auto" w:fill="D1D2D4"/>
          </w:tcPr>
          <w:p>
            <w:pPr>
              <w:spacing w:after="0"/>
              <w:rPr>
                <w:sz w:val="22"/>
                <w:szCs w:val="22"/>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440</w:t>
            </w:r>
          </w:p>
        </w:tc>
        <w:tc>
          <w:tcPr>
            <w:tcW w:w="240" w:type="dxa"/>
            <w:vAlign w:val="bottom"/>
            <w:shd w:val="clear" w:color="auto" w:fill="D1D2D4"/>
          </w:tcPr>
          <w:p>
            <w:pPr>
              <w:spacing w:after="0"/>
              <w:rPr>
                <w:sz w:val="22"/>
                <w:szCs w:val="22"/>
                <w:color w:val="auto"/>
              </w:rPr>
            </w:pPr>
          </w:p>
        </w:tc>
        <w:tc>
          <w:tcPr>
            <w:tcW w:w="106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518</w:t>
            </w:r>
          </w:p>
        </w:tc>
      </w:tr>
      <w:tr>
        <w:trPr>
          <w:trHeight w:val="250"/>
        </w:trPr>
        <w:tc>
          <w:tcPr>
            <w:tcW w:w="44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9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990</w:t>
            </w: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805</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407</w:t>
            </w:r>
          </w:p>
        </w:tc>
        <w:tc>
          <w:tcPr>
            <w:tcW w:w="2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508</w:t>
            </w:r>
          </w:p>
        </w:tc>
      </w:tr>
      <w:tr>
        <w:trPr>
          <w:trHeight w:val="263"/>
        </w:trPr>
        <w:tc>
          <w:tcPr>
            <w:tcW w:w="444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income attributable to Micron</w:t>
            </w:r>
          </w:p>
        </w:tc>
        <w:tc>
          <w:tcPr>
            <w:tcW w:w="1980" w:type="dxa"/>
            <w:vAlign w:val="bottom"/>
            <w:shd w:val="clear" w:color="auto" w:fill="D1D2D4"/>
          </w:tcPr>
          <w:p>
            <w:pPr>
              <w:spacing w:after="0"/>
              <w:rPr>
                <w:sz w:val="22"/>
                <w:szCs w:val="22"/>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988</w:t>
            </w:r>
          </w:p>
        </w:tc>
        <w:tc>
          <w:tcPr>
            <w:tcW w:w="240" w:type="dxa"/>
            <w:vAlign w:val="bottom"/>
            <w:shd w:val="clear" w:color="auto" w:fill="D1D2D4"/>
          </w:tcPr>
          <w:p>
            <w:pPr>
              <w:spacing w:after="0"/>
              <w:rPr>
                <w:sz w:val="22"/>
                <w:szCs w:val="22"/>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803</w:t>
            </w:r>
          </w:p>
        </w:tc>
        <w:tc>
          <w:tcPr>
            <w:tcW w:w="260" w:type="dxa"/>
            <w:vAlign w:val="bottom"/>
            <w:shd w:val="clear" w:color="auto" w:fill="D1D2D4"/>
          </w:tcPr>
          <w:p>
            <w:pPr>
              <w:spacing w:after="0"/>
              <w:rPr>
                <w:sz w:val="22"/>
                <w:szCs w:val="22"/>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405</w:t>
            </w:r>
          </w:p>
        </w:tc>
        <w:tc>
          <w:tcPr>
            <w:tcW w:w="240" w:type="dxa"/>
            <w:vAlign w:val="bottom"/>
            <w:shd w:val="clear" w:color="auto" w:fill="D1D2D4"/>
          </w:tcPr>
          <w:p>
            <w:pPr>
              <w:spacing w:after="0"/>
              <w:rPr>
                <w:sz w:val="22"/>
                <w:szCs w:val="22"/>
                <w:color w:val="auto"/>
              </w:rPr>
            </w:pPr>
          </w:p>
        </w:tc>
        <w:tc>
          <w:tcPr>
            <w:tcW w:w="106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491</w:t>
            </w:r>
          </w:p>
        </w:tc>
      </w:tr>
      <w:tr>
        <w:trPr>
          <w:trHeight w:val="257"/>
        </w:trPr>
        <w:tc>
          <w:tcPr>
            <w:tcW w:w="444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56"/>
        </w:trPr>
        <w:tc>
          <w:tcPr>
            <w:tcW w:w="4440" w:type="dxa"/>
            <w:vAlign w:val="bottom"/>
            <w:shd w:val="clear" w:color="auto" w:fill="D1D2D4"/>
          </w:tcPr>
          <w:p>
            <w:pPr>
              <w:ind w:left="20"/>
              <w:spacing w:after="0"/>
              <w:rPr>
                <w:sz w:val="20"/>
                <w:szCs w:val="20"/>
                <w:color w:val="auto"/>
              </w:rPr>
            </w:pPr>
            <w:r>
              <w:rPr>
                <w:rFonts w:ascii="Arial" w:cs="Arial" w:eastAsia="Arial" w:hAnsi="Arial"/>
                <w:sz w:val="18"/>
                <w:szCs w:val="18"/>
                <w:color w:val="auto"/>
              </w:rPr>
              <w:t>Earnings per share</w:t>
            </w:r>
          </w:p>
        </w:tc>
        <w:tc>
          <w:tcPr>
            <w:tcW w:w="1980" w:type="dxa"/>
            <w:vAlign w:val="bottom"/>
            <w:shd w:val="clear" w:color="auto" w:fill="D1D2D4"/>
          </w:tcPr>
          <w:p>
            <w:pPr>
              <w:spacing w:after="0"/>
              <w:rPr>
                <w:sz w:val="22"/>
                <w:szCs w:val="22"/>
                <w:color w:val="auto"/>
              </w:rPr>
            </w:pPr>
          </w:p>
        </w:tc>
        <w:tc>
          <w:tcPr>
            <w:tcW w:w="102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980" w:type="dxa"/>
            <w:vAlign w:val="bottom"/>
            <w:shd w:val="clear" w:color="auto" w:fill="D1D2D4"/>
          </w:tcPr>
          <w:p>
            <w:pPr>
              <w:spacing w:after="0"/>
              <w:rPr>
                <w:sz w:val="22"/>
                <w:szCs w:val="22"/>
                <w:color w:val="auto"/>
              </w:rPr>
            </w:pPr>
          </w:p>
        </w:tc>
        <w:tc>
          <w:tcPr>
            <w:tcW w:w="260" w:type="dxa"/>
            <w:vAlign w:val="bottom"/>
            <w:shd w:val="clear" w:color="auto" w:fill="D1D2D4"/>
          </w:tcPr>
          <w:p>
            <w:pPr>
              <w:spacing w:after="0"/>
              <w:rPr>
                <w:sz w:val="22"/>
                <w:szCs w:val="22"/>
                <w:color w:val="auto"/>
              </w:rPr>
            </w:pPr>
          </w:p>
        </w:tc>
        <w:tc>
          <w:tcPr>
            <w:tcW w:w="102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060" w:type="dxa"/>
            <w:vAlign w:val="bottom"/>
            <w:shd w:val="clear" w:color="auto" w:fill="D1D2D4"/>
          </w:tcPr>
          <w:p>
            <w:pPr>
              <w:spacing w:after="0"/>
              <w:rPr>
                <w:sz w:val="22"/>
                <w:szCs w:val="22"/>
                <w:color w:val="auto"/>
              </w:rPr>
            </w:pPr>
          </w:p>
        </w:tc>
      </w:tr>
      <w:tr>
        <w:trPr>
          <w:trHeight w:val="257"/>
        </w:trPr>
        <w:tc>
          <w:tcPr>
            <w:tcW w:w="4440" w:type="dxa"/>
            <w:vAlign w:val="bottom"/>
          </w:tcPr>
          <w:p>
            <w:pPr>
              <w:ind w:left="180"/>
              <w:spacing w:after="0"/>
              <w:rPr>
                <w:sz w:val="20"/>
                <w:szCs w:val="20"/>
                <w:color w:val="auto"/>
              </w:rPr>
            </w:pPr>
            <w:r>
              <w:rPr>
                <w:rFonts w:ascii="Arial" w:cs="Arial" w:eastAsia="Arial" w:hAnsi="Arial"/>
                <w:sz w:val="18"/>
                <w:szCs w:val="18"/>
                <w:color w:val="auto"/>
              </w:rPr>
              <w:t>Basic</w:t>
            </w: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0.89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0.72</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0.37</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0.44</w:t>
            </w:r>
          </w:p>
        </w:tc>
      </w:tr>
      <w:tr>
        <w:trPr>
          <w:trHeight w:val="256"/>
        </w:trPr>
        <w:tc>
          <w:tcPr>
            <w:tcW w:w="4440" w:type="dxa"/>
            <w:vAlign w:val="bottom"/>
            <w:shd w:val="clear" w:color="auto" w:fill="D1D2D4"/>
          </w:tcPr>
          <w:p>
            <w:pPr>
              <w:ind w:left="180"/>
              <w:spacing w:after="0"/>
              <w:rPr>
                <w:sz w:val="20"/>
                <w:szCs w:val="20"/>
                <w:color w:val="auto"/>
              </w:rPr>
            </w:pPr>
            <w:r>
              <w:rPr>
                <w:rFonts w:ascii="Arial" w:cs="Arial" w:eastAsia="Arial" w:hAnsi="Arial"/>
                <w:sz w:val="18"/>
                <w:szCs w:val="18"/>
                <w:color w:val="auto"/>
              </w:rPr>
              <w:t>Diluted</w:t>
            </w:r>
          </w:p>
        </w:tc>
        <w:tc>
          <w:tcPr>
            <w:tcW w:w="1980" w:type="dxa"/>
            <w:vAlign w:val="bottom"/>
            <w:shd w:val="clear" w:color="auto" w:fill="D1D2D4"/>
          </w:tcPr>
          <w:p>
            <w:pPr>
              <w:spacing w:after="0"/>
              <w:rPr>
                <w:sz w:val="22"/>
                <w:szCs w:val="22"/>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0.87</w:t>
            </w:r>
          </w:p>
        </w:tc>
        <w:tc>
          <w:tcPr>
            <w:tcW w:w="240" w:type="dxa"/>
            <w:vAlign w:val="bottom"/>
            <w:shd w:val="clear" w:color="auto" w:fill="D1D2D4"/>
          </w:tcPr>
          <w:p>
            <w:pPr>
              <w:spacing w:after="0"/>
              <w:rPr>
                <w:sz w:val="22"/>
                <w:szCs w:val="22"/>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0.71</w:t>
            </w:r>
          </w:p>
        </w:tc>
        <w:tc>
          <w:tcPr>
            <w:tcW w:w="260" w:type="dxa"/>
            <w:vAlign w:val="bottom"/>
            <w:shd w:val="clear" w:color="auto" w:fill="D1D2D4"/>
          </w:tcPr>
          <w:p>
            <w:pPr>
              <w:spacing w:after="0"/>
              <w:rPr>
                <w:sz w:val="22"/>
                <w:szCs w:val="22"/>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0.36</w:t>
            </w:r>
          </w:p>
        </w:tc>
        <w:tc>
          <w:tcPr>
            <w:tcW w:w="240" w:type="dxa"/>
            <w:vAlign w:val="bottom"/>
            <w:shd w:val="clear" w:color="auto" w:fill="D1D2D4"/>
          </w:tcPr>
          <w:p>
            <w:pPr>
              <w:spacing w:after="0"/>
              <w:rPr>
                <w:sz w:val="22"/>
                <w:szCs w:val="22"/>
                <w:color w:val="auto"/>
              </w:rPr>
            </w:pPr>
          </w:p>
        </w:tc>
        <w:tc>
          <w:tcPr>
            <w:tcW w:w="106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0.43</w:t>
            </w:r>
          </w:p>
        </w:tc>
      </w:tr>
    </w:tbl>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20" w:type="dxa"/>
            <w:vAlign w:val="bottom"/>
          </w:tcPr>
          <w:p>
            <w:pPr>
              <w:jc w:val="right"/>
              <w:ind w:right="230"/>
              <w:spacing w:after="0"/>
              <w:rPr>
                <w:sz w:val="20"/>
                <w:szCs w:val="20"/>
                <w:color w:val="auto"/>
              </w:rPr>
            </w:pPr>
            <w:r>
              <w:rPr>
                <w:rFonts w:ascii="Arial" w:cs="Arial" w:eastAsia="Arial" w:hAnsi="Arial"/>
                <w:sz w:val="18"/>
                <w:szCs w:val="18"/>
                <w:b w:val="1"/>
                <w:bCs w:val="1"/>
                <w:color w:val="auto"/>
              </w:rPr>
              <w:t>Fourth</w:t>
            </w:r>
          </w:p>
        </w:tc>
        <w:tc>
          <w:tcPr>
            <w:tcW w:w="240" w:type="dxa"/>
            <w:vAlign w:val="bottom"/>
          </w:tcPr>
          <w:p>
            <w:pPr>
              <w:spacing w:after="0"/>
              <w:rPr>
                <w:sz w:val="18"/>
                <w:szCs w:val="18"/>
                <w:color w:val="auto"/>
              </w:rPr>
            </w:pPr>
          </w:p>
        </w:tc>
        <w:tc>
          <w:tcPr>
            <w:tcW w:w="980" w:type="dxa"/>
            <w:vAlign w:val="bottom"/>
          </w:tcPr>
          <w:p>
            <w:pPr>
              <w:jc w:val="right"/>
              <w:ind w:right="250"/>
              <w:spacing w:after="0"/>
              <w:rPr>
                <w:sz w:val="20"/>
                <w:szCs w:val="20"/>
                <w:color w:val="auto"/>
              </w:rPr>
            </w:pPr>
            <w:r>
              <w:rPr>
                <w:rFonts w:ascii="Arial" w:cs="Arial" w:eastAsia="Arial" w:hAnsi="Arial"/>
                <w:sz w:val="18"/>
                <w:szCs w:val="18"/>
                <w:b w:val="1"/>
                <w:bCs w:val="1"/>
                <w:color w:val="auto"/>
              </w:rPr>
              <w:t>Third</w:t>
            </w:r>
          </w:p>
        </w:tc>
        <w:tc>
          <w:tcPr>
            <w:tcW w:w="260" w:type="dxa"/>
            <w:vAlign w:val="bottom"/>
          </w:tcPr>
          <w:p>
            <w:pPr>
              <w:spacing w:after="0"/>
              <w:rPr>
                <w:sz w:val="18"/>
                <w:szCs w:val="18"/>
                <w:color w:val="auto"/>
              </w:rPr>
            </w:pPr>
          </w:p>
        </w:tc>
        <w:tc>
          <w:tcPr>
            <w:tcW w:w="1020" w:type="dxa"/>
            <w:vAlign w:val="bottom"/>
          </w:tcPr>
          <w:p>
            <w:pPr>
              <w:jc w:val="right"/>
              <w:ind w:right="190"/>
              <w:spacing w:after="0"/>
              <w:rPr>
                <w:sz w:val="20"/>
                <w:szCs w:val="20"/>
                <w:color w:val="auto"/>
              </w:rPr>
            </w:pPr>
            <w:r>
              <w:rPr>
                <w:rFonts w:ascii="Arial" w:cs="Arial" w:eastAsia="Arial" w:hAnsi="Arial"/>
                <w:sz w:val="18"/>
                <w:szCs w:val="18"/>
                <w:b w:val="1"/>
                <w:bCs w:val="1"/>
                <w:color w:val="auto"/>
              </w:rPr>
              <w:t>Second</w:t>
            </w:r>
          </w:p>
        </w:tc>
        <w:tc>
          <w:tcPr>
            <w:tcW w:w="240" w:type="dxa"/>
            <w:vAlign w:val="bottom"/>
          </w:tcPr>
          <w:p>
            <w:pPr>
              <w:spacing w:after="0"/>
              <w:rPr>
                <w:sz w:val="18"/>
                <w:szCs w:val="18"/>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First</w:t>
            </w:r>
          </w:p>
        </w:tc>
      </w:tr>
      <w:tr>
        <w:trPr>
          <w:trHeight w:val="246"/>
        </w:trPr>
        <w:tc>
          <w:tcPr>
            <w:tcW w:w="444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2019</w:t>
            </w:r>
          </w:p>
        </w:tc>
        <w:tc>
          <w:tcPr>
            <w:tcW w:w="1980" w:type="dxa"/>
            <w:vAlign w:val="bottom"/>
            <w:tcBorders>
              <w:bottom w:val="single" w:sz="8" w:color="0090DA"/>
            </w:tcBorders>
          </w:tcPr>
          <w:p>
            <w:pPr>
              <w:spacing w:after="0"/>
              <w:rPr>
                <w:sz w:val="21"/>
                <w:szCs w:val="21"/>
                <w:color w:val="auto"/>
              </w:rPr>
            </w:pPr>
          </w:p>
        </w:tc>
        <w:tc>
          <w:tcPr>
            <w:tcW w:w="1020" w:type="dxa"/>
            <w:vAlign w:val="bottom"/>
            <w:tcBorders>
              <w:bottom w:val="single" w:sz="8" w:color="0090DA"/>
            </w:tcBorders>
          </w:tcPr>
          <w:p>
            <w:pPr>
              <w:jc w:val="right"/>
              <w:ind w:right="190"/>
              <w:spacing w:after="0"/>
              <w:rPr>
                <w:sz w:val="20"/>
                <w:szCs w:val="20"/>
                <w:color w:val="auto"/>
              </w:rPr>
            </w:pPr>
            <w:r>
              <w:rPr>
                <w:rFonts w:ascii="Arial" w:cs="Arial" w:eastAsia="Arial" w:hAnsi="Arial"/>
                <w:sz w:val="18"/>
                <w:szCs w:val="18"/>
                <w:b w:val="1"/>
                <w:bCs w:val="1"/>
                <w:color w:val="auto"/>
              </w:rPr>
              <w:t>Quarter</w:t>
            </w:r>
          </w:p>
        </w:tc>
        <w:tc>
          <w:tcPr>
            <w:tcW w:w="240" w:type="dxa"/>
            <w:vAlign w:val="bottom"/>
            <w:tcBorders>
              <w:bottom w:val="single" w:sz="8" w:color="0090DA"/>
            </w:tcBorders>
          </w:tcPr>
          <w:p>
            <w:pPr>
              <w:spacing w:after="0"/>
              <w:rPr>
                <w:sz w:val="21"/>
                <w:szCs w:val="21"/>
                <w:color w:val="auto"/>
              </w:rPr>
            </w:pPr>
          </w:p>
        </w:tc>
        <w:tc>
          <w:tcPr>
            <w:tcW w:w="980" w:type="dxa"/>
            <w:vAlign w:val="bottom"/>
            <w:tcBorders>
              <w:bottom w:val="single" w:sz="8" w:color="0090DA"/>
            </w:tcBorders>
          </w:tcPr>
          <w:p>
            <w:pPr>
              <w:jc w:val="right"/>
              <w:ind w:right="150"/>
              <w:spacing w:after="0"/>
              <w:rPr>
                <w:sz w:val="20"/>
                <w:szCs w:val="20"/>
                <w:color w:val="auto"/>
              </w:rPr>
            </w:pPr>
            <w:r>
              <w:rPr>
                <w:rFonts w:ascii="Arial" w:cs="Arial" w:eastAsia="Arial" w:hAnsi="Arial"/>
                <w:sz w:val="18"/>
                <w:szCs w:val="18"/>
                <w:b w:val="1"/>
                <w:bCs w:val="1"/>
                <w:color w:val="auto"/>
              </w:rPr>
              <w:t>Quarter</w:t>
            </w:r>
          </w:p>
        </w:tc>
        <w:tc>
          <w:tcPr>
            <w:tcW w:w="260" w:type="dxa"/>
            <w:vAlign w:val="bottom"/>
            <w:tcBorders>
              <w:bottom w:val="single" w:sz="8" w:color="0090DA"/>
            </w:tcBorders>
          </w:tcPr>
          <w:p>
            <w:pPr>
              <w:spacing w:after="0"/>
              <w:rPr>
                <w:sz w:val="21"/>
                <w:szCs w:val="21"/>
                <w:color w:val="auto"/>
              </w:rPr>
            </w:pPr>
          </w:p>
        </w:tc>
        <w:tc>
          <w:tcPr>
            <w:tcW w:w="1020" w:type="dxa"/>
            <w:vAlign w:val="bottom"/>
            <w:tcBorders>
              <w:bottom w:val="single" w:sz="8" w:color="0090DA"/>
            </w:tcBorders>
          </w:tcPr>
          <w:p>
            <w:pPr>
              <w:jc w:val="right"/>
              <w:ind w:right="190"/>
              <w:spacing w:after="0"/>
              <w:rPr>
                <w:sz w:val="20"/>
                <w:szCs w:val="20"/>
                <w:color w:val="auto"/>
              </w:rPr>
            </w:pPr>
            <w:r>
              <w:rPr>
                <w:rFonts w:ascii="Arial" w:cs="Arial" w:eastAsia="Arial" w:hAnsi="Arial"/>
                <w:sz w:val="18"/>
                <w:szCs w:val="18"/>
                <w:b w:val="1"/>
                <w:bCs w:val="1"/>
                <w:color w:val="auto"/>
              </w:rPr>
              <w:t>Quarter</w:t>
            </w:r>
          </w:p>
        </w:tc>
        <w:tc>
          <w:tcPr>
            <w:tcW w:w="240" w:type="dxa"/>
            <w:vAlign w:val="bottom"/>
            <w:tcBorders>
              <w:bottom w:val="single" w:sz="8" w:color="0090DA"/>
            </w:tcBorders>
          </w:tcPr>
          <w:p>
            <w:pPr>
              <w:spacing w:after="0"/>
              <w:rPr>
                <w:sz w:val="21"/>
                <w:szCs w:val="21"/>
                <w:color w:val="auto"/>
              </w:rPr>
            </w:pPr>
          </w:p>
        </w:tc>
        <w:tc>
          <w:tcPr>
            <w:tcW w:w="1060" w:type="dxa"/>
            <w:vAlign w:val="bottom"/>
            <w:tcBorders>
              <w:bottom w:val="single" w:sz="8" w:color="0090DA"/>
            </w:tcBorders>
          </w:tcPr>
          <w:p>
            <w:pPr>
              <w:jc w:val="right"/>
              <w:ind w:right="210"/>
              <w:spacing w:after="0"/>
              <w:rPr>
                <w:sz w:val="20"/>
                <w:szCs w:val="20"/>
                <w:color w:val="auto"/>
              </w:rPr>
            </w:pPr>
            <w:r>
              <w:rPr>
                <w:rFonts w:ascii="Arial" w:cs="Arial" w:eastAsia="Arial" w:hAnsi="Arial"/>
                <w:sz w:val="18"/>
                <w:szCs w:val="18"/>
                <w:b w:val="1"/>
                <w:bCs w:val="1"/>
                <w:color w:val="auto"/>
              </w:rPr>
              <w:t>Quarter</w:t>
            </w:r>
          </w:p>
        </w:tc>
      </w:tr>
      <w:tr>
        <w:trPr>
          <w:trHeight w:val="40"/>
        </w:trPr>
        <w:tc>
          <w:tcPr>
            <w:tcW w:w="444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56"/>
        </w:trPr>
        <w:tc>
          <w:tcPr>
            <w:tcW w:w="444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Revenue</w:t>
            </w:r>
          </w:p>
        </w:tc>
        <w:tc>
          <w:tcPr>
            <w:tcW w:w="198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4,870</w:t>
            </w:r>
          </w:p>
        </w:tc>
        <w:tc>
          <w:tcPr>
            <w:tcW w:w="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4,788</w:t>
            </w:r>
          </w:p>
        </w:tc>
        <w:tc>
          <w:tcPr>
            <w:tcW w:w="26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5,835</w:t>
            </w:r>
          </w:p>
        </w:tc>
        <w:tc>
          <w:tcPr>
            <w:tcW w:w="2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7,913</w:t>
            </w:r>
          </w:p>
        </w:tc>
      </w:tr>
      <w:tr>
        <w:trPr>
          <w:trHeight w:val="250"/>
        </w:trPr>
        <w:tc>
          <w:tcPr>
            <w:tcW w:w="444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19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1,395</w:t>
            </w: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1,828</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2,864</w:t>
            </w:r>
          </w:p>
        </w:tc>
        <w:tc>
          <w:tcPr>
            <w:tcW w:w="2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4,615</w:t>
            </w:r>
          </w:p>
        </w:tc>
      </w:tr>
      <w:tr>
        <w:trPr>
          <w:trHeight w:val="263"/>
        </w:trPr>
        <w:tc>
          <w:tcPr>
            <w:tcW w:w="4440" w:type="dxa"/>
            <w:vAlign w:val="bottom"/>
            <w:shd w:val="clear" w:color="auto" w:fill="D1D2D4"/>
          </w:tcPr>
          <w:p>
            <w:pPr>
              <w:ind w:left="20"/>
              <w:spacing w:after="0"/>
              <w:rPr>
                <w:sz w:val="20"/>
                <w:szCs w:val="20"/>
                <w:color w:val="auto"/>
              </w:rPr>
            </w:pPr>
            <w:r>
              <w:rPr>
                <w:rFonts w:ascii="Arial" w:cs="Arial" w:eastAsia="Arial" w:hAnsi="Arial"/>
                <w:sz w:val="18"/>
                <w:szCs w:val="18"/>
                <w:color w:val="auto"/>
              </w:rPr>
              <w:t>Operating income</w:t>
            </w:r>
          </w:p>
        </w:tc>
        <w:tc>
          <w:tcPr>
            <w:tcW w:w="1980" w:type="dxa"/>
            <w:vAlign w:val="bottom"/>
            <w:shd w:val="clear" w:color="auto" w:fill="D1D2D4"/>
          </w:tcPr>
          <w:p>
            <w:pPr>
              <w:spacing w:after="0"/>
              <w:rPr>
                <w:sz w:val="22"/>
                <w:szCs w:val="22"/>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650</w:t>
            </w:r>
          </w:p>
        </w:tc>
        <w:tc>
          <w:tcPr>
            <w:tcW w:w="240" w:type="dxa"/>
            <w:vAlign w:val="bottom"/>
            <w:shd w:val="clear" w:color="auto" w:fill="D1D2D4"/>
          </w:tcPr>
          <w:p>
            <w:pPr>
              <w:spacing w:after="0"/>
              <w:rPr>
                <w:sz w:val="22"/>
                <w:szCs w:val="22"/>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1,010</w:t>
            </w:r>
          </w:p>
        </w:tc>
        <w:tc>
          <w:tcPr>
            <w:tcW w:w="260" w:type="dxa"/>
            <w:vAlign w:val="bottom"/>
            <w:shd w:val="clear" w:color="auto" w:fill="D1D2D4"/>
          </w:tcPr>
          <w:p>
            <w:pPr>
              <w:spacing w:after="0"/>
              <w:rPr>
                <w:sz w:val="22"/>
                <w:szCs w:val="22"/>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1,957</w:t>
            </w:r>
          </w:p>
        </w:tc>
        <w:tc>
          <w:tcPr>
            <w:tcW w:w="240" w:type="dxa"/>
            <w:vAlign w:val="bottom"/>
            <w:shd w:val="clear" w:color="auto" w:fill="D1D2D4"/>
          </w:tcPr>
          <w:p>
            <w:pPr>
              <w:spacing w:after="0"/>
              <w:rPr>
                <w:sz w:val="22"/>
                <w:szCs w:val="22"/>
                <w:color w:val="auto"/>
              </w:rPr>
            </w:pPr>
          </w:p>
        </w:tc>
        <w:tc>
          <w:tcPr>
            <w:tcW w:w="106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3,759</w:t>
            </w:r>
          </w:p>
        </w:tc>
      </w:tr>
      <w:tr>
        <w:trPr>
          <w:trHeight w:val="250"/>
        </w:trPr>
        <w:tc>
          <w:tcPr>
            <w:tcW w:w="44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9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586</w:t>
            </w: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851</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1,625</w:t>
            </w:r>
          </w:p>
        </w:tc>
        <w:tc>
          <w:tcPr>
            <w:tcW w:w="2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3,296</w:t>
            </w:r>
          </w:p>
        </w:tc>
      </w:tr>
      <w:tr>
        <w:trPr>
          <w:trHeight w:val="263"/>
        </w:trPr>
        <w:tc>
          <w:tcPr>
            <w:tcW w:w="444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income attributable to Micron</w:t>
            </w:r>
          </w:p>
        </w:tc>
        <w:tc>
          <w:tcPr>
            <w:tcW w:w="1980" w:type="dxa"/>
            <w:vAlign w:val="bottom"/>
            <w:shd w:val="clear" w:color="auto" w:fill="D1D2D4"/>
          </w:tcPr>
          <w:p>
            <w:pPr>
              <w:spacing w:after="0"/>
              <w:rPr>
                <w:sz w:val="22"/>
                <w:szCs w:val="22"/>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561</w:t>
            </w:r>
          </w:p>
        </w:tc>
        <w:tc>
          <w:tcPr>
            <w:tcW w:w="240" w:type="dxa"/>
            <w:vAlign w:val="bottom"/>
            <w:shd w:val="clear" w:color="auto" w:fill="D1D2D4"/>
          </w:tcPr>
          <w:p>
            <w:pPr>
              <w:spacing w:after="0"/>
              <w:rPr>
                <w:sz w:val="22"/>
                <w:szCs w:val="22"/>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840</w:t>
            </w:r>
          </w:p>
        </w:tc>
        <w:tc>
          <w:tcPr>
            <w:tcW w:w="260" w:type="dxa"/>
            <w:vAlign w:val="bottom"/>
            <w:shd w:val="clear" w:color="auto" w:fill="D1D2D4"/>
          </w:tcPr>
          <w:p>
            <w:pPr>
              <w:spacing w:after="0"/>
              <w:rPr>
                <w:sz w:val="22"/>
                <w:szCs w:val="22"/>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1,619</w:t>
            </w:r>
          </w:p>
        </w:tc>
        <w:tc>
          <w:tcPr>
            <w:tcW w:w="240" w:type="dxa"/>
            <w:vAlign w:val="bottom"/>
            <w:shd w:val="clear" w:color="auto" w:fill="D1D2D4"/>
          </w:tcPr>
          <w:p>
            <w:pPr>
              <w:spacing w:after="0"/>
              <w:rPr>
                <w:sz w:val="22"/>
                <w:szCs w:val="22"/>
                <w:color w:val="auto"/>
              </w:rPr>
            </w:pPr>
          </w:p>
        </w:tc>
        <w:tc>
          <w:tcPr>
            <w:tcW w:w="106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3,293</w:t>
            </w:r>
          </w:p>
        </w:tc>
      </w:tr>
      <w:tr>
        <w:trPr>
          <w:trHeight w:val="256"/>
        </w:trPr>
        <w:tc>
          <w:tcPr>
            <w:tcW w:w="444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57"/>
        </w:trPr>
        <w:tc>
          <w:tcPr>
            <w:tcW w:w="4440" w:type="dxa"/>
            <w:vAlign w:val="bottom"/>
            <w:shd w:val="clear" w:color="auto" w:fill="D1D2D4"/>
          </w:tcPr>
          <w:p>
            <w:pPr>
              <w:ind w:left="20"/>
              <w:spacing w:after="0"/>
              <w:rPr>
                <w:sz w:val="20"/>
                <w:szCs w:val="20"/>
                <w:color w:val="auto"/>
              </w:rPr>
            </w:pPr>
            <w:r>
              <w:rPr>
                <w:rFonts w:ascii="Arial" w:cs="Arial" w:eastAsia="Arial" w:hAnsi="Arial"/>
                <w:sz w:val="18"/>
                <w:szCs w:val="18"/>
                <w:color w:val="auto"/>
              </w:rPr>
              <w:t>Earnings per share</w:t>
            </w:r>
          </w:p>
        </w:tc>
        <w:tc>
          <w:tcPr>
            <w:tcW w:w="1980" w:type="dxa"/>
            <w:vAlign w:val="bottom"/>
            <w:shd w:val="clear" w:color="auto" w:fill="D1D2D4"/>
          </w:tcPr>
          <w:p>
            <w:pPr>
              <w:spacing w:after="0"/>
              <w:rPr>
                <w:sz w:val="22"/>
                <w:szCs w:val="22"/>
                <w:color w:val="auto"/>
              </w:rPr>
            </w:pPr>
          </w:p>
        </w:tc>
        <w:tc>
          <w:tcPr>
            <w:tcW w:w="102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980" w:type="dxa"/>
            <w:vAlign w:val="bottom"/>
            <w:shd w:val="clear" w:color="auto" w:fill="D1D2D4"/>
          </w:tcPr>
          <w:p>
            <w:pPr>
              <w:spacing w:after="0"/>
              <w:rPr>
                <w:sz w:val="22"/>
                <w:szCs w:val="22"/>
                <w:color w:val="auto"/>
              </w:rPr>
            </w:pPr>
          </w:p>
        </w:tc>
        <w:tc>
          <w:tcPr>
            <w:tcW w:w="260" w:type="dxa"/>
            <w:vAlign w:val="bottom"/>
            <w:shd w:val="clear" w:color="auto" w:fill="D1D2D4"/>
          </w:tcPr>
          <w:p>
            <w:pPr>
              <w:spacing w:after="0"/>
              <w:rPr>
                <w:sz w:val="22"/>
                <w:szCs w:val="22"/>
                <w:color w:val="auto"/>
              </w:rPr>
            </w:pPr>
          </w:p>
        </w:tc>
        <w:tc>
          <w:tcPr>
            <w:tcW w:w="102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060" w:type="dxa"/>
            <w:vAlign w:val="bottom"/>
            <w:shd w:val="clear" w:color="auto" w:fill="D1D2D4"/>
          </w:tcPr>
          <w:p>
            <w:pPr>
              <w:spacing w:after="0"/>
              <w:rPr>
                <w:sz w:val="22"/>
                <w:szCs w:val="22"/>
                <w:color w:val="auto"/>
              </w:rPr>
            </w:pPr>
          </w:p>
        </w:tc>
      </w:tr>
      <w:tr>
        <w:trPr>
          <w:trHeight w:val="256"/>
        </w:trPr>
        <w:tc>
          <w:tcPr>
            <w:tcW w:w="4440" w:type="dxa"/>
            <w:vAlign w:val="bottom"/>
          </w:tcPr>
          <w:p>
            <w:pPr>
              <w:ind w:left="180"/>
              <w:spacing w:after="0"/>
              <w:rPr>
                <w:sz w:val="20"/>
                <w:szCs w:val="20"/>
                <w:color w:val="auto"/>
              </w:rPr>
            </w:pPr>
            <w:r>
              <w:rPr>
                <w:rFonts w:ascii="Arial" w:cs="Arial" w:eastAsia="Arial" w:hAnsi="Arial"/>
                <w:sz w:val="18"/>
                <w:szCs w:val="18"/>
                <w:color w:val="auto"/>
              </w:rPr>
              <w:t>Basic</w:t>
            </w: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0.51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0.76</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1.45</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2.91</w:t>
            </w:r>
          </w:p>
        </w:tc>
      </w:tr>
      <w:tr>
        <w:trPr>
          <w:trHeight w:val="257"/>
        </w:trPr>
        <w:tc>
          <w:tcPr>
            <w:tcW w:w="4440" w:type="dxa"/>
            <w:vAlign w:val="bottom"/>
            <w:shd w:val="clear" w:color="auto" w:fill="D1D2D4"/>
          </w:tcPr>
          <w:p>
            <w:pPr>
              <w:ind w:left="180"/>
              <w:spacing w:after="0"/>
              <w:rPr>
                <w:sz w:val="20"/>
                <w:szCs w:val="20"/>
                <w:color w:val="auto"/>
              </w:rPr>
            </w:pPr>
            <w:r>
              <w:rPr>
                <w:rFonts w:ascii="Arial" w:cs="Arial" w:eastAsia="Arial" w:hAnsi="Arial"/>
                <w:sz w:val="18"/>
                <w:szCs w:val="18"/>
                <w:color w:val="auto"/>
              </w:rPr>
              <w:t>Diluted</w:t>
            </w:r>
          </w:p>
        </w:tc>
        <w:tc>
          <w:tcPr>
            <w:tcW w:w="1980" w:type="dxa"/>
            <w:vAlign w:val="bottom"/>
            <w:shd w:val="clear" w:color="auto" w:fill="D1D2D4"/>
          </w:tcPr>
          <w:p>
            <w:pPr>
              <w:spacing w:after="0"/>
              <w:rPr>
                <w:sz w:val="22"/>
                <w:szCs w:val="22"/>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0.49</w:t>
            </w:r>
          </w:p>
        </w:tc>
        <w:tc>
          <w:tcPr>
            <w:tcW w:w="240" w:type="dxa"/>
            <w:vAlign w:val="bottom"/>
            <w:shd w:val="clear" w:color="auto" w:fill="D1D2D4"/>
          </w:tcPr>
          <w:p>
            <w:pPr>
              <w:spacing w:after="0"/>
              <w:rPr>
                <w:sz w:val="22"/>
                <w:szCs w:val="22"/>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0.74</w:t>
            </w:r>
          </w:p>
        </w:tc>
        <w:tc>
          <w:tcPr>
            <w:tcW w:w="260" w:type="dxa"/>
            <w:vAlign w:val="bottom"/>
            <w:shd w:val="clear" w:color="auto" w:fill="D1D2D4"/>
          </w:tcPr>
          <w:p>
            <w:pPr>
              <w:spacing w:after="0"/>
              <w:rPr>
                <w:sz w:val="22"/>
                <w:szCs w:val="22"/>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1.42</w:t>
            </w:r>
          </w:p>
        </w:tc>
        <w:tc>
          <w:tcPr>
            <w:tcW w:w="240" w:type="dxa"/>
            <w:vAlign w:val="bottom"/>
            <w:shd w:val="clear" w:color="auto" w:fill="D1D2D4"/>
          </w:tcPr>
          <w:p>
            <w:pPr>
              <w:spacing w:after="0"/>
              <w:rPr>
                <w:sz w:val="22"/>
                <w:szCs w:val="22"/>
                <w:color w:val="auto"/>
              </w:rPr>
            </w:pPr>
          </w:p>
        </w:tc>
        <w:tc>
          <w:tcPr>
            <w:tcW w:w="106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2.81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sz w:val="1"/>
          <w:szCs w:val="1"/>
          <w:color w:val="auto"/>
        </w:rPr>
        <w:drawing>
          <wp:inline distT="0" distB="0" distL="0" distR="0">
            <wp:extent cx="608330" cy="171450"/>
            <wp:effectExtent l="0" t="0" r="0"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8330" cy="171450"/>
                    </a:xfrm>
                    <a:prstGeom prst="rect">
                      <a:avLst/>
                    </a:prstGeom>
                    <a:noFill/>
                    <a:ln>
                      <a:noFill/>
                    </a:ln>
                  </pic:spPr>
                </pic:pic>
              </a:graphicData>
            </a:graphic>
          </wp:inline>
        </w:drawing>
      </w:r>
      <w:r>
        <w:rPr>
          <w:rFonts w:ascii="Arial" w:cs="Arial" w:eastAsia="Arial" w:hAnsi="Arial"/>
          <w:sz w:val="18"/>
          <w:szCs w:val="18"/>
          <w:color w:val="auto"/>
        </w:rPr>
        <w:t xml:space="preserve">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85" w:name="page86"/>
    <w:bookmarkEnd w:id="85"/>
    <w:p>
      <w:pPr>
        <w:ind w:left="31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Micron Technology, Inc.</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74"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 xml:space="preserve">We have audited the accompanying consolidated balance sheets of Micron Technology, Inc. and its subsidiaries (the “Company”) as of September 3, 2020 and August 29, 2019, and the related consolidated statements of operations, of comprehensive income, of changes in equity and of cash flows for each of the three years in the period ended September 3, 2020, including the related notes and schedule of valuation and qualifying accounts for each of the three years in the period ended September 3, 2020 appearing under Item 15 (collectively referred to as the “consolidated financial statements”). We also have audited the Company’s internal control over financial reporting as of September 3, 2020,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23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September 3, 2020 and August 29, 2019</w:t>
      </w:r>
      <w:r>
        <w:rPr>
          <w:rFonts w:ascii="Arial" w:cs="Arial" w:eastAsia="Arial" w:hAnsi="Arial"/>
          <w:sz w:val="18"/>
          <w:szCs w:val="18"/>
          <w:b w:val="1"/>
          <w:bCs w:val="1"/>
          <w:color w:val="auto"/>
        </w:rPr>
        <w:t>,</w:t>
      </w:r>
      <w:r>
        <w:rPr>
          <w:rFonts w:ascii="Arial" w:cs="Arial" w:eastAsia="Arial" w:hAnsi="Arial"/>
          <w:sz w:val="18"/>
          <w:szCs w:val="18"/>
          <w:color w:val="auto"/>
        </w:rPr>
        <w:t xml:space="preserve"> and the results of its operations and its cash flows for each of the three years in the period ended September 3, 2020 in conformity with accounting principles generally accepted in the United States of America. Also in our opinion, the Company maintained, in all material respects, effective internal control over financial reporting as of September 3, 2020,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252"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color w:val="auto"/>
        </w:rPr>
        <w:t xml:space="preserve">As discussed in the </w:t>
      </w:r>
      <w:r>
        <w:rPr>
          <w:rFonts w:ascii="Arial" w:cs="Arial" w:eastAsia="Arial" w:hAnsi="Arial"/>
          <w:sz w:val="18"/>
          <w:szCs w:val="18"/>
          <w:i w:val="1"/>
          <w:iCs w:val="1"/>
          <w:color w:val="auto"/>
        </w:rPr>
        <w:t>Recently Adopted Accounting Standards</w:t>
      </w:r>
      <w:r>
        <w:rPr>
          <w:rFonts w:ascii="Arial" w:cs="Arial" w:eastAsia="Arial" w:hAnsi="Arial"/>
          <w:sz w:val="18"/>
          <w:szCs w:val="18"/>
          <w:color w:val="auto"/>
        </w:rPr>
        <w:t xml:space="preserve"> note to the consolidated financial statements, the Company changed the manner in which it accounts for leases in the year ended September 3, 2020.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61"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3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2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74" w:lineRule="exact"/>
        <w:rPr>
          <w:sz w:val="20"/>
          <w:szCs w:val="20"/>
          <w:color w:val="auto"/>
        </w:rPr>
      </w:pPr>
    </w:p>
    <w:p>
      <w:pPr>
        <w:jc w:val="both"/>
        <w:ind w:right="580"/>
        <w:spacing w:after="0" w:line="256"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83 </w:t>
      </w:r>
      <w:r>
        <w:rPr>
          <w:rFonts w:ascii="Arial" w:cs="Arial" w:eastAsia="Arial" w:hAnsi="Arial"/>
          <w:sz w:val="21"/>
          <w:szCs w:val="21"/>
          <w:b w:val="1"/>
          <w:bCs w:val="1"/>
          <w:color w:val="0090DA"/>
        </w:rPr>
        <w:t>|</w:t>
      </w:r>
      <w:r>
        <w:rPr>
          <w:rFonts w:ascii="Arial" w:cs="Arial" w:eastAsia="Arial" w:hAnsi="Arial"/>
          <w:sz w:val="18"/>
          <w:szCs w:val="18"/>
          <w:color w:val="auto"/>
        </w:rPr>
        <w:t xml:space="preserve"> 2020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sectPr>
      </w:pPr>
    </w:p>
    <w:bookmarkStart w:id="86" w:name="page87"/>
    <w:bookmarkEnd w:id="86"/>
    <w:p>
      <w:pPr>
        <w:ind w:right="240"/>
        <w:spacing w:after="0" w:line="250" w:lineRule="auto"/>
        <w:rPr>
          <w:sz w:val="20"/>
          <w:szCs w:val="20"/>
          <w:color w:val="auto"/>
        </w:rPr>
      </w:pPr>
      <w:r>
        <w:rPr>
          <w:rFonts w:ascii="Arial" w:cs="Arial" w:eastAsia="Arial" w:hAnsi="Arial"/>
          <w:sz w:val="18"/>
          <w:szCs w:val="18"/>
          <w:color w:val="auto"/>
        </w:rPr>
        <w:t>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2" w:lineRule="exact"/>
        <w:rPr>
          <w:sz w:val="20"/>
          <w:szCs w:val="20"/>
          <w:color w:val="auto"/>
        </w:rPr>
      </w:pPr>
    </w:p>
    <w:p>
      <w:pPr>
        <w:ind w:right="180" w:firstLine="8"/>
        <w:spacing w:after="0" w:line="261" w:lineRule="auto"/>
        <w:tabs>
          <w:tab w:leader="none" w:pos="29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225"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274"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Revised Useful Lives of Equipment in the NAND Wafer Fabrication Facilities</w:t>
      </w:r>
    </w:p>
    <w:p>
      <w:pPr>
        <w:spacing w:after="0" w:line="270"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As described in the Significant Accounting Policies and Property, Plant, and Equipment notes to the consolidated financial statements, the Company periodically assesses the estimated useful lives of its property, plant, and equipment. The Company’s consolidated property, plant, and equipment, net balance as of September 3, 2020 was $31 billion. Based on management’s assessment of planned technology node transitions, capital spending, and re-use rates, management revised the estimated useful lives of existing equipment in the NAND wafer fabrication facilities from five years to seven years as of the beginning of fiscal year 2020.</w:t>
      </w:r>
    </w:p>
    <w:p>
      <w:pPr>
        <w:spacing w:after="0" w:line="232"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 principal considerations for our determination that performing procedures relating to the revised useful lives of equipment in the NAND wafer fabrication facilities is a critical audit matter are the significant judgment by management in developing the revised estimate of useful lives, which in turn led to significant auditor judgment, subjectivity and effort in performing procedures to evaluate the reasonableness of the significant assumptions used to estimate the revised useful lives of the equipment related to planned technology node transitions, capital spending, and re-use rates.</w:t>
      </w:r>
    </w:p>
    <w:p>
      <w:pPr>
        <w:spacing w:after="0" w:line="232"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assessment of the revised useful lives, significant assumptions, and data used to estimate the revised useful lives of equipment in the NAND wafer fabrication facilities. These procedures also included, among others, (i) testing management’s process for developing the seven year useful life, (ii) testing the completeness, accuracy, and relevance of underlying data used in the assessment, and (iii) evaluating the reasonableness of the significant assumptions used by management related to planned technology node transitions, capital spending, and re-use rates. Evaluating management’s assumptions related to planned technology node transitions, capital spending, and re-use rates involved evaluating whether the assumptions used by management were reasonable considering (i) planned technology node transitions based on industry data as compared to historical technology node transitions, (ii) historical trends of capital spending, and (iii) historical length of service of previously purchased equipment and re-use rates of equipment based on technology node transitions.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Inventories (Finished goods and Work in process)</w:t>
      </w:r>
    </w:p>
    <w:p>
      <w:pPr>
        <w:spacing w:after="0" w:line="270"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As described in the Significant Accounting Policies and Inventories notes to the consolidated financial statements, as of September 3, 2020, the Company had a net inventory balance for finished goods and work in process inventory totaling approximately $4.9 billion. As disclosed by management, determining the net realizable value of the Company’s net inventories involves significant judgments, including projecting future average selling prices and future sales volumes.</w:t>
      </w: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sz w:val="1"/>
          <w:szCs w:val="1"/>
          <w:color w:val="auto"/>
        </w:rPr>
        <w:drawing>
          <wp:inline distT="0" distB="0" distL="0" distR="0">
            <wp:extent cx="608330" cy="171450"/>
            <wp:effectExtent l="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8330" cy="171450"/>
                    </a:xfrm>
                    <a:prstGeom prst="rect">
                      <a:avLst/>
                    </a:prstGeom>
                    <a:noFill/>
                    <a:ln>
                      <a:noFill/>
                    </a:ln>
                  </pic:spPr>
                </pic:pic>
              </a:graphicData>
            </a:graphic>
          </wp:inline>
        </w:drawing>
      </w:r>
      <w:r>
        <w:rPr>
          <w:rFonts w:ascii="Arial" w:cs="Arial" w:eastAsia="Arial" w:hAnsi="Arial"/>
          <w:sz w:val="18"/>
          <w:szCs w:val="18"/>
          <w:color w:val="auto"/>
        </w:rPr>
        <w:t xml:space="preserve"> 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7" w:name="page88"/>
    <w:bookmarkEnd w:id="87"/>
    <w:p>
      <w:pPr>
        <w:ind w:right="100"/>
        <w:spacing w:after="0" w:line="238" w:lineRule="auto"/>
        <w:rPr>
          <w:sz w:val="20"/>
          <w:szCs w:val="20"/>
          <w:color w:val="auto"/>
        </w:rPr>
      </w:pPr>
      <w:r>
        <w:rPr>
          <w:rFonts w:ascii="Arial" w:cs="Arial" w:eastAsia="Arial" w:hAnsi="Arial"/>
          <w:sz w:val="18"/>
          <w:szCs w:val="18"/>
          <w:color w:val="auto"/>
        </w:rPr>
        <w:t>The principal considerations for our determination that performing procedures relating to the valuation of finished goods and work in process inventories is a critical audit matter are the significant judgment by management in determining the net realizable value of inventories, which in turn led to significant auditor judgment, subjectivity and effort in performing procedures over the reasonableness of the significant assumptions related to future average selling prices and future sales volumes, used to estimate the net realizable value of finished goods and work in process inventories.</w:t>
      </w:r>
    </w:p>
    <w:p>
      <w:pPr>
        <w:spacing w:after="0" w:line="22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estimate of the net realizable value of finished goods and work in process inventories, significant assumptions, and data used to value the inventories. These procedures also included, among others, testing management’s process for developing the net realizable value estimate of finished goods and work in process inventories; evaluating the appropriateness of management’s estimated net realizable value methodology; testing the completeness, accuracy, and relevance of underlying data used in the estimate of net realizable value of finished goods and work in process inventories; and evaluating the reasonableness of management’s assumptions, related to future average selling prices and future sales volumes. Evaluating management’s assumptions related to future average selling prices and future sales volumes involved evaluating whether the assumptions used by management were reasonable considering (i) current and past results, including recent sales, (ii) the consistency with external market, industry data and current contract prices, (iii) a comparison of the prior year estimates to actual results in the current year, and (iv) and whether these assumptions were consistent with evidence obtained in other areas of the audit.</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19, 2020</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1984.</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85 </w:t>
      </w:r>
      <w:r>
        <w:rPr>
          <w:rFonts w:ascii="Arial" w:cs="Arial" w:eastAsia="Arial" w:hAnsi="Arial"/>
          <w:sz w:val="21"/>
          <w:szCs w:val="21"/>
          <w:b w:val="1"/>
          <w:bCs w:val="1"/>
          <w:color w:val="0090DA"/>
        </w:rPr>
        <w:t>|</w:t>
      </w:r>
      <w:r>
        <w:rPr>
          <w:rFonts w:ascii="Arial" w:cs="Arial" w:eastAsia="Arial" w:hAnsi="Arial"/>
          <w:sz w:val="18"/>
          <w:szCs w:val="18"/>
          <w:color w:val="auto"/>
        </w:rPr>
        <w:t xml:space="preserve"> 2020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88" w:name="page89"/>
    <w:bookmarkEnd w:id="88"/>
    <w:p>
      <w:pPr>
        <w:ind w:right="260"/>
        <w:spacing w:after="0" w:line="288" w:lineRule="auto"/>
        <w:rPr>
          <w:sz w:val="20"/>
          <w:szCs w:val="20"/>
          <w:color w:val="auto"/>
        </w:rPr>
      </w:pPr>
      <w:r>
        <w:rPr>
          <w:rFonts w:ascii="Arial" w:cs="Arial" w:eastAsia="Arial" w:hAnsi="Arial"/>
          <w:sz w:val="25"/>
          <w:szCs w:val="25"/>
          <w:b w:val="1"/>
          <w:bCs w:val="1"/>
          <w:color w:val="auto"/>
        </w:rPr>
        <w:t>ITEM 9. CHANGES IN AND DISAGREEMENTS WITH ACCOUNTANTS ON ACCOUNTING AND FINANCIAL DISCLOSURE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9A. CONTROLS AND PROCEDURES</w:t>
      </w:r>
    </w:p>
    <w:p>
      <w:pPr>
        <w:spacing w:after="0" w:line="282"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An evaluation was carried out under the supervision and with the participation of our management, including our principal executive officer and principal financial officer, of the effectiveness of the design and operation of our disclosure controls and procedures (as defined in Rules 13a-15(e) and 15d-15(e) under the Securities Exchange Act of 1934) as of the end of the period covered by this report. Based upon that evaluation, the principal executive officer and principal financial officer concluded that those disclosure controls and procedures were effective to ensure that information required to be disclosed by us in the reports that we file or submit under the Exchange Act are recorded, processed, summarized, and reported within the time periods specified in the Commission’s rules and forms and that such information is accumulated and communicated to our management, including the principal executive officer and principal financial officer, to allow timely decisions regarding disclosure.</w:t>
      </w:r>
    </w:p>
    <w:p>
      <w:pPr>
        <w:spacing w:after="0" w:line="232"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During the fourth quarter of 2020, there were no changes in our internal control over financial reporting that have materially affected, or are reasonably likely to materially affect, our internal control over financial reporting.</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Management’s Report on Internal Control Over Financial Reporting</w:t>
      </w:r>
    </w:p>
    <w:p>
      <w:pPr>
        <w:spacing w:after="0" w:line="26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 Our internal control over financial reporting includes those policies and procedures that (i) pertain to the maintenance of records that in reasonable detail accurately reflect the transactions and dispositions of our assets; (ii) 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our financial statements.</w:t>
      </w:r>
    </w:p>
    <w:p>
      <w:pPr>
        <w:spacing w:after="0" w:line="23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2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Management conducted an evaluation of the effectiveness of our internal control over financial reporting based on the framework in Internal Control – Integrated Framework (2013) issued by the Committee of Sponsoring Organizations of the Treadway Commission. Based on this evaluation, management concluded that our internal control over financial reporting was effective as of September 3, 2020. The effectiveness of our internal control over financial reporting as of September 3, 2020 has been audited by PricewaterhouseCoopers LLP, an independent registered public accounting firm, as stated in their report, which is included in Part II, Item 8, of this Form 10-K.</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9B. OTHER INFORMATION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sz w:val="1"/>
          <w:szCs w:val="1"/>
          <w:color w:val="auto"/>
        </w:rPr>
        <w:drawing>
          <wp:inline distT="0" distB="0" distL="0" distR="0">
            <wp:extent cx="608330" cy="171450"/>
            <wp:effectExtent l="0" t="0" r="0"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08330" cy="171450"/>
                    </a:xfrm>
                    <a:prstGeom prst="rect">
                      <a:avLst/>
                    </a:prstGeom>
                    <a:noFill/>
                    <a:ln>
                      <a:noFill/>
                    </a:ln>
                  </pic:spPr>
                </pic:pic>
              </a:graphicData>
            </a:graphic>
          </wp:inline>
        </w:drawing>
      </w:r>
      <w:r>
        <w:rPr>
          <w:rFonts w:ascii="Arial" w:cs="Arial" w:eastAsia="Arial" w:hAnsi="Arial"/>
          <w:sz w:val="18"/>
          <w:szCs w:val="18"/>
          <w:color w:val="auto"/>
        </w:rPr>
        <w:t xml:space="preserve"> 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bookmarkStart w:id="89" w:name="page90"/>
    <w:bookmarkEnd w:id="89"/>
    <w:p>
      <w:pPr>
        <w:spacing w:after="0"/>
        <w:rPr>
          <w:sz w:val="20"/>
          <w:szCs w:val="20"/>
          <w:color w:val="auto"/>
        </w:rPr>
      </w:pPr>
      <w:r>
        <w:rPr>
          <w:rFonts w:ascii="Arial" w:cs="Arial" w:eastAsia="Arial" w:hAnsi="Arial"/>
          <w:sz w:val="29"/>
          <w:szCs w:val="29"/>
          <w:b w:val="1"/>
          <w:bCs w:val="1"/>
          <w:color w:val="auto"/>
        </w:rPr>
        <w:t>PART III</w:t>
      </w:r>
    </w:p>
    <w:p>
      <w:pPr>
        <w:spacing w:after="0" w:line="257" w:lineRule="exact"/>
        <w:rPr>
          <w:sz w:val="20"/>
          <w:szCs w:val="20"/>
          <w:color w:val="auto"/>
        </w:rPr>
      </w:pPr>
    </w:p>
    <w:p>
      <w:pPr>
        <w:ind w:right="1440"/>
        <w:spacing w:after="0" w:line="450" w:lineRule="auto"/>
        <w:rPr>
          <w:sz w:val="20"/>
          <w:szCs w:val="20"/>
          <w:color w:val="auto"/>
        </w:rPr>
      </w:pPr>
      <w:r>
        <w:rPr>
          <w:rFonts w:ascii="Arial" w:cs="Arial" w:eastAsia="Arial" w:hAnsi="Arial"/>
          <w:sz w:val="25"/>
          <w:szCs w:val="25"/>
          <w:b w:val="1"/>
          <w:bCs w:val="1"/>
          <w:color w:val="auto"/>
        </w:rPr>
        <w:t>ITEM 10. DIRECTORS, EXECUTIVE OFFICERS, AND CORPORATE GOVERNANCE ITEM 11. EXECUTIVE COMPENSATION</w:t>
      </w:r>
    </w:p>
    <w:p>
      <w:pPr>
        <w:spacing w:after="0" w:line="2" w:lineRule="exact"/>
        <w:rPr>
          <w:sz w:val="20"/>
          <w:szCs w:val="20"/>
          <w:color w:val="auto"/>
        </w:rPr>
      </w:pPr>
    </w:p>
    <w:p>
      <w:pPr>
        <w:ind w:right="280"/>
        <w:spacing w:after="0" w:line="288" w:lineRule="auto"/>
        <w:rPr>
          <w:sz w:val="20"/>
          <w:szCs w:val="20"/>
          <w:color w:val="auto"/>
        </w:rPr>
      </w:pPr>
      <w:r>
        <w:rPr>
          <w:rFonts w:ascii="Arial" w:cs="Arial" w:eastAsia="Arial" w:hAnsi="Arial"/>
          <w:sz w:val="25"/>
          <w:szCs w:val="25"/>
          <w:b w:val="1"/>
          <w:bCs w:val="1"/>
          <w:color w:val="auto"/>
        </w:rPr>
        <w:t>ITEM 12. SECURITY OWNERSHIP OF CERTAIN BENEFICIAL OWNERS AND MANAGEMENT AND RELATED STOCKHOLDER MATTERS</w:t>
      </w:r>
    </w:p>
    <w:p>
      <w:pPr>
        <w:spacing w:after="0" w:line="147" w:lineRule="exact"/>
        <w:rPr>
          <w:sz w:val="20"/>
          <w:szCs w:val="20"/>
          <w:color w:val="auto"/>
        </w:rPr>
      </w:pPr>
    </w:p>
    <w:p>
      <w:pPr>
        <w:ind w:right="880"/>
        <w:spacing w:after="0" w:line="288" w:lineRule="auto"/>
        <w:rPr>
          <w:sz w:val="20"/>
          <w:szCs w:val="20"/>
          <w:color w:val="auto"/>
        </w:rPr>
      </w:pPr>
      <w:r>
        <w:rPr>
          <w:rFonts w:ascii="Arial" w:cs="Arial" w:eastAsia="Arial" w:hAnsi="Arial"/>
          <w:sz w:val="25"/>
          <w:szCs w:val="25"/>
          <w:b w:val="1"/>
          <w:bCs w:val="1"/>
          <w:color w:val="auto"/>
        </w:rPr>
        <w:t>ITEM 13. CERTAIN RELATIONSHIPS AND RELATED TRANSACTIONS, AND DIRECTOR INDEPENDENCE</w:t>
      </w:r>
    </w:p>
    <w:p>
      <w:pPr>
        <w:spacing w:after="0" w:line="14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14. PRINCIPAL ACCOUNTANT FEES AND SERVICES</w:t>
      </w:r>
    </w:p>
    <w:p>
      <w:pPr>
        <w:spacing w:after="0" w:line="28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Certain information concerning our executive officers is included under the caption, “Information About Our Executive Officers” in Part I, Item 1 of this report. Other information required by Items 10, 11, 12, 13, and 14 will be contained in our 2020 Proxy Statement which will be filed with the SEC within 120 days after September 3, 2020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87 </w:t>
      </w:r>
      <w:r>
        <w:rPr>
          <w:rFonts w:ascii="Arial" w:cs="Arial" w:eastAsia="Arial" w:hAnsi="Arial"/>
          <w:sz w:val="21"/>
          <w:szCs w:val="21"/>
          <w:b w:val="1"/>
          <w:bCs w:val="1"/>
          <w:color w:val="0090DA"/>
        </w:rPr>
        <w:t>|</w:t>
      </w:r>
      <w:r>
        <w:rPr>
          <w:rFonts w:ascii="Arial" w:cs="Arial" w:eastAsia="Arial" w:hAnsi="Arial"/>
          <w:sz w:val="18"/>
          <w:szCs w:val="18"/>
          <w:color w:val="auto"/>
        </w:rPr>
        <w:t xml:space="preserve"> 2020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09" w:right="419" w:bottom="1440" w:gutter="0" w:footer="0" w:header="0"/>
        </w:sectPr>
      </w:pPr>
    </w:p>
    <w:bookmarkStart w:id="90" w:name="page91"/>
    <w:bookmarkEnd w:id="90"/>
    <w:p>
      <w:pPr>
        <w:spacing w:after="0"/>
        <w:rPr>
          <w:sz w:val="20"/>
          <w:szCs w:val="20"/>
          <w:color w:val="auto"/>
        </w:rPr>
      </w:pPr>
      <w:r>
        <w:rPr>
          <w:rFonts w:ascii="Arial" w:cs="Arial" w:eastAsia="Arial" w:hAnsi="Arial"/>
          <w:sz w:val="29"/>
          <w:szCs w:val="29"/>
          <w:b w:val="1"/>
          <w:bCs w:val="1"/>
          <w:color w:val="auto"/>
        </w:rPr>
        <w:t>PART IV</w:t>
      </w:r>
    </w:p>
    <w:p>
      <w:pPr>
        <w:spacing w:after="0" w:line="25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15. EXHIBITS AND FINANCIAL STATEMENT SCHEDULE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(a) The following documents are filed as part of this report:</w:t>
      </w:r>
    </w:p>
    <w:p>
      <w:pPr>
        <w:spacing w:after="0" w:line="63" w:lineRule="exact"/>
        <w:rPr>
          <w:sz w:val="20"/>
          <w:szCs w:val="20"/>
          <w:color w:val="auto"/>
        </w:rPr>
      </w:pPr>
    </w:p>
    <w:p>
      <w:pPr>
        <w:ind w:left="600" w:hanging="358"/>
        <w:spacing w:after="0"/>
        <w:tabs>
          <w:tab w:leader="none" w:pos="6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Financial Statements: See our consolidated financial statements under Item 8.</w:t>
      </w:r>
    </w:p>
    <w:p>
      <w:pPr>
        <w:spacing w:after="0" w:line="45" w:lineRule="exact"/>
        <w:rPr>
          <w:sz w:val="20"/>
          <w:szCs w:val="20"/>
          <w:color w:val="auto"/>
        </w:rPr>
      </w:pPr>
    </w:p>
    <w:p>
      <w:pPr>
        <w:ind w:left="600" w:hanging="358"/>
        <w:spacing w:after="0"/>
        <w:tabs>
          <w:tab w:leader="none" w:pos="6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Financial Statement Schedule:</w:t>
      </w:r>
    </w:p>
    <w:p>
      <w:pPr>
        <w:ind w:left="600"/>
        <w:spacing w:after="0"/>
        <w:rPr>
          <w:rFonts w:ascii="Arial" w:cs="Arial" w:eastAsia="Arial" w:hAnsi="Arial"/>
          <w:sz w:val="18"/>
          <w:szCs w:val="18"/>
          <w:color w:val="auto"/>
        </w:rPr>
      </w:pPr>
      <w:r>
        <w:rPr>
          <w:rFonts w:ascii="Arial" w:cs="Arial" w:eastAsia="Arial" w:hAnsi="Arial"/>
          <w:sz w:val="18"/>
          <w:szCs w:val="18"/>
          <w:color w:val="auto"/>
        </w:rPr>
        <w:t>See “Schedule II – Valuation and Qualifying Accounts” within Item 15 below.</w:t>
      </w:r>
    </w:p>
    <w:p>
      <w:pPr>
        <w:spacing w:after="0" w:line="198" w:lineRule="exact"/>
        <w:rPr>
          <w:sz w:val="20"/>
          <w:szCs w:val="20"/>
          <w:color w:val="auto"/>
        </w:rPr>
      </w:pPr>
    </w:p>
    <w:p>
      <w:pPr>
        <w:ind w:left="600" w:right="440"/>
        <w:spacing w:after="0" w:line="246" w:lineRule="auto"/>
        <w:rPr>
          <w:sz w:val="20"/>
          <w:szCs w:val="20"/>
          <w:color w:val="auto"/>
        </w:rPr>
      </w:pPr>
      <w:r>
        <w:rPr>
          <w:rFonts w:ascii="Arial" w:cs="Arial" w:eastAsia="Arial" w:hAnsi="Arial"/>
          <w:sz w:val="18"/>
          <w:szCs w:val="18"/>
          <w:color w:val="auto"/>
        </w:rPr>
        <w:t>Certain Financial Statement Schedules have been omitted since they are either not required, not applicable, or the information is otherwise included.</w:t>
      </w:r>
    </w:p>
    <w:p>
      <w:pPr>
        <w:spacing w:after="0" w:line="35" w:lineRule="exact"/>
        <w:rPr>
          <w:sz w:val="20"/>
          <w:szCs w:val="20"/>
          <w:color w:val="auto"/>
        </w:rPr>
      </w:pPr>
    </w:p>
    <w:p>
      <w:pPr>
        <w:ind w:left="600" w:hanging="358"/>
        <w:spacing w:after="0"/>
        <w:tabs>
          <w:tab w:leader="none" w:pos="6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Exhibits. See “Index to Exhibits” within Item 15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sz w:val="1"/>
          <w:szCs w:val="1"/>
          <w:color w:val="auto"/>
        </w:rPr>
        <w:drawing>
          <wp:inline distT="0" distB="0" distL="0" distR="0">
            <wp:extent cx="608330" cy="171450"/>
            <wp:effectExtent l="0" t="0" r="0"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8330" cy="171450"/>
                    </a:xfrm>
                    <a:prstGeom prst="rect">
                      <a:avLst/>
                    </a:prstGeom>
                    <a:noFill/>
                    <a:ln>
                      <a:noFill/>
                    </a:ln>
                  </pic:spPr>
                </pic:pic>
              </a:graphicData>
            </a:graphic>
          </wp:inline>
        </w:drawing>
      </w:r>
      <w:r>
        <w:rPr>
          <w:rFonts w:ascii="Arial" w:cs="Arial" w:eastAsia="Arial" w:hAnsi="Arial"/>
          <w:sz w:val="18"/>
          <w:szCs w:val="18"/>
          <w:color w:val="auto"/>
        </w:rPr>
        <w:t xml:space="preserve"> 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91" w:name="page92"/>
    <w:bookmarkEnd w:id="91"/>
    <w:p>
      <w:pPr>
        <w:spacing w:after="0"/>
        <w:rPr>
          <w:sz w:val="20"/>
          <w:szCs w:val="20"/>
          <w:color w:val="auto"/>
        </w:rPr>
      </w:pPr>
      <w:r>
        <w:rPr>
          <w:rFonts w:ascii="Arial" w:cs="Arial" w:eastAsia="Arial" w:hAnsi="Arial"/>
          <w:sz w:val="40"/>
          <w:szCs w:val="40"/>
          <w:b w:val="1"/>
          <w:bCs w:val="1"/>
          <w:color w:val="auto"/>
        </w:rPr>
        <w:t>SCHEDULE II</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AND QUALIFYING ACCOUNTS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center"/>
              <w:ind w:right="90"/>
              <w:spacing w:after="0"/>
              <w:rPr>
                <w:sz w:val="20"/>
                <w:szCs w:val="20"/>
                <w:color w:val="auto"/>
              </w:rPr>
            </w:pPr>
            <w:r>
              <w:rPr>
                <w:rFonts w:ascii="Arial" w:cs="Arial" w:eastAsia="Arial" w:hAnsi="Arial"/>
                <w:sz w:val="18"/>
                <w:szCs w:val="18"/>
                <w:b w:val="1"/>
                <w:bCs w:val="1"/>
                <w:color w:val="auto"/>
              </w:rPr>
              <w:t>Currency</w:t>
            </w: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44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98"/>
              </w:rPr>
              <w:t>Charged</w:t>
            </w:r>
          </w:p>
        </w:tc>
        <w:tc>
          <w:tcPr>
            <w:tcW w:w="140" w:type="dxa"/>
            <w:vAlign w:val="bottom"/>
          </w:tcPr>
          <w:p>
            <w:pPr>
              <w:spacing w:after="0"/>
              <w:rPr>
                <w:sz w:val="17"/>
                <w:szCs w:val="17"/>
                <w:color w:val="auto"/>
              </w:rPr>
            </w:pPr>
          </w:p>
        </w:tc>
        <w:tc>
          <w:tcPr>
            <w:tcW w:w="1260" w:type="dxa"/>
            <w:vAlign w:val="bottom"/>
          </w:tcPr>
          <w:p>
            <w:pPr>
              <w:jc w:val="center"/>
              <w:ind w:right="90"/>
              <w:spacing w:after="0" w:line="202" w:lineRule="exact"/>
              <w:rPr>
                <w:sz w:val="20"/>
                <w:szCs w:val="20"/>
                <w:color w:val="auto"/>
              </w:rPr>
            </w:pPr>
            <w:r>
              <w:rPr>
                <w:rFonts w:ascii="Arial" w:cs="Arial" w:eastAsia="Arial" w:hAnsi="Arial"/>
                <w:sz w:val="18"/>
                <w:szCs w:val="18"/>
                <w:b w:val="1"/>
                <w:bCs w:val="1"/>
                <w:color w:val="auto"/>
                <w:w w:val="98"/>
              </w:rPr>
              <w:t>Translation</w:t>
            </w: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44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2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w w:val="99"/>
              </w:rPr>
              <w:t>Balance at</w:t>
            </w:r>
          </w:p>
        </w:tc>
        <w:tc>
          <w:tcPr>
            <w:tcW w:w="180" w:type="dxa"/>
            <w:vAlign w:val="bottom"/>
          </w:tcPr>
          <w:p>
            <w:pPr>
              <w:spacing w:after="0"/>
              <w:rPr>
                <w:sz w:val="17"/>
                <w:szCs w:val="17"/>
                <w:color w:val="auto"/>
              </w:rPr>
            </w:pPr>
          </w:p>
        </w:tc>
        <w:tc>
          <w:tcPr>
            <w:tcW w:w="126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rPr>
              <w:t>(Credited) to</w:t>
            </w:r>
          </w:p>
        </w:tc>
        <w:tc>
          <w:tcPr>
            <w:tcW w:w="140" w:type="dxa"/>
            <w:vAlign w:val="bottom"/>
          </w:tcPr>
          <w:p>
            <w:pPr>
              <w:spacing w:after="0"/>
              <w:rPr>
                <w:sz w:val="17"/>
                <w:szCs w:val="17"/>
                <w:color w:val="auto"/>
              </w:rPr>
            </w:pPr>
          </w:p>
        </w:tc>
        <w:tc>
          <w:tcPr>
            <w:tcW w:w="126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rPr>
              <w:t>and Charges</w:t>
            </w:r>
          </w:p>
        </w:tc>
        <w:tc>
          <w:tcPr>
            <w:tcW w:w="200" w:type="dxa"/>
            <w:vAlign w:val="bottom"/>
          </w:tcPr>
          <w:p>
            <w:pPr>
              <w:spacing w:after="0"/>
              <w:rPr>
                <w:sz w:val="17"/>
                <w:szCs w:val="17"/>
                <w:color w:val="auto"/>
              </w:rPr>
            </w:pPr>
          </w:p>
        </w:tc>
        <w:tc>
          <w:tcPr>
            <w:tcW w:w="1200" w:type="dxa"/>
            <w:vAlign w:val="bottom"/>
          </w:tcPr>
          <w:p>
            <w:pPr>
              <w:jc w:val="center"/>
              <w:ind w:right="90"/>
              <w:spacing w:after="0" w:line="202" w:lineRule="exact"/>
              <w:rPr>
                <w:sz w:val="20"/>
                <w:szCs w:val="20"/>
                <w:color w:val="auto"/>
              </w:rPr>
            </w:pPr>
            <w:r>
              <w:rPr>
                <w:rFonts w:ascii="Arial" w:cs="Arial" w:eastAsia="Arial" w:hAnsi="Arial"/>
                <w:sz w:val="18"/>
                <w:szCs w:val="18"/>
                <w:b w:val="1"/>
                <w:bCs w:val="1"/>
                <w:color w:val="auto"/>
                <w:w w:val="99"/>
              </w:rPr>
              <w:t>Balance at</w:t>
            </w:r>
          </w:p>
        </w:tc>
      </w:tr>
      <w:tr>
        <w:trPr>
          <w:trHeight w:val="203"/>
        </w:trPr>
        <w:tc>
          <w:tcPr>
            <w:tcW w:w="44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2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w w:val="99"/>
              </w:rPr>
              <w:t>Beginning of</w:t>
            </w:r>
          </w:p>
        </w:tc>
        <w:tc>
          <w:tcPr>
            <w:tcW w:w="180" w:type="dxa"/>
            <w:vAlign w:val="bottom"/>
          </w:tcPr>
          <w:p>
            <w:pPr>
              <w:spacing w:after="0"/>
              <w:rPr>
                <w:sz w:val="17"/>
                <w:szCs w:val="17"/>
                <w:color w:val="auto"/>
              </w:rPr>
            </w:pPr>
          </w:p>
        </w:tc>
        <w:tc>
          <w:tcPr>
            <w:tcW w:w="126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w w:val="98"/>
              </w:rPr>
              <w:t>Income Tax</w:t>
            </w:r>
          </w:p>
        </w:tc>
        <w:tc>
          <w:tcPr>
            <w:tcW w:w="140" w:type="dxa"/>
            <w:vAlign w:val="bottom"/>
          </w:tcPr>
          <w:p>
            <w:pPr>
              <w:spacing w:after="0"/>
              <w:rPr>
                <w:sz w:val="17"/>
                <w:szCs w:val="17"/>
                <w:color w:val="auto"/>
              </w:rPr>
            </w:pPr>
          </w:p>
        </w:tc>
        <w:tc>
          <w:tcPr>
            <w:tcW w:w="126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w w:val="99"/>
              </w:rPr>
              <w:t>to Other</w:t>
            </w:r>
          </w:p>
        </w:tc>
        <w:tc>
          <w:tcPr>
            <w:tcW w:w="200" w:type="dxa"/>
            <w:vAlign w:val="bottom"/>
          </w:tcPr>
          <w:p>
            <w:pPr>
              <w:spacing w:after="0"/>
              <w:rPr>
                <w:sz w:val="17"/>
                <w:szCs w:val="17"/>
                <w:color w:val="auto"/>
              </w:rPr>
            </w:pPr>
          </w:p>
        </w:tc>
        <w:tc>
          <w:tcPr>
            <w:tcW w:w="1200" w:type="dxa"/>
            <w:vAlign w:val="bottom"/>
          </w:tcPr>
          <w:p>
            <w:pPr>
              <w:jc w:val="center"/>
              <w:ind w:right="110"/>
              <w:spacing w:after="0" w:line="202" w:lineRule="exact"/>
              <w:rPr>
                <w:sz w:val="20"/>
                <w:szCs w:val="20"/>
                <w:color w:val="auto"/>
              </w:rPr>
            </w:pPr>
            <w:r>
              <w:rPr>
                <w:rFonts w:ascii="Arial" w:cs="Arial" w:eastAsia="Arial" w:hAnsi="Arial"/>
                <w:sz w:val="18"/>
                <w:szCs w:val="18"/>
                <w:b w:val="1"/>
                <w:bCs w:val="1"/>
                <w:color w:val="auto"/>
                <w:w w:val="99"/>
              </w:rPr>
              <w:t>End of</w:t>
            </w:r>
          </w:p>
        </w:tc>
      </w:tr>
      <w:tr>
        <w:trPr>
          <w:trHeight w:val="246"/>
        </w:trPr>
        <w:tc>
          <w:tcPr>
            <w:tcW w:w="4440" w:type="dxa"/>
            <w:vAlign w:val="bottom"/>
            <w:tcBorders>
              <w:bottom w:val="single" w:sz="8" w:color="0090DA"/>
            </w:tcBorders>
          </w:tcPr>
          <w:p>
            <w:pPr>
              <w:spacing w:after="0"/>
              <w:rPr>
                <w:sz w:val="21"/>
                <w:szCs w:val="21"/>
                <w:color w:val="auto"/>
              </w:rPr>
            </w:pPr>
          </w:p>
        </w:tc>
        <w:tc>
          <w:tcPr>
            <w:tcW w:w="1340" w:type="dxa"/>
            <w:vAlign w:val="bottom"/>
            <w:tcBorders>
              <w:bottom w:val="single" w:sz="8" w:color="0090DA"/>
            </w:tcBorders>
          </w:tcPr>
          <w:p>
            <w:pPr>
              <w:spacing w:after="0"/>
              <w:rPr>
                <w:sz w:val="21"/>
                <w:szCs w:val="21"/>
                <w:color w:val="auto"/>
              </w:rPr>
            </w:pPr>
          </w:p>
        </w:tc>
        <w:tc>
          <w:tcPr>
            <w:tcW w:w="1220" w:type="dxa"/>
            <w:vAlign w:val="bottom"/>
            <w:tcBorders>
              <w:bottom w:val="single" w:sz="8" w:color="0090DA"/>
            </w:tcBorders>
          </w:tcPr>
          <w:p>
            <w:pPr>
              <w:jc w:val="center"/>
              <w:ind w:right="30"/>
              <w:spacing w:after="0"/>
              <w:rPr>
                <w:sz w:val="20"/>
                <w:szCs w:val="20"/>
                <w:color w:val="auto"/>
              </w:rPr>
            </w:pPr>
            <w:r>
              <w:rPr>
                <w:rFonts w:ascii="Arial" w:cs="Arial" w:eastAsia="Arial" w:hAnsi="Arial"/>
                <w:sz w:val="18"/>
                <w:szCs w:val="18"/>
                <w:b w:val="1"/>
                <w:bCs w:val="1"/>
                <w:color w:val="auto"/>
                <w:w w:val="97"/>
              </w:rPr>
              <w:t>Year</w:t>
            </w:r>
          </w:p>
        </w:tc>
        <w:tc>
          <w:tcPr>
            <w:tcW w:w="180" w:type="dxa"/>
            <w:vAlign w:val="bottom"/>
            <w:tcBorders>
              <w:bottom w:val="single" w:sz="8" w:color="0090DA"/>
            </w:tcBorders>
          </w:tcPr>
          <w:p>
            <w:pPr>
              <w:spacing w:after="0"/>
              <w:rPr>
                <w:sz w:val="21"/>
                <w:szCs w:val="21"/>
                <w:color w:val="auto"/>
              </w:rPr>
            </w:pPr>
          </w:p>
        </w:tc>
        <w:tc>
          <w:tcPr>
            <w:tcW w:w="1260" w:type="dxa"/>
            <w:vAlign w:val="bottom"/>
            <w:tcBorders>
              <w:bottom w:val="single" w:sz="8" w:color="0090DA"/>
            </w:tcBorders>
          </w:tcPr>
          <w:p>
            <w:pPr>
              <w:jc w:val="center"/>
              <w:ind w:right="30"/>
              <w:spacing w:after="0"/>
              <w:rPr>
                <w:sz w:val="20"/>
                <w:szCs w:val="20"/>
                <w:color w:val="auto"/>
              </w:rPr>
            </w:pPr>
            <w:r>
              <w:rPr>
                <w:rFonts w:ascii="Arial" w:cs="Arial" w:eastAsia="Arial" w:hAnsi="Arial"/>
                <w:sz w:val="18"/>
                <w:szCs w:val="18"/>
                <w:b w:val="1"/>
                <w:bCs w:val="1"/>
                <w:color w:val="auto"/>
                <w:w w:val="99"/>
              </w:rPr>
              <w:t>Provision</w:t>
            </w:r>
          </w:p>
        </w:tc>
        <w:tc>
          <w:tcPr>
            <w:tcW w:w="140" w:type="dxa"/>
            <w:vAlign w:val="bottom"/>
            <w:tcBorders>
              <w:bottom w:val="single" w:sz="8" w:color="0090DA"/>
            </w:tcBorders>
          </w:tcPr>
          <w:p>
            <w:pPr>
              <w:spacing w:after="0"/>
              <w:rPr>
                <w:sz w:val="21"/>
                <w:szCs w:val="21"/>
                <w:color w:val="auto"/>
              </w:rPr>
            </w:pPr>
          </w:p>
        </w:tc>
        <w:tc>
          <w:tcPr>
            <w:tcW w:w="1260" w:type="dxa"/>
            <w:vAlign w:val="bottom"/>
            <w:tcBorders>
              <w:bottom w:val="single" w:sz="8" w:color="0090DA"/>
            </w:tcBorders>
          </w:tcPr>
          <w:p>
            <w:pPr>
              <w:jc w:val="center"/>
              <w:ind w:right="30"/>
              <w:spacing w:after="0"/>
              <w:rPr>
                <w:sz w:val="20"/>
                <w:szCs w:val="20"/>
                <w:color w:val="auto"/>
              </w:rPr>
            </w:pPr>
            <w:r>
              <w:rPr>
                <w:rFonts w:ascii="Arial" w:cs="Arial" w:eastAsia="Arial" w:hAnsi="Arial"/>
                <w:sz w:val="18"/>
                <w:szCs w:val="18"/>
                <w:b w:val="1"/>
                <w:bCs w:val="1"/>
                <w:color w:val="auto"/>
                <w:w w:val="99"/>
              </w:rPr>
              <w:t>Accounts</w:t>
            </w:r>
          </w:p>
        </w:tc>
        <w:tc>
          <w:tcPr>
            <w:tcW w:w="200" w:type="dxa"/>
            <w:vAlign w:val="bottom"/>
            <w:tcBorders>
              <w:bottom w:val="single" w:sz="8" w:color="0090DA"/>
            </w:tcBorders>
          </w:tcPr>
          <w:p>
            <w:pPr>
              <w:spacing w:after="0"/>
              <w:rPr>
                <w:sz w:val="21"/>
                <w:szCs w:val="21"/>
                <w:color w:val="auto"/>
              </w:rPr>
            </w:pPr>
          </w:p>
        </w:tc>
        <w:tc>
          <w:tcPr>
            <w:tcW w:w="1200" w:type="dxa"/>
            <w:vAlign w:val="bottom"/>
            <w:tcBorders>
              <w:bottom w:val="single" w:sz="8" w:color="0090DA"/>
            </w:tcBorders>
          </w:tcPr>
          <w:p>
            <w:pPr>
              <w:jc w:val="center"/>
              <w:ind w:right="90"/>
              <w:spacing w:after="0"/>
              <w:rPr>
                <w:sz w:val="20"/>
                <w:szCs w:val="20"/>
                <w:color w:val="auto"/>
              </w:rPr>
            </w:pPr>
            <w:r>
              <w:rPr>
                <w:rFonts w:ascii="Arial" w:cs="Arial" w:eastAsia="Arial" w:hAnsi="Arial"/>
                <w:sz w:val="18"/>
                <w:szCs w:val="18"/>
                <w:b w:val="1"/>
                <w:bCs w:val="1"/>
                <w:color w:val="auto"/>
                <w:w w:val="97"/>
              </w:rPr>
              <w:t>Year</w:t>
            </w:r>
          </w:p>
        </w:tc>
      </w:tr>
      <w:tr>
        <w:trPr>
          <w:trHeight w:val="40"/>
        </w:trPr>
        <w:tc>
          <w:tcPr>
            <w:tcW w:w="44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57"/>
        </w:trPr>
        <w:tc>
          <w:tcPr>
            <w:tcW w:w="4440" w:type="dxa"/>
            <w:vAlign w:val="bottom"/>
            <w:shd w:val="clear" w:color="auto" w:fill="D1D2D4"/>
          </w:tcPr>
          <w:p>
            <w:pPr>
              <w:ind w:left="20"/>
              <w:spacing w:after="0"/>
              <w:rPr>
                <w:sz w:val="20"/>
                <w:szCs w:val="20"/>
                <w:color w:val="auto"/>
              </w:rPr>
            </w:pPr>
            <w:r>
              <w:rPr>
                <w:rFonts w:ascii="Arial" w:cs="Arial" w:eastAsia="Arial" w:hAnsi="Arial"/>
                <w:sz w:val="18"/>
                <w:szCs w:val="18"/>
                <w:color w:val="auto"/>
              </w:rPr>
              <w:t>Deferred Tax Asset Valuation Allowance</w:t>
            </w:r>
          </w:p>
        </w:tc>
        <w:tc>
          <w:tcPr>
            <w:tcW w:w="1340" w:type="dxa"/>
            <w:vAlign w:val="bottom"/>
            <w:shd w:val="clear" w:color="auto" w:fill="D1D2D4"/>
          </w:tcPr>
          <w:p>
            <w:pPr>
              <w:spacing w:after="0"/>
              <w:rPr>
                <w:sz w:val="22"/>
                <w:szCs w:val="22"/>
                <w:color w:val="auto"/>
              </w:rPr>
            </w:pPr>
          </w:p>
        </w:tc>
        <w:tc>
          <w:tcPr>
            <w:tcW w:w="1220" w:type="dxa"/>
            <w:vAlign w:val="bottom"/>
            <w:shd w:val="clear" w:color="auto" w:fill="D1D2D4"/>
          </w:tcPr>
          <w:p>
            <w:pPr>
              <w:spacing w:after="0"/>
              <w:rPr>
                <w:sz w:val="22"/>
                <w:szCs w:val="22"/>
                <w:color w:val="auto"/>
              </w:rPr>
            </w:pPr>
          </w:p>
        </w:tc>
        <w:tc>
          <w:tcPr>
            <w:tcW w:w="180" w:type="dxa"/>
            <w:vAlign w:val="bottom"/>
            <w:shd w:val="clear" w:color="auto" w:fill="D1D2D4"/>
          </w:tcPr>
          <w:p>
            <w:pPr>
              <w:spacing w:after="0"/>
              <w:rPr>
                <w:sz w:val="22"/>
                <w:szCs w:val="22"/>
                <w:color w:val="auto"/>
              </w:rPr>
            </w:pPr>
          </w:p>
        </w:tc>
        <w:tc>
          <w:tcPr>
            <w:tcW w:w="1260" w:type="dxa"/>
            <w:vAlign w:val="bottom"/>
            <w:shd w:val="clear" w:color="auto" w:fill="D1D2D4"/>
          </w:tcPr>
          <w:p>
            <w:pPr>
              <w:spacing w:after="0"/>
              <w:rPr>
                <w:sz w:val="22"/>
                <w:szCs w:val="22"/>
                <w:color w:val="auto"/>
              </w:rPr>
            </w:pPr>
          </w:p>
        </w:tc>
        <w:tc>
          <w:tcPr>
            <w:tcW w:w="140" w:type="dxa"/>
            <w:vAlign w:val="bottom"/>
            <w:shd w:val="clear" w:color="auto" w:fill="D1D2D4"/>
          </w:tcPr>
          <w:p>
            <w:pPr>
              <w:spacing w:after="0"/>
              <w:rPr>
                <w:sz w:val="22"/>
                <w:szCs w:val="22"/>
                <w:color w:val="auto"/>
              </w:rPr>
            </w:pPr>
          </w:p>
        </w:tc>
        <w:tc>
          <w:tcPr>
            <w:tcW w:w="1260" w:type="dxa"/>
            <w:vAlign w:val="bottom"/>
            <w:shd w:val="clear" w:color="auto" w:fill="D1D2D4"/>
          </w:tcPr>
          <w:p>
            <w:pPr>
              <w:spacing w:after="0"/>
              <w:rPr>
                <w:sz w:val="22"/>
                <w:szCs w:val="22"/>
                <w:color w:val="auto"/>
              </w:rPr>
            </w:pPr>
          </w:p>
        </w:tc>
        <w:tc>
          <w:tcPr>
            <w:tcW w:w="200" w:type="dxa"/>
            <w:vAlign w:val="bottom"/>
            <w:shd w:val="clear" w:color="auto" w:fill="D1D2D4"/>
          </w:tcPr>
          <w:p>
            <w:pPr>
              <w:spacing w:after="0"/>
              <w:rPr>
                <w:sz w:val="22"/>
                <w:szCs w:val="22"/>
                <w:color w:val="auto"/>
              </w:rPr>
            </w:pPr>
          </w:p>
        </w:tc>
        <w:tc>
          <w:tcPr>
            <w:tcW w:w="1200" w:type="dxa"/>
            <w:vAlign w:val="bottom"/>
            <w:shd w:val="clear" w:color="auto" w:fill="D1D2D4"/>
          </w:tcPr>
          <w:p>
            <w:pPr>
              <w:spacing w:after="0"/>
              <w:rPr>
                <w:sz w:val="22"/>
                <w:szCs w:val="22"/>
                <w:color w:val="auto"/>
              </w:rPr>
            </w:pPr>
          </w:p>
        </w:tc>
      </w:tr>
      <w:tr>
        <w:trPr>
          <w:trHeight w:val="250"/>
        </w:trPr>
        <w:tc>
          <w:tcPr>
            <w:tcW w:w="4440" w:type="dxa"/>
            <w:vAlign w:val="bottom"/>
          </w:tcPr>
          <w:p>
            <w:pPr>
              <w:ind w:left="120"/>
              <w:spacing w:after="0"/>
              <w:rPr>
                <w:sz w:val="20"/>
                <w:szCs w:val="20"/>
                <w:color w:val="auto"/>
              </w:rPr>
            </w:pPr>
            <w:r>
              <w:rPr>
                <w:rFonts w:ascii="Arial" w:cs="Arial" w:eastAsia="Arial" w:hAnsi="Arial"/>
                <w:sz w:val="18"/>
                <w:szCs w:val="18"/>
                <w:color w:val="auto"/>
              </w:rPr>
              <w:t>Year ended September 3, 2020</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277</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294</w:t>
            </w:r>
          </w:p>
        </w:tc>
      </w:tr>
      <w:tr>
        <w:trPr>
          <w:trHeight w:val="263"/>
        </w:trPr>
        <w:tc>
          <w:tcPr>
            <w:tcW w:w="4440" w:type="dxa"/>
            <w:vAlign w:val="bottom"/>
            <w:shd w:val="clear" w:color="auto" w:fill="D1D2D4"/>
          </w:tcPr>
          <w:p>
            <w:pPr>
              <w:ind w:left="120"/>
              <w:spacing w:after="0"/>
              <w:rPr>
                <w:sz w:val="20"/>
                <w:szCs w:val="20"/>
                <w:color w:val="auto"/>
              </w:rPr>
            </w:pPr>
            <w:r>
              <w:rPr>
                <w:rFonts w:ascii="Arial" w:cs="Arial" w:eastAsia="Arial" w:hAnsi="Arial"/>
                <w:sz w:val="18"/>
                <w:szCs w:val="18"/>
                <w:color w:val="auto"/>
              </w:rPr>
              <w:t>Year ended August 29, 2019</w:t>
            </w:r>
          </w:p>
        </w:tc>
        <w:tc>
          <w:tcPr>
            <w:tcW w:w="1340" w:type="dxa"/>
            <w:vAlign w:val="bottom"/>
            <w:shd w:val="clear" w:color="auto" w:fill="D1D2D4"/>
          </w:tcPr>
          <w:p>
            <w:pPr>
              <w:spacing w:after="0"/>
              <w:rPr>
                <w:sz w:val="22"/>
                <w:szCs w:val="22"/>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228</w:t>
            </w:r>
          </w:p>
        </w:tc>
        <w:tc>
          <w:tcPr>
            <w:tcW w:w="180" w:type="dxa"/>
            <w:vAlign w:val="bottom"/>
            <w:shd w:val="clear" w:color="auto" w:fill="D1D2D4"/>
          </w:tcPr>
          <w:p>
            <w:pPr>
              <w:spacing w:after="0"/>
              <w:rPr>
                <w:sz w:val="22"/>
                <w:szCs w:val="22"/>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40</w:t>
            </w:r>
          </w:p>
        </w:tc>
        <w:tc>
          <w:tcPr>
            <w:tcW w:w="140" w:type="dxa"/>
            <w:vAlign w:val="bottom"/>
            <w:shd w:val="clear" w:color="auto" w:fill="D1D2D4"/>
          </w:tcPr>
          <w:p>
            <w:pPr>
              <w:spacing w:after="0"/>
              <w:rPr>
                <w:sz w:val="22"/>
                <w:szCs w:val="22"/>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D1D2D4"/>
          </w:tcPr>
          <w:p>
            <w:pPr>
              <w:spacing w:after="0"/>
              <w:rPr>
                <w:sz w:val="22"/>
                <w:szCs w:val="22"/>
                <w:color w:val="auto"/>
              </w:rPr>
            </w:pPr>
          </w:p>
        </w:tc>
        <w:tc>
          <w:tcPr>
            <w:tcW w:w="120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277</w:t>
            </w:r>
          </w:p>
        </w:tc>
      </w:tr>
      <w:tr>
        <w:trPr>
          <w:trHeight w:val="243"/>
        </w:trPr>
        <w:tc>
          <w:tcPr>
            <w:tcW w:w="4440" w:type="dxa"/>
            <w:vAlign w:val="bottom"/>
          </w:tcPr>
          <w:p>
            <w:pPr>
              <w:ind w:left="120"/>
              <w:spacing w:after="0"/>
              <w:rPr>
                <w:sz w:val="20"/>
                <w:szCs w:val="20"/>
                <w:color w:val="auto"/>
              </w:rPr>
            </w:pPr>
            <w:r>
              <w:rPr>
                <w:rFonts w:ascii="Arial" w:cs="Arial" w:eastAsia="Arial" w:hAnsi="Arial"/>
                <w:sz w:val="18"/>
                <w:szCs w:val="18"/>
                <w:color w:val="auto"/>
              </w:rPr>
              <w:t>Year ended August 30, 2018</w:t>
            </w:r>
          </w:p>
        </w:tc>
        <w:tc>
          <w:tcPr>
            <w:tcW w:w="1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2,321</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(2,079)</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228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89 </w:t>
      </w:r>
      <w:r>
        <w:rPr>
          <w:rFonts w:ascii="Arial" w:cs="Arial" w:eastAsia="Arial" w:hAnsi="Arial"/>
          <w:sz w:val="21"/>
          <w:szCs w:val="21"/>
          <w:b w:val="1"/>
          <w:bCs w:val="1"/>
          <w:color w:val="0090DA"/>
        </w:rPr>
        <w:t>|</w:t>
      </w:r>
      <w:r>
        <w:rPr>
          <w:rFonts w:ascii="Arial" w:cs="Arial" w:eastAsia="Arial" w:hAnsi="Arial"/>
          <w:sz w:val="18"/>
          <w:szCs w:val="18"/>
          <w:color w:val="auto"/>
        </w:rPr>
        <w:t xml:space="preserve"> 2020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bookmarkStart w:id="92" w:name="page93"/>
    <w:bookmarkEnd w:id="92"/>
    <w:p>
      <w:pPr>
        <w:spacing w:after="0"/>
        <w:rPr>
          <w:sz w:val="20"/>
          <w:szCs w:val="20"/>
          <w:color w:val="auto"/>
        </w:rPr>
      </w:pPr>
      <w:r>
        <w:rPr>
          <w:rFonts w:ascii="Arial" w:cs="Arial" w:eastAsia="Arial" w:hAnsi="Arial"/>
          <w:sz w:val="22"/>
          <w:szCs w:val="22"/>
          <w:b w:val="1"/>
          <w:bCs w:val="1"/>
          <w:color w:val="auto"/>
        </w:rPr>
        <w:t>Index to Exhibits</w:t>
      </w:r>
    </w:p>
    <w:p>
      <w:pPr>
        <w:spacing w:after="0" w:line="200" w:lineRule="exact"/>
        <w:rPr>
          <w:sz w:val="20"/>
          <w:szCs w:val="20"/>
          <w:color w:val="auto"/>
        </w:rPr>
      </w:pPr>
    </w:p>
    <w:p>
      <w:pPr>
        <w:spacing w:after="0" w:line="205" w:lineRule="exact"/>
        <w:rPr>
          <w:sz w:val="20"/>
          <w:szCs w:val="20"/>
          <w:color w:val="auto"/>
        </w:rPr>
      </w:pPr>
    </w:p>
    <w:p>
      <w:pPr>
        <w:ind w:left="180"/>
        <w:spacing w:after="0"/>
        <w:tabs>
          <w:tab w:leader="none" w:pos="6820" w:val="left"/>
          <w:tab w:leader="none" w:pos="8520" w:val="left"/>
          <w:tab w:leader="none" w:pos="9460" w:val="left"/>
          <w:tab w:leader="none" w:pos="1052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Filed</w:t>
      </w:r>
      <w:r>
        <w:rPr>
          <w:sz w:val="20"/>
          <w:szCs w:val="20"/>
          <w:color w:val="auto"/>
        </w:rPr>
        <w:tab/>
      </w:r>
      <w:r>
        <w:rPr>
          <w:rFonts w:ascii="Arial" w:cs="Arial" w:eastAsia="Arial" w:hAnsi="Arial"/>
          <w:sz w:val="18"/>
          <w:szCs w:val="18"/>
          <w:b w:val="1"/>
          <w:bCs w:val="1"/>
          <w:color w:val="auto"/>
        </w:rPr>
        <w:t>Period</w:t>
      </w:r>
      <w:r>
        <w:rPr>
          <w:sz w:val="20"/>
          <w:szCs w:val="20"/>
          <w:color w:val="auto"/>
        </w:rPr>
        <w:tab/>
      </w: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7"/>
          <w:szCs w:val="17"/>
          <w:b w:val="1"/>
          <w:bCs w:val="1"/>
          <w:color w:val="auto"/>
        </w:rPr>
        <w:t>Filing</w:t>
      </w:r>
    </w:p>
    <w:p>
      <w:pPr>
        <w:spacing w:after="0" w:line="18" w:lineRule="exact"/>
        <w:rPr>
          <w:sz w:val="20"/>
          <w:szCs w:val="20"/>
          <w:color w:val="auto"/>
        </w:rPr>
      </w:pPr>
    </w:p>
    <w:p>
      <w:pPr>
        <w:ind w:left="140"/>
        <w:spacing w:after="0"/>
        <w:tabs>
          <w:tab w:leader="none" w:pos="2800" w:val="left"/>
          <w:tab w:leader="none" w:pos="6640" w:val="left"/>
          <w:tab w:leader="none" w:pos="7700" w:val="left"/>
          <w:tab w:leader="none" w:pos="8480" w:val="left"/>
          <w:tab w:leader="none" w:pos="9360" w:val="left"/>
          <w:tab w:leader="none" w:pos="1056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 of Exhibit</w:t>
      </w:r>
      <w:r>
        <w:rPr>
          <w:sz w:val="20"/>
          <w:szCs w:val="20"/>
          <w:color w:val="auto"/>
        </w:rPr>
        <w:tab/>
      </w:r>
      <w:r>
        <w:rPr>
          <w:rFonts w:ascii="Arial" w:cs="Arial" w:eastAsia="Arial" w:hAnsi="Arial"/>
          <w:sz w:val="18"/>
          <w:szCs w:val="18"/>
          <w:b w:val="1"/>
          <w:bCs w:val="1"/>
          <w:color w:val="auto"/>
        </w:rPr>
        <w:t>Herewith</w:t>
      </w:r>
      <w:r>
        <w:rPr>
          <w:sz w:val="20"/>
          <w:szCs w:val="20"/>
          <w:color w:val="auto"/>
        </w:rPr>
        <w:tab/>
      </w:r>
      <w:r>
        <w:rPr>
          <w:rFonts w:ascii="Arial" w:cs="Arial" w:eastAsia="Arial" w:hAnsi="Arial"/>
          <w:sz w:val="18"/>
          <w:szCs w:val="18"/>
          <w:b w:val="1"/>
          <w:bCs w:val="1"/>
          <w:color w:val="auto"/>
        </w:rPr>
        <w:t>Form</w:t>
      </w:r>
      <w:r>
        <w:rPr>
          <w:sz w:val="20"/>
          <w:szCs w:val="20"/>
          <w:color w:val="auto"/>
        </w:rPr>
        <w:tab/>
      </w:r>
      <w:r>
        <w:rPr>
          <w:rFonts w:ascii="Arial" w:cs="Arial" w:eastAsia="Arial" w:hAnsi="Arial"/>
          <w:sz w:val="18"/>
          <w:szCs w:val="18"/>
          <w:b w:val="1"/>
          <w:bCs w:val="1"/>
          <w:color w:val="auto"/>
        </w:rPr>
        <w:t>Ending</w:t>
        <w:tab/>
        <w:t>Appendix</w:t>
      </w:r>
      <w:r>
        <w:rPr>
          <w:sz w:val="20"/>
          <w:szCs w:val="20"/>
          <w:color w:val="auto"/>
        </w:rPr>
        <w:tab/>
      </w:r>
      <w:r>
        <w:rPr>
          <w:rFonts w:ascii="Arial" w:cs="Arial" w:eastAsia="Arial" w:hAnsi="Arial"/>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p>
      <w:pPr>
        <w:spacing w:after="0" w:line="5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960" w:type="dxa"/>
            <w:vAlign w:val="bottom"/>
          </w:tcPr>
          <w:p>
            <w:pPr>
              <w:jc w:val="right"/>
              <w:ind w:right="610"/>
              <w:spacing w:after="0"/>
              <w:rPr>
                <w:sz w:val="20"/>
                <w:szCs w:val="20"/>
                <w:color w:val="auto"/>
              </w:rPr>
            </w:pPr>
            <w:r>
              <w:rPr>
                <w:rFonts w:ascii="Arial" w:cs="Arial" w:eastAsia="Arial" w:hAnsi="Arial"/>
                <w:sz w:val="18"/>
                <w:szCs w:val="18"/>
                <w:color w:val="auto"/>
                <w:w w:val="95"/>
              </w:rPr>
              <w:t>3.1</w:t>
            </w:r>
          </w:p>
        </w:tc>
        <w:tc>
          <w:tcPr>
            <w:tcW w:w="5380" w:type="dxa"/>
            <w:vAlign w:val="bottom"/>
            <w:gridSpan w:val="2"/>
          </w:tcPr>
          <w:p>
            <w:pPr>
              <w:spacing w:after="0"/>
              <w:rPr>
                <w:rFonts w:ascii="Arial" w:cs="Arial" w:eastAsia="Arial" w:hAnsi="Arial"/>
                <w:sz w:val="18"/>
                <w:szCs w:val="18"/>
                <w:u w:val="single" w:color="auto"/>
                <w:color w:val="0000FF"/>
              </w:rPr>
            </w:pPr>
            <w:hyperlink r:id="rId174">
              <w:r>
                <w:rPr>
                  <w:rFonts w:ascii="Arial" w:cs="Arial" w:eastAsia="Arial" w:hAnsi="Arial"/>
                  <w:sz w:val="18"/>
                  <w:szCs w:val="18"/>
                  <w:u w:val="single" w:color="auto"/>
                  <w:color w:val="0000FF"/>
                </w:rPr>
                <w:t>Restated Certificate of Incorporation of the Registrant</w:t>
              </w:r>
            </w:hyperlink>
          </w:p>
        </w:tc>
      </w:tr>
      <w:tr>
        <w:trPr>
          <w:trHeight w:val="257"/>
        </w:trPr>
        <w:tc>
          <w:tcPr>
            <w:tcW w:w="960" w:type="dxa"/>
            <w:vAlign w:val="bottom"/>
          </w:tcPr>
          <w:p>
            <w:pPr>
              <w:jc w:val="right"/>
              <w:ind w:right="610"/>
              <w:spacing w:after="0"/>
              <w:rPr>
                <w:sz w:val="20"/>
                <w:szCs w:val="20"/>
                <w:color w:val="auto"/>
              </w:rPr>
            </w:pPr>
            <w:r>
              <w:rPr>
                <w:rFonts w:ascii="Arial" w:cs="Arial" w:eastAsia="Arial" w:hAnsi="Arial"/>
                <w:sz w:val="18"/>
                <w:szCs w:val="18"/>
                <w:color w:val="auto"/>
                <w:w w:val="95"/>
              </w:rPr>
              <w:t>3.2</w:t>
            </w:r>
          </w:p>
        </w:tc>
        <w:tc>
          <w:tcPr>
            <w:tcW w:w="5380" w:type="dxa"/>
            <w:vAlign w:val="bottom"/>
            <w:gridSpan w:val="2"/>
          </w:tcPr>
          <w:p>
            <w:pPr>
              <w:spacing w:after="0"/>
              <w:rPr>
                <w:rFonts w:ascii="Arial" w:cs="Arial" w:eastAsia="Arial" w:hAnsi="Arial"/>
                <w:sz w:val="18"/>
                <w:szCs w:val="18"/>
                <w:u w:val="single" w:color="auto"/>
                <w:color w:val="0000FF"/>
              </w:rPr>
            </w:pPr>
            <w:hyperlink r:id="rId175">
              <w:r>
                <w:rPr>
                  <w:rFonts w:ascii="Arial" w:cs="Arial" w:eastAsia="Arial" w:hAnsi="Arial"/>
                  <w:sz w:val="18"/>
                  <w:szCs w:val="18"/>
                  <w:u w:val="single" w:color="auto"/>
                  <w:color w:val="0000FF"/>
                </w:rPr>
                <w:t>Bylaws of the Registrant, Amended and Restated</w:t>
              </w:r>
            </w:hyperlink>
          </w:p>
        </w:tc>
      </w:tr>
      <w:tr>
        <w:trPr>
          <w:trHeight w:val="202"/>
        </w:trPr>
        <w:tc>
          <w:tcPr>
            <w:tcW w:w="960" w:type="dxa"/>
            <w:vAlign w:val="bottom"/>
          </w:tcPr>
          <w:p>
            <w:pPr>
              <w:jc w:val="right"/>
              <w:ind w:right="610"/>
              <w:spacing w:after="0" w:line="202" w:lineRule="exact"/>
              <w:rPr>
                <w:sz w:val="20"/>
                <w:szCs w:val="20"/>
                <w:color w:val="auto"/>
              </w:rPr>
            </w:pPr>
            <w:r>
              <w:rPr>
                <w:rFonts w:ascii="Arial" w:cs="Arial" w:eastAsia="Arial" w:hAnsi="Arial"/>
                <w:sz w:val="18"/>
                <w:szCs w:val="18"/>
                <w:color w:val="auto"/>
                <w:w w:val="95"/>
              </w:rPr>
              <w:t>4.1</w:t>
            </w:r>
          </w:p>
        </w:tc>
        <w:tc>
          <w:tcPr>
            <w:tcW w:w="5380" w:type="dxa"/>
            <w:vAlign w:val="bottom"/>
            <w:gridSpan w:val="2"/>
          </w:tcPr>
          <w:p>
            <w:pPr>
              <w:spacing w:after="0" w:line="202" w:lineRule="exact"/>
              <w:rPr>
                <w:rFonts w:ascii="Arial" w:cs="Arial" w:eastAsia="Arial" w:hAnsi="Arial"/>
                <w:sz w:val="18"/>
                <w:szCs w:val="18"/>
                <w:color w:val="0000FF"/>
              </w:rPr>
            </w:pPr>
            <w:hyperlink r:id="rId176">
              <w:r>
                <w:rPr>
                  <w:rFonts w:ascii="Arial" w:cs="Arial" w:eastAsia="Arial" w:hAnsi="Arial"/>
                  <w:sz w:val="18"/>
                  <w:szCs w:val="18"/>
                  <w:color w:val="0000FF"/>
                </w:rPr>
                <w:t>Indenture dated as of April 18, 2012, by and between Micron</w:t>
              </w:r>
            </w:hyperlink>
          </w:p>
        </w:tc>
      </w:tr>
      <w:tr>
        <w:trPr>
          <w:trHeight w:val="20"/>
        </w:trPr>
        <w:tc>
          <w:tcPr>
            <w:tcW w:w="960" w:type="dxa"/>
            <w:vAlign w:val="bottom"/>
          </w:tcPr>
          <w:p>
            <w:pPr>
              <w:spacing w:after="0" w:line="20" w:lineRule="exact"/>
              <w:rPr>
                <w:sz w:val="1"/>
                <w:szCs w:val="1"/>
                <w:color w:val="auto"/>
              </w:rPr>
            </w:pPr>
          </w:p>
        </w:tc>
        <w:tc>
          <w:tcPr>
            <w:tcW w:w="482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55"/>
        </w:trPr>
        <w:tc>
          <w:tcPr>
            <w:tcW w:w="960" w:type="dxa"/>
            <w:vAlign w:val="bottom"/>
          </w:tcPr>
          <w:p>
            <w:pPr>
              <w:spacing w:after="0"/>
              <w:rPr>
                <w:sz w:val="13"/>
                <w:szCs w:val="13"/>
                <w:color w:val="auto"/>
              </w:rPr>
            </w:pPr>
          </w:p>
        </w:tc>
        <w:tc>
          <w:tcPr>
            <w:tcW w:w="5380" w:type="dxa"/>
            <w:vAlign w:val="bottom"/>
            <w:gridSpan w:val="2"/>
          </w:tcPr>
          <w:p>
            <w:pPr>
              <w:spacing w:after="0" w:line="154" w:lineRule="exact"/>
              <w:rPr>
                <w:rFonts w:ascii="Arial" w:cs="Arial" w:eastAsia="Arial" w:hAnsi="Arial"/>
                <w:sz w:val="17"/>
                <w:szCs w:val="17"/>
                <w:u w:val="single" w:color="auto"/>
                <w:color w:val="0000FF"/>
              </w:rPr>
            </w:pPr>
            <w:hyperlink r:id="rId176">
              <w:r>
                <w:rPr>
                  <w:rFonts w:ascii="Arial" w:cs="Arial" w:eastAsia="Arial" w:hAnsi="Arial"/>
                  <w:sz w:val="17"/>
                  <w:szCs w:val="17"/>
                  <w:u w:val="single" w:color="auto"/>
                  <w:color w:val="0000FF"/>
                </w:rPr>
                <w:t>Technology, Inc. and U.S. Bank National Association, as Trustee for</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132320" cy="3683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7">
                      <a:extLst>
                        <a:ext uri="{28A0092B-C50C-407E-A947-70E740481C1C}"/>
                      </a:extLst>
                    </a:blip>
                    <a:srcRect/>
                    <a:stretch>
                      <a:fillRect/>
                    </a:stretch>
                  </pic:blipFill>
                  <pic:spPr bwMode="auto">
                    <a:xfrm>
                      <a:off x="0" y="0"/>
                      <a:ext cx="7132320" cy="368300"/>
                    </a:xfrm>
                    <a:prstGeom prst="rect">
                      <a:avLst/>
                    </a:prstGeom>
                    <a:noFill/>
                  </pic:spPr>
                </pic:pic>
              </a:graphicData>
            </a:graphic>
          </wp:anchor>
        </w:drawing>
      </w:r>
    </w:p>
    <w:p>
      <w:pPr>
        <w:ind w:left="980"/>
        <w:spacing w:after="0"/>
        <w:rPr>
          <w:rFonts w:ascii="Arial" w:cs="Arial" w:eastAsia="Arial" w:hAnsi="Arial"/>
          <w:sz w:val="18"/>
          <w:szCs w:val="18"/>
          <w:u w:val="single" w:color="auto"/>
          <w:color w:val="0000FF"/>
        </w:rPr>
      </w:pPr>
      <w:hyperlink r:id="rId176">
        <w:r>
          <w:rPr>
            <w:rFonts w:ascii="Arial" w:cs="Arial" w:eastAsia="Arial" w:hAnsi="Arial"/>
            <w:sz w:val="18"/>
            <w:szCs w:val="18"/>
            <w:u w:val="single" w:color="auto"/>
            <w:color w:val="0000FF"/>
          </w:rPr>
          <w:t>3.125% Convertible Senior Notes due 2032</w:t>
        </w:r>
      </w:hyperlink>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980" w:type="dxa"/>
            <w:vAlign w:val="bottom"/>
          </w:tcPr>
          <w:p>
            <w:pPr>
              <w:spacing w:after="0"/>
              <w:rPr>
                <w:sz w:val="20"/>
                <w:szCs w:val="20"/>
                <w:color w:val="auto"/>
              </w:rPr>
            </w:pPr>
            <w:r>
              <w:rPr>
                <w:rFonts w:ascii="Arial" w:cs="Arial" w:eastAsia="Arial" w:hAnsi="Arial"/>
                <w:sz w:val="18"/>
                <w:szCs w:val="18"/>
                <w:color w:val="auto"/>
              </w:rPr>
              <w:t>8-K</w:t>
            </w:r>
          </w:p>
        </w:tc>
        <w:tc>
          <w:tcPr>
            <w:tcW w:w="1420" w:type="dxa"/>
            <w:vAlign w:val="bottom"/>
          </w:tcPr>
          <w:p>
            <w:pPr>
              <w:ind w:left="720"/>
              <w:spacing w:after="0"/>
              <w:rPr>
                <w:sz w:val="20"/>
                <w:szCs w:val="20"/>
                <w:color w:val="auto"/>
              </w:rPr>
            </w:pPr>
            <w:r>
              <w:rPr>
                <w:rFonts w:ascii="Arial" w:cs="Arial" w:eastAsia="Arial" w:hAnsi="Arial"/>
                <w:sz w:val="18"/>
                <w:szCs w:val="18"/>
                <w:color w:val="auto"/>
              </w:rPr>
              <w:t>99.2</w:t>
            </w:r>
          </w:p>
        </w:tc>
        <w:tc>
          <w:tcPr>
            <w:tcW w:w="960" w:type="dxa"/>
            <w:vAlign w:val="bottom"/>
          </w:tcPr>
          <w:p>
            <w:pPr>
              <w:ind w:left="360"/>
              <w:spacing w:after="0"/>
              <w:rPr>
                <w:sz w:val="20"/>
                <w:szCs w:val="20"/>
                <w:color w:val="auto"/>
              </w:rPr>
            </w:pPr>
            <w:r>
              <w:rPr>
                <w:rFonts w:ascii="Arial" w:cs="Arial" w:eastAsia="Arial" w:hAnsi="Arial"/>
                <w:sz w:val="18"/>
                <w:szCs w:val="18"/>
                <w:color w:val="auto"/>
                <w:w w:val="96"/>
              </w:rPr>
              <w:t>1/26/15</w:t>
            </w:r>
          </w:p>
        </w:tc>
      </w:tr>
      <w:tr>
        <w:trPr>
          <w:trHeight w:val="257"/>
        </w:trPr>
        <w:tc>
          <w:tcPr>
            <w:tcW w:w="980" w:type="dxa"/>
            <w:vAlign w:val="bottom"/>
          </w:tcPr>
          <w:p>
            <w:pPr>
              <w:spacing w:after="0"/>
              <w:rPr>
                <w:sz w:val="20"/>
                <w:szCs w:val="20"/>
                <w:color w:val="auto"/>
              </w:rPr>
            </w:pPr>
            <w:r>
              <w:rPr>
                <w:rFonts w:ascii="Arial" w:cs="Arial" w:eastAsia="Arial" w:hAnsi="Arial"/>
                <w:sz w:val="18"/>
                <w:szCs w:val="18"/>
                <w:color w:val="auto"/>
              </w:rPr>
              <w:t>8-K</w:t>
            </w:r>
          </w:p>
        </w:tc>
        <w:tc>
          <w:tcPr>
            <w:tcW w:w="1420" w:type="dxa"/>
            <w:vAlign w:val="bottom"/>
          </w:tcPr>
          <w:p>
            <w:pPr>
              <w:ind w:left="720"/>
              <w:spacing w:after="0"/>
              <w:rPr>
                <w:sz w:val="20"/>
                <w:szCs w:val="20"/>
                <w:color w:val="auto"/>
              </w:rPr>
            </w:pPr>
            <w:r>
              <w:rPr>
                <w:rFonts w:ascii="Arial" w:cs="Arial" w:eastAsia="Arial" w:hAnsi="Arial"/>
                <w:sz w:val="18"/>
                <w:szCs w:val="18"/>
                <w:color w:val="auto"/>
              </w:rPr>
              <w:t>99.2</w:t>
            </w:r>
          </w:p>
        </w:tc>
        <w:tc>
          <w:tcPr>
            <w:tcW w:w="960" w:type="dxa"/>
            <w:vAlign w:val="bottom"/>
          </w:tcPr>
          <w:p>
            <w:pPr>
              <w:ind w:left="360"/>
              <w:spacing w:after="0"/>
              <w:rPr>
                <w:sz w:val="20"/>
                <w:szCs w:val="20"/>
                <w:color w:val="auto"/>
              </w:rPr>
            </w:pPr>
            <w:r>
              <w:rPr>
                <w:rFonts w:ascii="Arial" w:cs="Arial" w:eastAsia="Arial" w:hAnsi="Arial"/>
                <w:sz w:val="18"/>
                <w:szCs w:val="18"/>
                <w:color w:val="auto"/>
              </w:rPr>
              <w:t>8/4/20</w:t>
            </w:r>
          </w:p>
        </w:tc>
      </w:tr>
      <w:tr>
        <w:trPr>
          <w:trHeight w:val="257"/>
        </w:trPr>
        <w:tc>
          <w:tcPr>
            <w:tcW w:w="980" w:type="dxa"/>
            <w:vAlign w:val="bottom"/>
          </w:tcPr>
          <w:p>
            <w:pPr>
              <w:spacing w:after="0"/>
              <w:rPr>
                <w:sz w:val="20"/>
                <w:szCs w:val="20"/>
                <w:color w:val="auto"/>
              </w:rPr>
            </w:pPr>
            <w:r>
              <w:rPr>
                <w:rFonts w:ascii="Arial" w:cs="Arial" w:eastAsia="Arial" w:hAnsi="Arial"/>
                <w:sz w:val="18"/>
                <w:szCs w:val="18"/>
                <w:color w:val="auto"/>
              </w:rPr>
              <w:t>8-K</w:t>
            </w:r>
          </w:p>
        </w:tc>
        <w:tc>
          <w:tcPr>
            <w:tcW w:w="1420" w:type="dxa"/>
            <w:vAlign w:val="bottom"/>
          </w:tcPr>
          <w:p>
            <w:pPr>
              <w:ind w:left="720"/>
              <w:spacing w:after="0"/>
              <w:rPr>
                <w:sz w:val="20"/>
                <w:szCs w:val="20"/>
                <w:color w:val="auto"/>
              </w:rPr>
            </w:pPr>
            <w:r>
              <w:rPr>
                <w:rFonts w:ascii="Arial" w:cs="Arial" w:eastAsia="Arial" w:hAnsi="Arial"/>
                <w:sz w:val="18"/>
                <w:szCs w:val="18"/>
                <w:color w:val="auto"/>
              </w:rPr>
              <w:t>4.3</w:t>
            </w:r>
          </w:p>
        </w:tc>
        <w:tc>
          <w:tcPr>
            <w:tcW w:w="960" w:type="dxa"/>
            <w:vAlign w:val="bottom"/>
          </w:tcPr>
          <w:p>
            <w:pPr>
              <w:ind w:left="360"/>
              <w:spacing w:after="0"/>
              <w:rPr>
                <w:sz w:val="20"/>
                <w:szCs w:val="20"/>
                <w:color w:val="auto"/>
              </w:rPr>
            </w:pPr>
            <w:r>
              <w:rPr>
                <w:rFonts w:ascii="Arial" w:cs="Arial" w:eastAsia="Arial" w:hAnsi="Arial"/>
                <w:sz w:val="18"/>
                <w:szCs w:val="18"/>
                <w:color w:val="auto"/>
                <w:w w:val="96"/>
              </w:rPr>
              <w:t>4/18/12</w:t>
            </w:r>
          </w:p>
        </w:tc>
      </w:tr>
    </w:tbl>
    <w:p>
      <w:pPr>
        <w:spacing w:after="0" w:line="350" w:lineRule="exact"/>
        <w:rPr>
          <w:sz w:val="20"/>
          <w:szCs w:val="20"/>
          <w:color w:val="auto"/>
        </w:rPr>
      </w:pPr>
    </w:p>
    <w:p>
      <w:pPr>
        <w:sectPr>
          <w:pgSz w:w="11900" w:h="16838" w:orient="portrait"/>
          <w:cols w:equalWidth="0" w:num="2">
            <w:col w:w="6860" w:space="720"/>
            <w:col w:w="3660"/>
          </w:cols>
          <w:pgMar w:left="320" w:top="931" w:right="339" w:bottom="1440" w:gutter="0" w:footer="0" w:header="0"/>
          <w:type w:val="continuous"/>
        </w:sectPr>
      </w:pPr>
    </w:p>
    <w:tbl>
      <w:tblPr>
        <w:tblLayout w:type="fixed"/>
        <w:tblInd w:w="20" w:type="dxa"/>
        <w:tblCellMar>
          <w:top w:w="0" w:type="dxa"/>
          <w:left w:w="0" w:type="dxa"/>
          <w:bottom w:w="0" w:type="dxa"/>
          <w:right w:w="0" w:type="dxa"/>
        </w:tblCellMar>
      </w:tblP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4.2</w:t>
            </w:r>
          </w:p>
        </w:tc>
        <w:tc>
          <w:tcPr>
            <w:tcW w:w="5560" w:type="dxa"/>
            <w:vAlign w:val="bottom"/>
            <w:gridSpan w:val="28"/>
          </w:tcPr>
          <w:p>
            <w:pPr>
              <w:spacing w:after="0"/>
              <w:rPr>
                <w:rFonts w:ascii="Arial" w:cs="Arial" w:eastAsia="Arial" w:hAnsi="Arial"/>
                <w:sz w:val="18"/>
                <w:szCs w:val="18"/>
                <w:u w:val="single" w:color="auto"/>
                <w:color w:val="0000FF"/>
              </w:rPr>
            </w:pPr>
            <w:hyperlink r:id="rId176">
              <w:r>
                <w:rPr>
                  <w:rFonts w:ascii="Arial" w:cs="Arial" w:eastAsia="Arial" w:hAnsi="Arial"/>
                  <w:sz w:val="18"/>
                  <w:szCs w:val="18"/>
                  <w:u w:val="single" w:color="auto"/>
                  <w:color w:val="0000FF"/>
                </w:rPr>
                <w:t>Form of 2032D Note (included in Exhibit 4.1)</w:t>
              </w:r>
            </w:hyperlink>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960" w:type="dxa"/>
            <w:vAlign w:val="bottom"/>
          </w:tcPr>
          <w:p>
            <w:pPr>
              <w:spacing w:after="0" w:line="202" w:lineRule="exact"/>
              <w:rPr>
                <w:sz w:val="20"/>
                <w:szCs w:val="20"/>
                <w:color w:val="auto"/>
              </w:rPr>
            </w:pPr>
            <w:r>
              <w:rPr>
                <w:rFonts w:ascii="Arial" w:cs="Arial" w:eastAsia="Arial" w:hAnsi="Arial"/>
                <w:sz w:val="18"/>
                <w:szCs w:val="18"/>
                <w:color w:val="auto"/>
              </w:rPr>
              <w:t>4.3</w:t>
            </w:r>
          </w:p>
        </w:tc>
        <w:tc>
          <w:tcPr>
            <w:tcW w:w="5560" w:type="dxa"/>
            <w:vAlign w:val="bottom"/>
            <w:gridSpan w:val="28"/>
          </w:tcPr>
          <w:p>
            <w:pPr>
              <w:spacing w:after="0" w:line="202" w:lineRule="exact"/>
              <w:rPr>
                <w:rFonts w:ascii="Arial" w:cs="Arial" w:eastAsia="Arial" w:hAnsi="Arial"/>
                <w:sz w:val="18"/>
                <w:szCs w:val="18"/>
                <w:color w:val="0000FF"/>
              </w:rPr>
            </w:pPr>
            <w:hyperlink r:id="rId178">
              <w:r>
                <w:rPr>
                  <w:rFonts w:ascii="Arial" w:cs="Arial" w:eastAsia="Arial" w:hAnsi="Arial"/>
                  <w:sz w:val="18"/>
                  <w:szCs w:val="18"/>
                  <w:u w:val="single" w:color="auto"/>
                  <w:color w:val="0000FF"/>
                </w:rPr>
                <w:t>Indenture, dated as of</w:t>
              </w:r>
              <w:r>
                <w:rPr>
                  <w:rFonts w:ascii="Arial" w:cs="Arial" w:eastAsia="Arial" w:hAnsi="Arial"/>
                  <w:sz w:val="18"/>
                  <w:szCs w:val="18"/>
                  <w:color w:val="0000FF"/>
                </w:rPr>
                <w:t xml:space="preserve"> February 6, 2019, by and between Micron</w:t>
              </w:r>
            </w:hyperlink>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0" w:type="dxa"/>
            <w:vAlign w:val="bottom"/>
          </w:tcPr>
          <w:p>
            <w:pPr>
              <w:spacing w:after="0"/>
              <w:rPr>
                <w:sz w:val="18"/>
                <w:szCs w:val="18"/>
                <w:color w:val="auto"/>
              </w:rPr>
            </w:pPr>
          </w:p>
        </w:tc>
        <w:tc>
          <w:tcPr>
            <w:tcW w:w="5140" w:type="dxa"/>
            <w:vAlign w:val="bottom"/>
            <w:gridSpan w:val="20"/>
          </w:tcPr>
          <w:p>
            <w:pPr>
              <w:spacing w:after="0"/>
              <w:rPr>
                <w:rFonts w:ascii="Arial" w:cs="Arial" w:eastAsia="Arial" w:hAnsi="Arial"/>
                <w:sz w:val="18"/>
                <w:szCs w:val="18"/>
                <w:u w:val="single" w:color="auto"/>
                <w:color w:val="0000FF"/>
                <w:w w:val="98"/>
              </w:rPr>
            </w:pPr>
            <w:hyperlink r:id="rId178">
              <w:r>
                <w:rPr>
                  <w:rFonts w:ascii="Arial" w:cs="Arial" w:eastAsia="Arial" w:hAnsi="Arial"/>
                  <w:sz w:val="18"/>
                  <w:szCs w:val="18"/>
                  <w:u w:val="single" w:color="auto"/>
                  <w:color w:val="0000FF"/>
                  <w:w w:val="98"/>
                </w:rPr>
                <w:t>Technology, Inc. and U.S. Bank National Association, as Trustee</w:t>
              </w:r>
            </w:hyperlink>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960" w:type="dxa"/>
            <w:vAlign w:val="bottom"/>
          </w:tcPr>
          <w:p>
            <w:pPr>
              <w:spacing w:after="0" w:line="176" w:lineRule="exact"/>
              <w:rPr>
                <w:sz w:val="20"/>
                <w:szCs w:val="20"/>
                <w:color w:val="auto"/>
              </w:rPr>
            </w:pPr>
            <w:r>
              <w:rPr>
                <w:rFonts w:ascii="Arial" w:cs="Arial" w:eastAsia="Arial" w:hAnsi="Arial"/>
                <w:sz w:val="18"/>
                <w:szCs w:val="18"/>
                <w:color w:val="auto"/>
              </w:rPr>
              <w:t>4.4</w:t>
            </w:r>
          </w:p>
        </w:tc>
        <w:tc>
          <w:tcPr>
            <w:tcW w:w="5560" w:type="dxa"/>
            <w:vAlign w:val="bottom"/>
            <w:gridSpan w:val="28"/>
          </w:tcPr>
          <w:p>
            <w:pPr>
              <w:spacing w:after="0" w:line="176" w:lineRule="exact"/>
              <w:rPr>
                <w:rFonts w:ascii="Arial" w:cs="Arial" w:eastAsia="Arial" w:hAnsi="Arial"/>
                <w:sz w:val="18"/>
                <w:szCs w:val="18"/>
                <w:color w:val="0000FF"/>
              </w:rPr>
            </w:pPr>
            <w:hyperlink r:id="rId179">
              <w:r>
                <w:rPr>
                  <w:rFonts w:ascii="Arial" w:cs="Arial" w:eastAsia="Arial" w:hAnsi="Arial"/>
                  <w:sz w:val="18"/>
                  <w:szCs w:val="18"/>
                  <w:u w:val="single" w:color="auto"/>
                  <w:color w:val="0000FF"/>
                </w:rPr>
                <w:t>First Supplemental Indenture, dated as of</w:t>
              </w:r>
              <w:r>
                <w:rPr>
                  <w:rFonts w:ascii="Arial" w:cs="Arial" w:eastAsia="Arial" w:hAnsi="Arial"/>
                  <w:sz w:val="18"/>
                  <w:szCs w:val="18"/>
                  <w:color w:val="0000FF"/>
                </w:rPr>
                <w:t xml:space="preserve"> February 6, 2019, by and</w:t>
              </w:r>
            </w:hyperlink>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3360" w:type="dxa"/>
            <w:vAlign w:val="bottom"/>
            <w:gridSpan w:val="12"/>
          </w:tcPr>
          <w:p>
            <w:pPr>
              <w:spacing w:after="0" w:line="157" w:lineRule="exact"/>
              <w:rPr>
                <w:rFonts w:ascii="Arial" w:cs="Arial" w:eastAsia="Arial" w:hAnsi="Arial"/>
                <w:sz w:val="18"/>
                <w:szCs w:val="18"/>
                <w:color w:val="0000FF"/>
                <w:w w:val="98"/>
              </w:rPr>
            </w:pPr>
            <w:hyperlink r:id="rId179">
              <w:r>
                <w:rPr>
                  <w:rFonts w:ascii="Arial" w:cs="Arial" w:eastAsia="Arial" w:hAnsi="Arial"/>
                  <w:sz w:val="18"/>
                  <w:szCs w:val="18"/>
                  <w:color w:val="0000FF"/>
                  <w:w w:val="98"/>
                </w:rPr>
                <w:t>between Micron Technology, Inc. and U.S.</w:t>
              </w:r>
            </w:hyperlink>
          </w:p>
        </w:tc>
        <w:tc>
          <w:tcPr>
            <w:tcW w:w="2020" w:type="dxa"/>
            <w:vAlign w:val="bottom"/>
            <w:tcBorders>
              <w:top w:val="single" w:sz="8" w:color="0000FF"/>
            </w:tcBorders>
            <w:gridSpan w:val="12"/>
          </w:tcPr>
          <w:p>
            <w:pPr>
              <w:ind w:left="60"/>
              <w:spacing w:after="0" w:line="157" w:lineRule="exact"/>
              <w:rPr>
                <w:rFonts w:ascii="Arial" w:cs="Arial" w:eastAsia="Arial" w:hAnsi="Arial"/>
                <w:sz w:val="18"/>
                <w:szCs w:val="18"/>
                <w:color w:val="0000FF"/>
              </w:rPr>
            </w:pPr>
            <w:hyperlink r:id="rId179">
              <w:r>
                <w:rPr>
                  <w:rFonts w:ascii="Arial" w:cs="Arial" w:eastAsia="Arial" w:hAnsi="Arial"/>
                  <w:sz w:val="18"/>
                  <w:szCs w:val="18"/>
                  <w:color w:val="0000FF"/>
                </w:rPr>
                <w:t>Bank National</w:t>
              </w:r>
            </w:hyperlink>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2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179">
              <w:r>
                <w:rPr>
                  <w:rFonts w:ascii="Arial" w:cs="Arial" w:eastAsia="Arial" w:hAnsi="Arial"/>
                  <w:sz w:val="18"/>
                  <w:szCs w:val="18"/>
                  <w:color w:val="0000FF"/>
                </w:rPr>
                <w:t>Association, as Trustee</w:t>
              </w:r>
            </w:hyperlink>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0" w:type="dxa"/>
            <w:vAlign w:val="bottom"/>
          </w:tcPr>
          <w:p>
            <w:pPr>
              <w:spacing w:after="0"/>
              <w:rPr>
                <w:sz w:val="20"/>
                <w:szCs w:val="20"/>
                <w:color w:val="auto"/>
              </w:rPr>
            </w:pPr>
            <w:r>
              <w:rPr>
                <w:rFonts w:ascii="Arial" w:cs="Arial" w:eastAsia="Arial" w:hAnsi="Arial"/>
                <w:sz w:val="18"/>
                <w:szCs w:val="18"/>
                <w:color w:val="auto"/>
              </w:rPr>
              <w:t>4.5</w:t>
            </w:r>
          </w:p>
        </w:tc>
        <w:tc>
          <w:tcPr>
            <w:tcW w:w="5560" w:type="dxa"/>
            <w:vAlign w:val="bottom"/>
            <w:gridSpan w:val="28"/>
          </w:tcPr>
          <w:p>
            <w:pPr>
              <w:spacing w:after="0"/>
              <w:rPr>
                <w:rFonts w:ascii="Arial" w:cs="Arial" w:eastAsia="Arial" w:hAnsi="Arial"/>
                <w:sz w:val="18"/>
                <w:szCs w:val="18"/>
                <w:color w:val="0000FF"/>
              </w:rPr>
            </w:pPr>
            <w:hyperlink r:id="rId179">
              <w:r>
                <w:rPr>
                  <w:rFonts w:ascii="Arial" w:cs="Arial" w:eastAsia="Arial" w:hAnsi="Arial"/>
                  <w:sz w:val="18"/>
                  <w:szCs w:val="18"/>
                  <w:u w:val="single" w:color="auto"/>
                  <w:color w:val="0000FF"/>
                </w:rPr>
                <w:t>Form of Note for Micron Technology, Inc.’s 4.640%</w:t>
              </w:r>
              <w:r>
                <w:rPr>
                  <w:rFonts w:ascii="Arial" w:cs="Arial" w:eastAsia="Arial" w:hAnsi="Arial"/>
                  <w:sz w:val="18"/>
                  <w:szCs w:val="18"/>
                  <w:color w:val="0000FF"/>
                </w:rPr>
                <w:t xml:space="preserve"> Senior Notes due</w:t>
              </w:r>
            </w:hyperlink>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4080" w:type="dxa"/>
            <w:vAlign w:val="bottom"/>
            <w:gridSpan w:val="15"/>
          </w:tcPr>
          <w:p>
            <w:pPr>
              <w:spacing w:after="0" w:line="157" w:lineRule="exact"/>
              <w:rPr>
                <w:rFonts w:ascii="Arial" w:cs="Arial" w:eastAsia="Arial" w:hAnsi="Arial"/>
                <w:sz w:val="18"/>
                <w:szCs w:val="18"/>
                <w:color w:val="0000FF"/>
              </w:rPr>
            </w:pPr>
            <w:hyperlink r:id="rId179">
              <w:r>
                <w:rPr>
                  <w:rFonts w:ascii="Arial" w:cs="Arial" w:eastAsia="Arial" w:hAnsi="Arial"/>
                  <w:sz w:val="18"/>
                  <w:szCs w:val="18"/>
                  <w:color w:val="0000FF"/>
                </w:rPr>
                <w:t xml:space="preserve">2024 (included in Exhibit </w:t>
              </w:r>
              <w:r>
                <w:rPr>
                  <w:rFonts w:ascii="Arial" w:cs="Arial" w:eastAsia="Arial" w:hAnsi="Arial"/>
                  <w:sz w:val="18"/>
                  <w:szCs w:val="18"/>
                  <w:u w:val="single" w:color="auto"/>
                  <w:color w:val="0000FF"/>
                </w:rPr>
                <w:t>4.4)</w:t>
              </w:r>
            </w:hyperlink>
          </w:p>
        </w:tc>
        <w:tc>
          <w:tcPr>
            <w:tcW w:w="20" w:type="dxa"/>
            <w:vAlign w:val="bottom"/>
            <w:tcBorders>
              <w:top w:val="single" w:sz="8" w:color="0000FF"/>
            </w:tcBorders>
          </w:tcPr>
          <w:p>
            <w:pPr>
              <w:spacing w:after="0"/>
              <w:rPr>
                <w:sz w:val="13"/>
                <w:szCs w:val="13"/>
                <w:color w:val="auto"/>
              </w:rPr>
            </w:pPr>
          </w:p>
        </w:tc>
        <w:tc>
          <w:tcPr>
            <w:tcW w:w="900" w:type="dxa"/>
            <w:vAlign w:val="bottom"/>
            <w:tcBorders>
              <w:top w:val="single" w:sz="8" w:color="0000FF"/>
            </w:tcBorders>
            <w:gridSpan w:val="2"/>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gridSpan w:val="2"/>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0" w:type="dxa"/>
            <w:vAlign w:val="bottom"/>
          </w:tcPr>
          <w:p>
            <w:pPr>
              <w:spacing w:after="0"/>
              <w:rPr>
                <w:sz w:val="20"/>
                <w:szCs w:val="20"/>
                <w:color w:val="auto"/>
              </w:rPr>
            </w:pPr>
            <w:r>
              <w:rPr>
                <w:rFonts w:ascii="Arial" w:cs="Arial" w:eastAsia="Arial" w:hAnsi="Arial"/>
                <w:sz w:val="18"/>
                <w:szCs w:val="18"/>
                <w:color w:val="auto"/>
              </w:rPr>
              <w:t>4.6</w:t>
            </w:r>
          </w:p>
        </w:tc>
        <w:tc>
          <w:tcPr>
            <w:tcW w:w="5560" w:type="dxa"/>
            <w:vAlign w:val="bottom"/>
            <w:gridSpan w:val="28"/>
          </w:tcPr>
          <w:p>
            <w:pPr>
              <w:spacing w:after="0"/>
              <w:rPr>
                <w:rFonts w:ascii="Arial" w:cs="Arial" w:eastAsia="Arial" w:hAnsi="Arial"/>
                <w:sz w:val="18"/>
                <w:szCs w:val="18"/>
                <w:color w:val="0000FF"/>
              </w:rPr>
            </w:pPr>
            <w:hyperlink r:id="rId179">
              <w:r>
                <w:rPr>
                  <w:rFonts w:ascii="Arial" w:cs="Arial" w:eastAsia="Arial" w:hAnsi="Arial"/>
                  <w:sz w:val="18"/>
                  <w:szCs w:val="18"/>
                  <w:u w:val="single" w:color="auto"/>
                  <w:color w:val="0000FF"/>
                </w:rPr>
                <w:t>Form of Note for Micron Technology, Inc.’s 4.975%</w:t>
              </w:r>
              <w:r>
                <w:rPr>
                  <w:rFonts w:ascii="Arial" w:cs="Arial" w:eastAsia="Arial" w:hAnsi="Arial"/>
                  <w:sz w:val="18"/>
                  <w:szCs w:val="18"/>
                  <w:color w:val="0000FF"/>
                </w:rPr>
                <w:t xml:space="preserve"> Senior Notes due</w:t>
              </w:r>
            </w:hyperlink>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4080" w:type="dxa"/>
            <w:vAlign w:val="bottom"/>
            <w:gridSpan w:val="15"/>
          </w:tcPr>
          <w:p>
            <w:pPr>
              <w:spacing w:after="0" w:line="157" w:lineRule="exact"/>
              <w:rPr>
                <w:rFonts w:ascii="Arial" w:cs="Arial" w:eastAsia="Arial" w:hAnsi="Arial"/>
                <w:sz w:val="18"/>
                <w:szCs w:val="18"/>
                <w:color w:val="0000FF"/>
              </w:rPr>
            </w:pPr>
            <w:hyperlink r:id="rId179">
              <w:r>
                <w:rPr>
                  <w:rFonts w:ascii="Arial" w:cs="Arial" w:eastAsia="Arial" w:hAnsi="Arial"/>
                  <w:sz w:val="18"/>
                  <w:szCs w:val="18"/>
                  <w:color w:val="0000FF"/>
                </w:rPr>
                <w:t xml:space="preserve">2026 (included in Exhibit </w:t>
              </w:r>
              <w:r>
                <w:rPr>
                  <w:rFonts w:ascii="Arial" w:cs="Arial" w:eastAsia="Arial" w:hAnsi="Arial"/>
                  <w:sz w:val="18"/>
                  <w:szCs w:val="18"/>
                  <w:u w:val="single" w:color="auto"/>
                  <w:color w:val="0000FF"/>
                </w:rPr>
                <w:t>4.4)</w:t>
              </w:r>
            </w:hyperlink>
          </w:p>
        </w:tc>
        <w:tc>
          <w:tcPr>
            <w:tcW w:w="20" w:type="dxa"/>
            <w:vAlign w:val="bottom"/>
            <w:tcBorders>
              <w:top w:val="single" w:sz="8" w:color="0000FF"/>
            </w:tcBorders>
          </w:tcPr>
          <w:p>
            <w:pPr>
              <w:spacing w:after="0"/>
              <w:rPr>
                <w:sz w:val="13"/>
                <w:szCs w:val="13"/>
                <w:color w:val="auto"/>
              </w:rPr>
            </w:pPr>
          </w:p>
        </w:tc>
        <w:tc>
          <w:tcPr>
            <w:tcW w:w="900" w:type="dxa"/>
            <w:vAlign w:val="bottom"/>
            <w:tcBorders>
              <w:top w:val="single" w:sz="8" w:color="0000FF"/>
            </w:tcBorders>
            <w:gridSpan w:val="2"/>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gridSpan w:val="2"/>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0" w:type="dxa"/>
            <w:vAlign w:val="bottom"/>
          </w:tcPr>
          <w:p>
            <w:pPr>
              <w:spacing w:after="0"/>
              <w:rPr>
                <w:sz w:val="20"/>
                <w:szCs w:val="20"/>
                <w:color w:val="auto"/>
              </w:rPr>
            </w:pPr>
            <w:r>
              <w:rPr>
                <w:rFonts w:ascii="Arial" w:cs="Arial" w:eastAsia="Arial" w:hAnsi="Arial"/>
                <w:sz w:val="18"/>
                <w:szCs w:val="18"/>
                <w:color w:val="auto"/>
              </w:rPr>
              <w:t>4.7</w:t>
            </w:r>
          </w:p>
        </w:tc>
        <w:tc>
          <w:tcPr>
            <w:tcW w:w="5560" w:type="dxa"/>
            <w:vAlign w:val="bottom"/>
            <w:gridSpan w:val="28"/>
          </w:tcPr>
          <w:p>
            <w:pPr>
              <w:spacing w:after="0"/>
              <w:rPr>
                <w:rFonts w:ascii="Arial" w:cs="Arial" w:eastAsia="Arial" w:hAnsi="Arial"/>
                <w:sz w:val="18"/>
                <w:szCs w:val="18"/>
                <w:color w:val="0000FF"/>
              </w:rPr>
            </w:pPr>
            <w:hyperlink r:id="rId179">
              <w:r>
                <w:rPr>
                  <w:rFonts w:ascii="Arial" w:cs="Arial" w:eastAsia="Arial" w:hAnsi="Arial"/>
                  <w:sz w:val="18"/>
                  <w:szCs w:val="18"/>
                  <w:u w:val="single" w:color="auto"/>
                  <w:color w:val="0000FF"/>
                </w:rPr>
                <w:t>Form of Note for Micron Technology, Inc.’s 5.327%</w:t>
              </w:r>
              <w:r>
                <w:rPr>
                  <w:rFonts w:ascii="Arial" w:cs="Arial" w:eastAsia="Arial" w:hAnsi="Arial"/>
                  <w:sz w:val="18"/>
                  <w:szCs w:val="18"/>
                  <w:color w:val="0000FF"/>
                </w:rPr>
                <w:t xml:space="preserve"> Senior Notes due</w:t>
              </w:r>
            </w:hyperlink>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4080" w:type="dxa"/>
            <w:vAlign w:val="bottom"/>
            <w:gridSpan w:val="15"/>
          </w:tcPr>
          <w:p>
            <w:pPr>
              <w:spacing w:after="0" w:line="157" w:lineRule="exact"/>
              <w:rPr>
                <w:rFonts w:ascii="Arial" w:cs="Arial" w:eastAsia="Arial" w:hAnsi="Arial"/>
                <w:sz w:val="18"/>
                <w:szCs w:val="18"/>
                <w:color w:val="0000FF"/>
              </w:rPr>
            </w:pPr>
            <w:hyperlink r:id="rId179">
              <w:r>
                <w:rPr>
                  <w:rFonts w:ascii="Arial" w:cs="Arial" w:eastAsia="Arial" w:hAnsi="Arial"/>
                  <w:sz w:val="18"/>
                  <w:szCs w:val="18"/>
                  <w:color w:val="0000FF"/>
                </w:rPr>
                <w:t xml:space="preserve">2029 (included in Exhibit </w:t>
              </w:r>
              <w:r>
                <w:rPr>
                  <w:rFonts w:ascii="Arial" w:cs="Arial" w:eastAsia="Arial" w:hAnsi="Arial"/>
                  <w:sz w:val="18"/>
                  <w:szCs w:val="18"/>
                  <w:u w:val="single" w:color="auto"/>
                  <w:color w:val="0000FF"/>
                </w:rPr>
                <w:t>4.4)</w:t>
              </w:r>
            </w:hyperlink>
          </w:p>
        </w:tc>
        <w:tc>
          <w:tcPr>
            <w:tcW w:w="20" w:type="dxa"/>
            <w:vAlign w:val="bottom"/>
            <w:tcBorders>
              <w:top w:val="single" w:sz="8" w:color="0000FF"/>
            </w:tcBorders>
          </w:tcPr>
          <w:p>
            <w:pPr>
              <w:spacing w:after="0"/>
              <w:rPr>
                <w:sz w:val="13"/>
                <w:szCs w:val="13"/>
                <w:color w:val="auto"/>
              </w:rPr>
            </w:pPr>
          </w:p>
        </w:tc>
        <w:tc>
          <w:tcPr>
            <w:tcW w:w="900" w:type="dxa"/>
            <w:vAlign w:val="bottom"/>
            <w:tcBorders>
              <w:top w:val="single" w:sz="8" w:color="0000FF"/>
            </w:tcBorders>
            <w:gridSpan w:val="2"/>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gridSpan w:val="2"/>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0" w:type="dxa"/>
            <w:vAlign w:val="bottom"/>
          </w:tcPr>
          <w:p>
            <w:pPr>
              <w:spacing w:after="0"/>
              <w:rPr>
                <w:sz w:val="20"/>
                <w:szCs w:val="20"/>
                <w:color w:val="auto"/>
              </w:rPr>
            </w:pPr>
            <w:r>
              <w:rPr>
                <w:rFonts w:ascii="Arial" w:cs="Arial" w:eastAsia="Arial" w:hAnsi="Arial"/>
                <w:sz w:val="18"/>
                <w:szCs w:val="18"/>
                <w:color w:val="auto"/>
              </w:rPr>
              <w:t>4.8</w:t>
            </w:r>
          </w:p>
        </w:tc>
        <w:tc>
          <w:tcPr>
            <w:tcW w:w="5560" w:type="dxa"/>
            <w:vAlign w:val="bottom"/>
            <w:gridSpan w:val="28"/>
          </w:tcPr>
          <w:p>
            <w:pPr>
              <w:spacing w:after="0"/>
              <w:rPr>
                <w:rFonts w:ascii="Arial" w:cs="Arial" w:eastAsia="Arial" w:hAnsi="Arial"/>
                <w:sz w:val="18"/>
                <w:szCs w:val="18"/>
                <w:color w:val="0000FF"/>
              </w:rPr>
            </w:pPr>
            <w:hyperlink r:id="rId180">
              <w:r>
                <w:rPr>
                  <w:rFonts w:ascii="Arial" w:cs="Arial" w:eastAsia="Arial" w:hAnsi="Arial"/>
                  <w:sz w:val="18"/>
                  <w:szCs w:val="18"/>
                  <w:u w:val="single" w:color="auto"/>
                  <w:color w:val="0000FF"/>
                </w:rPr>
                <w:t>Second Supplemental Indenture, dated as of</w:t>
              </w:r>
              <w:r>
                <w:rPr>
                  <w:rFonts w:ascii="Arial" w:cs="Arial" w:eastAsia="Arial" w:hAnsi="Arial"/>
                  <w:sz w:val="18"/>
                  <w:szCs w:val="18"/>
                  <w:color w:val="0000FF"/>
                </w:rPr>
                <w:t xml:space="preserve"> July 12, 2019, by and</w:t>
              </w:r>
            </w:hyperlink>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60" w:type="dxa"/>
            <w:vAlign w:val="bottom"/>
          </w:tcPr>
          <w:p>
            <w:pPr>
              <w:spacing w:after="0"/>
              <w:rPr>
                <w:sz w:val="13"/>
                <w:szCs w:val="13"/>
                <w:color w:val="auto"/>
              </w:rPr>
            </w:pPr>
          </w:p>
        </w:tc>
        <w:tc>
          <w:tcPr>
            <w:tcW w:w="5320" w:type="dxa"/>
            <w:vAlign w:val="bottom"/>
            <w:gridSpan w:val="22"/>
          </w:tcPr>
          <w:p>
            <w:pPr>
              <w:spacing w:after="0" w:line="156" w:lineRule="exact"/>
              <w:rPr>
                <w:rFonts w:ascii="Arial" w:cs="Arial" w:eastAsia="Arial" w:hAnsi="Arial"/>
                <w:sz w:val="18"/>
                <w:szCs w:val="18"/>
                <w:color w:val="0000FF"/>
              </w:rPr>
            </w:pPr>
            <w:hyperlink r:id="rId180">
              <w:r>
                <w:rPr>
                  <w:rFonts w:ascii="Arial" w:cs="Arial" w:eastAsia="Arial" w:hAnsi="Arial"/>
                  <w:sz w:val="18"/>
                  <w:szCs w:val="18"/>
                  <w:color w:val="0000FF"/>
                </w:rPr>
                <w:t>between Micron Technology, Inc. and U.S. Bank National</w:t>
              </w:r>
            </w:hyperlink>
          </w:p>
        </w:tc>
        <w:tc>
          <w:tcPr>
            <w:tcW w:w="40" w:type="dxa"/>
            <w:vAlign w:val="bottom"/>
            <w:vMerge w:val="continue"/>
          </w:tcPr>
          <w:p>
            <w:pPr>
              <w:spacing w:after="0"/>
              <w:rPr>
                <w:sz w:val="13"/>
                <w:szCs w:val="13"/>
                <w:color w:val="auto"/>
              </w:rPr>
            </w:pPr>
          </w:p>
        </w:tc>
        <w:tc>
          <w:tcPr>
            <w:tcW w:w="100" w:type="dxa"/>
            <w:vAlign w:val="bottom"/>
            <w:gridSpan w:val="2"/>
            <w:vMerge w:val="continue"/>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454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180">
              <w:r>
                <w:rPr>
                  <w:rFonts w:ascii="Arial" w:cs="Arial" w:eastAsia="Arial" w:hAnsi="Arial"/>
                  <w:sz w:val="18"/>
                  <w:szCs w:val="18"/>
                  <w:color w:val="0000FF"/>
                </w:rPr>
                <w:t>Association, as Trustee</w:t>
              </w:r>
            </w:hyperlink>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0" w:type="dxa"/>
            <w:vAlign w:val="bottom"/>
          </w:tcPr>
          <w:p>
            <w:pPr>
              <w:spacing w:after="0"/>
              <w:rPr>
                <w:sz w:val="20"/>
                <w:szCs w:val="20"/>
                <w:color w:val="auto"/>
              </w:rPr>
            </w:pPr>
            <w:r>
              <w:rPr>
                <w:rFonts w:ascii="Arial" w:cs="Arial" w:eastAsia="Arial" w:hAnsi="Arial"/>
                <w:sz w:val="18"/>
                <w:szCs w:val="18"/>
                <w:color w:val="auto"/>
              </w:rPr>
              <w:t>4.9</w:t>
            </w:r>
          </w:p>
        </w:tc>
        <w:tc>
          <w:tcPr>
            <w:tcW w:w="5560" w:type="dxa"/>
            <w:vAlign w:val="bottom"/>
            <w:gridSpan w:val="28"/>
          </w:tcPr>
          <w:p>
            <w:pPr>
              <w:spacing w:after="0"/>
              <w:rPr>
                <w:rFonts w:ascii="Arial" w:cs="Arial" w:eastAsia="Arial" w:hAnsi="Arial"/>
                <w:sz w:val="18"/>
                <w:szCs w:val="18"/>
                <w:color w:val="0000FF"/>
              </w:rPr>
            </w:pPr>
            <w:hyperlink r:id="rId180">
              <w:r>
                <w:rPr>
                  <w:rFonts w:ascii="Arial" w:cs="Arial" w:eastAsia="Arial" w:hAnsi="Arial"/>
                  <w:sz w:val="18"/>
                  <w:szCs w:val="18"/>
                  <w:u w:val="single" w:color="auto"/>
                  <w:color w:val="0000FF"/>
                </w:rPr>
                <w:t>Form of Note for Micron Technology, Inc.’s 4.185%</w:t>
              </w:r>
              <w:r>
                <w:rPr>
                  <w:rFonts w:ascii="Arial" w:cs="Arial" w:eastAsia="Arial" w:hAnsi="Arial"/>
                  <w:sz w:val="18"/>
                  <w:szCs w:val="18"/>
                  <w:color w:val="0000FF"/>
                </w:rPr>
                <w:t xml:space="preserve"> Senior Notes due</w:t>
              </w:r>
            </w:hyperlink>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4080" w:type="dxa"/>
            <w:vAlign w:val="bottom"/>
            <w:gridSpan w:val="15"/>
          </w:tcPr>
          <w:p>
            <w:pPr>
              <w:spacing w:after="0" w:line="157" w:lineRule="exact"/>
              <w:rPr>
                <w:rFonts w:ascii="Arial" w:cs="Arial" w:eastAsia="Arial" w:hAnsi="Arial"/>
                <w:sz w:val="18"/>
                <w:szCs w:val="18"/>
                <w:color w:val="0000FF"/>
              </w:rPr>
            </w:pPr>
            <w:hyperlink r:id="rId180">
              <w:r>
                <w:rPr>
                  <w:rFonts w:ascii="Arial" w:cs="Arial" w:eastAsia="Arial" w:hAnsi="Arial"/>
                  <w:sz w:val="18"/>
                  <w:szCs w:val="18"/>
                  <w:color w:val="0000FF"/>
                </w:rPr>
                <w:t>2027 (included in Exhibit 4.8)</w:t>
              </w:r>
            </w:hyperlink>
          </w:p>
        </w:tc>
        <w:tc>
          <w:tcPr>
            <w:tcW w:w="20" w:type="dxa"/>
            <w:vAlign w:val="bottom"/>
            <w:tcBorders>
              <w:top w:val="single" w:sz="8" w:color="0000FF"/>
            </w:tcBorders>
          </w:tcPr>
          <w:p>
            <w:pPr>
              <w:spacing w:after="0"/>
              <w:rPr>
                <w:sz w:val="13"/>
                <w:szCs w:val="13"/>
                <w:color w:val="auto"/>
              </w:rPr>
            </w:pPr>
          </w:p>
        </w:tc>
        <w:tc>
          <w:tcPr>
            <w:tcW w:w="900" w:type="dxa"/>
            <w:vAlign w:val="bottom"/>
            <w:tcBorders>
              <w:top w:val="single" w:sz="8" w:color="0000FF"/>
            </w:tcBorders>
            <w:gridSpan w:val="2"/>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gridSpan w:val="2"/>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0" w:type="dxa"/>
            <w:vAlign w:val="bottom"/>
          </w:tcPr>
          <w:p>
            <w:pPr>
              <w:spacing w:after="0"/>
              <w:rPr>
                <w:sz w:val="20"/>
                <w:szCs w:val="20"/>
                <w:color w:val="auto"/>
              </w:rPr>
            </w:pPr>
            <w:r>
              <w:rPr>
                <w:rFonts w:ascii="Arial" w:cs="Arial" w:eastAsia="Arial" w:hAnsi="Arial"/>
                <w:sz w:val="18"/>
                <w:szCs w:val="18"/>
                <w:color w:val="auto"/>
              </w:rPr>
              <w:t>4.10</w:t>
            </w:r>
          </w:p>
        </w:tc>
        <w:tc>
          <w:tcPr>
            <w:tcW w:w="5560" w:type="dxa"/>
            <w:vAlign w:val="bottom"/>
            <w:gridSpan w:val="28"/>
          </w:tcPr>
          <w:p>
            <w:pPr>
              <w:spacing w:after="0"/>
              <w:rPr>
                <w:rFonts w:ascii="Arial" w:cs="Arial" w:eastAsia="Arial" w:hAnsi="Arial"/>
                <w:sz w:val="18"/>
                <w:szCs w:val="18"/>
                <w:color w:val="0000FF"/>
              </w:rPr>
            </w:pPr>
            <w:hyperlink r:id="rId180">
              <w:r>
                <w:rPr>
                  <w:rFonts w:ascii="Arial" w:cs="Arial" w:eastAsia="Arial" w:hAnsi="Arial"/>
                  <w:sz w:val="18"/>
                  <w:szCs w:val="18"/>
                  <w:u w:val="single" w:color="auto"/>
                  <w:color w:val="0000FF"/>
                </w:rPr>
                <w:t>Form of Note for Micron Technology, Inc.’s 4.663%</w:t>
              </w:r>
              <w:r>
                <w:rPr>
                  <w:rFonts w:ascii="Arial" w:cs="Arial" w:eastAsia="Arial" w:hAnsi="Arial"/>
                  <w:sz w:val="18"/>
                  <w:szCs w:val="18"/>
                  <w:color w:val="0000FF"/>
                </w:rPr>
                <w:t xml:space="preserve"> Senior Notes due</w:t>
              </w:r>
            </w:hyperlink>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4080" w:type="dxa"/>
            <w:vAlign w:val="bottom"/>
            <w:gridSpan w:val="15"/>
          </w:tcPr>
          <w:p>
            <w:pPr>
              <w:spacing w:after="0" w:line="157" w:lineRule="exact"/>
              <w:rPr>
                <w:rFonts w:ascii="Arial" w:cs="Arial" w:eastAsia="Arial" w:hAnsi="Arial"/>
                <w:sz w:val="18"/>
                <w:szCs w:val="18"/>
                <w:color w:val="0000FF"/>
              </w:rPr>
            </w:pPr>
            <w:hyperlink r:id="rId180">
              <w:r>
                <w:rPr>
                  <w:rFonts w:ascii="Arial" w:cs="Arial" w:eastAsia="Arial" w:hAnsi="Arial"/>
                  <w:sz w:val="18"/>
                  <w:szCs w:val="18"/>
                  <w:color w:val="0000FF"/>
                </w:rPr>
                <w:t>2030 (included in Exhibit 4.8)</w:t>
              </w:r>
            </w:hyperlink>
          </w:p>
        </w:tc>
        <w:tc>
          <w:tcPr>
            <w:tcW w:w="20" w:type="dxa"/>
            <w:vAlign w:val="bottom"/>
            <w:tcBorders>
              <w:top w:val="single" w:sz="8" w:color="0000FF"/>
            </w:tcBorders>
          </w:tcPr>
          <w:p>
            <w:pPr>
              <w:spacing w:after="0"/>
              <w:rPr>
                <w:sz w:val="13"/>
                <w:szCs w:val="13"/>
                <w:color w:val="auto"/>
              </w:rPr>
            </w:pPr>
          </w:p>
        </w:tc>
        <w:tc>
          <w:tcPr>
            <w:tcW w:w="900" w:type="dxa"/>
            <w:vAlign w:val="bottom"/>
            <w:tcBorders>
              <w:top w:val="single" w:sz="8" w:color="0000FF"/>
            </w:tcBorders>
            <w:gridSpan w:val="2"/>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gridSpan w:val="2"/>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0" w:type="dxa"/>
            <w:vAlign w:val="bottom"/>
          </w:tcPr>
          <w:p>
            <w:pPr>
              <w:spacing w:after="0"/>
              <w:rPr>
                <w:sz w:val="20"/>
                <w:szCs w:val="20"/>
                <w:color w:val="auto"/>
              </w:rPr>
            </w:pPr>
            <w:r>
              <w:rPr>
                <w:rFonts w:ascii="Arial" w:cs="Arial" w:eastAsia="Arial" w:hAnsi="Arial"/>
                <w:sz w:val="18"/>
                <w:szCs w:val="18"/>
                <w:color w:val="auto"/>
              </w:rPr>
              <w:t>4.11</w:t>
            </w:r>
          </w:p>
        </w:tc>
        <w:tc>
          <w:tcPr>
            <w:tcW w:w="5560" w:type="dxa"/>
            <w:vAlign w:val="bottom"/>
            <w:gridSpan w:val="28"/>
          </w:tcPr>
          <w:p>
            <w:pPr>
              <w:spacing w:after="0"/>
              <w:rPr>
                <w:rFonts w:ascii="Arial" w:cs="Arial" w:eastAsia="Arial" w:hAnsi="Arial"/>
                <w:sz w:val="18"/>
                <w:szCs w:val="18"/>
                <w:color w:val="0000FF"/>
              </w:rPr>
            </w:pPr>
            <w:hyperlink r:id="rId181">
              <w:r>
                <w:rPr>
                  <w:rFonts w:ascii="Arial" w:cs="Arial" w:eastAsia="Arial" w:hAnsi="Arial"/>
                  <w:sz w:val="18"/>
                  <w:szCs w:val="18"/>
                  <w:u w:val="single" w:color="auto"/>
                  <w:color w:val="0000FF"/>
                </w:rPr>
                <w:t>Third Supplemental Indenture, dated April</w:t>
              </w:r>
              <w:r>
                <w:rPr>
                  <w:rFonts w:ascii="Arial" w:cs="Arial" w:eastAsia="Arial" w:hAnsi="Arial"/>
                  <w:sz w:val="18"/>
                  <w:szCs w:val="18"/>
                  <w:color w:val="0000FF"/>
                </w:rPr>
                <w:t xml:space="preserve"> 24, </w:t>
              </w:r>
              <w:r>
                <w:rPr>
                  <w:rFonts w:ascii="Arial" w:cs="Arial" w:eastAsia="Arial" w:hAnsi="Arial"/>
                  <w:sz w:val="18"/>
                  <w:szCs w:val="18"/>
                  <w:u w:val="single" w:color="auto"/>
                  <w:color w:val="0000FF"/>
                </w:rPr>
                <w:t>2020,</w:t>
              </w:r>
              <w:r>
                <w:rPr>
                  <w:rFonts w:ascii="Arial" w:cs="Arial" w:eastAsia="Arial" w:hAnsi="Arial"/>
                  <w:sz w:val="18"/>
                  <w:szCs w:val="18"/>
                  <w:color w:val="0000FF"/>
                </w:rPr>
                <w:t xml:space="preserve"> by and between</w:t>
              </w:r>
            </w:hyperlink>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4100" w:type="dxa"/>
            <w:vAlign w:val="bottom"/>
            <w:gridSpan w:val="16"/>
          </w:tcPr>
          <w:p>
            <w:pPr>
              <w:spacing w:after="0" w:line="157" w:lineRule="exact"/>
              <w:rPr>
                <w:rFonts w:ascii="Arial" w:cs="Arial" w:eastAsia="Arial" w:hAnsi="Arial"/>
                <w:sz w:val="18"/>
                <w:szCs w:val="18"/>
                <w:color w:val="0000FF"/>
              </w:rPr>
            </w:pPr>
            <w:hyperlink r:id="rId181">
              <w:r>
                <w:rPr>
                  <w:rFonts w:ascii="Arial" w:cs="Arial" w:eastAsia="Arial" w:hAnsi="Arial"/>
                  <w:sz w:val="18"/>
                  <w:szCs w:val="18"/>
                  <w:color w:val="0000FF"/>
                </w:rPr>
                <w:t>Micron Technology, Inc. and U.S. Bank National</w:t>
              </w:r>
            </w:hyperlink>
          </w:p>
        </w:tc>
        <w:tc>
          <w:tcPr>
            <w:tcW w:w="1360" w:type="dxa"/>
            <w:vAlign w:val="bottom"/>
            <w:tcBorders>
              <w:top w:val="single" w:sz="8" w:color="0000FF"/>
            </w:tcBorders>
            <w:gridSpan w:val="9"/>
          </w:tcPr>
          <w:p>
            <w:pPr>
              <w:spacing w:after="0" w:line="157" w:lineRule="exact"/>
              <w:rPr>
                <w:rFonts w:ascii="Arial" w:cs="Arial" w:eastAsia="Arial" w:hAnsi="Arial"/>
                <w:sz w:val="18"/>
                <w:szCs w:val="18"/>
                <w:color w:val="0000FF"/>
              </w:rPr>
            </w:pPr>
            <w:hyperlink r:id="rId181">
              <w:r>
                <w:rPr>
                  <w:rFonts w:ascii="Arial" w:cs="Arial" w:eastAsia="Arial" w:hAnsi="Arial"/>
                  <w:sz w:val="18"/>
                  <w:szCs w:val="18"/>
                  <w:color w:val="0000FF"/>
                </w:rPr>
                <w:t>Association, as</w:t>
              </w:r>
            </w:hyperlink>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4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181">
              <w:r>
                <w:rPr>
                  <w:rFonts w:ascii="Arial" w:cs="Arial" w:eastAsia="Arial" w:hAnsi="Arial"/>
                  <w:sz w:val="18"/>
                  <w:szCs w:val="18"/>
                  <w:color w:val="0000FF"/>
                </w:rPr>
                <w:t>Trustee</w:t>
              </w:r>
            </w:hyperlink>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gridSpan w:val="4"/>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0" w:type="dxa"/>
            <w:vAlign w:val="bottom"/>
          </w:tcPr>
          <w:p>
            <w:pPr>
              <w:spacing w:after="0"/>
              <w:rPr>
                <w:sz w:val="20"/>
                <w:szCs w:val="20"/>
                <w:color w:val="auto"/>
              </w:rPr>
            </w:pPr>
            <w:r>
              <w:rPr>
                <w:rFonts w:ascii="Arial" w:cs="Arial" w:eastAsia="Arial" w:hAnsi="Arial"/>
                <w:sz w:val="18"/>
                <w:szCs w:val="18"/>
                <w:color w:val="auto"/>
              </w:rPr>
              <w:t>4.12</w:t>
            </w:r>
          </w:p>
        </w:tc>
        <w:tc>
          <w:tcPr>
            <w:tcW w:w="5560" w:type="dxa"/>
            <w:vAlign w:val="bottom"/>
            <w:gridSpan w:val="28"/>
          </w:tcPr>
          <w:p>
            <w:pPr>
              <w:spacing w:after="0"/>
              <w:rPr>
                <w:rFonts w:ascii="Arial" w:cs="Arial" w:eastAsia="Arial" w:hAnsi="Arial"/>
                <w:sz w:val="18"/>
                <w:szCs w:val="18"/>
                <w:color w:val="0000FF"/>
              </w:rPr>
            </w:pPr>
            <w:hyperlink r:id="rId182">
              <w:r>
                <w:rPr>
                  <w:rFonts w:ascii="Arial" w:cs="Arial" w:eastAsia="Arial" w:hAnsi="Arial"/>
                  <w:sz w:val="18"/>
                  <w:szCs w:val="18"/>
                  <w:color w:val="0000FF"/>
                </w:rPr>
                <w:t>Form of Note for Micron Technology, Inc.’s 2.497% Senior Notes due</w:t>
              </w:r>
            </w:hyperlink>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550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182">
              <w:r>
                <w:rPr>
                  <w:rFonts w:ascii="Arial" w:cs="Arial" w:eastAsia="Arial" w:hAnsi="Arial"/>
                  <w:sz w:val="18"/>
                  <w:szCs w:val="18"/>
                  <w:color w:val="0000FF"/>
                </w:rPr>
                <w:t xml:space="preserve">2023 </w:t>
              </w:r>
              <w:r>
                <w:rPr>
                  <w:rFonts w:ascii="Arial" w:cs="Arial" w:eastAsia="Arial" w:hAnsi="Arial"/>
                  <w:sz w:val="18"/>
                  <w:szCs w:val="18"/>
                  <w:u w:val="single" w:color="auto"/>
                  <w:color w:val="0000FF"/>
                </w:rPr>
                <w:t>(included in Exhibit 4.11)</w:t>
              </w:r>
            </w:hyperlink>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60" w:type="dxa"/>
            <w:vAlign w:val="bottom"/>
          </w:tcPr>
          <w:p>
            <w:pPr>
              <w:spacing w:after="0"/>
              <w:rPr>
                <w:sz w:val="20"/>
                <w:szCs w:val="20"/>
                <w:color w:val="auto"/>
              </w:rPr>
            </w:pPr>
            <w:r>
              <w:rPr>
                <w:rFonts w:ascii="Arial" w:cs="Arial" w:eastAsia="Arial" w:hAnsi="Arial"/>
                <w:sz w:val="18"/>
                <w:szCs w:val="18"/>
                <w:color w:val="auto"/>
              </w:rPr>
              <w:t>4.13</w:t>
            </w:r>
          </w:p>
        </w:tc>
        <w:tc>
          <w:tcPr>
            <w:tcW w:w="5560" w:type="dxa"/>
            <w:vAlign w:val="bottom"/>
            <w:gridSpan w:val="28"/>
          </w:tcPr>
          <w:p>
            <w:pPr>
              <w:spacing w:after="0"/>
              <w:rPr>
                <w:rFonts w:ascii="Arial" w:cs="Arial" w:eastAsia="Arial" w:hAnsi="Arial"/>
                <w:sz w:val="18"/>
                <w:szCs w:val="18"/>
                <w:u w:val="single" w:color="auto"/>
                <w:color w:val="0000FF"/>
              </w:rPr>
            </w:pPr>
            <w:hyperlink w:anchor="page97">
              <w:r>
                <w:rPr>
                  <w:rFonts w:ascii="Arial" w:cs="Arial" w:eastAsia="Arial" w:hAnsi="Arial"/>
                  <w:sz w:val="18"/>
                  <w:szCs w:val="18"/>
                  <w:u w:val="single" w:color="auto"/>
                  <w:color w:val="0000FF"/>
                </w:rPr>
                <w:t>Description of Registrant’s Securities</w:t>
              </w:r>
            </w:hyperlink>
          </w:p>
        </w:tc>
        <w:tc>
          <w:tcPr>
            <w:tcW w:w="140" w:type="dxa"/>
            <w:vAlign w:val="bottom"/>
          </w:tcPr>
          <w:p>
            <w:pPr>
              <w:ind w:left="2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203"/>
        </w:trPr>
        <w:tc>
          <w:tcPr>
            <w:tcW w:w="960" w:type="dxa"/>
            <w:vAlign w:val="bottom"/>
          </w:tcPr>
          <w:p>
            <w:pPr>
              <w:spacing w:after="0" w:line="202" w:lineRule="exact"/>
              <w:rPr>
                <w:sz w:val="20"/>
                <w:szCs w:val="20"/>
                <w:color w:val="auto"/>
              </w:rPr>
            </w:pPr>
            <w:r>
              <w:rPr>
                <w:rFonts w:ascii="Arial" w:cs="Arial" w:eastAsia="Arial" w:hAnsi="Arial"/>
                <w:sz w:val="18"/>
                <w:szCs w:val="18"/>
                <w:color w:val="auto"/>
              </w:rPr>
              <w:t>10.1**</w:t>
            </w:r>
          </w:p>
        </w:tc>
        <w:tc>
          <w:tcPr>
            <w:tcW w:w="5560" w:type="dxa"/>
            <w:vAlign w:val="bottom"/>
            <w:gridSpan w:val="28"/>
          </w:tcPr>
          <w:p>
            <w:pPr>
              <w:spacing w:after="0" w:line="202" w:lineRule="exact"/>
              <w:rPr>
                <w:rFonts w:ascii="Arial" w:cs="Arial" w:eastAsia="Arial" w:hAnsi="Arial"/>
                <w:sz w:val="18"/>
                <w:szCs w:val="18"/>
                <w:color w:val="0000FF"/>
              </w:rPr>
            </w:pPr>
            <w:hyperlink r:id="rId183">
              <w:r>
                <w:rPr>
                  <w:rFonts w:ascii="Arial" w:cs="Arial" w:eastAsia="Arial" w:hAnsi="Arial"/>
                  <w:sz w:val="18"/>
                  <w:szCs w:val="18"/>
                  <w:color w:val="0000FF"/>
                </w:rPr>
                <w:t>Micron Technology, Inc. Executive Officer Performance Incentive</w:t>
              </w:r>
            </w:hyperlink>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514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183">
              <w:r>
                <w:rPr>
                  <w:rFonts w:ascii="Arial" w:cs="Arial" w:eastAsia="Arial" w:hAnsi="Arial"/>
                  <w:sz w:val="18"/>
                  <w:szCs w:val="18"/>
                  <w:color w:val="0000FF"/>
                </w:rPr>
                <w:t>Plan</w:t>
              </w:r>
            </w:hyperlink>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gridSpan w:val="5"/>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60" w:type="dxa"/>
            <w:vAlign w:val="bottom"/>
          </w:tcPr>
          <w:p>
            <w:pPr>
              <w:spacing w:after="0"/>
              <w:rPr>
                <w:sz w:val="20"/>
                <w:szCs w:val="20"/>
                <w:color w:val="auto"/>
              </w:rPr>
            </w:pPr>
            <w:r>
              <w:rPr>
                <w:rFonts w:ascii="Arial" w:cs="Arial" w:eastAsia="Arial" w:hAnsi="Arial"/>
                <w:sz w:val="18"/>
                <w:szCs w:val="18"/>
                <w:color w:val="auto"/>
              </w:rPr>
              <w:t>10.2**</w:t>
            </w:r>
          </w:p>
        </w:tc>
        <w:tc>
          <w:tcPr>
            <w:tcW w:w="5560" w:type="dxa"/>
            <w:vAlign w:val="bottom"/>
            <w:gridSpan w:val="28"/>
          </w:tcPr>
          <w:p>
            <w:pPr>
              <w:spacing w:after="0"/>
              <w:rPr>
                <w:rFonts w:ascii="Arial" w:cs="Arial" w:eastAsia="Arial" w:hAnsi="Arial"/>
                <w:sz w:val="18"/>
                <w:szCs w:val="18"/>
                <w:color w:val="0000FF"/>
              </w:rPr>
            </w:pPr>
            <w:hyperlink r:id="rId184">
              <w:r>
                <w:rPr>
                  <w:rFonts w:ascii="Arial" w:cs="Arial" w:eastAsia="Arial" w:hAnsi="Arial"/>
                  <w:sz w:val="18"/>
                  <w:szCs w:val="18"/>
                  <w:u w:val="single" w:color="auto"/>
                  <w:color w:val="0000FF"/>
                </w:rPr>
                <w:t>Amended and Restated</w:t>
              </w:r>
              <w:r>
                <w:rPr>
                  <w:rFonts w:ascii="Arial" w:cs="Arial" w:eastAsia="Arial" w:hAnsi="Arial"/>
                  <w:sz w:val="18"/>
                  <w:szCs w:val="18"/>
                  <w:color w:val="0000FF"/>
                </w:rPr>
                <w:t xml:space="preserve"> 2004 </w:t>
              </w:r>
              <w:r>
                <w:rPr>
                  <w:rFonts w:ascii="Arial" w:cs="Arial" w:eastAsia="Arial" w:hAnsi="Arial"/>
                  <w:sz w:val="18"/>
                  <w:szCs w:val="18"/>
                  <w:u w:val="single" w:color="auto"/>
                  <w:color w:val="0000FF"/>
                </w:rPr>
                <w:t>Equity Incentive Plan</w:t>
              </w:r>
            </w:hyperlink>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960" w:type="dxa"/>
            <w:vAlign w:val="bottom"/>
          </w:tcPr>
          <w:p>
            <w:pPr>
              <w:spacing w:after="0" w:line="202" w:lineRule="exact"/>
              <w:rPr>
                <w:sz w:val="20"/>
                <w:szCs w:val="20"/>
                <w:color w:val="auto"/>
              </w:rPr>
            </w:pPr>
            <w:r>
              <w:rPr>
                <w:rFonts w:ascii="Arial" w:cs="Arial" w:eastAsia="Arial" w:hAnsi="Arial"/>
                <w:sz w:val="18"/>
                <w:szCs w:val="18"/>
                <w:color w:val="auto"/>
              </w:rPr>
              <w:t>10.3**</w:t>
            </w:r>
          </w:p>
        </w:tc>
        <w:tc>
          <w:tcPr>
            <w:tcW w:w="5560" w:type="dxa"/>
            <w:vAlign w:val="bottom"/>
            <w:gridSpan w:val="28"/>
          </w:tcPr>
          <w:p>
            <w:pPr>
              <w:spacing w:after="0" w:line="202" w:lineRule="exact"/>
              <w:rPr>
                <w:rFonts w:ascii="Arial" w:cs="Arial" w:eastAsia="Arial" w:hAnsi="Arial"/>
                <w:sz w:val="18"/>
                <w:szCs w:val="18"/>
                <w:color w:val="0000FF"/>
              </w:rPr>
            </w:pPr>
            <w:hyperlink r:id="rId185">
              <w:r>
                <w:rPr>
                  <w:rFonts w:ascii="Arial" w:cs="Arial" w:eastAsia="Arial" w:hAnsi="Arial"/>
                  <w:sz w:val="18"/>
                  <w:szCs w:val="18"/>
                  <w:color w:val="0000FF"/>
                </w:rPr>
                <w:t>2004 Equity Incentive Plan Forms of Agreement and Terms and</w:t>
              </w:r>
            </w:hyperlink>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88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rPr>
            </w:pPr>
            <w:hyperlink r:id="rId185">
              <w:r>
                <w:rPr>
                  <w:rFonts w:ascii="Arial" w:cs="Arial" w:eastAsia="Arial" w:hAnsi="Arial"/>
                  <w:sz w:val="18"/>
                  <w:szCs w:val="18"/>
                  <w:color w:val="0000FF"/>
                </w:rPr>
                <w:t>Conditions</w:t>
              </w:r>
            </w:hyperlink>
          </w:p>
        </w:tc>
        <w:tc>
          <w:tcPr>
            <w:tcW w:w="4260" w:type="dxa"/>
            <w:vAlign w:val="bottom"/>
            <w:tcBorders>
              <w:top w:val="single" w:sz="8" w:color="0000FF"/>
            </w:tcBorders>
            <w:gridSpan w:val="15"/>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gridSpan w:val="5"/>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960" w:type="dxa"/>
            <w:vAlign w:val="bottom"/>
          </w:tcPr>
          <w:p>
            <w:pPr>
              <w:spacing w:after="0"/>
              <w:rPr>
                <w:sz w:val="20"/>
                <w:szCs w:val="20"/>
                <w:color w:val="auto"/>
              </w:rPr>
            </w:pPr>
            <w:r>
              <w:rPr>
                <w:rFonts w:ascii="Arial" w:cs="Arial" w:eastAsia="Arial" w:hAnsi="Arial"/>
                <w:sz w:val="18"/>
                <w:szCs w:val="18"/>
                <w:color w:val="auto"/>
              </w:rPr>
              <w:t>10.4**</w:t>
            </w:r>
          </w:p>
        </w:tc>
        <w:tc>
          <w:tcPr>
            <w:tcW w:w="5560" w:type="dxa"/>
            <w:vAlign w:val="bottom"/>
            <w:gridSpan w:val="28"/>
          </w:tcPr>
          <w:p>
            <w:pPr>
              <w:spacing w:after="0"/>
              <w:rPr>
                <w:rFonts w:ascii="Arial" w:cs="Arial" w:eastAsia="Arial" w:hAnsi="Arial"/>
                <w:sz w:val="18"/>
                <w:szCs w:val="18"/>
                <w:u w:val="single" w:color="auto"/>
                <w:color w:val="0000FF"/>
              </w:rPr>
            </w:pPr>
            <w:hyperlink r:id="rId186">
              <w:r>
                <w:rPr>
                  <w:rFonts w:ascii="Arial" w:cs="Arial" w:eastAsia="Arial" w:hAnsi="Arial"/>
                  <w:sz w:val="18"/>
                  <w:szCs w:val="18"/>
                  <w:u w:val="single" w:color="auto"/>
                  <w:color w:val="0000FF"/>
                </w:rPr>
                <w:t>Amended and Restated 2007 Equity Incentive Plan</w:t>
              </w:r>
            </w:hyperlink>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960" w:type="dxa"/>
            <w:vAlign w:val="bottom"/>
          </w:tcPr>
          <w:p>
            <w:pPr>
              <w:spacing w:after="0" w:line="201" w:lineRule="exact"/>
              <w:rPr>
                <w:sz w:val="20"/>
                <w:szCs w:val="20"/>
                <w:color w:val="auto"/>
              </w:rPr>
            </w:pPr>
            <w:r>
              <w:rPr>
                <w:rFonts w:ascii="Arial" w:cs="Arial" w:eastAsia="Arial" w:hAnsi="Arial"/>
                <w:sz w:val="18"/>
                <w:szCs w:val="18"/>
                <w:color w:val="auto"/>
              </w:rPr>
              <w:t>10.5**</w:t>
            </w:r>
          </w:p>
        </w:tc>
        <w:tc>
          <w:tcPr>
            <w:tcW w:w="5560" w:type="dxa"/>
            <w:vAlign w:val="bottom"/>
            <w:gridSpan w:val="28"/>
          </w:tcPr>
          <w:p>
            <w:pPr>
              <w:spacing w:after="0" w:line="201" w:lineRule="exact"/>
              <w:rPr>
                <w:rFonts w:ascii="Arial" w:cs="Arial" w:eastAsia="Arial" w:hAnsi="Arial"/>
                <w:sz w:val="18"/>
                <w:szCs w:val="18"/>
                <w:color w:val="0000FF"/>
              </w:rPr>
            </w:pPr>
            <w:hyperlink r:id="rId187">
              <w:r>
                <w:rPr>
                  <w:rFonts w:ascii="Arial" w:cs="Arial" w:eastAsia="Arial" w:hAnsi="Arial"/>
                  <w:sz w:val="18"/>
                  <w:szCs w:val="18"/>
                  <w:u w:val="single" w:color="auto"/>
                  <w:color w:val="0000FF"/>
                </w:rPr>
                <w:t>2007 Equity Incentive Plan Forms of Agreement</w:t>
              </w:r>
              <w:r>
                <w:rPr>
                  <w:rFonts w:ascii="Arial" w:cs="Arial" w:eastAsia="Arial" w:hAnsi="Arial"/>
                  <w:sz w:val="18"/>
                  <w:szCs w:val="18"/>
                  <w:color w:val="0000FF"/>
                </w:rPr>
                <w:t xml:space="preserve"> and Terms and</w:t>
              </w:r>
            </w:hyperlink>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3820" w:type="dxa"/>
            <w:vAlign w:val="bottom"/>
            <w:gridSpan w:val="14"/>
          </w:tcPr>
          <w:p>
            <w:pPr>
              <w:spacing w:after="0" w:line="157" w:lineRule="exact"/>
              <w:rPr>
                <w:rFonts w:ascii="Arial" w:cs="Arial" w:eastAsia="Arial" w:hAnsi="Arial"/>
                <w:sz w:val="18"/>
                <w:szCs w:val="18"/>
                <w:color w:val="0000FF"/>
              </w:rPr>
            </w:pPr>
            <w:hyperlink r:id="rId187">
              <w:r>
                <w:rPr>
                  <w:rFonts w:ascii="Arial" w:cs="Arial" w:eastAsia="Arial" w:hAnsi="Arial"/>
                  <w:sz w:val="18"/>
                  <w:szCs w:val="18"/>
                  <w:color w:val="0000FF"/>
                </w:rPr>
                <w:t>Conditions</w:t>
              </w:r>
            </w:hyperlink>
          </w:p>
        </w:tc>
        <w:tc>
          <w:tcPr>
            <w:tcW w:w="1180" w:type="dxa"/>
            <w:vAlign w:val="bottom"/>
            <w:tcBorders>
              <w:top w:val="single" w:sz="8" w:color="0000FF"/>
            </w:tcBorders>
            <w:gridSpan w:val="4"/>
          </w:tcPr>
          <w:p>
            <w:pPr>
              <w:spacing w:after="0"/>
              <w:rPr>
                <w:sz w:val="13"/>
                <w:szCs w:val="13"/>
                <w:color w:val="auto"/>
              </w:rPr>
            </w:pPr>
          </w:p>
        </w:tc>
        <w:tc>
          <w:tcPr>
            <w:tcW w:w="140" w:type="dxa"/>
            <w:vAlign w:val="bottom"/>
            <w:tcBorders>
              <w:top w:val="single" w:sz="8" w:color="0000FF"/>
            </w:tcBorders>
            <w:gridSpan w:val="2"/>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gridSpan w:val="5"/>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820" w:type="dxa"/>
            <w:vAlign w:val="bottom"/>
            <w:gridSpan w:val="8"/>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60" w:type="dxa"/>
            <w:vAlign w:val="bottom"/>
          </w:tcPr>
          <w:p>
            <w:pPr>
              <w:spacing w:after="0"/>
              <w:rPr>
                <w:sz w:val="20"/>
                <w:szCs w:val="20"/>
                <w:color w:val="auto"/>
              </w:rPr>
            </w:pPr>
            <w:r>
              <w:rPr>
                <w:rFonts w:ascii="Arial" w:cs="Arial" w:eastAsia="Arial" w:hAnsi="Arial"/>
                <w:sz w:val="18"/>
                <w:szCs w:val="18"/>
                <w:color w:val="auto"/>
              </w:rPr>
              <w:t>10.6**</w:t>
            </w:r>
          </w:p>
        </w:tc>
        <w:tc>
          <w:tcPr>
            <w:tcW w:w="5560" w:type="dxa"/>
            <w:vAlign w:val="bottom"/>
            <w:gridSpan w:val="28"/>
          </w:tcPr>
          <w:p>
            <w:pPr>
              <w:spacing w:after="0"/>
              <w:rPr>
                <w:rFonts w:ascii="Arial" w:cs="Arial" w:eastAsia="Arial" w:hAnsi="Arial"/>
                <w:sz w:val="18"/>
                <w:szCs w:val="18"/>
                <w:u w:val="single" w:color="auto"/>
                <w:color w:val="0000FF"/>
              </w:rPr>
            </w:pPr>
            <w:hyperlink r:id="rId188">
              <w:r>
                <w:rPr>
                  <w:rFonts w:ascii="Arial" w:cs="Arial" w:eastAsia="Arial" w:hAnsi="Arial"/>
                  <w:sz w:val="18"/>
                  <w:szCs w:val="18"/>
                  <w:u w:val="single" w:color="auto"/>
                  <w:color w:val="0000FF"/>
                </w:rPr>
                <w:t>Nonstatutory Stock Option Plan, as Amended</w:t>
              </w:r>
            </w:hyperlink>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960" w:type="dxa"/>
            <w:vAlign w:val="bottom"/>
          </w:tcPr>
          <w:p>
            <w:pPr>
              <w:spacing w:after="0" w:line="202" w:lineRule="exact"/>
              <w:rPr>
                <w:sz w:val="20"/>
                <w:szCs w:val="20"/>
                <w:color w:val="auto"/>
              </w:rPr>
            </w:pPr>
            <w:r>
              <w:rPr>
                <w:rFonts w:ascii="Arial" w:cs="Arial" w:eastAsia="Arial" w:hAnsi="Arial"/>
                <w:sz w:val="18"/>
                <w:szCs w:val="18"/>
                <w:color w:val="auto"/>
              </w:rPr>
              <w:t>10.7**</w:t>
            </w:r>
          </w:p>
        </w:tc>
        <w:tc>
          <w:tcPr>
            <w:tcW w:w="5560" w:type="dxa"/>
            <w:vAlign w:val="bottom"/>
            <w:gridSpan w:val="28"/>
          </w:tcPr>
          <w:p>
            <w:pPr>
              <w:spacing w:after="0" w:line="202" w:lineRule="exact"/>
              <w:rPr>
                <w:rFonts w:ascii="Arial" w:cs="Arial" w:eastAsia="Arial" w:hAnsi="Arial"/>
                <w:sz w:val="18"/>
                <w:szCs w:val="18"/>
                <w:color w:val="0000FF"/>
              </w:rPr>
            </w:pPr>
            <w:hyperlink r:id="rId189">
              <w:r>
                <w:rPr>
                  <w:rFonts w:ascii="Arial" w:cs="Arial" w:eastAsia="Arial" w:hAnsi="Arial"/>
                  <w:sz w:val="18"/>
                  <w:szCs w:val="18"/>
                  <w:color w:val="0000FF"/>
                </w:rPr>
                <w:t>Nonstatutory Stock Option Plan Form of Agreement and Terms and</w:t>
              </w:r>
            </w:hyperlink>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88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rPr>
            </w:pPr>
            <w:hyperlink r:id="rId189">
              <w:r>
                <w:rPr>
                  <w:rFonts w:ascii="Arial" w:cs="Arial" w:eastAsia="Arial" w:hAnsi="Arial"/>
                  <w:sz w:val="18"/>
                  <w:szCs w:val="18"/>
                  <w:color w:val="0000FF"/>
                </w:rPr>
                <w:t>Conditions</w:t>
              </w:r>
            </w:hyperlink>
          </w:p>
        </w:tc>
        <w:tc>
          <w:tcPr>
            <w:tcW w:w="4480" w:type="dxa"/>
            <w:vAlign w:val="bottom"/>
            <w:tcBorders>
              <w:top w:val="single" w:sz="8" w:color="0000FF"/>
            </w:tcBorders>
            <w:gridSpan w:val="18"/>
          </w:tcPr>
          <w:p>
            <w:pPr>
              <w:spacing w:after="0"/>
              <w:rPr>
                <w:sz w:val="13"/>
                <w:szCs w:val="13"/>
                <w:color w:val="auto"/>
              </w:rPr>
            </w:pPr>
          </w:p>
        </w:tc>
        <w:tc>
          <w:tcPr>
            <w:tcW w:w="200" w:type="dxa"/>
            <w:vAlign w:val="bottom"/>
            <w:gridSpan w:val="5"/>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960" w:type="dxa"/>
            <w:vAlign w:val="bottom"/>
          </w:tcPr>
          <w:p>
            <w:pPr>
              <w:spacing w:after="0"/>
              <w:rPr>
                <w:sz w:val="20"/>
                <w:szCs w:val="20"/>
                <w:color w:val="auto"/>
              </w:rPr>
            </w:pPr>
            <w:r>
              <w:rPr>
                <w:rFonts w:ascii="Arial" w:cs="Arial" w:eastAsia="Arial" w:hAnsi="Arial"/>
                <w:sz w:val="18"/>
                <w:szCs w:val="18"/>
                <w:color w:val="auto"/>
              </w:rPr>
              <w:t>10.8*</w:t>
            </w:r>
          </w:p>
        </w:tc>
        <w:tc>
          <w:tcPr>
            <w:tcW w:w="5560" w:type="dxa"/>
            <w:vAlign w:val="bottom"/>
            <w:gridSpan w:val="28"/>
          </w:tcPr>
          <w:p>
            <w:pPr>
              <w:spacing w:after="0"/>
              <w:rPr>
                <w:rFonts w:ascii="Arial" w:cs="Arial" w:eastAsia="Arial" w:hAnsi="Arial"/>
                <w:sz w:val="18"/>
                <w:szCs w:val="18"/>
                <w:color w:val="0000FF"/>
              </w:rPr>
            </w:pPr>
            <w:hyperlink r:id="rId190">
              <w:r>
                <w:rPr>
                  <w:rFonts w:ascii="Arial" w:cs="Arial" w:eastAsia="Arial" w:hAnsi="Arial"/>
                  <w:sz w:val="18"/>
                  <w:szCs w:val="18"/>
                  <w:u w:val="single" w:color="auto"/>
                  <w:color w:val="0000FF"/>
                </w:rPr>
                <w:t>Patent License Agreement,</w:t>
              </w:r>
              <w:r>
                <w:rPr>
                  <w:rFonts w:ascii="Arial" w:cs="Arial" w:eastAsia="Arial" w:hAnsi="Arial"/>
                  <w:sz w:val="18"/>
                  <w:szCs w:val="18"/>
                  <w:color w:val="0000FF"/>
                </w:rPr>
                <w:t xml:space="preserve"> dated September 15, 2006, by and</w:t>
              </w:r>
            </w:hyperlink>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180" w:type="dxa"/>
            <w:vAlign w:val="bottom"/>
            <w:gridSpan w:val="10"/>
            <w:vMerge w:val="restart"/>
          </w:tcPr>
          <w:p>
            <w:pPr>
              <w:spacing w:after="0" w:line="176" w:lineRule="exact"/>
              <w:rPr>
                <w:rFonts w:ascii="Arial" w:cs="Arial" w:eastAsia="Arial" w:hAnsi="Arial"/>
                <w:sz w:val="18"/>
                <w:szCs w:val="18"/>
                <w:color w:val="0000FF"/>
                <w:w w:val="94"/>
              </w:rPr>
            </w:pPr>
            <w:hyperlink r:id="rId190">
              <w:r>
                <w:rPr>
                  <w:rFonts w:ascii="Arial" w:cs="Arial" w:eastAsia="Arial" w:hAnsi="Arial"/>
                  <w:sz w:val="18"/>
                  <w:szCs w:val="18"/>
                  <w:color w:val="0000FF"/>
                  <w:w w:val="94"/>
                </w:rPr>
                <w:t>among Toshiba Corporation,</w:t>
              </w:r>
            </w:hyperlink>
          </w:p>
        </w:tc>
        <w:tc>
          <w:tcPr>
            <w:tcW w:w="2820" w:type="dxa"/>
            <w:vAlign w:val="bottom"/>
            <w:tcBorders>
              <w:right w:val="single" w:sz="8" w:color="0000FF"/>
            </w:tcBorders>
            <w:gridSpan w:val="8"/>
            <w:shd w:val="clear" w:color="auto" w:fill="0000FF"/>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60" w:type="dxa"/>
            <w:vAlign w:val="bottom"/>
          </w:tcPr>
          <w:p>
            <w:pPr>
              <w:spacing w:after="0"/>
              <w:rPr>
                <w:sz w:val="13"/>
                <w:szCs w:val="13"/>
                <w:color w:val="auto"/>
              </w:rPr>
            </w:pPr>
          </w:p>
        </w:tc>
        <w:tc>
          <w:tcPr>
            <w:tcW w:w="2180" w:type="dxa"/>
            <w:vAlign w:val="bottom"/>
            <w:gridSpan w:val="10"/>
            <w:vMerge w:val="continue"/>
          </w:tcPr>
          <w:p>
            <w:pPr>
              <w:spacing w:after="0"/>
              <w:rPr>
                <w:sz w:val="13"/>
                <w:szCs w:val="13"/>
                <w:color w:val="auto"/>
              </w:rPr>
            </w:pPr>
          </w:p>
        </w:tc>
        <w:tc>
          <w:tcPr>
            <w:tcW w:w="3380" w:type="dxa"/>
            <w:vAlign w:val="bottom"/>
            <w:gridSpan w:val="18"/>
          </w:tcPr>
          <w:p>
            <w:pPr>
              <w:ind w:left="140"/>
              <w:spacing w:after="0" w:line="157" w:lineRule="exact"/>
              <w:rPr>
                <w:rFonts w:ascii="Arial" w:cs="Arial" w:eastAsia="Arial" w:hAnsi="Arial"/>
                <w:sz w:val="18"/>
                <w:szCs w:val="18"/>
                <w:color w:val="0000FF"/>
              </w:rPr>
            </w:pPr>
            <w:hyperlink r:id="rId190">
              <w:r>
                <w:rPr>
                  <w:rFonts w:ascii="Arial" w:cs="Arial" w:eastAsia="Arial" w:hAnsi="Arial"/>
                  <w:sz w:val="18"/>
                  <w:szCs w:val="18"/>
                  <w:color w:val="0000FF"/>
                </w:rPr>
                <w:t>Acclaim Innovations, LLC and Micron</w:t>
              </w:r>
            </w:hyperlink>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28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5"/>
              </w:rPr>
            </w:pPr>
            <w:hyperlink r:id="rId190">
              <w:r>
                <w:rPr>
                  <w:rFonts w:ascii="Arial" w:cs="Arial" w:eastAsia="Arial" w:hAnsi="Arial"/>
                  <w:sz w:val="18"/>
                  <w:szCs w:val="18"/>
                  <w:color w:val="0000FF"/>
                  <w:w w:val="95"/>
                </w:rPr>
                <w:t>Technology, Inc.</w:t>
              </w:r>
            </w:hyperlink>
          </w:p>
        </w:tc>
        <w:tc>
          <w:tcPr>
            <w:tcW w:w="3980" w:type="dxa"/>
            <w:vAlign w:val="bottom"/>
            <w:tcBorders>
              <w:top w:val="single" w:sz="8" w:color="0000FF"/>
            </w:tcBorders>
            <w:gridSpan w:val="15"/>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gridSpan w:val="6"/>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960" w:type="dxa"/>
            <w:vAlign w:val="bottom"/>
          </w:tcPr>
          <w:p>
            <w:pPr>
              <w:spacing w:after="0"/>
              <w:rPr>
                <w:sz w:val="20"/>
                <w:szCs w:val="20"/>
                <w:color w:val="auto"/>
              </w:rPr>
            </w:pPr>
            <w:r>
              <w:rPr>
                <w:rFonts w:ascii="Arial" w:cs="Arial" w:eastAsia="Arial" w:hAnsi="Arial"/>
                <w:sz w:val="18"/>
                <w:szCs w:val="18"/>
                <w:color w:val="auto"/>
              </w:rPr>
              <w:t>10.9**</w:t>
            </w:r>
          </w:p>
        </w:tc>
        <w:tc>
          <w:tcPr>
            <w:tcW w:w="5560" w:type="dxa"/>
            <w:vAlign w:val="bottom"/>
            <w:gridSpan w:val="28"/>
          </w:tcPr>
          <w:p>
            <w:pPr>
              <w:spacing w:after="0"/>
              <w:rPr>
                <w:rFonts w:ascii="Arial" w:cs="Arial" w:eastAsia="Arial" w:hAnsi="Arial"/>
                <w:sz w:val="18"/>
                <w:szCs w:val="18"/>
                <w:color w:val="0000FF"/>
              </w:rPr>
            </w:pPr>
            <w:hyperlink r:id="rId191">
              <w:r>
                <w:rPr>
                  <w:rFonts w:ascii="Arial" w:cs="Arial" w:eastAsia="Arial" w:hAnsi="Arial"/>
                  <w:sz w:val="18"/>
                  <w:szCs w:val="18"/>
                  <w:color w:val="0000FF"/>
                </w:rPr>
                <w:t>Form of Indemnification Agreement between the Registrant and its</w:t>
              </w:r>
            </w:hyperlink>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168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9"/>
              </w:rPr>
            </w:pPr>
            <w:hyperlink r:id="rId191">
              <w:r>
                <w:rPr>
                  <w:rFonts w:ascii="Arial" w:cs="Arial" w:eastAsia="Arial" w:hAnsi="Arial"/>
                  <w:sz w:val="18"/>
                  <w:szCs w:val="18"/>
                  <w:color w:val="0000FF"/>
                  <w:w w:val="99"/>
                </w:rPr>
                <w:t>officers and directors</w:t>
              </w:r>
            </w:hyperlink>
          </w:p>
        </w:tc>
        <w:tc>
          <w:tcPr>
            <w:tcW w:w="3640" w:type="dxa"/>
            <w:vAlign w:val="bottom"/>
            <w:tcBorders>
              <w:top w:val="single" w:sz="8" w:color="0000FF"/>
            </w:tcBorders>
            <w:gridSpan w:val="15"/>
          </w:tcPr>
          <w:p>
            <w:pPr>
              <w:spacing w:after="0"/>
              <w:rPr>
                <w:sz w:val="13"/>
                <w:szCs w:val="13"/>
                <w:color w:val="auto"/>
              </w:rPr>
            </w:pPr>
          </w:p>
        </w:tc>
        <w:tc>
          <w:tcPr>
            <w:tcW w:w="240" w:type="dxa"/>
            <w:vAlign w:val="bottom"/>
            <w:gridSpan w:val="6"/>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960" w:type="dxa"/>
            <w:vAlign w:val="bottom"/>
          </w:tcPr>
          <w:p>
            <w:pPr>
              <w:spacing w:after="0"/>
              <w:rPr>
                <w:sz w:val="20"/>
                <w:szCs w:val="20"/>
                <w:color w:val="auto"/>
              </w:rPr>
            </w:pPr>
            <w:r>
              <w:rPr>
                <w:rFonts w:ascii="Arial" w:cs="Arial" w:eastAsia="Arial" w:hAnsi="Arial"/>
                <w:sz w:val="18"/>
                <w:szCs w:val="18"/>
                <w:color w:val="auto"/>
              </w:rPr>
              <w:t>10.10**</w:t>
            </w:r>
          </w:p>
        </w:tc>
        <w:tc>
          <w:tcPr>
            <w:tcW w:w="5560" w:type="dxa"/>
            <w:vAlign w:val="bottom"/>
            <w:gridSpan w:val="28"/>
          </w:tcPr>
          <w:p>
            <w:pPr>
              <w:spacing w:after="0"/>
              <w:rPr>
                <w:rFonts w:ascii="Arial" w:cs="Arial" w:eastAsia="Arial" w:hAnsi="Arial"/>
                <w:sz w:val="18"/>
                <w:szCs w:val="18"/>
                <w:u w:val="single" w:color="auto"/>
                <w:color w:val="0000FF"/>
              </w:rPr>
            </w:pPr>
            <w:hyperlink r:id="rId192">
              <w:r>
                <w:rPr>
                  <w:rFonts w:ascii="Arial" w:cs="Arial" w:eastAsia="Arial" w:hAnsi="Arial"/>
                  <w:sz w:val="18"/>
                  <w:szCs w:val="18"/>
                  <w:u w:val="single" w:color="auto"/>
                  <w:color w:val="0000FF"/>
                </w:rPr>
                <w:t>Form of Severance Agreement</w:t>
              </w:r>
            </w:hyperlink>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960" w:type="dxa"/>
            <w:vAlign w:val="bottom"/>
          </w:tcPr>
          <w:p>
            <w:pPr>
              <w:spacing w:after="0" w:line="201" w:lineRule="exact"/>
              <w:rPr>
                <w:sz w:val="20"/>
                <w:szCs w:val="20"/>
                <w:color w:val="auto"/>
              </w:rPr>
            </w:pPr>
            <w:r>
              <w:rPr>
                <w:rFonts w:ascii="Arial" w:cs="Arial" w:eastAsia="Arial" w:hAnsi="Arial"/>
                <w:sz w:val="18"/>
                <w:szCs w:val="18"/>
                <w:color w:val="auto"/>
              </w:rPr>
              <w:t>10.11*</w:t>
            </w:r>
          </w:p>
        </w:tc>
        <w:tc>
          <w:tcPr>
            <w:tcW w:w="5560" w:type="dxa"/>
            <w:vAlign w:val="bottom"/>
            <w:gridSpan w:val="28"/>
          </w:tcPr>
          <w:p>
            <w:pPr>
              <w:spacing w:after="0" w:line="201" w:lineRule="exact"/>
              <w:rPr>
                <w:rFonts w:ascii="Arial" w:cs="Arial" w:eastAsia="Arial" w:hAnsi="Arial"/>
                <w:sz w:val="18"/>
                <w:szCs w:val="18"/>
                <w:color w:val="0000FF"/>
              </w:rPr>
            </w:pPr>
            <w:hyperlink r:id="rId193">
              <w:r>
                <w:rPr>
                  <w:rFonts w:ascii="Arial" w:cs="Arial" w:eastAsia="Arial" w:hAnsi="Arial"/>
                  <w:sz w:val="18"/>
                  <w:szCs w:val="18"/>
                  <w:color w:val="0000FF"/>
                </w:rPr>
                <w:t>Technology Transfer and License Option Agreement for 20NM</w:t>
              </w:r>
            </w:hyperlink>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5000" w:type="dxa"/>
            <w:vAlign w:val="bottom"/>
            <w:tcBorders>
              <w:top w:val="single" w:sz="8" w:color="0000FF"/>
            </w:tcBorders>
            <w:gridSpan w:val="18"/>
          </w:tcPr>
          <w:p>
            <w:pPr>
              <w:spacing w:after="0" w:line="156" w:lineRule="exact"/>
              <w:rPr>
                <w:rFonts w:ascii="Arial" w:cs="Arial" w:eastAsia="Arial" w:hAnsi="Arial"/>
                <w:sz w:val="18"/>
                <w:szCs w:val="18"/>
                <w:u w:val="single" w:color="auto"/>
                <w:color w:val="0000FF"/>
              </w:rPr>
            </w:pPr>
            <w:hyperlink r:id="rId193">
              <w:r>
                <w:rPr>
                  <w:rFonts w:ascii="Arial" w:cs="Arial" w:eastAsia="Arial" w:hAnsi="Arial"/>
                  <w:sz w:val="18"/>
                  <w:szCs w:val="18"/>
                  <w:u w:val="single" w:color="auto"/>
                  <w:color w:val="0000FF"/>
                </w:rPr>
                <w:t>Process Node, dated as of January 17, 2013, by and between</w:t>
              </w:r>
            </w:hyperlink>
          </w:p>
        </w:tc>
        <w:tc>
          <w:tcPr>
            <w:tcW w:w="560" w:type="dxa"/>
            <w:vAlign w:val="bottom"/>
            <w:gridSpan w:val="10"/>
          </w:tcPr>
          <w:p>
            <w:pPr>
              <w:spacing w:after="0" w:line="156" w:lineRule="exact"/>
              <w:rPr>
                <w:rFonts w:ascii="Arial" w:cs="Arial" w:eastAsia="Arial" w:hAnsi="Arial"/>
                <w:sz w:val="18"/>
                <w:szCs w:val="18"/>
                <w:u w:val="single" w:color="auto"/>
                <w:color w:val="0000FF"/>
                <w:w w:val="99"/>
              </w:rPr>
            </w:pPr>
            <w:hyperlink r:id="rId193">
              <w:r>
                <w:rPr>
                  <w:rFonts w:ascii="Arial" w:cs="Arial" w:eastAsia="Arial" w:hAnsi="Arial"/>
                  <w:sz w:val="18"/>
                  <w:szCs w:val="18"/>
                  <w:u w:val="single" w:color="auto"/>
                  <w:color w:val="0000FF"/>
                  <w:w w:val="99"/>
                </w:rPr>
                <w:t>Micron</w:t>
              </w:r>
            </w:hyperlink>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-5605145</wp:posOffset>
            </wp:positionV>
            <wp:extent cx="7132320" cy="25717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4">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-4979670</wp:posOffset>
            </wp:positionV>
            <wp:extent cx="7132320" cy="25717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5">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-4465320</wp:posOffset>
            </wp:positionV>
            <wp:extent cx="7132320" cy="25717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6">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-3839210</wp:posOffset>
            </wp:positionV>
            <wp:extent cx="7132320" cy="25717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7">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-3324860</wp:posOffset>
            </wp:positionV>
            <wp:extent cx="7132320" cy="3683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8">
                      <a:extLst>
                        <a:ext uri="{28A0092B-C50C-407E-A947-70E740481C1C}"/>
                      </a:extLst>
                    </a:blip>
                    <a:srcRect/>
                    <a:stretch>
                      <a:fillRect/>
                    </a:stretch>
                  </pic:blipFill>
                  <pic:spPr bwMode="auto">
                    <a:xfrm>
                      <a:off x="0" y="0"/>
                      <a:ext cx="7132320" cy="3683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-2699385</wp:posOffset>
            </wp:positionV>
            <wp:extent cx="7132320" cy="1625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-2279015</wp:posOffset>
            </wp:positionV>
            <wp:extent cx="7132320" cy="16319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-1859280</wp:posOffset>
            </wp:positionV>
            <wp:extent cx="7132320" cy="1625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-1438910</wp:posOffset>
            </wp:positionV>
            <wp:extent cx="7132320" cy="16319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-1019175</wp:posOffset>
            </wp:positionV>
            <wp:extent cx="7132320" cy="3683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3">
                      <a:extLst>
                        <a:ext uri="{28A0092B-C50C-407E-A947-70E740481C1C}"/>
                      </a:extLst>
                    </a:blip>
                    <a:srcRect/>
                    <a:stretch>
                      <a:fillRect/>
                    </a:stretch>
                  </pic:blipFill>
                  <pic:spPr bwMode="auto">
                    <a:xfrm>
                      <a:off x="0" y="0"/>
                      <a:ext cx="7132320" cy="3683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-393065</wp:posOffset>
            </wp:positionV>
            <wp:extent cx="7132320" cy="16256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ind w:left="980"/>
        <w:spacing w:after="0"/>
        <w:rPr>
          <w:rFonts w:ascii="Arial" w:cs="Arial" w:eastAsia="Arial" w:hAnsi="Arial"/>
          <w:sz w:val="18"/>
          <w:szCs w:val="18"/>
          <w:u w:val="single" w:color="auto"/>
          <w:color w:val="0000FF"/>
        </w:rPr>
      </w:pPr>
      <w:hyperlink r:id="rId193">
        <w:r>
          <w:rPr>
            <w:rFonts w:ascii="Arial" w:cs="Arial" w:eastAsia="Arial" w:hAnsi="Arial"/>
            <w:sz w:val="18"/>
            <w:szCs w:val="18"/>
            <w:u w:val="single" w:color="auto"/>
            <w:color w:val="0000FF"/>
          </w:rPr>
          <w:t>Technology, Inc. and Nanya Technology Corporation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589280</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760" w:type="dxa"/>
            <w:vAlign w:val="bottom"/>
          </w:tcPr>
          <w:p>
            <w:pPr>
              <w:spacing w:after="0"/>
              <w:rPr>
                <w:sz w:val="20"/>
                <w:szCs w:val="20"/>
                <w:color w:val="auto"/>
              </w:rPr>
            </w:pPr>
            <w:r>
              <w:rPr>
                <w:rFonts w:ascii="Arial" w:cs="Arial" w:eastAsia="Arial" w:hAnsi="Arial"/>
                <w:sz w:val="18"/>
                <w:szCs w:val="18"/>
                <w:color w:val="auto"/>
              </w:rPr>
              <w:t>8-K</w:t>
            </w:r>
          </w:p>
        </w:tc>
        <w:tc>
          <w:tcPr>
            <w:tcW w:w="840" w:type="dxa"/>
            <w:vAlign w:val="bottom"/>
          </w:tcPr>
          <w:p>
            <w:pPr>
              <w:spacing w:after="0"/>
              <w:rPr>
                <w:sz w:val="18"/>
                <w:szCs w:val="18"/>
                <w:color w:val="auto"/>
              </w:rPr>
            </w:pPr>
          </w:p>
        </w:tc>
        <w:tc>
          <w:tcPr>
            <w:tcW w:w="900" w:type="dxa"/>
            <w:vAlign w:val="bottom"/>
          </w:tcPr>
          <w:p>
            <w:pPr>
              <w:ind w:left="100"/>
              <w:spacing w:after="0"/>
              <w:rPr>
                <w:sz w:val="20"/>
                <w:szCs w:val="20"/>
                <w:color w:val="auto"/>
              </w:rPr>
            </w:pPr>
            <w:r>
              <w:rPr>
                <w:rFonts w:ascii="Arial" w:cs="Arial" w:eastAsia="Arial" w:hAnsi="Arial"/>
                <w:sz w:val="18"/>
                <w:szCs w:val="18"/>
                <w:color w:val="auto"/>
              </w:rPr>
              <w:t>4.3</w:t>
            </w:r>
          </w:p>
        </w:tc>
        <w:tc>
          <w:tcPr>
            <w:tcW w:w="960" w:type="dxa"/>
            <w:vAlign w:val="bottom"/>
          </w:tcPr>
          <w:p>
            <w:pPr>
              <w:ind w:left="260"/>
              <w:spacing w:after="0"/>
              <w:rPr>
                <w:sz w:val="20"/>
                <w:szCs w:val="20"/>
                <w:color w:val="auto"/>
              </w:rPr>
            </w:pPr>
            <w:r>
              <w:rPr>
                <w:rFonts w:ascii="Arial" w:cs="Arial" w:eastAsia="Arial" w:hAnsi="Arial"/>
                <w:sz w:val="18"/>
                <w:szCs w:val="18"/>
                <w:color w:val="auto"/>
              </w:rPr>
              <w:t>4/18/12</w:t>
            </w:r>
          </w:p>
        </w:tc>
      </w:tr>
      <w:tr>
        <w:trPr>
          <w:trHeight w:val="257"/>
        </w:trPr>
        <w:tc>
          <w:tcPr>
            <w:tcW w:w="760" w:type="dxa"/>
            <w:vAlign w:val="bottom"/>
          </w:tcPr>
          <w:p>
            <w:pPr>
              <w:spacing w:after="0"/>
              <w:rPr>
                <w:sz w:val="20"/>
                <w:szCs w:val="20"/>
                <w:color w:val="auto"/>
              </w:rPr>
            </w:pPr>
            <w:r>
              <w:rPr>
                <w:rFonts w:ascii="Arial" w:cs="Arial" w:eastAsia="Arial" w:hAnsi="Arial"/>
                <w:sz w:val="18"/>
                <w:szCs w:val="18"/>
                <w:color w:val="auto"/>
              </w:rPr>
              <w:t>8-K</w:t>
            </w:r>
          </w:p>
        </w:tc>
        <w:tc>
          <w:tcPr>
            <w:tcW w:w="840" w:type="dxa"/>
            <w:vAlign w:val="bottom"/>
          </w:tcPr>
          <w:p>
            <w:pPr>
              <w:spacing w:after="0"/>
              <w:rPr>
                <w:sz w:val="22"/>
                <w:szCs w:val="22"/>
                <w:color w:val="auto"/>
              </w:rPr>
            </w:pPr>
          </w:p>
        </w:tc>
        <w:tc>
          <w:tcPr>
            <w:tcW w:w="900" w:type="dxa"/>
            <w:vAlign w:val="bottom"/>
          </w:tcPr>
          <w:p>
            <w:pPr>
              <w:ind w:left="100"/>
              <w:spacing w:after="0"/>
              <w:rPr>
                <w:sz w:val="20"/>
                <w:szCs w:val="20"/>
                <w:color w:val="auto"/>
              </w:rPr>
            </w:pPr>
            <w:r>
              <w:rPr>
                <w:rFonts w:ascii="Arial" w:cs="Arial" w:eastAsia="Arial" w:hAnsi="Arial"/>
                <w:sz w:val="18"/>
                <w:szCs w:val="18"/>
                <w:color w:val="auto"/>
              </w:rPr>
              <w:t>4.1</w:t>
            </w:r>
          </w:p>
        </w:tc>
        <w:tc>
          <w:tcPr>
            <w:tcW w:w="960" w:type="dxa"/>
            <w:vAlign w:val="bottom"/>
          </w:tcPr>
          <w:p>
            <w:pPr>
              <w:ind w:left="260"/>
              <w:spacing w:after="0"/>
              <w:rPr>
                <w:sz w:val="20"/>
                <w:szCs w:val="20"/>
                <w:color w:val="auto"/>
              </w:rPr>
            </w:pPr>
            <w:r>
              <w:rPr>
                <w:rFonts w:ascii="Arial" w:cs="Arial" w:eastAsia="Arial" w:hAnsi="Arial"/>
                <w:sz w:val="18"/>
                <w:szCs w:val="18"/>
                <w:color w:val="auto"/>
              </w:rPr>
              <w:t>2/6/19</w:t>
            </w:r>
          </w:p>
        </w:tc>
      </w:tr>
      <w:tr>
        <w:trPr>
          <w:trHeight w:val="405"/>
        </w:trPr>
        <w:tc>
          <w:tcPr>
            <w:tcW w:w="760" w:type="dxa"/>
            <w:vAlign w:val="bottom"/>
          </w:tcPr>
          <w:p>
            <w:pPr>
              <w:spacing w:after="0"/>
              <w:rPr>
                <w:sz w:val="20"/>
                <w:szCs w:val="20"/>
                <w:color w:val="auto"/>
              </w:rPr>
            </w:pPr>
            <w:r>
              <w:rPr>
                <w:rFonts w:ascii="Arial" w:cs="Arial" w:eastAsia="Arial" w:hAnsi="Arial"/>
                <w:sz w:val="18"/>
                <w:szCs w:val="18"/>
                <w:color w:val="auto"/>
              </w:rPr>
              <w:t>8-K</w:t>
            </w:r>
          </w:p>
        </w:tc>
        <w:tc>
          <w:tcPr>
            <w:tcW w:w="840" w:type="dxa"/>
            <w:vAlign w:val="bottom"/>
          </w:tcPr>
          <w:p>
            <w:pPr>
              <w:spacing w:after="0"/>
              <w:rPr>
                <w:sz w:val="24"/>
                <w:szCs w:val="24"/>
                <w:color w:val="auto"/>
              </w:rPr>
            </w:pPr>
          </w:p>
        </w:tc>
        <w:tc>
          <w:tcPr>
            <w:tcW w:w="900" w:type="dxa"/>
            <w:vAlign w:val="bottom"/>
          </w:tcPr>
          <w:p>
            <w:pPr>
              <w:ind w:left="100"/>
              <w:spacing w:after="0"/>
              <w:rPr>
                <w:sz w:val="20"/>
                <w:szCs w:val="20"/>
                <w:color w:val="auto"/>
              </w:rPr>
            </w:pPr>
            <w:r>
              <w:rPr>
                <w:rFonts w:ascii="Arial" w:cs="Arial" w:eastAsia="Arial" w:hAnsi="Arial"/>
                <w:sz w:val="18"/>
                <w:szCs w:val="18"/>
                <w:color w:val="auto"/>
              </w:rPr>
              <w:t>4.2</w:t>
            </w:r>
          </w:p>
        </w:tc>
        <w:tc>
          <w:tcPr>
            <w:tcW w:w="960" w:type="dxa"/>
            <w:vAlign w:val="bottom"/>
          </w:tcPr>
          <w:p>
            <w:pPr>
              <w:ind w:left="260"/>
              <w:spacing w:after="0"/>
              <w:rPr>
                <w:sz w:val="20"/>
                <w:szCs w:val="20"/>
                <w:color w:val="auto"/>
              </w:rPr>
            </w:pPr>
            <w:r>
              <w:rPr>
                <w:rFonts w:ascii="Arial" w:cs="Arial" w:eastAsia="Arial" w:hAnsi="Arial"/>
                <w:sz w:val="18"/>
                <w:szCs w:val="18"/>
                <w:color w:val="auto"/>
              </w:rPr>
              <w:t>2/6/19</w:t>
            </w:r>
          </w:p>
        </w:tc>
      </w:tr>
      <w:tr>
        <w:trPr>
          <w:trHeight w:val="580"/>
        </w:trPr>
        <w:tc>
          <w:tcPr>
            <w:tcW w:w="760" w:type="dxa"/>
            <w:vAlign w:val="bottom"/>
          </w:tcPr>
          <w:p>
            <w:pPr>
              <w:spacing w:after="0"/>
              <w:rPr>
                <w:sz w:val="20"/>
                <w:szCs w:val="20"/>
                <w:color w:val="auto"/>
              </w:rPr>
            </w:pPr>
            <w:r>
              <w:rPr>
                <w:rFonts w:ascii="Arial" w:cs="Arial" w:eastAsia="Arial" w:hAnsi="Arial"/>
                <w:sz w:val="18"/>
                <w:szCs w:val="18"/>
                <w:color w:val="auto"/>
              </w:rPr>
              <w:t>8-K</w:t>
            </w:r>
          </w:p>
        </w:tc>
        <w:tc>
          <w:tcPr>
            <w:tcW w:w="840" w:type="dxa"/>
            <w:vAlign w:val="bottom"/>
          </w:tcPr>
          <w:p>
            <w:pPr>
              <w:spacing w:after="0"/>
              <w:rPr>
                <w:sz w:val="24"/>
                <w:szCs w:val="24"/>
                <w:color w:val="auto"/>
              </w:rPr>
            </w:pPr>
          </w:p>
        </w:tc>
        <w:tc>
          <w:tcPr>
            <w:tcW w:w="900" w:type="dxa"/>
            <w:vAlign w:val="bottom"/>
          </w:tcPr>
          <w:p>
            <w:pPr>
              <w:ind w:left="100"/>
              <w:spacing w:after="0"/>
              <w:rPr>
                <w:sz w:val="20"/>
                <w:szCs w:val="20"/>
                <w:color w:val="auto"/>
              </w:rPr>
            </w:pPr>
            <w:r>
              <w:rPr>
                <w:rFonts w:ascii="Arial" w:cs="Arial" w:eastAsia="Arial" w:hAnsi="Arial"/>
                <w:sz w:val="18"/>
                <w:szCs w:val="18"/>
                <w:color w:val="auto"/>
              </w:rPr>
              <w:t>4.3</w:t>
            </w:r>
          </w:p>
        </w:tc>
        <w:tc>
          <w:tcPr>
            <w:tcW w:w="960" w:type="dxa"/>
            <w:vAlign w:val="bottom"/>
          </w:tcPr>
          <w:p>
            <w:pPr>
              <w:ind w:left="260"/>
              <w:spacing w:after="0"/>
              <w:rPr>
                <w:sz w:val="20"/>
                <w:szCs w:val="20"/>
                <w:color w:val="auto"/>
              </w:rPr>
            </w:pPr>
            <w:r>
              <w:rPr>
                <w:rFonts w:ascii="Arial" w:cs="Arial" w:eastAsia="Arial" w:hAnsi="Arial"/>
                <w:sz w:val="18"/>
                <w:szCs w:val="18"/>
                <w:color w:val="auto"/>
              </w:rPr>
              <w:t>2/6/19</w:t>
            </w:r>
          </w:p>
        </w:tc>
      </w:tr>
      <w:tr>
        <w:trPr>
          <w:trHeight w:val="405"/>
        </w:trPr>
        <w:tc>
          <w:tcPr>
            <w:tcW w:w="760" w:type="dxa"/>
            <w:vAlign w:val="bottom"/>
          </w:tcPr>
          <w:p>
            <w:pPr>
              <w:spacing w:after="0"/>
              <w:rPr>
                <w:sz w:val="20"/>
                <w:szCs w:val="20"/>
                <w:color w:val="auto"/>
              </w:rPr>
            </w:pPr>
            <w:r>
              <w:rPr>
                <w:rFonts w:ascii="Arial" w:cs="Arial" w:eastAsia="Arial" w:hAnsi="Arial"/>
                <w:sz w:val="18"/>
                <w:szCs w:val="18"/>
                <w:color w:val="auto"/>
              </w:rPr>
              <w:t>8-K</w:t>
            </w:r>
          </w:p>
        </w:tc>
        <w:tc>
          <w:tcPr>
            <w:tcW w:w="840" w:type="dxa"/>
            <w:vAlign w:val="bottom"/>
          </w:tcPr>
          <w:p>
            <w:pPr>
              <w:spacing w:after="0"/>
              <w:rPr>
                <w:sz w:val="24"/>
                <w:szCs w:val="24"/>
                <w:color w:val="auto"/>
              </w:rPr>
            </w:pPr>
          </w:p>
        </w:tc>
        <w:tc>
          <w:tcPr>
            <w:tcW w:w="900" w:type="dxa"/>
            <w:vAlign w:val="bottom"/>
          </w:tcPr>
          <w:p>
            <w:pPr>
              <w:ind w:left="100"/>
              <w:spacing w:after="0"/>
              <w:rPr>
                <w:sz w:val="20"/>
                <w:szCs w:val="20"/>
                <w:color w:val="auto"/>
              </w:rPr>
            </w:pPr>
            <w:r>
              <w:rPr>
                <w:rFonts w:ascii="Arial" w:cs="Arial" w:eastAsia="Arial" w:hAnsi="Arial"/>
                <w:sz w:val="18"/>
                <w:szCs w:val="18"/>
                <w:color w:val="auto"/>
              </w:rPr>
              <w:t>4.4</w:t>
            </w:r>
          </w:p>
        </w:tc>
        <w:tc>
          <w:tcPr>
            <w:tcW w:w="960" w:type="dxa"/>
            <w:vAlign w:val="bottom"/>
          </w:tcPr>
          <w:p>
            <w:pPr>
              <w:ind w:left="260"/>
              <w:spacing w:after="0"/>
              <w:rPr>
                <w:sz w:val="20"/>
                <w:szCs w:val="20"/>
                <w:color w:val="auto"/>
              </w:rPr>
            </w:pPr>
            <w:r>
              <w:rPr>
                <w:rFonts w:ascii="Arial" w:cs="Arial" w:eastAsia="Arial" w:hAnsi="Arial"/>
                <w:sz w:val="18"/>
                <w:szCs w:val="18"/>
                <w:color w:val="auto"/>
              </w:rPr>
              <w:t>2/6/19</w:t>
            </w:r>
          </w:p>
        </w:tc>
      </w:tr>
      <w:tr>
        <w:trPr>
          <w:trHeight w:val="405"/>
        </w:trPr>
        <w:tc>
          <w:tcPr>
            <w:tcW w:w="760" w:type="dxa"/>
            <w:vAlign w:val="bottom"/>
          </w:tcPr>
          <w:p>
            <w:pPr>
              <w:spacing w:after="0"/>
              <w:rPr>
                <w:sz w:val="20"/>
                <w:szCs w:val="20"/>
                <w:color w:val="auto"/>
              </w:rPr>
            </w:pPr>
            <w:r>
              <w:rPr>
                <w:rFonts w:ascii="Arial" w:cs="Arial" w:eastAsia="Arial" w:hAnsi="Arial"/>
                <w:sz w:val="18"/>
                <w:szCs w:val="18"/>
                <w:color w:val="auto"/>
              </w:rPr>
              <w:t>8-K</w:t>
            </w:r>
          </w:p>
        </w:tc>
        <w:tc>
          <w:tcPr>
            <w:tcW w:w="840" w:type="dxa"/>
            <w:vAlign w:val="bottom"/>
          </w:tcPr>
          <w:p>
            <w:pPr>
              <w:spacing w:after="0"/>
              <w:rPr>
                <w:sz w:val="24"/>
                <w:szCs w:val="24"/>
                <w:color w:val="auto"/>
              </w:rPr>
            </w:pPr>
          </w:p>
        </w:tc>
        <w:tc>
          <w:tcPr>
            <w:tcW w:w="900" w:type="dxa"/>
            <w:vAlign w:val="bottom"/>
          </w:tcPr>
          <w:p>
            <w:pPr>
              <w:ind w:left="100"/>
              <w:spacing w:after="0"/>
              <w:rPr>
                <w:sz w:val="20"/>
                <w:szCs w:val="20"/>
                <w:color w:val="auto"/>
              </w:rPr>
            </w:pPr>
            <w:r>
              <w:rPr>
                <w:rFonts w:ascii="Arial" w:cs="Arial" w:eastAsia="Arial" w:hAnsi="Arial"/>
                <w:sz w:val="18"/>
                <w:szCs w:val="18"/>
                <w:color w:val="auto"/>
              </w:rPr>
              <w:t>4.5</w:t>
            </w:r>
          </w:p>
        </w:tc>
        <w:tc>
          <w:tcPr>
            <w:tcW w:w="960" w:type="dxa"/>
            <w:vAlign w:val="bottom"/>
          </w:tcPr>
          <w:p>
            <w:pPr>
              <w:ind w:left="260"/>
              <w:spacing w:after="0"/>
              <w:rPr>
                <w:sz w:val="20"/>
                <w:szCs w:val="20"/>
                <w:color w:val="auto"/>
              </w:rPr>
            </w:pPr>
            <w:r>
              <w:rPr>
                <w:rFonts w:ascii="Arial" w:cs="Arial" w:eastAsia="Arial" w:hAnsi="Arial"/>
                <w:sz w:val="18"/>
                <w:szCs w:val="18"/>
                <w:color w:val="auto"/>
              </w:rPr>
              <w:t>2/6/19</w:t>
            </w:r>
          </w:p>
        </w:tc>
      </w:tr>
      <w:tr>
        <w:trPr>
          <w:trHeight w:val="405"/>
        </w:trPr>
        <w:tc>
          <w:tcPr>
            <w:tcW w:w="760" w:type="dxa"/>
            <w:vAlign w:val="bottom"/>
          </w:tcPr>
          <w:p>
            <w:pPr>
              <w:spacing w:after="0"/>
              <w:rPr>
                <w:sz w:val="20"/>
                <w:szCs w:val="20"/>
                <w:color w:val="auto"/>
              </w:rPr>
            </w:pPr>
            <w:r>
              <w:rPr>
                <w:rFonts w:ascii="Arial" w:cs="Arial" w:eastAsia="Arial" w:hAnsi="Arial"/>
                <w:sz w:val="18"/>
                <w:szCs w:val="18"/>
                <w:color w:val="auto"/>
              </w:rPr>
              <w:t>8-K</w:t>
            </w:r>
          </w:p>
        </w:tc>
        <w:tc>
          <w:tcPr>
            <w:tcW w:w="840" w:type="dxa"/>
            <w:vAlign w:val="bottom"/>
          </w:tcPr>
          <w:p>
            <w:pPr>
              <w:spacing w:after="0"/>
              <w:rPr>
                <w:sz w:val="24"/>
                <w:szCs w:val="24"/>
                <w:color w:val="auto"/>
              </w:rPr>
            </w:pPr>
          </w:p>
        </w:tc>
        <w:tc>
          <w:tcPr>
            <w:tcW w:w="900" w:type="dxa"/>
            <w:vAlign w:val="bottom"/>
          </w:tcPr>
          <w:p>
            <w:pPr>
              <w:ind w:left="100"/>
              <w:spacing w:after="0"/>
              <w:rPr>
                <w:sz w:val="20"/>
                <w:szCs w:val="20"/>
                <w:color w:val="auto"/>
              </w:rPr>
            </w:pPr>
            <w:r>
              <w:rPr>
                <w:rFonts w:ascii="Arial" w:cs="Arial" w:eastAsia="Arial" w:hAnsi="Arial"/>
                <w:sz w:val="18"/>
                <w:szCs w:val="18"/>
                <w:color w:val="auto"/>
              </w:rPr>
              <w:t>4.2</w:t>
            </w:r>
          </w:p>
        </w:tc>
        <w:tc>
          <w:tcPr>
            <w:tcW w:w="960" w:type="dxa"/>
            <w:vAlign w:val="bottom"/>
          </w:tcPr>
          <w:p>
            <w:pPr>
              <w:ind w:left="260"/>
              <w:spacing w:after="0"/>
              <w:rPr>
                <w:sz w:val="20"/>
                <w:szCs w:val="20"/>
                <w:color w:val="auto"/>
              </w:rPr>
            </w:pPr>
            <w:r>
              <w:rPr>
                <w:rFonts w:ascii="Arial" w:cs="Arial" w:eastAsia="Arial" w:hAnsi="Arial"/>
                <w:sz w:val="18"/>
                <w:szCs w:val="18"/>
                <w:color w:val="auto"/>
              </w:rPr>
              <w:t>7/12/19</w:t>
            </w:r>
          </w:p>
        </w:tc>
      </w:tr>
      <w:tr>
        <w:trPr>
          <w:trHeight w:val="581"/>
        </w:trPr>
        <w:tc>
          <w:tcPr>
            <w:tcW w:w="760" w:type="dxa"/>
            <w:vAlign w:val="bottom"/>
          </w:tcPr>
          <w:p>
            <w:pPr>
              <w:spacing w:after="0"/>
              <w:rPr>
                <w:sz w:val="20"/>
                <w:szCs w:val="20"/>
                <w:color w:val="auto"/>
              </w:rPr>
            </w:pPr>
            <w:r>
              <w:rPr>
                <w:rFonts w:ascii="Arial" w:cs="Arial" w:eastAsia="Arial" w:hAnsi="Arial"/>
                <w:sz w:val="18"/>
                <w:szCs w:val="18"/>
                <w:color w:val="auto"/>
              </w:rPr>
              <w:t>8-K</w:t>
            </w:r>
          </w:p>
        </w:tc>
        <w:tc>
          <w:tcPr>
            <w:tcW w:w="840" w:type="dxa"/>
            <w:vAlign w:val="bottom"/>
          </w:tcPr>
          <w:p>
            <w:pPr>
              <w:spacing w:after="0"/>
              <w:rPr>
                <w:sz w:val="24"/>
                <w:szCs w:val="24"/>
                <w:color w:val="auto"/>
              </w:rPr>
            </w:pPr>
          </w:p>
        </w:tc>
        <w:tc>
          <w:tcPr>
            <w:tcW w:w="900" w:type="dxa"/>
            <w:vAlign w:val="bottom"/>
          </w:tcPr>
          <w:p>
            <w:pPr>
              <w:ind w:left="100"/>
              <w:spacing w:after="0"/>
              <w:rPr>
                <w:sz w:val="20"/>
                <w:szCs w:val="20"/>
                <w:color w:val="auto"/>
              </w:rPr>
            </w:pPr>
            <w:r>
              <w:rPr>
                <w:rFonts w:ascii="Arial" w:cs="Arial" w:eastAsia="Arial" w:hAnsi="Arial"/>
                <w:sz w:val="18"/>
                <w:szCs w:val="18"/>
                <w:color w:val="auto"/>
              </w:rPr>
              <w:t>4.3</w:t>
            </w:r>
          </w:p>
        </w:tc>
        <w:tc>
          <w:tcPr>
            <w:tcW w:w="960" w:type="dxa"/>
            <w:vAlign w:val="bottom"/>
          </w:tcPr>
          <w:p>
            <w:pPr>
              <w:ind w:left="260"/>
              <w:spacing w:after="0"/>
              <w:rPr>
                <w:sz w:val="20"/>
                <w:szCs w:val="20"/>
                <w:color w:val="auto"/>
              </w:rPr>
            </w:pPr>
            <w:r>
              <w:rPr>
                <w:rFonts w:ascii="Arial" w:cs="Arial" w:eastAsia="Arial" w:hAnsi="Arial"/>
                <w:sz w:val="18"/>
                <w:szCs w:val="18"/>
                <w:color w:val="auto"/>
              </w:rPr>
              <w:t>7/12/19</w:t>
            </w:r>
          </w:p>
        </w:tc>
      </w:tr>
      <w:tr>
        <w:trPr>
          <w:trHeight w:val="405"/>
        </w:trPr>
        <w:tc>
          <w:tcPr>
            <w:tcW w:w="760" w:type="dxa"/>
            <w:vAlign w:val="bottom"/>
          </w:tcPr>
          <w:p>
            <w:pPr>
              <w:spacing w:after="0"/>
              <w:rPr>
                <w:sz w:val="20"/>
                <w:szCs w:val="20"/>
                <w:color w:val="auto"/>
              </w:rPr>
            </w:pPr>
            <w:r>
              <w:rPr>
                <w:rFonts w:ascii="Arial" w:cs="Arial" w:eastAsia="Arial" w:hAnsi="Arial"/>
                <w:sz w:val="18"/>
                <w:szCs w:val="18"/>
                <w:color w:val="auto"/>
              </w:rPr>
              <w:t>8-K</w:t>
            </w:r>
          </w:p>
        </w:tc>
        <w:tc>
          <w:tcPr>
            <w:tcW w:w="840" w:type="dxa"/>
            <w:vAlign w:val="bottom"/>
          </w:tcPr>
          <w:p>
            <w:pPr>
              <w:spacing w:after="0"/>
              <w:rPr>
                <w:sz w:val="24"/>
                <w:szCs w:val="24"/>
                <w:color w:val="auto"/>
              </w:rPr>
            </w:pPr>
          </w:p>
        </w:tc>
        <w:tc>
          <w:tcPr>
            <w:tcW w:w="900" w:type="dxa"/>
            <w:vAlign w:val="bottom"/>
          </w:tcPr>
          <w:p>
            <w:pPr>
              <w:ind w:left="100"/>
              <w:spacing w:after="0"/>
              <w:rPr>
                <w:sz w:val="20"/>
                <w:szCs w:val="20"/>
                <w:color w:val="auto"/>
              </w:rPr>
            </w:pPr>
            <w:r>
              <w:rPr>
                <w:rFonts w:ascii="Arial" w:cs="Arial" w:eastAsia="Arial" w:hAnsi="Arial"/>
                <w:sz w:val="18"/>
                <w:szCs w:val="18"/>
                <w:color w:val="auto"/>
              </w:rPr>
              <w:t>4.4</w:t>
            </w:r>
          </w:p>
        </w:tc>
        <w:tc>
          <w:tcPr>
            <w:tcW w:w="960" w:type="dxa"/>
            <w:vAlign w:val="bottom"/>
          </w:tcPr>
          <w:p>
            <w:pPr>
              <w:ind w:left="260"/>
              <w:spacing w:after="0"/>
              <w:rPr>
                <w:sz w:val="20"/>
                <w:szCs w:val="20"/>
                <w:color w:val="auto"/>
              </w:rPr>
            </w:pPr>
            <w:r>
              <w:rPr>
                <w:rFonts w:ascii="Arial" w:cs="Arial" w:eastAsia="Arial" w:hAnsi="Arial"/>
                <w:sz w:val="18"/>
                <w:szCs w:val="18"/>
                <w:color w:val="auto"/>
              </w:rPr>
              <w:t>7/12/19</w:t>
            </w:r>
          </w:p>
        </w:tc>
      </w:tr>
      <w:tr>
        <w:trPr>
          <w:trHeight w:val="405"/>
        </w:trPr>
        <w:tc>
          <w:tcPr>
            <w:tcW w:w="760" w:type="dxa"/>
            <w:vAlign w:val="bottom"/>
          </w:tcPr>
          <w:p>
            <w:pPr>
              <w:spacing w:after="0"/>
              <w:rPr>
                <w:sz w:val="20"/>
                <w:szCs w:val="20"/>
                <w:color w:val="auto"/>
              </w:rPr>
            </w:pPr>
            <w:r>
              <w:rPr>
                <w:rFonts w:ascii="Arial" w:cs="Arial" w:eastAsia="Arial" w:hAnsi="Arial"/>
                <w:sz w:val="18"/>
                <w:szCs w:val="18"/>
                <w:color w:val="auto"/>
              </w:rPr>
              <w:t>8-K</w:t>
            </w:r>
          </w:p>
        </w:tc>
        <w:tc>
          <w:tcPr>
            <w:tcW w:w="840" w:type="dxa"/>
            <w:vAlign w:val="bottom"/>
          </w:tcPr>
          <w:p>
            <w:pPr>
              <w:spacing w:after="0"/>
              <w:rPr>
                <w:sz w:val="24"/>
                <w:szCs w:val="24"/>
                <w:color w:val="auto"/>
              </w:rPr>
            </w:pPr>
          </w:p>
        </w:tc>
        <w:tc>
          <w:tcPr>
            <w:tcW w:w="900" w:type="dxa"/>
            <w:vAlign w:val="bottom"/>
          </w:tcPr>
          <w:p>
            <w:pPr>
              <w:ind w:left="100"/>
              <w:spacing w:after="0"/>
              <w:rPr>
                <w:sz w:val="20"/>
                <w:szCs w:val="20"/>
                <w:color w:val="auto"/>
              </w:rPr>
            </w:pPr>
            <w:r>
              <w:rPr>
                <w:rFonts w:ascii="Arial" w:cs="Arial" w:eastAsia="Arial" w:hAnsi="Arial"/>
                <w:sz w:val="18"/>
                <w:szCs w:val="18"/>
                <w:color w:val="auto"/>
              </w:rPr>
              <w:t>4.2</w:t>
            </w:r>
          </w:p>
        </w:tc>
        <w:tc>
          <w:tcPr>
            <w:tcW w:w="960" w:type="dxa"/>
            <w:vAlign w:val="bottom"/>
          </w:tcPr>
          <w:p>
            <w:pPr>
              <w:ind w:left="260"/>
              <w:spacing w:after="0"/>
              <w:rPr>
                <w:sz w:val="20"/>
                <w:szCs w:val="20"/>
                <w:color w:val="auto"/>
              </w:rPr>
            </w:pPr>
            <w:r>
              <w:rPr>
                <w:rFonts w:ascii="Arial" w:cs="Arial" w:eastAsia="Arial" w:hAnsi="Arial"/>
                <w:sz w:val="18"/>
                <w:szCs w:val="18"/>
                <w:color w:val="auto"/>
              </w:rPr>
              <w:t>4/24/20</w:t>
            </w:r>
          </w:p>
        </w:tc>
      </w:tr>
      <w:tr>
        <w:trPr>
          <w:trHeight w:val="580"/>
        </w:trPr>
        <w:tc>
          <w:tcPr>
            <w:tcW w:w="760" w:type="dxa"/>
            <w:vAlign w:val="bottom"/>
          </w:tcPr>
          <w:p>
            <w:pPr>
              <w:spacing w:after="0"/>
              <w:rPr>
                <w:sz w:val="20"/>
                <w:szCs w:val="20"/>
                <w:color w:val="auto"/>
              </w:rPr>
            </w:pPr>
            <w:r>
              <w:rPr>
                <w:rFonts w:ascii="Arial" w:cs="Arial" w:eastAsia="Arial" w:hAnsi="Arial"/>
                <w:sz w:val="18"/>
                <w:szCs w:val="18"/>
                <w:color w:val="auto"/>
              </w:rPr>
              <w:t>8-K</w:t>
            </w:r>
          </w:p>
        </w:tc>
        <w:tc>
          <w:tcPr>
            <w:tcW w:w="840" w:type="dxa"/>
            <w:vAlign w:val="bottom"/>
          </w:tcPr>
          <w:p>
            <w:pPr>
              <w:spacing w:after="0"/>
              <w:rPr>
                <w:sz w:val="24"/>
                <w:szCs w:val="24"/>
                <w:color w:val="auto"/>
              </w:rPr>
            </w:pPr>
          </w:p>
        </w:tc>
        <w:tc>
          <w:tcPr>
            <w:tcW w:w="900" w:type="dxa"/>
            <w:vAlign w:val="bottom"/>
          </w:tcPr>
          <w:p>
            <w:pPr>
              <w:ind w:left="100"/>
              <w:spacing w:after="0"/>
              <w:rPr>
                <w:sz w:val="20"/>
                <w:szCs w:val="20"/>
                <w:color w:val="auto"/>
              </w:rPr>
            </w:pPr>
            <w:r>
              <w:rPr>
                <w:rFonts w:ascii="Arial" w:cs="Arial" w:eastAsia="Arial" w:hAnsi="Arial"/>
                <w:sz w:val="18"/>
                <w:szCs w:val="18"/>
                <w:color w:val="auto"/>
              </w:rPr>
              <w:t>4.3</w:t>
            </w:r>
          </w:p>
        </w:tc>
        <w:tc>
          <w:tcPr>
            <w:tcW w:w="960" w:type="dxa"/>
            <w:vAlign w:val="bottom"/>
          </w:tcPr>
          <w:p>
            <w:pPr>
              <w:ind w:left="260"/>
              <w:spacing w:after="0"/>
              <w:rPr>
                <w:sz w:val="20"/>
                <w:szCs w:val="20"/>
                <w:color w:val="auto"/>
              </w:rPr>
            </w:pPr>
            <w:r>
              <w:rPr>
                <w:rFonts w:ascii="Arial" w:cs="Arial" w:eastAsia="Arial" w:hAnsi="Arial"/>
                <w:sz w:val="18"/>
                <w:szCs w:val="18"/>
                <w:color w:val="auto"/>
              </w:rPr>
              <w:t>4/24/20</w:t>
            </w:r>
          </w:p>
        </w:tc>
      </w:tr>
      <w:tr>
        <w:trPr>
          <w:trHeight w:val="662"/>
        </w:trPr>
        <w:tc>
          <w:tcPr>
            <w:tcW w:w="760" w:type="dxa"/>
            <w:vAlign w:val="bottom"/>
          </w:tcPr>
          <w:p>
            <w:pPr>
              <w:spacing w:after="0"/>
              <w:rPr>
                <w:sz w:val="20"/>
                <w:szCs w:val="20"/>
                <w:color w:val="auto"/>
              </w:rPr>
            </w:pPr>
            <w:r>
              <w:rPr>
                <w:rFonts w:ascii="Arial" w:cs="Arial" w:eastAsia="Arial" w:hAnsi="Arial"/>
                <w:sz w:val="18"/>
                <w:szCs w:val="18"/>
                <w:color w:val="auto"/>
              </w:rPr>
              <w:t>DEF 14A</w:t>
            </w:r>
          </w:p>
        </w:tc>
        <w:tc>
          <w:tcPr>
            <w:tcW w:w="840" w:type="dxa"/>
            <w:vAlign w:val="bottom"/>
          </w:tcPr>
          <w:p>
            <w:pPr>
              <w:spacing w:after="0"/>
              <w:rPr>
                <w:sz w:val="24"/>
                <w:szCs w:val="24"/>
                <w:color w:val="auto"/>
              </w:rPr>
            </w:pPr>
          </w:p>
        </w:tc>
        <w:tc>
          <w:tcPr>
            <w:tcW w:w="900" w:type="dxa"/>
            <w:vAlign w:val="bottom"/>
          </w:tcPr>
          <w:p>
            <w:pPr>
              <w:ind w:left="100"/>
              <w:spacing w:after="0"/>
              <w:rPr>
                <w:sz w:val="20"/>
                <w:szCs w:val="20"/>
                <w:color w:val="auto"/>
              </w:rPr>
            </w:pPr>
            <w:r>
              <w:rPr>
                <w:rFonts w:ascii="Arial" w:cs="Arial" w:eastAsia="Arial" w:hAnsi="Arial"/>
                <w:sz w:val="18"/>
                <w:szCs w:val="18"/>
                <w:color w:val="auto"/>
              </w:rPr>
              <w:t>B</w:t>
            </w:r>
          </w:p>
        </w:tc>
        <w:tc>
          <w:tcPr>
            <w:tcW w:w="960" w:type="dxa"/>
            <w:vAlign w:val="bottom"/>
          </w:tcPr>
          <w:p>
            <w:pPr>
              <w:ind w:left="260"/>
              <w:spacing w:after="0"/>
              <w:rPr>
                <w:sz w:val="20"/>
                <w:szCs w:val="20"/>
                <w:color w:val="auto"/>
              </w:rPr>
            </w:pPr>
            <w:r>
              <w:rPr>
                <w:rFonts w:ascii="Arial" w:cs="Arial" w:eastAsia="Arial" w:hAnsi="Arial"/>
                <w:sz w:val="18"/>
                <w:szCs w:val="18"/>
                <w:color w:val="auto"/>
              </w:rPr>
              <w:t>12/7/17</w:t>
            </w:r>
          </w:p>
        </w:tc>
      </w:tr>
      <w:tr>
        <w:trPr>
          <w:trHeight w:val="405"/>
        </w:trPr>
        <w:tc>
          <w:tcPr>
            <w:tcW w:w="760" w:type="dxa"/>
            <w:vAlign w:val="bottom"/>
          </w:tcPr>
          <w:p>
            <w:pPr>
              <w:spacing w:after="0"/>
              <w:rPr>
                <w:sz w:val="20"/>
                <w:szCs w:val="20"/>
                <w:color w:val="auto"/>
              </w:rPr>
            </w:pPr>
            <w:r>
              <w:rPr>
                <w:rFonts w:ascii="Arial" w:cs="Arial" w:eastAsia="Arial" w:hAnsi="Arial"/>
                <w:sz w:val="18"/>
                <w:szCs w:val="18"/>
                <w:color w:val="auto"/>
              </w:rPr>
              <w:t>10-K</w:t>
            </w:r>
          </w:p>
        </w:tc>
        <w:tc>
          <w:tcPr>
            <w:tcW w:w="840" w:type="dxa"/>
            <w:vAlign w:val="bottom"/>
          </w:tcPr>
          <w:p>
            <w:pPr>
              <w:ind w:left="20"/>
              <w:spacing w:after="0"/>
              <w:rPr>
                <w:sz w:val="20"/>
                <w:szCs w:val="20"/>
                <w:color w:val="auto"/>
              </w:rPr>
            </w:pPr>
            <w:r>
              <w:rPr>
                <w:rFonts w:ascii="Arial" w:cs="Arial" w:eastAsia="Arial" w:hAnsi="Arial"/>
                <w:sz w:val="18"/>
                <w:szCs w:val="18"/>
                <w:color w:val="auto"/>
              </w:rPr>
              <w:t>9/1/16</w:t>
            </w:r>
          </w:p>
        </w:tc>
        <w:tc>
          <w:tcPr>
            <w:tcW w:w="900" w:type="dxa"/>
            <w:vAlign w:val="bottom"/>
          </w:tcPr>
          <w:p>
            <w:pPr>
              <w:ind w:left="100"/>
              <w:spacing w:after="0"/>
              <w:rPr>
                <w:sz w:val="20"/>
                <w:szCs w:val="20"/>
                <w:color w:val="auto"/>
              </w:rPr>
            </w:pPr>
            <w:r>
              <w:rPr>
                <w:rFonts w:ascii="Arial" w:cs="Arial" w:eastAsia="Arial" w:hAnsi="Arial"/>
                <w:sz w:val="18"/>
                <w:szCs w:val="18"/>
                <w:color w:val="auto"/>
              </w:rPr>
              <w:t>10.6</w:t>
            </w:r>
          </w:p>
        </w:tc>
        <w:tc>
          <w:tcPr>
            <w:tcW w:w="960" w:type="dxa"/>
            <w:vAlign w:val="bottom"/>
          </w:tcPr>
          <w:p>
            <w:pPr>
              <w:ind w:left="260"/>
              <w:spacing w:after="0"/>
              <w:rPr>
                <w:sz w:val="20"/>
                <w:szCs w:val="20"/>
                <w:color w:val="auto"/>
              </w:rPr>
            </w:pPr>
            <w:r>
              <w:rPr>
                <w:rFonts w:ascii="Arial" w:cs="Arial" w:eastAsia="Arial" w:hAnsi="Arial"/>
                <w:sz w:val="18"/>
                <w:szCs w:val="18"/>
                <w:color w:val="auto"/>
                <w:w w:val="96"/>
              </w:rPr>
              <w:t>10/28/16</w:t>
            </w:r>
          </w:p>
        </w:tc>
      </w:tr>
      <w:tr>
        <w:trPr>
          <w:trHeight w:val="256"/>
        </w:trPr>
        <w:tc>
          <w:tcPr>
            <w:tcW w:w="760" w:type="dxa"/>
            <w:vAlign w:val="bottom"/>
          </w:tcPr>
          <w:p>
            <w:pPr>
              <w:spacing w:after="0"/>
              <w:rPr>
                <w:sz w:val="20"/>
                <w:szCs w:val="20"/>
                <w:color w:val="auto"/>
              </w:rPr>
            </w:pPr>
            <w:r>
              <w:rPr>
                <w:rFonts w:ascii="Arial" w:cs="Arial" w:eastAsia="Arial" w:hAnsi="Arial"/>
                <w:sz w:val="18"/>
                <w:szCs w:val="18"/>
                <w:color w:val="auto"/>
              </w:rPr>
              <w:t>10-K</w:t>
            </w:r>
          </w:p>
        </w:tc>
        <w:tc>
          <w:tcPr>
            <w:tcW w:w="840" w:type="dxa"/>
            <w:vAlign w:val="bottom"/>
          </w:tcPr>
          <w:p>
            <w:pPr>
              <w:ind w:left="20"/>
              <w:spacing w:after="0"/>
              <w:rPr>
                <w:sz w:val="20"/>
                <w:szCs w:val="20"/>
                <w:color w:val="auto"/>
              </w:rPr>
            </w:pPr>
            <w:r>
              <w:rPr>
                <w:rFonts w:ascii="Arial" w:cs="Arial" w:eastAsia="Arial" w:hAnsi="Arial"/>
                <w:sz w:val="18"/>
                <w:szCs w:val="18"/>
                <w:color w:val="auto"/>
              </w:rPr>
              <w:t>9/1/16</w:t>
            </w:r>
          </w:p>
        </w:tc>
        <w:tc>
          <w:tcPr>
            <w:tcW w:w="900" w:type="dxa"/>
            <w:vAlign w:val="bottom"/>
          </w:tcPr>
          <w:p>
            <w:pPr>
              <w:ind w:left="100"/>
              <w:spacing w:after="0"/>
              <w:rPr>
                <w:sz w:val="20"/>
                <w:szCs w:val="20"/>
                <w:color w:val="auto"/>
              </w:rPr>
            </w:pPr>
            <w:r>
              <w:rPr>
                <w:rFonts w:ascii="Arial" w:cs="Arial" w:eastAsia="Arial" w:hAnsi="Arial"/>
                <w:sz w:val="18"/>
                <w:szCs w:val="18"/>
                <w:color w:val="auto"/>
              </w:rPr>
              <w:t>10.7</w:t>
            </w:r>
          </w:p>
        </w:tc>
        <w:tc>
          <w:tcPr>
            <w:tcW w:w="960" w:type="dxa"/>
            <w:vAlign w:val="bottom"/>
          </w:tcPr>
          <w:p>
            <w:pPr>
              <w:ind w:left="260"/>
              <w:spacing w:after="0"/>
              <w:rPr>
                <w:sz w:val="20"/>
                <w:szCs w:val="20"/>
                <w:color w:val="auto"/>
              </w:rPr>
            </w:pPr>
            <w:r>
              <w:rPr>
                <w:rFonts w:ascii="Arial" w:cs="Arial" w:eastAsia="Arial" w:hAnsi="Arial"/>
                <w:sz w:val="18"/>
                <w:szCs w:val="18"/>
                <w:color w:val="auto"/>
                <w:w w:val="96"/>
              </w:rPr>
              <w:t>10/28/16</w:t>
            </w:r>
          </w:p>
        </w:tc>
      </w:tr>
      <w:tr>
        <w:trPr>
          <w:trHeight w:val="405"/>
        </w:trPr>
        <w:tc>
          <w:tcPr>
            <w:tcW w:w="760" w:type="dxa"/>
            <w:vAlign w:val="bottom"/>
          </w:tcPr>
          <w:p>
            <w:pPr>
              <w:spacing w:after="0"/>
              <w:rPr>
                <w:sz w:val="20"/>
                <w:szCs w:val="20"/>
                <w:color w:val="auto"/>
              </w:rPr>
            </w:pPr>
            <w:r>
              <w:rPr>
                <w:rFonts w:ascii="Arial" w:cs="Arial" w:eastAsia="Arial" w:hAnsi="Arial"/>
                <w:sz w:val="18"/>
                <w:szCs w:val="18"/>
                <w:color w:val="auto"/>
              </w:rPr>
              <w:t>10-K</w:t>
            </w:r>
          </w:p>
        </w:tc>
        <w:tc>
          <w:tcPr>
            <w:tcW w:w="840" w:type="dxa"/>
            <w:vAlign w:val="bottom"/>
          </w:tcPr>
          <w:p>
            <w:pPr>
              <w:ind w:left="20"/>
              <w:spacing w:after="0"/>
              <w:rPr>
                <w:sz w:val="20"/>
                <w:szCs w:val="20"/>
                <w:color w:val="auto"/>
              </w:rPr>
            </w:pPr>
            <w:r>
              <w:rPr>
                <w:rFonts w:ascii="Arial" w:cs="Arial" w:eastAsia="Arial" w:hAnsi="Arial"/>
                <w:sz w:val="18"/>
                <w:szCs w:val="18"/>
                <w:color w:val="auto"/>
              </w:rPr>
              <w:t>9/1/16</w:t>
            </w:r>
          </w:p>
        </w:tc>
        <w:tc>
          <w:tcPr>
            <w:tcW w:w="900" w:type="dxa"/>
            <w:vAlign w:val="bottom"/>
          </w:tcPr>
          <w:p>
            <w:pPr>
              <w:ind w:left="100"/>
              <w:spacing w:after="0"/>
              <w:rPr>
                <w:sz w:val="20"/>
                <w:szCs w:val="20"/>
                <w:color w:val="auto"/>
              </w:rPr>
            </w:pPr>
            <w:r>
              <w:rPr>
                <w:rFonts w:ascii="Arial" w:cs="Arial" w:eastAsia="Arial" w:hAnsi="Arial"/>
                <w:sz w:val="18"/>
                <w:szCs w:val="18"/>
                <w:color w:val="auto"/>
              </w:rPr>
              <w:t>10.8</w:t>
            </w:r>
          </w:p>
        </w:tc>
        <w:tc>
          <w:tcPr>
            <w:tcW w:w="960" w:type="dxa"/>
            <w:vAlign w:val="bottom"/>
          </w:tcPr>
          <w:p>
            <w:pPr>
              <w:ind w:left="260"/>
              <w:spacing w:after="0"/>
              <w:rPr>
                <w:sz w:val="20"/>
                <w:szCs w:val="20"/>
                <w:color w:val="auto"/>
              </w:rPr>
            </w:pPr>
            <w:r>
              <w:rPr>
                <w:rFonts w:ascii="Arial" w:cs="Arial" w:eastAsia="Arial" w:hAnsi="Arial"/>
                <w:sz w:val="18"/>
                <w:szCs w:val="18"/>
                <w:color w:val="auto"/>
                <w:w w:val="96"/>
              </w:rPr>
              <w:t>10/28/16</w:t>
            </w:r>
          </w:p>
        </w:tc>
      </w:tr>
      <w:tr>
        <w:trPr>
          <w:trHeight w:val="257"/>
        </w:trPr>
        <w:tc>
          <w:tcPr>
            <w:tcW w:w="760" w:type="dxa"/>
            <w:vAlign w:val="bottom"/>
          </w:tcPr>
          <w:p>
            <w:pPr>
              <w:spacing w:after="0"/>
              <w:rPr>
                <w:sz w:val="20"/>
                <w:szCs w:val="20"/>
                <w:color w:val="auto"/>
              </w:rPr>
            </w:pPr>
            <w:r>
              <w:rPr>
                <w:rFonts w:ascii="Arial" w:cs="Arial" w:eastAsia="Arial" w:hAnsi="Arial"/>
                <w:sz w:val="18"/>
                <w:szCs w:val="18"/>
                <w:color w:val="auto"/>
              </w:rPr>
              <w:t>10-K</w:t>
            </w:r>
          </w:p>
        </w:tc>
        <w:tc>
          <w:tcPr>
            <w:tcW w:w="840" w:type="dxa"/>
            <w:vAlign w:val="bottom"/>
          </w:tcPr>
          <w:p>
            <w:pPr>
              <w:ind w:left="20"/>
              <w:spacing w:after="0"/>
              <w:rPr>
                <w:sz w:val="20"/>
                <w:szCs w:val="20"/>
                <w:color w:val="auto"/>
              </w:rPr>
            </w:pPr>
            <w:r>
              <w:rPr>
                <w:rFonts w:ascii="Arial" w:cs="Arial" w:eastAsia="Arial" w:hAnsi="Arial"/>
                <w:sz w:val="18"/>
                <w:szCs w:val="18"/>
                <w:color w:val="auto"/>
              </w:rPr>
              <w:t>9/1/16</w:t>
            </w:r>
          </w:p>
        </w:tc>
        <w:tc>
          <w:tcPr>
            <w:tcW w:w="900" w:type="dxa"/>
            <w:vAlign w:val="bottom"/>
          </w:tcPr>
          <w:p>
            <w:pPr>
              <w:ind w:left="100"/>
              <w:spacing w:after="0"/>
              <w:rPr>
                <w:sz w:val="20"/>
                <w:szCs w:val="20"/>
                <w:color w:val="auto"/>
              </w:rPr>
            </w:pPr>
            <w:r>
              <w:rPr>
                <w:rFonts w:ascii="Arial" w:cs="Arial" w:eastAsia="Arial" w:hAnsi="Arial"/>
                <w:sz w:val="18"/>
                <w:szCs w:val="18"/>
                <w:color w:val="auto"/>
              </w:rPr>
              <w:t>10.9</w:t>
            </w:r>
          </w:p>
        </w:tc>
        <w:tc>
          <w:tcPr>
            <w:tcW w:w="960" w:type="dxa"/>
            <w:vAlign w:val="bottom"/>
          </w:tcPr>
          <w:p>
            <w:pPr>
              <w:ind w:left="260"/>
              <w:spacing w:after="0"/>
              <w:rPr>
                <w:sz w:val="20"/>
                <w:szCs w:val="20"/>
                <w:color w:val="auto"/>
              </w:rPr>
            </w:pPr>
            <w:r>
              <w:rPr>
                <w:rFonts w:ascii="Arial" w:cs="Arial" w:eastAsia="Arial" w:hAnsi="Arial"/>
                <w:sz w:val="18"/>
                <w:szCs w:val="18"/>
                <w:color w:val="auto"/>
                <w:w w:val="96"/>
              </w:rPr>
              <w:t>10/28/16</w:t>
            </w:r>
          </w:p>
        </w:tc>
      </w:tr>
      <w:tr>
        <w:trPr>
          <w:trHeight w:val="405"/>
        </w:trPr>
        <w:tc>
          <w:tcPr>
            <w:tcW w:w="760" w:type="dxa"/>
            <w:vAlign w:val="bottom"/>
          </w:tcPr>
          <w:p>
            <w:pPr>
              <w:spacing w:after="0"/>
              <w:rPr>
                <w:sz w:val="20"/>
                <w:szCs w:val="20"/>
                <w:color w:val="auto"/>
              </w:rPr>
            </w:pPr>
            <w:r>
              <w:rPr>
                <w:rFonts w:ascii="Arial" w:cs="Arial" w:eastAsia="Arial" w:hAnsi="Arial"/>
                <w:sz w:val="18"/>
                <w:szCs w:val="18"/>
                <w:color w:val="auto"/>
              </w:rPr>
              <w:t>10-K</w:t>
            </w:r>
          </w:p>
        </w:tc>
        <w:tc>
          <w:tcPr>
            <w:tcW w:w="840" w:type="dxa"/>
            <w:vAlign w:val="bottom"/>
          </w:tcPr>
          <w:p>
            <w:pPr>
              <w:ind w:left="20"/>
              <w:spacing w:after="0"/>
              <w:rPr>
                <w:sz w:val="20"/>
                <w:szCs w:val="20"/>
                <w:color w:val="auto"/>
              </w:rPr>
            </w:pPr>
            <w:r>
              <w:rPr>
                <w:rFonts w:ascii="Arial" w:cs="Arial" w:eastAsia="Arial" w:hAnsi="Arial"/>
                <w:sz w:val="18"/>
                <w:szCs w:val="18"/>
                <w:color w:val="auto"/>
              </w:rPr>
              <w:t>9/1/16</w:t>
            </w:r>
          </w:p>
        </w:tc>
        <w:tc>
          <w:tcPr>
            <w:tcW w:w="900" w:type="dxa"/>
            <w:vAlign w:val="bottom"/>
          </w:tcPr>
          <w:p>
            <w:pPr>
              <w:ind w:left="100"/>
              <w:spacing w:after="0"/>
              <w:rPr>
                <w:sz w:val="20"/>
                <w:szCs w:val="20"/>
                <w:color w:val="auto"/>
              </w:rPr>
            </w:pPr>
            <w:r>
              <w:rPr>
                <w:rFonts w:ascii="Arial" w:cs="Arial" w:eastAsia="Arial" w:hAnsi="Arial"/>
                <w:sz w:val="18"/>
                <w:szCs w:val="18"/>
                <w:color w:val="auto"/>
              </w:rPr>
              <w:t>10.10</w:t>
            </w:r>
          </w:p>
        </w:tc>
        <w:tc>
          <w:tcPr>
            <w:tcW w:w="960" w:type="dxa"/>
            <w:vAlign w:val="bottom"/>
          </w:tcPr>
          <w:p>
            <w:pPr>
              <w:ind w:left="260"/>
              <w:spacing w:after="0"/>
              <w:rPr>
                <w:sz w:val="20"/>
                <w:szCs w:val="20"/>
                <w:color w:val="auto"/>
              </w:rPr>
            </w:pPr>
            <w:r>
              <w:rPr>
                <w:rFonts w:ascii="Arial" w:cs="Arial" w:eastAsia="Arial" w:hAnsi="Arial"/>
                <w:sz w:val="18"/>
                <w:szCs w:val="18"/>
                <w:color w:val="auto"/>
                <w:w w:val="96"/>
              </w:rPr>
              <w:t>10/28/16</w:t>
            </w:r>
          </w:p>
        </w:tc>
      </w:tr>
      <w:tr>
        <w:trPr>
          <w:trHeight w:val="256"/>
        </w:trPr>
        <w:tc>
          <w:tcPr>
            <w:tcW w:w="760" w:type="dxa"/>
            <w:vAlign w:val="bottom"/>
          </w:tcPr>
          <w:p>
            <w:pPr>
              <w:spacing w:after="0"/>
              <w:rPr>
                <w:sz w:val="20"/>
                <w:szCs w:val="20"/>
                <w:color w:val="auto"/>
              </w:rPr>
            </w:pPr>
            <w:r>
              <w:rPr>
                <w:rFonts w:ascii="Arial" w:cs="Arial" w:eastAsia="Arial" w:hAnsi="Arial"/>
                <w:sz w:val="18"/>
                <w:szCs w:val="18"/>
                <w:color w:val="auto"/>
              </w:rPr>
              <w:t>10-K</w:t>
            </w:r>
          </w:p>
        </w:tc>
        <w:tc>
          <w:tcPr>
            <w:tcW w:w="840" w:type="dxa"/>
            <w:vAlign w:val="bottom"/>
          </w:tcPr>
          <w:p>
            <w:pPr>
              <w:ind w:left="20"/>
              <w:spacing w:after="0"/>
              <w:rPr>
                <w:sz w:val="20"/>
                <w:szCs w:val="20"/>
                <w:color w:val="auto"/>
              </w:rPr>
            </w:pPr>
            <w:r>
              <w:rPr>
                <w:rFonts w:ascii="Arial" w:cs="Arial" w:eastAsia="Arial" w:hAnsi="Arial"/>
                <w:sz w:val="18"/>
                <w:szCs w:val="18"/>
                <w:color w:val="auto"/>
              </w:rPr>
              <w:t>9/1/16</w:t>
            </w:r>
          </w:p>
        </w:tc>
        <w:tc>
          <w:tcPr>
            <w:tcW w:w="900" w:type="dxa"/>
            <w:vAlign w:val="bottom"/>
          </w:tcPr>
          <w:p>
            <w:pPr>
              <w:ind w:left="100"/>
              <w:spacing w:after="0"/>
              <w:rPr>
                <w:sz w:val="20"/>
                <w:szCs w:val="20"/>
                <w:color w:val="auto"/>
              </w:rPr>
            </w:pPr>
            <w:r>
              <w:rPr>
                <w:rFonts w:ascii="Arial" w:cs="Arial" w:eastAsia="Arial" w:hAnsi="Arial"/>
                <w:sz w:val="18"/>
                <w:szCs w:val="18"/>
                <w:color w:val="auto"/>
              </w:rPr>
              <w:t>10.11</w:t>
            </w:r>
          </w:p>
        </w:tc>
        <w:tc>
          <w:tcPr>
            <w:tcW w:w="960" w:type="dxa"/>
            <w:vAlign w:val="bottom"/>
          </w:tcPr>
          <w:p>
            <w:pPr>
              <w:ind w:left="260"/>
              <w:spacing w:after="0"/>
              <w:rPr>
                <w:sz w:val="20"/>
                <w:szCs w:val="20"/>
                <w:color w:val="auto"/>
              </w:rPr>
            </w:pPr>
            <w:r>
              <w:rPr>
                <w:rFonts w:ascii="Arial" w:cs="Arial" w:eastAsia="Arial" w:hAnsi="Arial"/>
                <w:sz w:val="18"/>
                <w:szCs w:val="18"/>
                <w:color w:val="auto"/>
                <w:w w:val="96"/>
              </w:rPr>
              <w:t>10/28/16</w:t>
            </w:r>
          </w:p>
        </w:tc>
      </w:tr>
      <w:tr>
        <w:trPr>
          <w:trHeight w:val="405"/>
        </w:trPr>
        <w:tc>
          <w:tcPr>
            <w:tcW w:w="760" w:type="dxa"/>
            <w:vAlign w:val="bottom"/>
          </w:tcPr>
          <w:p>
            <w:pPr>
              <w:spacing w:after="0"/>
              <w:rPr>
                <w:sz w:val="20"/>
                <w:szCs w:val="20"/>
                <w:color w:val="auto"/>
              </w:rPr>
            </w:pPr>
            <w:r>
              <w:rPr>
                <w:rFonts w:ascii="Arial" w:cs="Arial" w:eastAsia="Arial" w:hAnsi="Arial"/>
                <w:sz w:val="18"/>
                <w:szCs w:val="18"/>
                <w:color w:val="auto"/>
              </w:rPr>
              <w:t>10-Q</w:t>
            </w:r>
          </w:p>
        </w:tc>
        <w:tc>
          <w:tcPr>
            <w:tcW w:w="840" w:type="dxa"/>
            <w:vAlign w:val="bottom"/>
          </w:tcPr>
          <w:p>
            <w:pPr>
              <w:ind w:left="20"/>
              <w:spacing w:after="0"/>
              <w:rPr>
                <w:sz w:val="20"/>
                <w:szCs w:val="20"/>
                <w:color w:val="auto"/>
              </w:rPr>
            </w:pPr>
            <w:r>
              <w:rPr>
                <w:rFonts w:ascii="Arial" w:cs="Arial" w:eastAsia="Arial" w:hAnsi="Arial"/>
                <w:sz w:val="18"/>
                <w:szCs w:val="18"/>
                <w:color w:val="auto"/>
              </w:rPr>
              <w:t>11/30/06</w:t>
            </w:r>
          </w:p>
        </w:tc>
        <w:tc>
          <w:tcPr>
            <w:tcW w:w="900" w:type="dxa"/>
            <w:vAlign w:val="bottom"/>
          </w:tcPr>
          <w:p>
            <w:pPr>
              <w:ind w:left="100"/>
              <w:spacing w:after="0"/>
              <w:rPr>
                <w:sz w:val="20"/>
                <w:szCs w:val="20"/>
                <w:color w:val="auto"/>
              </w:rPr>
            </w:pPr>
            <w:r>
              <w:rPr>
                <w:rFonts w:ascii="Arial" w:cs="Arial" w:eastAsia="Arial" w:hAnsi="Arial"/>
                <w:sz w:val="18"/>
                <w:szCs w:val="18"/>
                <w:color w:val="auto"/>
              </w:rPr>
              <w:t>10.66</w:t>
            </w:r>
          </w:p>
        </w:tc>
        <w:tc>
          <w:tcPr>
            <w:tcW w:w="960" w:type="dxa"/>
            <w:vAlign w:val="bottom"/>
          </w:tcPr>
          <w:p>
            <w:pPr>
              <w:ind w:left="260"/>
              <w:spacing w:after="0"/>
              <w:rPr>
                <w:sz w:val="20"/>
                <w:szCs w:val="20"/>
                <w:color w:val="auto"/>
              </w:rPr>
            </w:pPr>
            <w:r>
              <w:rPr>
                <w:rFonts w:ascii="Arial" w:cs="Arial" w:eastAsia="Arial" w:hAnsi="Arial"/>
                <w:sz w:val="18"/>
                <w:szCs w:val="18"/>
                <w:color w:val="auto"/>
              </w:rPr>
              <w:t>1/16/07</w:t>
            </w:r>
          </w:p>
        </w:tc>
      </w:tr>
      <w:tr>
        <w:trPr>
          <w:trHeight w:val="580"/>
        </w:trPr>
        <w:tc>
          <w:tcPr>
            <w:tcW w:w="760" w:type="dxa"/>
            <w:vAlign w:val="bottom"/>
          </w:tcPr>
          <w:p>
            <w:pPr>
              <w:spacing w:after="0"/>
              <w:rPr>
                <w:sz w:val="20"/>
                <w:szCs w:val="20"/>
                <w:color w:val="auto"/>
              </w:rPr>
            </w:pPr>
            <w:r>
              <w:rPr>
                <w:rFonts w:ascii="Arial" w:cs="Arial" w:eastAsia="Arial" w:hAnsi="Arial"/>
                <w:sz w:val="18"/>
                <w:szCs w:val="18"/>
                <w:color w:val="auto"/>
              </w:rPr>
              <w:t>10-Q</w:t>
            </w:r>
          </w:p>
        </w:tc>
        <w:tc>
          <w:tcPr>
            <w:tcW w:w="840" w:type="dxa"/>
            <w:vAlign w:val="bottom"/>
          </w:tcPr>
          <w:p>
            <w:pPr>
              <w:ind w:left="20"/>
              <w:spacing w:after="0"/>
              <w:rPr>
                <w:sz w:val="20"/>
                <w:szCs w:val="20"/>
                <w:color w:val="auto"/>
              </w:rPr>
            </w:pPr>
            <w:r>
              <w:rPr>
                <w:rFonts w:ascii="Arial" w:cs="Arial" w:eastAsia="Arial" w:hAnsi="Arial"/>
                <w:sz w:val="18"/>
                <w:szCs w:val="18"/>
                <w:color w:val="auto"/>
              </w:rPr>
              <w:t>2/27/14</w:t>
            </w:r>
          </w:p>
        </w:tc>
        <w:tc>
          <w:tcPr>
            <w:tcW w:w="900" w:type="dxa"/>
            <w:vAlign w:val="bottom"/>
          </w:tcPr>
          <w:p>
            <w:pPr>
              <w:ind w:left="100"/>
              <w:spacing w:after="0"/>
              <w:rPr>
                <w:sz w:val="20"/>
                <w:szCs w:val="20"/>
                <w:color w:val="auto"/>
              </w:rPr>
            </w:pPr>
            <w:r>
              <w:rPr>
                <w:rFonts w:ascii="Arial" w:cs="Arial" w:eastAsia="Arial" w:hAnsi="Arial"/>
                <w:sz w:val="18"/>
                <w:szCs w:val="18"/>
                <w:color w:val="auto"/>
              </w:rPr>
              <w:t>10.3</w:t>
            </w:r>
          </w:p>
        </w:tc>
        <w:tc>
          <w:tcPr>
            <w:tcW w:w="960" w:type="dxa"/>
            <w:vAlign w:val="bottom"/>
          </w:tcPr>
          <w:p>
            <w:pPr>
              <w:ind w:left="260"/>
              <w:spacing w:after="0"/>
              <w:rPr>
                <w:sz w:val="20"/>
                <w:szCs w:val="20"/>
                <w:color w:val="auto"/>
              </w:rPr>
            </w:pPr>
            <w:r>
              <w:rPr>
                <w:rFonts w:ascii="Arial" w:cs="Arial" w:eastAsia="Arial" w:hAnsi="Arial"/>
                <w:sz w:val="18"/>
                <w:szCs w:val="18"/>
                <w:color w:val="auto"/>
              </w:rPr>
              <w:t>4/7/14</w:t>
            </w:r>
          </w:p>
        </w:tc>
      </w:tr>
      <w:tr>
        <w:trPr>
          <w:trHeight w:val="405"/>
        </w:trPr>
        <w:tc>
          <w:tcPr>
            <w:tcW w:w="760" w:type="dxa"/>
            <w:vAlign w:val="bottom"/>
          </w:tcPr>
          <w:p>
            <w:pPr>
              <w:spacing w:after="0"/>
              <w:rPr>
                <w:sz w:val="20"/>
                <w:szCs w:val="20"/>
                <w:color w:val="auto"/>
              </w:rPr>
            </w:pPr>
            <w:r>
              <w:rPr>
                <w:rFonts w:ascii="Arial" w:cs="Arial" w:eastAsia="Arial" w:hAnsi="Arial"/>
                <w:sz w:val="18"/>
                <w:szCs w:val="18"/>
                <w:color w:val="auto"/>
              </w:rPr>
              <w:t>8-K</w:t>
            </w:r>
          </w:p>
        </w:tc>
        <w:tc>
          <w:tcPr>
            <w:tcW w:w="840" w:type="dxa"/>
            <w:vAlign w:val="bottom"/>
          </w:tcPr>
          <w:p>
            <w:pPr>
              <w:spacing w:after="0"/>
              <w:rPr>
                <w:sz w:val="24"/>
                <w:szCs w:val="24"/>
                <w:color w:val="auto"/>
              </w:rPr>
            </w:pPr>
          </w:p>
        </w:tc>
        <w:tc>
          <w:tcPr>
            <w:tcW w:w="900" w:type="dxa"/>
            <w:vAlign w:val="bottom"/>
          </w:tcPr>
          <w:p>
            <w:pPr>
              <w:ind w:left="100"/>
              <w:spacing w:after="0"/>
              <w:rPr>
                <w:sz w:val="20"/>
                <w:szCs w:val="20"/>
                <w:color w:val="auto"/>
              </w:rPr>
            </w:pPr>
            <w:r>
              <w:rPr>
                <w:rFonts w:ascii="Arial" w:cs="Arial" w:eastAsia="Arial" w:hAnsi="Arial"/>
                <w:sz w:val="18"/>
                <w:szCs w:val="18"/>
                <w:color w:val="auto"/>
              </w:rPr>
              <w:t>99.2</w:t>
            </w:r>
          </w:p>
        </w:tc>
        <w:tc>
          <w:tcPr>
            <w:tcW w:w="960" w:type="dxa"/>
            <w:vAlign w:val="bottom"/>
          </w:tcPr>
          <w:p>
            <w:pPr>
              <w:ind w:left="260"/>
              <w:spacing w:after="0"/>
              <w:rPr>
                <w:sz w:val="20"/>
                <w:szCs w:val="20"/>
                <w:color w:val="auto"/>
              </w:rPr>
            </w:pPr>
            <w:r>
              <w:rPr>
                <w:rFonts w:ascii="Arial" w:cs="Arial" w:eastAsia="Arial" w:hAnsi="Arial"/>
                <w:sz w:val="18"/>
                <w:szCs w:val="18"/>
                <w:color w:val="auto"/>
              </w:rPr>
              <w:t>11/1/07</w:t>
            </w:r>
          </w:p>
        </w:tc>
      </w:tr>
      <w:tr>
        <w:trPr>
          <w:trHeight w:val="256"/>
        </w:trPr>
        <w:tc>
          <w:tcPr>
            <w:tcW w:w="760" w:type="dxa"/>
            <w:vAlign w:val="bottom"/>
          </w:tcPr>
          <w:p>
            <w:pPr>
              <w:spacing w:after="0"/>
              <w:rPr>
                <w:sz w:val="20"/>
                <w:szCs w:val="20"/>
                <w:color w:val="auto"/>
              </w:rPr>
            </w:pPr>
            <w:r>
              <w:rPr>
                <w:rFonts w:ascii="Arial" w:cs="Arial" w:eastAsia="Arial" w:hAnsi="Arial"/>
                <w:sz w:val="18"/>
                <w:szCs w:val="18"/>
                <w:color w:val="auto"/>
              </w:rPr>
              <w:t>10-Q/A</w:t>
            </w:r>
          </w:p>
        </w:tc>
        <w:tc>
          <w:tcPr>
            <w:tcW w:w="840" w:type="dxa"/>
            <w:vAlign w:val="bottom"/>
          </w:tcPr>
          <w:p>
            <w:pPr>
              <w:ind w:left="20"/>
              <w:spacing w:after="0"/>
              <w:rPr>
                <w:sz w:val="20"/>
                <w:szCs w:val="20"/>
                <w:color w:val="auto"/>
              </w:rPr>
            </w:pPr>
            <w:r>
              <w:rPr>
                <w:rFonts w:ascii="Arial" w:cs="Arial" w:eastAsia="Arial" w:hAnsi="Arial"/>
                <w:sz w:val="18"/>
                <w:szCs w:val="18"/>
                <w:color w:val="auto"/>
              </w:rPr>
              <w:t>2/28/13</w:t>
            </w:r>
          </w:p>
        </w:tc>
        <w:tc>
          <w:tcPr>
            <w:tcW w:w="900" w:type="dxa"/>
            <w:vAlign w:val="bottom"/>
          </w:tcPr>
          <w:p>
            <w:pPr>
              <w:ind w:left="100"/>
              <w:spacing w:after="0"/>
              <w:rPr>
                <w:sz w:val="20"/>
                <w:szCs w:val="20"/>
                <w:color w:val="auto"/>
              </w:rPr>
            </w:pPr>
            <w:r>
              <w:rPr>
                <w:rFonts w:ascii="Arial" w:cs="Arial" w:eastAsia="Arial" w:hAnsi="Arial"/>
                <w:sz w:val="18"/>
                <w:szCs w:val="18"/>
                <w:color w:val="auto"/>
              </w:rPr>
              <w:t>10.126</w:t>
            </w:r>
          </w:p>
        </w:tc>
        <w:tc>
          <w:tcPr>
            <w:tcW w:w="960" w:type="dxa"/>
            <w:vAlign w:val="bottom"/>
          </w:tcPr>
          <w:p>
            <w:pPr>
              <w:ind w:left="260"/>
              <w:spacing w:after="0"/>
              <w:rPr>
                <w:sz w:val="20"/>
                <w:szCs w:val="20"/>
                <w:color w:val="auto"/>
              </w:rPr>
            </w:pPr>
            <w:r>
              <w:rPr>
                <w:rFonts w:ascii="Arial" w:cs="Arial" w:eastAsia="Arial" w:hAnsi="Arial"/>
                <w:sz w:val="18"/>
                <w:szCs w:val="18"/>
                <w:color w:val="auto"/>
              </w:rPr>
              <w:t>8/7/13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sz w:val="1"/>
          <w:szCs w:val="1"/>
          <w:color w:val="auto"/>
        </w:rPr>
        <w:drawing>
          <wp:inline distT="0" distB="0" distL="0" distR="0">
            <wp:extent cx="608330" cy="171450"/>
            <wp:effectExtent l="0" t="0" r="0" b="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6">
                      <a:extLst>
                        <a:ext uri="{28A0092B-C50C-407E-A947-70E740481C1C}"/>
                      </a:extLst>
                    </a:blip>
                    <a:srcRect/>
                    <a:stretch>
                      <a:fillRect/>
                    </a:stretch>
                  </pic:blipFill>
                  <pic:spPr bwMode="auto">
                    <a:xfrm>
                      <a:off x="0" y="0"/>
                      <a:ext cx="608330" cy="171450"/>
                    </a:xfrm>
                    <a:prstGeom prst="rect">
                      <a:avLst/>
                    </a:prstGeom>
                    <a:noFill/>
                    <a:ln>
                      <a:noFill/>
                    </a:ln>
                  </pic:spPr>
                </pic:pic>
              </a:graphicData>
            </a:graphic>
          </wp:inline>
        </w:drawing>
      </w:r>
      <w:r>
        <w:rPr>
          <w:rFonts w:ascii="Arial" w:cs="Arial" w:eastAsia="Arial" w:hAnsi="Arial"/>
          <w:sz w:val="18"/>
          <w:szCs w:val="18"/>
          <w:color w:val="auto"/>
        </w:rPr>
        <w:t xml:space="preserve"> 90</w:t>
      </w:r>
    </w:p>
    <w:p>
      <w:pPr>
        <w:sectPr>
          <w:pgSz w:w="11900" w:h="16838" w:orient="portrait"/>
          <w:cols w:equalWidth="0" w:num="2">
            <w:col w:w="6860" w:space="720"/>
            <w:col w:w="3660"/>
          </w:cols>
          <w:pgMar w:left="320" w:top="931" w:right="339" w:bottom="1440" w:gutter="0" w:footer="0" w:header="0"/>
          <w:type w:val="continuous"/>
        </w:sectPr>
      </w:pPr>
    </w:p>
    <w:bookmarkStart w:id="93" w:name="page94"/>
    <w:bookmarkEnd w:id="93"/>
    <w:tbl>
      <w:tblPr>
        <w:tblLayout w:type="fixed"/>
        <w:tblInd w:w="0" w:type="dxa"/>
        <w:tblCellMar>
          <w:top w:w="0" w:type="dxa"/>
          <w:left w:w="0" w:type="dxa"/>
          <w:bottom w:w="0" w:type="dxa"/>
          <w:right w:w="0" w:type="dxa"/>
        </w:tblCellMar>
      </w:tblPr>
      <w:tr>
        <w:trPr>
          <w:trHeight w:val="207"/>
        </w:trPr>
        <w:tc>
          <w:tcPr>
            <w:tcW w:w="980" w:type="dxa"/>
            <w:vAlign w:val="bottom"/>
          </w:tcPr>
          <w:p>
            <w:pPr>
              <w:ind w:left="180"/>
              <w:spacing w:after="0"/>
              <w:rPr>
                <w:sz w:val="20"/>
                <w:szCs w:val="20"/>
                <w:color w:val="auto"/>
              </w:rPr>
            </w:pPr>
            <w:r>
              <w:rPr>
                <w:rFonts w:ascii="Arial" w:cs="Arial" w:eastAsia="Arial" w:hAnsi="Arial"/>
                <w:sz w:val="18"/>
                <w:szCs w:val="18"/>
                <w:b w:val="1"/>
                <w:bCs w:val="1"/>
                <w:color w:val="auto"/>
              </w:rPr>
              <w:t>Exhibit</w:t>
            </w:r>
          </w:p>
        </w:tc>
        <w:tc>
          <w:tcPr>
            <w:tcW w:w="1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ind w:left="480"/>
              <w:spacing w:after="0"/>
              <w:rPr>
                <w:sz w:val="20"/>
                <w:szCs w:val="20"/>
                <w:color w:val="auto"/>
              </w:rPr>
            </w:pPr>
            <w:r>
              <w:rPr>
                <w:rFonts w:ascii="Arial" w:cs="Arial" w:eastAsia="Arial" w:hAnsi="Arial"/>
                <w:sz w:val="18"/>
                <w:szCs w:val="18"/>
                <w:b w:val="1"/>
                <w:bCs w:val="1"/>
                <w:color w:val="auto"/>
              </w:rPr>
              <w:t>Filed</w:t>
            </w:r>
          </w:p>
        </w:tc>
        <w:tc>
          <w:tcPr>
            <w:tcW w:w="920" w:type="dxa"/>
            <w:vAlign w:val="bottom"/>
          </w:tcPr>
          <w:p>
            <w:pPr>
              <w:ind w:left="260"/>
              <w:spacing w:after="0"/>
              <w:rPr>
                <w:sz w:val="20"/>
                <w:szCs w:val="20"/>
                <w:color w:val="auto"/>
              </w:rPr>
            </w:pPr>
            <w:r>
              <w:rPr>
                <w:rFonts w:ascii="Arial" w:cs="Arial" w:eastAsia="Arial" w:hAnsi="Arial"/>
                <w:sz w:val="18"/>
                <w:szCs w:val="18"/>
                <w:b w:val="1"/>
                <w:bCs w:val="1"/>
                <w:color w:val="auto"/>
              </w:rPr>
              <w:t>Period</w:t>
            </w:r>
          </w:p>
        </w:tc>
        <w:tc>
          <w:tcPr>
            <w:tcW w:w="1080" w:type="dxa"/>
            <w:vAlign w:val="bottom"/>
          </w:tcPr>
          <w:p>
            <w:pPr>
              <w:ind w:left="280"/>
              <w:spacing w:after="0"/>
              <w:rPr>
                <w:sz w:val="20"/>
                <w:szCs w:val="20"/>
                <w:color w:val="auto"/>
              </w:rPr>
            </w:pPr>
            <w:r>
              <w:rPr>
                <w:rFonts w:ascii="Arial" w:cs="Arial" w:eastAsia="Arial" w:hAnsi="Arial"/>
                <w:sz w:val="18"/>
                <w:szCs w:val="18"/>
                <w:b w:val="1"/>
                <w:bCs w:val="1"/>
                <w:color w:val="auto"/>
              </w:rPr>
              <w:t>Exhibit/</w:t>
            </w:r>
          </w:p>
        </w:tc>
        <w:tc>
          <w:tcPr>
            <w:tcW w:w="960" w:type="dxa"/>
            <w:vAlign w:val="bottom"/>
          </w:tcPr>
          <w:p>
            <w:pPr>
              <w:ind w:left="260"/>
              <w:spacing w:after="0"/>
              <w:rPr>
                <w:sz w:val="20"/>
                <w:szCs w:val="20"/>
                <w:color w:val="auto"/>
              </w:rPr>
            </w:pPr>
            <w:r>
              <w:rPr>
                <w:rFonts w:ascii="Arial" w:cs="Arial" w:eastAsia="Arial" w:hAnsi="Arial"/>
                <w:sz w:val="18"/>
                <w:szCs w:val="18"/>
                <w:b w:val="1"/>
                <w:bCs w:val="1"/>
                <w:color w:val="auto"/>
              </w:rPr>
              <w:t>Filing</w:t>
            </w:r>
          </w:p>
        </w:tc>
      </w:tr>
      <w:tr>
        <w:trPr>
          <w:trHeight w:val="246"/>
        </w:trPr>
        <w:tc>
          <w:tcPr>
            <w:tcW w:w="9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Number</w:t>
            </w:r>
          </w:p>
        </w:tc>
        <w:tc>
          <w:tcPr>
            <w:tcW w:w="1480" w:type="dxa"/>
            <w:vAlign w:val="bottom"/>
            <w:tcBorders>
              <w:bottom w:val="single" w:sz="8" w:color="auto"/>
            </w:tcBorders>
          </w:tcPr>
          <w:p>
            <w:pPr>
              <w:spacing w:after="0"/>
              <w:rPr>
                <w:sz w:val="21"/>
                <w:szCs w:val="21"/>
                <w:color w:val="auto"/>
              </w:rPr>
            </w:pPr>
          </w:p>
        </w:tc>
        <w:tc>
          <w:tcPr>
            <w:tcW w:w="3900" w:type="dxa"/>
            <w:vAlign w:val="bottom"/>
            <w:tcBorders>
              <w:bottom w:val="single" w:sz="8" w:color="auto"/>
            </w:tcBorders>
            <w:gridSpan w:val="11"/>
          </w:tcPr>
          <w:p>
            <w:pPr>
              <w:ind w:left="360"/>
              <w:spacing w:after="0"/>
              <w:rPr>
                <w:sz w:val="20"/>
                <w:szCs w:val="20"/>
                <w:color w:val="auto"/>
              </w:rPr>
            </w:pPr>
            <w:r>
              <w:rPr>
                <w:rFonts w:ascii="Arial" w:cs="Arial" w:eastAsia="Arial" w:hAnsi="Arial"/>
                <w:sz w:val="18"/>
                <w:szCs w:val="18"/>
                <w:b w:val="1"/>
                <w:bCs w:val="1"/>
                <w:color w:val="auto"/>
              </w:rPr>
              <w:t>Description of Exhibit</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Herewith   Form</w:t>
            </w:r>
          </w:p>
        </w:tc>
        <w:tc>
          <w:tcPr>
            <w:tcW w:w="9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Ending</w:t>
            </w:r>
          </w:p>
        </w:tc>
        <w:tc>
          <w:tcPr>
            <w:tcW w:w="10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Appendix</w:t>
            </w:r>
          </w:p>
        </w:tc>
        <w:tc>
          <w:tcPr>
            <w:tcW w:w="96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Date</w:t>
            </w:r>
          </w:p>
        </w:tc>
      </w:tr>
      <w:tr>
        <w:trPr>
          <w:trHeight w:val="189"/>
        </w:trPr>
        <w:tc>
          <w:tcPr>
            <w:tcW w:w="980" w:type="dxa"/>
            <w:vAlign w:val="bottom"/>
            <w:shd w:val="clear" w:color="auto" w:fill="D1D2D4"/>
          </w:tcPr>
          <w:p>
            <w:pPr>
              <w:ind w:left="20"/>
              <w:spacing w:after="0" w:line="169" w:lineRule="exact"/>
              <w:rPr>
                <w:sz w:val="20"/>
                <w:szCs w:val="20"/>
                <w:color w:val="auto"/>
              </w:rPr>
            </w:pPr>
            <w:r>
              <w:rPr>
                <w:rFonts w:ascii="Arial" w:cs="Arial" w:eastAsia="Arial" w:hAnsi="Arial"/>
                <w:sz w:val="18"/>
                <w:szCs w:val="18"/>
                <w:color w:val="auto"/>
              </w:rPr>
              <w:t>10.12*</w:t>
            </w:r>
          </w:p>
        </w:tc>
        <w:tc>
          <w:tcPr>
            <w:tcW w:w="5380" w:type="dxa"/>
            <w:vAlign w:val="bottom"/>
            <w:gridSpan w:val="12"/>
            <w:shd w:val="clear" w:color="auto" w:fill="D1D2D4"/>
          </w:tcPr>
          <w:p>
            <w:pPr>
              <w:spacing w:after="0" w:line="169" w:lineRule="exact"/>
              <w:rPr>
                <w:rFonts w:ascii="Arial" w:cs="Arial" w:eastAsia="Arial" w:hAnsi="Arial"/>
                <w:sz w:val="18"/>
                <w:szCs w:val="18"/>
                <w:color w:val="0000FF"/>
              </w:rPr>
            </w:pPr>
            <w:hyperlink r:id="rId207">
              <w:r>
                <w:rPr>
                  <w:rFonts w:ascii="Arial" w:cs="Arial" w:eastAsia="Arial" w:hAnsi="Arial"/>
                  <w:sz w:val="18"/>
                  <w:szCs w:val="18"/>
                  <w:color w:val="0000FF"/>
                </w:rPr>
                <w:t>Omnibus IP Agreement, dated January 17, 2013, by and between</w:t>
              </w:r>
            </w:hyperlink>
          </w:p>
        </w:tc>
        <w:tc>
          <w:tcPr>
            <w:tcW w:w="1920" w:type="dxa"/>
            <w:vAlign w:val="bottom"/>
            <w:shd w:val="clear" w:color="auto" w:fill="D1D2D4"/>
          </w:tcPr>
          <w:p>
            <w:pPr>
              <w:ind w:left="1220"/>
              <w:spacing w:after="0" w:line="169" w:lineRule="exact"/>
              <w:rPr>
                <w:sz w:val="20"/>
                <w:szCs w:val="20"/>
                <w:color w:val="auto"/>
              </w:rPr>
            </w:pPr>
            <w:r>
              <w:rPr>
                <w:rFonts w:ascii="Arial" w:cs="Arial" w:eastAsia="Arial" w:hAnsi="Arial"/>
                <w:sz w:val="18"/>
                <w:szCs w:val="18"/>
                <w:color w:val="auto"/>
              </w:rPr>
              <w:t>10-Q</w:t>
            </w:r>
          </w:p>
        </w:tc>
        <w:tc>
          <w:tcPr>
            <w:tcW w:w="920" w:type="dxa"/>
            <w:vAlign w:val="bottom"/>
            <w:shd w:val="clear" w:color="auto" w:fill="D1D2D4"/>
          </w:tcPr>
          <w:p>
            <w:pPr>
              <w:ind w:left="80"/>
              <w:spacing w:after="0" w:line="169" w:lineRule="exact"/>
              <w:rPr>
                <w:sz w:val="20"/>
                <w:szCs w:val="20"/>
                <w:color w:val="auto"/>
              </w:rPr>
            </w:pPr>
            <w:r>
              <w:rPr>
                <w:rFonts w:ascii="Arial" w:cs="Arial" w:eastAsia="Arial" w:hAnsi="Arial"/>
                <w:sz w:val="18"/>
                <w:szCs w:val="18"/>
                <w:color w:val="auto"/>
              </w:rPr>
              <w:t>2/28/13</w:t>
            </w:r>
          </w:p>
        </w:tc>
        <w:tc>
          <w:tcPr>
            <w:tcW w:w="1080" w:type="dxa"/>
            <w:vAlign w:val="bottom"/>
            <w:shd w:val="clear" w:color="auto" w:fill="D1D2D4"/>
          </w:tcPr>
          <w:p>
            <w:pPr>
              <w:ind w:left="80"/>
              <w:spacing w:after="0" w:line="169" w:lineRule="exact"/>
              <w:rPr>
                <w:sz w:val="20"/>
                <w:szCs w:val="20"/>
                <w:color w:val="auto"/>
              </w:rPr>
            </w:pPr>
            <w:r>
              <w:rPr>
                <w:rFonts w:ascii="Arial" w:cs="Arial" w:eastAsia="Arial" w:hAnsi="Arial"/>
                <w:sz w:val="18"/>
                <w:szCs w:val="18"/>
                <w:color w:val="auto"/>
              </w:rPr>
              <w:t>10.127</w:t>
            </w:r>
          </w:p>
        </w:tc>
        <w:tc>
          <w:tcPr>
            <w:tcW w:w="960" w:type="dxa"/>
            <w:vAlign w:val="bottom"/>
            <w:shd w:val="clear" w:color="auto" w:fill="D1D2D4"/>
          </w:tcPr>
          <w:p>
            <w:pPr>
              <w:ind w:left="60"/>
              <w:spacing w:after="0" w:line="169" w:lineRule="exact"/>
              <w:rPr>
                <w:sz w:val="20"/>
                <w:szCs w:val="20"/>
                <w:color w:val="auto"/>
              </w:rPr>
            </w:pPr>
            <w:r>
              <w:rPr>
                <w:rFonts w:ascii="Arial" w:cs="Arial" w:eastAsia="Arial" w:hAnsi="Arial"/>
                <w:sz w:val="18"/>
                <w:szCs w:val="18"/>
                <w:color w:val="auto"/>
              </w:rPr>
              <w:t>4/8/13</w:t>
            </w:r>
          </w:p>
        </w:tc>
      </w:tr>
      <w:tr>
        <w:trPr>
          <w:trHeight w:val="196"/>
        </w:trPr>
        <w:tc>
          <w:tcPr>
            <w:tcW w:w="980" w:type="dxa"/>
            <w:vAlign w:val="bottom"/>
            <w:tcBorders>
              <w:top w:val="single" w:sz="8" w:color="D1D2D4"/>
            </w:tcBorders>
            <w:shd w:val="clear" w:color="auto" w:fill="D1D2D4"/>
          </w:tcPr>
          <w:p>
            <w:pPr>
              <w:spacing w:after="0"/>
              <w:rPr>
                <w:sz w:val="17"/>
                <w:szCs w:val="17"/>
                <w:color w:val="auto"/>
              </w:rPr>
            </w:pPr>
          </w:p>
        </w:tc>
        <w:tc>
          <w:tcPr>
            <w:tcW w:w="5240" w:type="dxa"/>
            <w:vAlign w:val="bottom"/>
            <w:tcBorders>
              <w:top w:val="single" w:sz="8" w:color="0000FF"/>
            </w:tcBorders>
            <w:gridSpan w:val="9"/>
            <w:shd w:val="clear" w:color="auto" w:fill="D1D2D4"/>
          </w:tcPr>
          <w:p>
            <w:pPr>
              <w:spacing w:after="0" w:line="196" w:lineRule="exact"/>
              <w:rPr>
                <w:rFonts w:ascii="Arial" w:cs="Arial" w:eastAsia="Arial" w:hAnsi="Arial"/>
                <w:sz w:val="18"/>
                <w:szCs w:val="18"/>
                <w:u w:val="single" w:color="auto"/>
                <w:color w:val="0000FF"/>
              </w:rPr>
            </w:pPr>
            <w:hyperlink r:id="rId207">
              <w:r>
                <w:rPr>
                  <w:rFonts w:ascii="Arial" w:cs="Arial" w:eastAsia="Arial" w:hAnsi="Arial"/>
                  <w:sz w:val="18"/>
                  <w:szCs w:val="18"/>
                  <w:u w:val="single" w:color="auto"/>
                  <w:color w:val="0000FF"/>
                </w:rPr>
                <w:t>Nanya Technology Corporation and Micron Technology, Inc.</w:t>
              </w:r>
            </w:hyperlink>
          </w:p>
        </w:tc>
        <w:tc>
          <w:tcPr>
            <w:tcW w:w="20" w:type="dxa"/>
            <w:vAlign w:val="bottom"/>
            <w:tcBorders>
              <w:top w:val="single" w:sz="8" w:color="D1D2D4"/>
            </w:tcBorders>
            <w:shd w:val="clear" w:color="auto" w:fill="D1D2D4"/>
          </w:tcPr>
          <w:p>
            <w:pPr>
              <w:spacing w:after="0"/>
              <w:rPr>
                <w:sz w:val="17"/>
                <w:szCs w:val="17"/>
                <w:color w:val="auto"/>
              </w:rPr>
            </w:pPr>
          </w:p>
        </w:tc>
        <w:tc>
          <w:tcPr>
            <w:tcW w:w="20" w:type="dxa"/>
            <w:vAlign w:val="bottom"/>
            <w:tcBorders>
              <w:top w:val="single" w:sz="8" w:color="D1D2D4"/>
            </w:tcBorders>
            <w:shd w:val="clear" w:color="auto" w:fill="D1D2D4"/>
          </w:tcPr>
          <w:p>
            <w:pPr>
              <w:spacing w:after="0"/>
              <w:rPr>
                <w:sz w:val="17"/>
                <w:szCs w:val="17"/>
                <w:color w:val="auto"/>
              </w:rPr>
            </w:pPr>
          </w:p>
        </w:tc>
        <w:tc>
          <w:tcPr>
            <w:tcW w:w="100" w:type="dxa"/>
            <w:vAlign w:val="bottom"/>
            <w:tcBorders>
              <w:top w:val="single" w:sz="8" w:color="D1D2D4"/>
            </w:tcBorders>
            <w:shd w:val="clear" w:color="auto" w:fill="D1D2D4"/>
          </w:tcPr>
          <w:p>
            <w:pPr>
              <w:spacing w:after="0"/>
              <w:rPr>
                <w:sz w:val="17"/>
                <w:szCs w:val="17"/>
                <w:color w:val="auto"/>
              </w:rPr>
            </w:pPr>
          </w:p>
        </w:tc>
        <w:tc>
          <w:tcPr>
            <w:tcW w:w="1920" w:type="dxa"/>
            <w:vAlign w:val="bottom"/>
            <w:tcBorders>
              <w:top w:val="single" w:sz="8" w:color="D1D2D4"/>
            </w:tcBorders>
            <w:shd w:val="clear" w:color="auto" w:fill="D1D2D4"/>
          </w:tcPr>
          <w:p>
            <w:pPr>
              <w:spacing w:after="0"/>
              <w:rPr>
                <w:sz w:val="17"/>
                <w:szCs w:val="17"/>
                <w:color w:val="auto"/>
              </w:rPr>
            </w:pPr>
          </w:p>
        </w:tc>
        <w:tc>
          <w:tcPr>
            <w:tcW w:w="920" w:type="dxa"/>
            <w:vAlign w:val="bottom"/>
            <w:tcBorders>
              <w:top w:val="single" w:sz="8" w:color="D1D2D4"/>
            </w:tcBorders>
            <w:shd w:val="clear" w:color="auto" w:fill="D1D2D4"/>
          </w:tcPr>
          <w:p>
            <w:pPr>
              <w:spacing w:after="0"/>
              <w:rPr>
                <w:sz w:val="17"/>
                <w:szCs w:val="17"/>
                <w:color w:val="auto"/>
              </w:rPr>
            </w:pPr>
          </w:p>
        </w:tc>
        <w:tc>
          <w:tcPr>
            <w:tcW w:w="1080" w:type="dxa"/>
            <w:vAlign w:val="bottom"/>
            <w:tcBorders>
              <w:top w:val="single" w:sz="8" w:color="D1D2D4"/>
            </w:tcBorders>
            <w:shd w:val="clear" w:color="auto" w:fill="D1D2D4"/>
          </w:tcPr>
          <w:p>
            <w:pPr>
              <w:spacing w:after="0"/>
              <w:rPr>
                <w:sz w:val="17"/>
                <w:szCs w:val="17"/>
                <w:color w:val="auto"/>
              </w:rPr>
            </w:pPr>
          </w:p>
        </w:tc>
        <w:tc>
          <w:tcPr>
            <w:tcW w:w="960" w:type="dxa"/>
            <w:vAlign w:val="bottom"/>
            <w:tcBorders>
              <w:top w:val="single" w:sz="8" w:color="D1D2D4"/>
            </w:tcBorders>
            <w:shd w:val="clear" w:color="auto" w:fill="D1D2D4"/>
          </w:tcPr>
          <w:p>
            <w:pPr>
              <w:spacing w:after="0"/>
              <w:rPr>
                <w:sz w:val="17"/>
                <w:szCs w:val="17"/>
                <w:color w:val="auto"/>
              </w:rPr>
            </w:pPr>
          </w:p>
        </w:tc>
      </w:tr>
      <w:tr>
        <w:trPr>
          <w:trHeight w:val="189"/>
        </w:trPr>
        <w:tc>
          <w:tcPr>
            <w:tcW w:w="980" w:type="dxa"/>
            <w:vAlign w:val="bottom"/>
          </w:tcPr>
          <w:p>
            <w:pPr>
              <w:ind w:left="20"/>
              <w:spacing w:after="0" w:line="169" w:lineRule="exact"/>
              <w:rPr>
                <w:sz w:val="20"/>
                <w:szCs w:val="20"/>
                <w:color w:val="auto"/>
              </w:rPr>
            </w:pPr>
            <w:r>
              <w:rPr>
                <w:rFonts w:ascii="Arial" w:cs="Arial" w:eastAsia="Arial" w:hAnsi="Arial"/>
                <w:sz w:val="18"/>
                <w:szCs w:val="18"/>
                <w:color w:val="auto"/>
              </w:rPr>
              <w:t>10.13*</w:t>
            </w:r>
          </w:p>
        </w:tc>
        <w:tc>
          <w:tcPr>
            <w:tcW w:w="5380" w:type="dxa"/>
            <w:vAlign w:val="bottom"/>
            <w:gridSpan w:val="12"/>
          </w:tcPr>
          <w:p>
            <w:pPr>
              <w:spacing w:after="0" w:line="169" w:lineRule="exact"/>
              <w:rPr>
                <w:rFonts w:ascii="Arial" w:cs="Arial" w:eastAsia="Arial" w:hAnsi="Arial"/>
                <w:sz w:val="18"/>
                <w:szCs w:val="18"/>
                <w:color w:val="0000FF"/>
              </w:rPr>
            </w:pPr>
            <w:hyperlink r:id="rId208">
              <w:r>
                <w:rPr>
                  <w:rFonts w:ascii="Arial" w:cs="Arial" w:eastAsia="Arial" w:hAnsi="Arial"/>
                  <w:sz w:val="18"/>
                  <w:szCs w:val="18"/>
                  <w:color w:val="0000FF"/>
                </w:rPr>
                <w:t>Second Amended and Restated Technology Transfer and License</w:t>
              </w:r>
            </w:hyperlink>
          </w:p>
        </w:tc>
        <w:tc>
          <w:tcPr>
            <w:tcW w:w="1920" w:type="dxa"/>
            <w:vAlign w:val="bottom"/>
          </w:tcPr>
          <w:p>
            <w:pPr>
              <w:ind w:left="1220"/>
              <w:spacing w:after="0" w:line="169" w:lineRule="exact"/>
              <w:rPr>
                <w:sz w:val="20"/>
                <w:szCs w:val="20"/>
                <w:color w:val="auto"/>
              </w:rPr>
            </w:pPr>
            <w:r>
              <w:rPr>
                <w:rFonts w:ascii="Arial" w:cs="Arial" w:eastAsia="Arial" w:hAnsi="Arial"/>
                <w:sz w:val="18"/>
                <w:szCs w:val="18"/>
                <w:color w:val="auto"/>
              </w:rPr>
              <w:t>10-Q/A</w:t>
            </w:r>
          </w:p>
        </w:tc>
        <w:tc>
          <w:tcPr>
            <w:tcW w:w="920" w:type="dxa"/>
            <w:vAlign w:val="bottom"/>
          </w:tcPr>
          <w:p>
            <w:pPr>
              <w:ind w:left="80"/>
              <w:spacing w:after="0" w:line="169" w:lineRule="exact"/>
              <w:rPr>
                <w:sz w:val="20"/>
                <w:szCs w:val="20"/>
                <w:color w:val="auto"/>
              </w:rPr>
            </w:pPr>
            <w:r>
              <w:rPr>
                <w:rFonts w:ascii="Arial" w:cs="Arial" w:eastAsia="Arial" w:hAnsi="Arial"/>
                <w:sz w:val="18"/>
                <w:szCs w:val="18"/>
                <w:color w:val="auto"/>
              </w:rPr>
              <w:t>2/28/13</w:t>
            </w:r>
          </w:p>
        </w:tc>
        <w:tc>
          <w:tcPr>
            <w:tcW w:w="1080" w:type="dxa"/>
            <w:vAlign w:val="bottom"/>
          </w:tcPr>
          <w:p>
            <w:pPr>
              <w:ind w:left="80"/>
              <w:spacing w:after="0" w:line="169" w:lineRule="exact"/>
              <w:rPr>
                <w:sz w:val="20"/>
                <w:szCs w:val="20"/>
                <w:color w:val="auto"/>
              </w:rPr>
            </w:pPr>
            <w:r>
              <w:rPr>
                <w:rFonts w:ascii="Arial" w:cs="Arial" w:eastAsia="Arial" w:hAnsi="Arial"/>
                <w:sz w:val="18"/>
                <w:szCs w:val="18"/>
                <w:color w:val="auto"/>
              </w:rPr>
              <w:t>10.128</w:t>
            </w:r>
          </w:p>
        </w:tc>
        <w:tc>
          <w:tcPr>
            <w:tcW w:w="960" w:type="dxa"/>
            <w:vAlign w:val="bottom"/>
          </w:tcPr>
          <w:p>
            <w:pPr>
              <w:ind w:left="60"/>
              <w:spacing w:after="0" w:line="169" w:lineRule="exact"/>
              <w:rPr>
                <w:sz w:val="20"/>
                <w:szCs w:val="20"/>
                <w:color w:val="auto"/>
              </w:rPr>
            </w:pPr>
            <w:r>
              <w:rPr>
                <w:rFonts w:ascii="Arial" w:cs="Arial" w:eastAsia="Arial" w:hAnsi="Arial"/>
                <w:sz w:val="18"/>
                <w:szCs w:val="18"/>
                <w:color w:val="auto"/>
              </w:rPr>
              <w:t>8/7/13</w:t>
            </w:r>
          </w:p>
        </w:tc>
      </w:tr>
      <w:tr>
        <w:trPr>
          <w:trHeight w:val="155"/>
        </w:trPr>
        <w:tc>
          <w:tcPr>
            <w:tcW w:w="980" w:type="dxa"/>
            <w:vAlign w:val="bottom"/>
          </w:tcPr>
          <w:p>
            <w:pPr>
              <w:spacing w:after="0"/>
              <w:rPr>
                <w:sz w:val="13"/>
                <w:szCs w:val="13"/>
                <w:color w:val="auto"/>
              </w:rPr>
            </w:pPr>
          </w:p>
        </w:tc>
        <w:tc>
          <w:tcPr>
            <w:tcW w:w="5260" w:type="dxa"/>
            <w:vAlign w:val="bottom"/>
            <w:tcBorders>
              <w:top w:val="single" w:sz="8" w:color="0000FF"/>
            </w:tcBorders>
            <w:gridSpan w:val="10"/>
          </w:tcPr>
          <w:p>
            <w:pPr>
              <w:spacing w:after="0" w:line="154" w:lineRule="exact"/>
              <w:rPr>
                <w:rFonts w:ascii="Arial" w:cs="Arial" w:eastAsia="Arial" w:hAnsi="Arial"/>
                <w:sz w:val="17"/>
                <w:szCs w:val="17"/>
                <w:u w:val="single" w:color="auto"/>
                <w:color w:val="0000FF"/>
              </w:rPr>
            </w:pPr>
            <w:hyperlink r:id="rId208">
              <w:r>
                <w:rPr>
                  <w:rFonts w:ascii="Arial" w:cs="Arial" w:eastAsia="Arial" w:hAnsi="Arial"/>
                  <w:sz w:val="17"/>
                  <w:szCs w:val="17"/>
                  <w:u w:val="single" w:color="auto"/>
                  <w:color w:val="0000FF"/>
                </w:rPr>
                <w:t>Agreement for 68-50NM Process Nodes, dated as of January 17,</w:t>
              </w:r>
            </w:hyperlink>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76"/>
        </w:trPr>
        <w:tc>
          <w:tcPr>
            <w:tcW w:w="980" w:type="dxa"/>
            <w:vAlign w:val="bottom"/>
          </w:tcPr>
          <w:p>
            <w:pPr>
              <w:spacing w:after="0"/>
              <w:rPr>
                <w:sz w:val="15"/>
                <w:szCs w:val="15"/>
                <w:color w:val="auto"/>
              </w:rPr>
            </w:pPr>
          </w:p>
        </w:tc>
        <w:tc>
          <w:tcPr>
            <w:tcW w:w="5380" w:type="dxa"/>
            <w:vAlign w:val="bottom"/>
            <w:gridSpan w:val="12"/>
          </w:tcPr>
          <w:p>
            <w:pPr>
              <w:spacing w:after="0" w:line="176" w:lineRule="exact"/>
              <w:rPr>
                <w:rFonts w:ascii="Arial" w:cs="Arial" w:eastAsia="Arial" w:hAnsi="Arial"/>
                <w:sz w:val="18"/>
                <w:szCs w:val="18"/>
                <w:color w:val="0000FF"/>
              </w:rPr>
            </w:pPr>
            <w:hyperlink r:id="rId208">
              <w:r>
                <w:rPr>
                  <w:rFonts w:ascii="Arial" w:cs="Arial" w:eastAsia="Arial" w:hAnsi="Arial"/>
                  <w:sz w:val="18"/>
                  <w:szCs w:val="18"/>
                  <w:color w:val="0000FF"/>
                </w:rPr>
                <w:t>2013, by and between Micron Technology, Inc. and Nanya</w:t>
              </w:r>
            </w:hyperlink>
          </w:p>
        </w:tc>
        <w:tc>
          <w:tcPr>
            <w:tcW w:w="19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56"/>
        </w:trPr>
        <w:tc>
          <w:tcPr>
            <w:tcW w:w="980" w:type="dxa"/>
            <w:vAlign w:val="bottom"/>
          </w:tcPr>
          <w:p>
            <w:pPr>
              <w:spacing w:after="0"/>
              <w:rPr>
                <w:sz w:val="13"/>
                <w:szCs w:val="13"/>
                <w:color w:val="auto"/>
              </w:rPr>
            </w:pPr>
          </w:p>
        </w:tc>
        <w:tc>
          <w:tcPr>
            <w:tcW w:w="4620" w:type="dxa"/>
            <w:vAlign w:val="bottom"/>
            <w:tcBorders>
              <w:top w:val="single" w:sz="8" w:color="0000FF"/>
            </w:tcBorders>
            <w:gridSpan w:val="7"/>
          </w:tcPr>
          <w:p>
            <w:pPr>
              <w:spacing w:after="0" w:line="156" w:lineRule="exact"/>
              <w:rPr>
                <w:rFonts w:ascii="Arial" w:cs="Arial" w:eastAsia="Arial" w:hAnsi="Arial"/>
                <w:sz w:val="18"/>
                <w:szCs w:val="18"/>
                <w:color w:val="0000FF"/>
              </w:rPr>
            </w:pPr>
            <w:hyperlink r:id="rId208">
              <w:r>
                <w:rPr>
                  <w:rFonts w:ascii="Arial" w:cs="Arial" w:eastAsia="Arial" w:hAnsi="Arial"/>
                  <w:sz w:val="18"/>
                  <w:szCs w:val="18"/>
                  <w:color w:val="0000FF"/>
                </w:rPr>
                <w:t>Technology Corporation</w:t>
              </w:r>
            </w:hyperlink>
          </w:p>
        </w:tc>
        <w:tc>
          <w:tcPr>
            <w:tcW w:w="420" w:type="dxa"/>
            <w:vAlign w:val="bottom"/>
          </w:tcPr>
          <w:p>
            <w:pPr>
              <w:spacing w:after="0"/>
              <w:rPr>
                <w:sz w:val="13"/>
                <w:szCs w:val="13"/>
                <w:color w:val="auto"/>
              </w:rPr>
            </w:pPr>
          </w:p>
        </w:tc>
        <w:tc>
          <w:tcPr>
            <w:tcW w:w="240" w:type="dxa"/>
            <w:vAlign w:val="bottom"/>
            <w:gridSpan w:val="3"/>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21"/>
        </w:trPr>
        <w:tc>
          <w:tcPr>
            <w:tcW w:w="980" w:type="dxa"/>
            <w:vAlign w:val="bottom"/>
          </w:tcPr>
          <w:p>
            <w:pPr>
              <w:spacing w:after="0" w:line="20" w:lineRule="exact"/>
              <w:rPr>
                <w:sz w:val="1"/>
                <w:szCs w:val="1"/>
                <w:color w:val="auto"/>
              </w:rPr>
            </w:pPr>
          </w:p>
        </w:tc>
        <w:tc>
          <w:tcPr>
            <w:tcW w:w="14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89"/>
        </w:trPr>
        <w:tc>
          <w:tcPr>
            <w:tcW w:w="980" w:type="dxa"/>
            <w:vAlign w:val="bottom"/>
            <w:tcBorders>
              <w:bottom w:val="single" w:sz="8" w:color="D1D2D4"/>
            </w:tcBorders>
            <w:shd w:val="clear" w:color="auto" w:fill="D1D2D4"/>
          </w:tcPr>
          <w:p>
            <w:pPr>
              <w:ind w:left="20"/>
              <w:spacing w:after="0" w:line="189" w:lineRule="exact"/>
              <w:rPr>
                <w:sz w:val="20"/>
                <w:szCs w:val="20"/>
                <w:color w:val="auto"/>
              </w:rPr>
            </w:pPr>
            <w:r>
              <w:rPr>
                <w:rFonts w:ascii="Arial" w:cs="Arial" w:eastAsia="Arial" w:hAnsi="Arial"/>
                <w:sz w:val="18"/>
                <w:szCs w:val="18"/>
                <w:color w:val="auto"/>
              </w:rPr>
              <w:t>10.14*</w:t>
            </w:r>
          </w:p>
        </w:tc>
        <w:tc>
          <w:tcPr>
            <w:tcW w:w="5040" w:type="dxa"/>
            <w:vAlign w:val="bottom"/>
            <w:tcBorders>
              <w:bottom w:val="single" w:sz="8" w:color="0000FF"/>
            </w:tcBorders>
            <w:gridSpan w:val="8"/>
            <w:shd w:val="clear" w:color="auto" w:fill="D1D2D4"/>
          </w:tcPr>
          <w:p>
            <w:pPr>
              <w:spacing w:after="0" w:line="169" w:lineRule="exact"/>
              <w:rPr>
                <w:rFonts w:ascii="Arial" w:cs="Arial" w:eastAsia="Arial" w:hAnsi="Arial"/>
                <w:sz w:val="18"/>
                <w:szCs w:val="18"/>
                <w:color w:val="0000FF"/>
                <w:w w:val="98"/>
              </w:rPr>
            </w:pPr>
            <w:hyperlink r:id="rId209">
              <w:r>
                <w:rPr>
                  <w:rFonts w:ascii="Arial" w:cs="Arial" w:eastAsia="Arial" w:hAnsi="Arial"/>
                  <w:sz w:val="18"/>
                  <w:szCs w:val="18"/>
                  <w:color w:val="0000FF"/>
                  <w:w w:val="98"/>
                </w:rPr>
                <w:t>Third Amended and Restated Technology Transfer and License</w:t>
              </w:r>
            </w:hyperlink>
          </w:p>
        </w:tc>
        <w:tc>
          <w:tcPr>
            <w:tcW w:w="240" w:type="dxa"/>
            <w:vAlign w:val="bottom"/>
            <w:tcBorders>
              <w:bottom w:val="single" w:sz="8" w:color="D1D2D4"/>
            </w:tcBorders>
            <w:gridSpan w:val="3"/>
            <w:shd w:val="clear" w:color="auto" w:fill="D1D2D4"/>
          </w:tcPr>
          <w:p>
            <w:pPr>
              <w:spacing w:after="0"/>
              <w:rPr>
                <w:sz w:val="16"/>
                <w:szCs w:val="16"/>
                <w:color w:val="auto"/>
              </w:rPr>
            </w:pPr>
          </w:p>
        </w:tc>
        <w:tc>
          <w:tcPr>
            <w:tcW w:w="100" w:type="dxa"/>
            <w:vAlign w:val="bottom"/>
            <w:tcBorders>
              <w:bottom w:val="single" w:sz="8" w:color="D1D2D4"/>
            </w:tcBorders>
            <w:shd w:val="clear" w:color="auto" w:fill="D1D2D4"/>
          </w:tcPr>
          <w:p>
            <w:pPr>
              <w:spacing w:after="0"/>
              <w:rPr>
                <w:sz w:val="16"/>
                <w:szCs w:val="16"/>
                <w:color w:val="auto"/>
              </w:rPr>
            </w:pPr>
          </w:p>
        </w:tc>
        <w:tc>
          <w:tcPr>
            <w:tcW w:w="1920" w:type="dxa"/>
            <w:vAlign w:val="bottom"/>
            <w:tcBorders>
              <w:bottom w:val="single" w:sz="8" w:color="D1D2D4"/>
            </w:tcBorders>
            <w:shd w:val="clear" w:color="auto" w:fill="D1D2D4"/>
          </w:tcPr>
          <w:p>
            <w:pPr>
              <w:ind w:left="1220"/>
              <w:spacing w:after="0" w:line="189" w:lineRule="exact"/>
              <w:rPr>
                <w:sz w:val="20"/>
                <w:szCs w:val="20"/>
                <w:color w:val="auto"/>
              </w:rPr>
            </w:pPr>
            <w:r>
              <w:rPr>
                <w:rFonts w:ascii="Arial" w:cs="Arial" w:eastAsia="Arial" w:hAnsi="Arial"/>
                <w:sz w:val="18"/>
                <w:szCs w:val="18"/>
                <w:color w:val="auto"/>
              </w:rPr>
              <w:t>10-Q</w:t>
            </w:r>
          </w:p>
        </w:tc>
        <w:tc>
          <w:tcPr>
            <w:tcW w:w="920" w:type="dxa"/>
            <w:vAlign w:val="bottom"/>
            <w:tcBorders>
              <w:bottom w:val="single" w:sz="8" w:color="D1D2D4"/>
            </w:tcBorders>
            <w:shd w:val="clear" w:color="auto" w:fill="D1D2D4"/>
          </w:tcPr>
          <w:p>
            <w:pPr>
              <w:ind w:left="80"/>
              <w:spacing w:after="0" w:line="189" w:lineRule="exact"/>
              <w:rPr>
                <w:sz w:val="20"/>
                <w:szCs w:val="20"/>
                <w:color w:val="auto"/>
              </w:rPr>
            </w:pPr>
            <w:r>
              <w:rPr>
                <w:rFonts w:ascii="Arial" w:cs="Arial" w:eastAsia="Arial" w:hAnsi="Arial"/>
                <w:sz w:val="18"/>
                <w:szCs w:val="18"/>
                <w:color w:val="auto"/>
              </w:rPr>
              <w:t>2/28/13</w:t>
            </w:r>
          </w:p>
        </w:tc>
        <w:tc>
          <w:tcPr>
            <w:tcW w:w="1080" w:type="dxa"/>
            <w:vAlign w:val="bottom"/>
            <w:tcBorders>
              <w:bottom w:val="single" w:sz="8" w:color="D1D2D4"/>
            </w:tcBorders>
            <w:shd w:val="clear" w:color="auto" w:fill="D1D2D4"/>
          </w:tcPr>
          <w:p>
            <w:pPr>
              <w:ind w:left="80"/>
              <w:spacing w:after="0" w:line="189" w:lineRule="exact"/>
              <w:rPr>
                <w:sz w:val="20"/>
                <w:szCs w:val="20"/>
                <w:color w:val="auto"/>
              </w:rPr>
            </w:pPr>
            <w:r>
              <w:rPr>
                <w:rFonts w:ascii="Arial" w:cs="Arial" w:eastAsia="Arial" w:hAnsi="Arial"/>
                <w:sz w:val="18"/>
                <w:szCs w:val="18"/>
                <w:color w:val="auto"/>
              </w:rPr>
              <w:t>10.129</w:t>
            </w:r>
          </w:p>
        </w:tc>
        <w:tc>
          <w:tcPr>
            <w:tcW w:w="960" w:type="dxa"/>
            <w:vAlign w:val="bottom"/>
            <w:tcBorders>
              <w:bottom w:val="single" w:sz="8" w:color="D1D2D4"/>
            </w:tcBorders>
            <w:shd w:val="clear" w:color="auto" w:fill="D1D2D4"/>
          </w:tcPr>
          <w:p>
            <w:pPr>
              <w:ind w:left="60"/>
              <w:spacing w:after="0" w:line="189" w:lineRule="exact"/>
              <w:rPr>
                <w:sz w:val="20"/>
                <w:szCs w:val="20"/>
                <w:color w:val="auto"/>
              </w:rPr>
            </w:pPr>
            <w:r>
              <w:rPr>
                <w:rFonts w:ascii="Arial" w:cs="Arial" w:eastAsia="Arial" w:hAnsi="Arial"/>
                <w:sz w:val="18"/>
                <w:szCs w:val="18"/>
                <w:color w:val="auto"/>
              </w:rPr>
              <w:t>4/8/13</w:t>
            </w:r>
          </w:p>
        </w:tc>
      </w:tr>
      <w:tr>
        <w:trPr>
          <w:trHeight w:val="156"/>
        </w:trPr>
        <w:tc>
          <w:tcPr>
            <w:tcW w:w="980" w:type="dxa"/>
            <w:vAlign w:val="bottom"/>
            <w:shd w:val="clear" w:color="auto" w:fill="D1D2D4"/>
          </w:tcPr>
          <w:p>
            <w:pPr>
              <w:spacing w:after="0"/>
              <w:rPr>
                <w:sz w:val="13"/>
                <w:szCs w:val="13"/>
                <w:color w:val="auto"/>
              </w:rPr>
            </w:pPr>
          </w:p>
        </w:tc>
        <w:tc>
          <w:tcPr>
            <w:tcW w:w="5380" w:type="dxa"/>
            <w:vAlign w:val="bottom"/>
            <w:gridSpan w:val="12"/>
            <w:shd w:val="clear" w:color="auto" w:fill="D1D2D4"/>
          </w:tcPr>
          <w:p>
            <w:pPr>
              <w:spacing w:after="0" w:line="156" w:lineRule="exact"/>
              <w:rPr>
                <w:rFonts w:ascii="Arial" w:cs="Arial" w:eastAsia="Arial" w:hAnsi="Arial"/>
                <w:sz w:val="18"/>
                <w:szCs w:val="18"/>
                <w:color w:val="0000FF"/>
              </w:rPr>
            </w:pPr>
            <w:hyperlink r:id="rId209">
              <w:r>
                <w:rPr>
                  <w:rFonts w:ascii="Arial" w:cs="Arial" w:eastAsia="Arial" w:hAnsi="Arial"/>
                  <w:sz w:val="18"/>
                  <w:szCs w:val="18"/>
                  <w:color w:val="0000FF"/>
                </w:rPr>
                <w:t xml:space="preserve">Agreement, dated </w:t>
              </w:r>
              <w:r>
                <w:rPr>
                  <w:rFonts w:ascii="Arial" w:cs="Arial" w:eastAsia="Arial" w:hAnsi="Arial"/>
                  <w:sz w:val="18"/>
                  <w:szCs w:val="18"/>
                  <w:u w:val="single" w:color="auto"/>
                  <w:color w:val="0000FF"/>
                </w:rPr>
                <w:t>as of</w:t>
              </w:r>
              <w:r>
                <w:rPr>
                  <w:rFonts w:ascii="Arial" w:cs="Arial" w:eastAsia="Arial" w:hAnsi="Arial"/>
                  <w:sz w:val="18"/>
                  <w:szCs w:val="18"/>
                  <w:color w:val="0000FF"/>
                </w:rPr>
                <w:t xml:space="preserve"> January 17, 2013, by and between Micron</w:t>
              </w:r>
            </w:hyperlink>
          </w:p>
        </w:tc>
        <w:tc>
          <w:tcPr>
            <w:tcW w:w="1920" w:type="dxa"/>
            <w:vAlign w:val="bottom"/>
            <w:shd w:val="clear" w:color="auto" w:fill="D1D2D4"/>
          </w:tcPr>
          <w:p>
            <w:pPr>
              <w:spacing w:after="0"/>
              <w:rPr>
                <w:sz w:val="13"/>
                <w:szCs w:val="13"/>
                <w:color w:val="auto"/>
              </w:rPr>
            </w:pPr>
          </w:p>
        </w:tc>
        <w:tc>
          <w:tcPr>
            <w:tcW w:w="920" w:type="dxa"/>
            <w:vAlign w:val="bottom"/>
            <w:shd w:val="clear" w:color="auto" w:fill="D1D2D4"/>
          </w:tcPr>
          <w:p>
            <w:pPr>
              <w:spacing w:after="0"/>
              <w:rPr>
                <w:sz w:val="13"/>
                <w:szCs w:val="13"/>
                <w:color w:val="auto"/>
              </w:rPr>
            </w:pPr>
          </w:p>
        </w:tc>
        <w:tc>
          <w:tcPr>
            <w:tcW w:w="1080" w:type="dxa"/>
            <w:vAlign w:val="bottom"/>
            <w:shd w:val="clear" w:color="auto" w:fill="D1D2D4"/>
          </w:tcPr>
          <w:p>
            <w:pPr>
              <w:spacing w:after="0"/>
              <w:rPr>
                <w:sz w:val="13"/>
                <w:szCs w:val="13"/>
                <w:color w:val="auto"/>
              </w:rPr>
            </w:pPr>
          </w:p>
        </w:tc>
        <w:tc>
          <w:tcPr>
            <w:tcW w:w="960" w:type="dxa"/>
            <w:vAlign w:val="bottom"/>
            <w:shd w:val="clear" w:color="auto" w:fill="D1D2D4"/>
          </w:tcPr>
          <w:p>
            <w:pPr>
              <w:spacing w:after="0"/>
              <w:rPr>
                <w:sz w:val="13"/>
                <w:szCs w:val="13"/>
                <w:color w:val="auto"/>
              </w:rPr>
            </w:pPr>
          </w:p>
        </w:tc>
      </w:tr>
      <w:tr>
        <w:trPr>
          <w:trHeight w:val="20"/>
        </w:trPr>
        <w:tc>
          <w:tcPr>
            <w:tcW w:w="980" w:type="dxa"/>
            <w:vAlign w:val="bottom"/>
            <w:shd w:val="clear" w:color="auto" w:fill="D1D2D4"/>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440" w:type="dxa"/>
            <w:vAlign w:val="bottom"/>
            <w:gridSpan w:val="2"/>
            <w:shd w:val="clear" w:color="auto" w:fill="D1D2D4"/>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120" w:type="dxa"/>
            <w:vAlign w:val="bottom"/>
            <w:gridSpan w:val="5"/>
            <w:shd w:val="clear" w:color="auto" w:fill="0000FF"/>
          </w:tcPr>
          <w:p>
            <w:pPr>
              <w:spacing w:after="0" w:line="20" w:lineRule="exact"/>
              <w:rPr>
                <w:sz w:val="1"/>
                <w:szCs w:val="1"/>
                <w:color w:val="auto"/>
              </w:rPr>
            </w:pPr>
          </w:p>
        </w:tc>
        <w:tc>
          <w:tcPr>
            <w:tcW w:w="100" w:type="dxa"/>
            <w:vAlign w:val="bottom"/>
            <w:shd w:val="clear" w:color="auto" w:fill="D1D2D4"/>
          </w:tcPr>
          <w:p>
            <w:pPr>
              <w:spacing w:after="0" w:line="20" w:lineRule="exact"/>
              <w:rPr>
                <w:sz w:val="1"/>
                <w:szCs w:val="1"/>
                <w:color w:val="auto"/>
              </w:rPr>
            </w:pPr>
          </w:p>
        </w:tc>
        <w:tc>
          <w:tcPr>
            <w:tcW w:w="1920" w:type="dxa"/>
            <w:vAlign w:val="bottom"/>
            <w:shd w:val="clear" w:color="auto" w:fill="D1D2D4"/>
          </w:tcPr>
          <w:p>
            <w:pPr>
              <w:spacing w:after="0" w:line="20" w:lineRule="exact"/>
              <w:rPr>
                <w:sz w:val="1"/>
                <w:szCs w:val="1"/>
                <w:color w:val="auto"/>
              </w:rPr>
            </w:pPr>
          </w:p>
        </w:tc>
        <w:tc>
          <w:tcPr>
            <w:tcW w:w="920" w:type="dxa"/>
            <w:vAlign w:val="bottom"/>
            <w:shd w:val="clear" w:color="auto" w:fill="D1D2D4"/>
          </w:tcPr>
          <w:p>
            <w:pPr>
              <w:spacing w:after="0" w:line="20" w:lineRule="exact"/>
              <w:rPr>
                <w:sz w:val="1"/>
                <w:szCs w:val="1"/>
                <w:color w:val="auto"/>
              </w:rPr>
            </w:pPr>
          </w:p>
        </w:tc>
        <w:tc>
          <w:tcPr>
            <w:tcW w:w="1080" w:type="dxa"/>
            <w:vAlign w:val="bottom"/>
            <w:shd w:val="clear" w:color="auto" w:fill="D1D2D4"/>
          </w:tcPr>
          <w:p>
            <w:pPr>
              <w:spacing w:after="0" w:line="20" w:lineRule="exact"/>
              <w:rPr>
                <w:sz w:val="1"/>
                <w:szCs w:val="1"/>
                <w:color w:val="auto"/>
              </w:rPr>
            </w:pPr>
          </w:p>
        </w:tc>
        <w:tc>
          <w:tcPr>
            <w:tcW w:w="960" w:type="dxa"/>
            <w:vAlign w:val="bottom"/>
            <w:shd w:val="clear" w:color="auto" w:fill="D1D2D4"/>
          </w:tcPr>
          <w:p>
            <w:pPr>
              <w:spacing w:after="0" w:line="20" w:lineRule="exact"/>
              <w:rPr>
                <w:sz w:val="1"/>
                <w:szCs w:val="1"/>
                <w:color w:val="auto"/>
              </w:rPr>
            </w:pPr>
          </w:p>
        </w:tc>
      </w:tr>
      <w:tr>
        <w:trPr>
          <w:trHeight w:val="176"/>
        </w:trPr>
        <w:tc>
          <w:tcPr>
            <w:tcW w:w="980" w:type="dxa"/>
            <w:vAlign w:val="bottom"/>
            <w:shd w:val="clear" w:color="auto" w:fill="D1D2D4"/>
          </w:tcPr>
          <w:p>
            <w:pPr>
              <w:spacing w:after="0"/>
              <w:rPr>
                <w:sz w:val="15"/>
                <w:szCs w:val="15"/>
                <w:color w:val="auto"/>
              </w:rPr>
            </w:pPr>
          </w:p>
        </w:tc>
        <w:tc>
          <w:tcPr>
            <w:tcW w:w="5380" w:type="dxa"/>
            <w:vAlign w:val="bottom"/>
            <w:gridSpan w:val="12"/>
            <w:shd w:val="clear" w:color="auto" w:fill="D1D2D4"/>
          </w:tcPr>
          <w:p>
            <w:pPr>
              <w:spacing w:after="0" w:line="156" w:lineRule="exact"/>
              <w:rPr>
                <w:rFonts w:ascii="Arial" w:cs="Arial" w:eastAsia="Arial" w:hAnsi="Arial"/>
                <w:sz w:val="18"/>
                <w:szCs w:val="18"/>
                <w:color w:val="0000FF"/>
              </w:rPr>
            </w:pPr>
            <w:hyperlink r:id="rId209">
              <w:r>
                <w:rPr>
                  <w:rFonts w:ascii="Arial" w:cs="Arial" w:eastAsia="Arial" w:hAnsi="Arial"/>
                  <w:sz w:val="18"/>
                  <w:szCs w:val="18"/>
                  <w:color w:val="0000FF"/>
                </w:rPr>
                <w:t>Technology, Inc. and Nanya Technology Corporation</w:t>
              </w:r>
            </w:hyperlink>
          </w:p>
        </w:tc>
        <w:tc>
          <w:tcPr>
            <w:tcW w:w="1920" w:type="dxa"/>
            <w:vAlign w:val="bottom"/>
            <w:shd w:val="clear" w:color="auto" w:fill="D1D2D4"/>
          </w:tcPr>
          <w:p>
            <w:pPr>
              <w:spacing w:after="0"/>
              <w:rPr>
                <w:sz w:val="15"/>
                <w:szCs w:val="15"/>
                <w:color w:val="auto"/>
              </w:rPr>
            </w:pPr>
          </w:p>
        </w:tc>
        <w:tc>
          <w:tcPr>
            <w:tcW w:w="920" w:type="dxa"/>
            <w:vAlign w:val="bottom"/>
            <w:shd w:val="clear" w:color="auto" w:fill="D1D2D4"/>
          </w:tcPr>
          <w:p>
            <w:pPr>
              <w:spacing w:after="0"/>
              <w:rPr>
                <w:sz w:val="15"/>
                <w:szCs w:val="15"/>
                <w:color w:val="auto"/>
              </w:rPr>
            </w:pPr>
          </w:p>
        </w:tc>
        <w:tc>
          <w:tcPr>
            <w:tcW w:w="1080" w:type="dxa"/>
            <w:vAlign w:val="bottom"/>
            <w:shd w:val="clear" w:color="auto" w:fill="D1D2D4"/>
          </w:tcPr>
          <w:p>
            <w:pPr>
              <w:spacing w:after="0"/>
              <w:rPr>
                <w:sz w:val="15"/>
                <w:szCs w:val="15"/>
                <w:color w:val="auto"/>
              </w:rPr>
            </w:pPr>
          </w:p>
        </w:tc>
        <w:tc>
          <w:tcPr>
            <w:tcW w:w="960" w:type="dxa"/>
            <w:vAlign w:val="bottom"/>
            <w:shd w:val="clear" w:color="auto" w:fill="D1D2D4"/>
          </w:tcPr>
          <w:p>
            <w:pPr>
              <w:spacing w:after="0"/>
              <w:rPr>
                <w:sz w:val="15"/>
                <w:szCs w:val="15"/>
                <w:color w:val="auto"/>
              </w:rPr>
            </w:pPr>
          </w:p>
        </w:tc>
      </w:tr>
      <w:tr>
        <w:trPr>
          <w:trHeight w:val="250"/>
        </w:trPr>
        <w:tc>
          <w:tcPr>
            <w:tcW w:w="980" w:type="dxa"/>
            <w:vAlign w:val="bottom"/>
            <w:tcBorders>
              <w:top w:val="single" w:sz="8" w:color="D1D2D4"/>
            </w:tcBorders>
          </w:tcPr>
          <w:p>
            <w:pPr>
              <w:ind w:left="20"/>
              <w:spacing w:after="0"/>
              <w:rPr>
                <w:sz w:val="20"/>
                <w:szCs w:val="20"/>
                <w:color w:val="auto"/>
              </w:rPr>
            </w:pPr>
            <w:r>
              <w:rPr>
                <w:rFonts w:ascii="Arial" w:cs="Arial" w:eastAsia="Arial" w:hAnsi="Arial"/>
                <w:sz w:val="18"/>
                <w:szCs w:val="18"/>
                <w:color w:val="auto"/>
              </w:rPr>
              <w:t>10.15**</w:t>
            </w:r>
          </w:p>
        </w:tc>
        <w:tc>
          <w:tcPr>
            <w:tcW w:w="4160" w:type="dxa"/>
            <w:vAlign w:val="bottom"/>
            <w:tcBorders>
              <w:top w:val="single" w:sz="8" w:color="0000FF"/>
            </w:tcBorders>
            <w:gridSpan w:val="6"/>
          </w:tcPr>
          <w:p>
            <w:pPr>
              <w:spacing w:after="0"/>
              <w:rPr>
                <w:rFonts w:ascii="Arial" w:cs="Arial" w:eastAsia="Arial" w:hAnsi="Arial"/>
                <w:sz w:val="18"/>
                <w:szCs w:val="18"/>
                <w:u w:val="single" w:color="auto"/>
                <w:color w:val="0000FF"/>
              </w:rPr>
            </w:pPr>
            <w:hyperlink r:id="rId210">
              <w:r>
                <w:rPr>
                  <w:rFonts w:ascii="Arial" w:cs="Arial" w:eastAsia="Arial" w:hAnsi="Arial"/>
                  <w:sz w:val="18"/>
                  <w:szCs w:val="18"/>
                  <w:u w:val="single" w:color="auto"/>
                  <w:color w:val="0000FF"/>
                </w:rPr>
                <w:t>Deferred Compensation Plan</w:t>
              </w:r>
            </w:hyperlink>
          </w:p>
        </w:tc>
        <w:tc>
          <w:tcPr>
            <w:tcW w:w="1220" w:type="dxa"/>
            <w:vAlign w:val="bottom"/>
            <w:tcBorders>
              <w:top w:val="single" w:sz="8" w:color="D1D2D4"/>
            </w:tcBorders>
            <w:gridSpan w:val="6"/>
          </w:tcPr>
          <w:p>
            <w:pPr>
              <w:spacing w:after="0"/>
              <w:rPr>
                <w:sz w:val="21"/>
                <w:szCs w:val="21"/>
                <w:color w:val="auto"/>
              </w:rPr>
            </w:pPr>
          </w:p>
        </w:tc>
        <w:tc>
          <w:tcPr>
            <w:tcW w:w="1920" w:type="dxa"/>
            <w:vAlign w:val="bottom"/>
            <w:tcBorders>
              <w:top w:val="single" w:sz="8" w:color="D1D2D4"/>
            </w:tcBorders>
          </w:tcPr>
          <w:p>
            <w:pPr>
              <w:ind w:left="1220"/>
              <w:spacing w:after="0"/>
              <w:rPr>
                <w:sz w:val="20"/>
                <w:szCs w:val="20"/>
                <w:color w:val="auto"/>
              </w:rPr>
            </w:pPr>
            <w:r>
              <w:rPr>
                <w:rFonts w:ascii="Arial" w:cs="Arial" w:eastAsia="Arial" w:hAnsi="Arial"/>
                <w:sz w:val="18"/>
                <w:szCs w:val="18"/>
                <w:color w:val="auto"/>
              </w:rPr>
              <w:t>10-Q</w:t>
            </w:r>
          </w:p>
        </w:tc>
        <w:tc>
          <w:tcPr>
            <w:tcW w:w="920" w:type="dxa"/>
            <w:vAlign w:val="bottom"/>
            <w:tcBorders>
              <w:top w:val="single" w:sz="8" w:color="D1D2D4"/>
            </w:tcBorders>
          </w:tcPr>
          <w:p>
            <w:pPr>
              <w:ind w:left="80"/>
              <w:spacing w:after="0"/>
              <w:rPr>
                <w:sz w:val="20"/>
                <w:szCs w:val="20"/>
                <w:color w:val="auto"/>
              </w:rPr>
            </w:pPr>
            <w:r>
              <w:rPr>
                <w:rFonts w:ascii="Arial" w:cs="Arial" w:eastAsia="Arial" w:hAnsi="Arial"/>
                <w:sz w:val="18"/>
                <w:szCs w:val="18"/>
                <w:color w:val="auto"/>
              </w:rPr>
              <w:t>5/31/18</w:t>
            </w:r>
          </w:p>
        </w:tc>
        <w:tc>
          <w:tcPr>
            <w:tcW w:w="1080" w:type="dxa"/>
            <w:vAlign w:val="bottom"/>
            <w:tcBorders>
              <w:top w:val="single" w:sz="8" w:color="D1D2D4"/>
            </w:tcBorders>
          </w:tcPr>
          <w:p>
            <w:pPr>
              <w:ind w:left="80"/>
              <w:spacing w:after="0"/>
              <w:rPr>
                <w:sz w:val="20"/>
                <w:szCs w:val="20"/>
                <w:color w:val="auto"/>
              </w:rPr>
            </w:pPr>
            <w:r>
              <w:rPr>
                <w:rFonts w:ascii="Arial" w:cs="Arial" w:eastAsia="Arial" w:hAnsi="Arial"/>
                <w:sz w:val="18"/>
                <w:szCs w:val="18"/>
                <w:color w:val="auto"/>
              </w:rPr>
              <w:t>10.64</w:t>
            </w:r>
          </w:p>
        </w:tc>
        <w:tc>
          <w:tcPr>
            <w:tcW w:w="960" w:type="dxa"/>
            <w:vAlign w:val="bottom"/>
            <w:tcBorders>
              <w:top w:val="single" w:sz="8" w:color="D1D2D4"/>
            </w:tcBorders>
          </w:tcPr>
          <w:p>
            <w:pPr>
              <w:ind w:left="60"/>
              <w:spacing w:after="0"/>
              <w:rPr>
                <w:sz w:val="20"/>
                <w:szCs w:val="20"/>
                <w:color w:val="auto"/>
              </w:rPr>
            </w:pPr>
            <w:r>
              <w:rPr>
                <w:rFonts w:ascii="Arial" w:cs="Arial" w:eastAsia="Arial" w:hAnsi="Arial"/>
                <w:sz w:val="18"/>
                <w:szCs w:val="18"/>
                <w:color w:val="auto"/>
              </w:rPr>
              <w:t>6/22/18</w:t>
            </w:r>
          </w:p>
        </w:tc>
      </w:tr>
      <w:tr>
        <w:trPr>
          <w:trHeight w:val="196"/>
        </w:trPr>
        <w:tc>
          <w:tcPr>
            <w:tcW w:w="980" w:type="dxa"/>
            <w:vAlign w:val="bottom"/>
            <w:tcBorders>
              <w:bottom w:val="single" w:sz="8" w:color="D1D2D4"/>
            </w:tcBorders>
            <w:shd w:val="clear" w:color="auto" w:fill="D1D2D4"/>
          </w:tcPr>
          <w:p>
            <w:pPr>
              <w:ind w:left="20"/>
              <w:spacing w:after="0" w:line="195" w:lineRule="exact"/>
              <w:rPr>
                <w:sz w:val="20"/>
                <w:szCs w:val="20"/>
                <w:color w:val="auto"/>
              </w:rPr>
            </w:pPr>
            <w:r>
              <w:rPr>
                <w:rFonts w:ascii="Arial" w:cs="Arial" w:eastAsia="Arial" w:hAnsi="Arial"/>
                <w:sz w:val="18"/>
                <w:szCs w:val="18"/>
                <w:color w:val="auto"/>
              </w:rPr>
              <w:t>10.16**</w:t>
            </w:r>
          </w:p>
        </w:tc>
        <w:tc>
          <w:tcPr>
            <w:tcW w:w="3480" w:type="dxa"/>
            <w:vAlign w:val="bottom"/>
            <w:tcBorders>
              <w:bottom w:val="single" w:sz="8" w:color="D1D2D4"/>
            </w:tcBorders>
            <w:gridSpan w:val="5"/>
            <w:shd w:val="clear" w:color="auto" w:fill="D1D2D4"/>
          </w:tcPr>
          <w:p>
            <w:pPr>
              <w:spacing w:after="0" w:line="195" w:lineRule="exact"/>
              <w:rPr>
                <w:rFonts w:ascii="Arial" w:cs="Arial" w:eastAsia="Arial" w:hAnsi="Arial"/>
                <w:sz w:val="18"/>
                <w:szCs w:val="18"/>
                <w:u w:val="single" w:color="auto"/>
                <w:color w:val="0000FF"/>
                <w:w w:val="99"/>
              </w:rPr>
            </w:pPr>
            <w:hyperlink r:id="rId211">
              <w:r>
                <w:rPr>
                  <w:rFonts w:ascii="Arial" w:cs="Arial" w:eastAsia="Arial" w:hAnsi="Arial"/>
                  <w:sz w:val="18"/>
                  <w:szCs w:val="18"/>
                  <w:u w:val="single" w:color="auto"/>
                  <w:color w:val="0000FF"/>
                  <w:w w:val="99"/>
                </w:rPr>
                <w:t>Executive Agreement, dated April 26, 2017,</w:t>
              </w:r>
            </w:hyperlink>
          </w:p>
        </w:tc>
        <w:tc>
          <w:tcPr>
            <w:tcW w:w="1900" w:type="dxa"/>
            <w:vAlign w:val="bottom"/>
            <w:tcBorders>
              <w:bottom w:val="single" w:sz="8" w:color="0000FF"/>
            </w:tcBorders>
            <w:gridSpan w:val="7"/>
            <w:shd w:val="clear" w:color="auto" w:fill="D1D2D4"/>
          </w:tcPr>
          <w:p>
            <w:pPr>
              <w:ind w:left="40"/>
              <w:spacing w:after="0" w:line="176" w:lineRule="exact"/>
              <w:rPr>
                <w:rFonts w:ascii="Arial" w:cs="Arial" w:eastAsia="Arial" w:hAnsi="Arial"/>
                <w:sz w:val="18"/>
                <w:szCs w:val="18"/>
                <w:color w:val="0000FF"/>
                <w:w w:val="98"/>
              </w:rPr>
            </w:pPr>
            <w:hyperlink r:id="rId211">
              <w:r>
                <w:rPr>
                  <w:rFonts w:ascii="Arial" w:cs="Arial" w:eastAsia="Arial" w:hAnsi="Arial"/>
                  <w:sz w:val="18"/>
                  <w:szCs w:val="18"/>
                  <w:color w:val="0000FF"/>
                  <w:w w:val="98"/>
                </w:rPr>
                <w:t>by and between Micron</w:t>
              </w:r>
            </w:hyperlink>
          </w:p>
        </w:tc>
        <w:tc>
          <w:tcPr>
            <w:tcW w:w="1920" w:type="dxa"/>
            <w:vAlign w:val="bottom"/>
            <w:tcBorders>
              <w:bottom w:val="single" w:sz="8" w:color="D1D2D4"/>
            </w:tcBorders>
            <w:shd w:val="clear" w:color="auto" w:fill="D1D2D4"/>
          </w:tcPr>
          <w:p>
            <w:pPr>
              <w:ind w:left="1220"/>
              <w:spacing w:after="0" w:line="195" w:lineRule="exact"/>
              <w:rPr>
                <w:sz w:val="20"/>
                <w:szCs w:val="20"/>
                <w:color w:val="auto"/>
              </w:rPr>
            </w:pPr>
            <w:r>
              <w:rPr>
                <w:rFonts w:ascii="Arial" w:cs="Arial" w:eastAsia="Arial" w:hAnsi="Arial"/>
                <w:sz w:val="18"/>
                <w:szCs w:val="18"/>
                <w:color w:val="auto"/>
              </w:rPr>
              <w:t>10-Q</w:t>
            </w:r>
          </w:p>
        </w:tc>
        <w:tc>
          <w:tcPr>
            <w:tcW w:w="920" w:type="dxa"/>
            <w:vAlign w:val="bottom"/>
            <w:tcBorders>
              <w:bottom w:val="single" w:sz="8" w:color="D1D2D4"/>
            </w:tcBorders>
            <w:shd w:val="clear" w:color="auto" w:fill="D1D2D4"/>
          </w:tcPr>
          <w:p>
            <w:pPr>
              <w:ind w:left="80"/>
              <w:spacing w:after="0" w:line="195" w:lineRule="exact"/>
              <w:rPr>
                <w:sz w:val="20"/>
                <w:szCs w:val="20"/>
                <w:color w:val="auto"/>
              </w:rPr>
            </w:pPr>
            <w:r>
              <w:rPr>
                <w:rFonts w:ascii="Arial" w:cs="Arial" w:eastAsia="Arial" w:hAnsi="Arial"/>
                <w:sz w:val="18"/>
                <w:szCs w:val="18"/>
                <w:color w:val="auto"/>
              </w:rPr>
              <w:t>6/1/17</w:t>
            </w:r>
          </w:p>
        </w:tc>
        <w:tc>
          <w:tcPr>
            <w:tcW w:w="1080" w:type="dxa"/>
            <w:vAlign w:val="bottom"/>
            <w:tcBorders>
              <w:bottom w:val="single" w:sz="8" w:color="D1D2D4"/>
            </w:tcBorders>
            <w:shd w:val="clear" w:color="auto" w:fill="D1D2D4"/>
          </w:tcPr>
          <w:p>
            <w:pPr>
              <w:ind w:left="80"/>
              <w:spacing w:after="0" w:line="195" w:lineRule="exact"/>
              <w:rPr>
                <w:sz w:val="20"/>
                <w:szCs w:val="20"/>
                <w:color w:val="auto"/>
              </w:rPr>
            </w:pPr>
            <w:r>
              <w:rPr>
                <w:rFonts w:ascii="Arial" w:cs="Arial" w:eastAsia="Arial" w:hAnsi="Arial"/>
                <w:sz w:val="18"/>
                <w:szCs w:val="18"/>
                <w:color w:val="auto"/>
              </w:rPr>
              <w:t>10.67</w:t>
            </w:r>
          </w:p>
        </w:tc>
        <w:tc>
          <w:tcPr>
            <w:tcW w:w="960" w:type="dxa"/>
            <w:vAlign w:val="bottom"/>
            <w:tcBorders>
              <w:bottom w:val="single" w:sz="8" w:color="D1D2D4"/>
            </w:tcBorders>
            <w:shd w:val="clear" w:color="auto" w:fill="D1D2D4"/>
          </w:tcPr>
          <w:p>
            <w:pPr>
              <w:ind w:left="60"/>
              <w:spacing w:after="0" w:line="195" w:lineRule="exact"/>
              <w:rPr>
                <w:sz w:val="20"/>
                <w:szCs w:val="20"/>
                <w:color w:val="auto"/>
              </w:rPr>
            </w:pPr>
            <w:r>
              <w:rPr>
                <w:rFonts w:ascii="Arial" w:cs="Arial" w:eastAsia="Arial" w:hAnsi="Arial"/>
                <w:sz w:val="18"/>
                <w:szCs w:val="18"/>
                <w:color w:val="auto"/>
              </w:rPr>
              <w:t>6/30/17</w:t>
            </w:r>
          </w:p>
        </w:tc>
      </w:tr>
      <w:tr>
        <w:trPr>
          <w:trHeight w:val="156"/>
        </w:trPr>
        <w:tc>
          <w:tcPr>
            <w:tcW w:w="980" w:type="dxa"/>
            <w:vAlign w:val="bottom"/>
            <w:shd w:val="clear" w:color="auto" w:fill="D1D2D4"/>
          </w:tcPr>
          <w:p>
            <w:pPr>
              <w:spacing w:after="0"/>
              <w:rPr>
                <w:sz w:val="13"/>
                <w:szCs w:val="13"/>
                <w:color w:val="auto"/>
              </w:rPr>
            </w:pPr>
          </w:p>
        </w:tc>
        <w:tc>
          <w:tcPr>
            <w:tcW w:w="3480" w:type="dxa"/>
            <w:vAlign w:val="bottom"/>
            <w:gridSpan w:val="5"/>
            <w:shd w:val="clear" w:color="auto" w:fill="D1D2D4"/>
          </w:tcPr>
          <w:p>
            <w:pPr>
              <w:spacing w:after="0" w:line="156" w:lineRule="exact"/>
              <w:rPr>
                <w:rFonts w:ascii="Arial" w:cs="Arial" w:eastAsia="Arial" w:hAnsi="Arial"/>
                <w:sz w:val="18"/>
                <w:szCs w:val="18"/>
                <w:color w:val="0000FF"/>
              </w:rPr>
            </w:pPr>
            <w:hyperlink r:id="rId211">
              <w:r>
                <w:rPr>
                  <w:rFonts w:ascii="Arial" w:cs="Arial" w:eastAsia="Arial" w:hAnsi="Arial"/>
                  <w:sz w:val="18"/>
                  <w:szCs w:val="18"/>
                  <w:color w:val="0000FF"/>
                </w:rPr>
                <w:t>Technology, Inc. and Sanjay Mehrotra</w:t>
              </w:r>
            </w:hyperlink>
          </w:p>
        </w:tc>
        <w:tc>
          <w:tcPr>
            <w:tcW w:w="1900" w:type="dxa"/>
            <w:vAlign w:val="bottom"/>
            <w:gridSpan w:val="7"/>
            <w:shd w:val="clear" w:color="auto" w:fill="D1D2D4"/>
          </w:tcPr>
          <w:p>
            <w:pPr>
              <w:spacing w:after="0"/>
              <w:rPr>
                <w:sz w:val="13"/>
                <w:szCs w:val="13"/>
                <w:color w:val="auto"/>
              </w:rPr>
            </w:pPr>
          </w:p>
        </w:tc>
        <w:tc>
          <w:tcPr>
            <w:tcW w:w="1920" w:type="dxa"/>
            <w:vAlign w:val="bottom"/>
            <w:shd w:val="clear" w:color="auto" w:fill="D1D2D4"/>
          </w:tcPr>
          <w:p>
            <w:pPr>
              <w:spacing w:after="0"/>
              <w:rPr>
                <w:sz w:val="13"/>
                <w:szCs w:val="13"/>
                <w:color w:val="auto"/>
              </w:rPr>
            </w:pPr>
          </w:p>
        </w:tc>
        <w:tc>
          <w:tcPr>
            <w:tcW w:w="920" w:type="dxa"/>
            <w:vAlign w:val="bottom"/>
            <w:shd w:val="clear" w:color="auto" w:fill="D1D2D4"/>
          </w:tcPr>
          <w:p>
            <w:pPr>
              <w:spacing w:after="0"/>
              <w:rPr>
                <w:sz w:val="13"/>
                <w:szCs w:val="13"/>
                <w:color w:val="auto"/>
              </w:rPr>
            </w:pPr>
          </w:p>
        </w:tc>
        <w:tc>
          <w:tcPr>
            <w:tcW w:w="1080" w:type="dxa"/>
            <w:vAlign w:val="bottom"/>
            <w:shd w:val="clear" w:color="auto" w:fill="D1D2D4"/>
          </w:tcPr>
          <w:p>
            <w:pPr>
              <w:spacing w:after="0"/>
              <w:rPr>
                <w:sz w:val="13"/>
                <w:szCs w:val="13"/>
                <w:color w:val="auto"/>
              </w:rPr>
            </w:pPr>
          </w:p>
        </w:tc>
        <w:tc>
          <w:tcPr>
            <w:tcW w:w="960" w:type="dxa"/>
            <w:vAlign w:val="bottom"/>
            <w:shd w:val="clear" w:color="auto" w:fill="D1D2D4"/>
          </w:tcPr>
          <w:p>
            <w:pPr>
              <w:spacing w:after="0"/>
              <w:rPr>
                <w:sz w:val="13"/>
                <w:szCs w:val="13"/>
                <w:color w:val="auto"/>
              </w:rPr>
            </w:pPr>
          </w:p>
        </w:tc>
      </w:tr>
      <w:tr>
        <w:trPr>
          <w:trHeight w:val="21"/>
        </w:trPr>
        <w:tc>
          <w:tcPr>
            <w:tcW w:w="980" w:type="dxa"/>
            <w:vAlign w:val="bottom"/>
            <w:tcBorders>
              <w:top w:val="single" w:sz="8" w:color="D1D2D4"/>
            </w:tcBorders>
            <w:shd w:val="clear" w:color="auto" w:fill="D1D2D4"/>
          </w:tcPr>
          <w:p>
            <w:pPr>
              <w:spacing w:after="0" w:line="20" w:lineRule="exact"/>
              <w:rPr>
                <w:sz w:val="1"/>
                <w:szCs w:val="1"/>
                <w:color w:val="auto"/>
              </w:rPr>
            </w:pPr>
          </w:p>
        </w:tc>
        <w:tc>
          <w:tcPr>
            <w:tcW w:w="1480" w:type="dxa"/>
            <w:vAlign w:val="bottom"/>
            <w:tcBorders>
              <w:top w:val="single" w:sz="8" w:color="0000FF"/>
            </w:tcBorders>
            <w:shd w:val="clear" w:color="auto" w:fill="D1D2D4"/>
          </w:tcPr>
          <w:p>
            <w:pPr>
              <w:spacing w:after="0" w:line="20" w:lineRule="exact"/>
              <w:rPr>
                <w:sz w:val="1"/>
                <w:szCs w:val="1"/>
                <w:color w:val="auto"/>
              </w:rPr>
            </w:pPr>
          </w:p>
        </w:tc>
        <w:tc>
          <w:tcPr>
            <w:tcW w:w="420" w:type="dxa"/>
            <w:vAlign w:val="bottom"/>
            <w:tcBorders>
              <w:top w:val="single" w:sz="8" w:color="0000FF"/>
            </w:tcBorders>
            <w:shd w:val="clear" w:color="auto" w:fill="D1D2D4"/>
          </w:tcPr>
          <w:p>
            <w:pPr>
              <w:spacing w:after="0" w:line="20" w:lineRule="exact"/>
              <w:rPr>
                <w:sz w:val="1"/>
                <w:szCs w:val="1"/>
                <w:color w:val="auto"/>
              </w:rPr>
            </w:pPr>
          </w:p>
        </w:tc>
        <w:tc>
          <w:tcPr>
            <w:tcW w:w="20" w:type="dxa"/>
            <w:vAlign w:val="bottom"/>
            <w:tcBorders>
              <w:top w:val="single" w:sz="8" w:color="0000FF"/>
            </w:tcBorders>
            <w:shd w:val="clear" w:color="auto" w:fill="D1D2D4"/>
          </w:tcPr>
          <w:p>
            <w:pPr>
              <w:spacing w:after="0" w:line="20" w:lineRule="exact"/>
              <w:rPr>
                <w:sz w:val="1"/>
                <w:szCs w:val="1"/>
                <w:color w:val="auto"/>
              </w:rPr>
            </w:pPr>
          </w:p>
        </w:tc>
        <w:tc>
          <w:tcPr>
            <w:tcW w:w="1100" w:type="dxa"/>
            <w:vAlign w:val="bottom"/>
            <w:tcBorders>
              <w:top w:val="single" w:sz="8" w:color="0000FF"/>
            </w:tcBorders>
            <w:shd w:val="clear" w:color="auto" w:fill="D1D2D4"/>
          </w:tcPr>
          <w:p>
            <w:pPr>
              <w:spacing w:after="0" w:line="20" w:lineRule="exact"/>
              <w:rPr>
                <w:sz w:val="1"/>
                <w:szCs w:val="1"/>
                <w:color w:val="auto"/>
              </w:rPr>
            </w:pPr>
          </w:p>
        </w:tc>
        <w:tc>
          <w:tcPr>
            <w:tcW w:w="460" w:type="dxa"/>
            <w:vAlign w:val="bottom"/>
            <w:tcBorders>
              <w:top w:val="single" w:sz="8" w:color="D1D2D4"/>
            </w:tcBorders>
            <w:shd w:val="clear" w:color="auto" w:fill="D1D2D4"/>
          </w:tcPr>
          <w:p>
            <w:pPr>
              <w:spacing w:after="0" w:line="20" w:lineRule="exact"/>
              <w:rPr>
                <w:sz w:val="1"/>
                <w:szCs w:val="1"/>
                <w:color w:val="auto"/>
              </w:rPr>
            </w:pPr>
          </w:p>
        </w:tc>
        <w:tc>
          <w:tcPr>
            <w:tcW w:w="680" w:type="dxa"/>
            <w:vAlign w:val="bottom"/>
            <w:tcBorders>
              <w:top w:val="single" w:sz="8" w:color="D1D2D4"/>
            </w:tcBorders>
            <w:shd w:val="clear" w:color="auto" w:fill="D1D2D4"/>
          </w:tcPr>
          <w:p>
            <w:pPr>
              <w:spacing w:after="0" w:line="20" w:lineRule="exact"/>
              <w:rPr>
                <w:sz w:val="1"/>
                <w:szCs w:val="1"/>
                <w:color w:val="auto"/>
              </w:rPr>
            </w:pPr>
          </w:p>
        </w:tc>
        <w:tc>
          <w:tcPr>
            <w:tcW w:w="460" w:type="dxa"/>
            <w:vAlign w:val="bottom"/>
            <w:tcBorders>
              <w:top w:val="single" w:sz="8" w:color="D1D2D4"/>
            </w:tcBorders>
            <w:shd w:val="clear" w:color="auto" w:fill="D1D2D4"/>
          </w:tcPr>
          <w:p>
            <w:pPr>
              <w:spacing w:after="0" w:line="20" w:lineRule="exact"/>
              <w:rPr>
                <w:sz w:val="1"/>
                <w:szCs w:val="1"/>
                <w:color w:val="auto"/>
              </w:rPr>
            </w:pPr>
          </w:p>
        </w:tc>
        <w:tc>
          <w:tcPr>
            <w:tcW w:w="420" w:type="dxa"/>
            <w:vAlign w:val="bottom"/>
            <w:tcBorders>
              <w:top w:val="single" w:sz="8" w:color="D1D2D4"/>
            </w:tcBorders>
            <w:shd w:val="clear" w:color="auto" w:fill="D1D2D4"/>
          </w:tcPr>
          <w:p>
            <w:pPr>
              <w:spacing w:after="0" w:line="20" w:lineRule="exact"/>
              <w:rPr>
                <w:sz w:val="1"/>
                <w:szCs w:val="1"/>
                <w:color w:val="auto"/>
              </w:rPr>
            </w:pPr>
          </w:p>
        </w:tc>
        <w:tc>
          <w:tcPr>
            <w:tcW w:w="20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100" w:type="dxa"/>
            <w:vAlign w:val="bottom"/>
            <w:tcBorders>
              <w:top w:val="single" w:sz="8" w:color="D1D2D4"/>
            </w:tcBorders>
            <w:shd w:val="clear" w:color="auto" w:fill="D1D2D4"/>
          </w:tcPr>
          <w:p>
            <w:pPr>
              <w:spacing w:after="0" w:line="20" w:lineRule="exact"/>
              <w:rPr>
                <w:sz w:val="1"/>
                <w:szCs w:val="1"/>
                <w:color w:val="auto"/>
              </w:rPr>
            </w:pPr>
          </w:p>
        </w:tc>
        <w:tc>
          <w:tcPr>
            <w:tcW w:w="1920" w:type="dxa"/>
            <w:vAlign w:val="bottom"/>
            <w:tcBorders>
              <w:top w:val="single" w:sz="8" w:color="D1D2D4"/>
            </w:tcBorders>
            <w:shd w:val="clear" w:color="auto" w:fill="D1D2D4"/>
          </w:tcPr>
          <w:p>
            <w:pPr>
              <w:spacing w:after="0" w:line="20" w:lineRule="exact"/>
              <w:rPr>
                <w:sz w:val="1"/>
                <w:szCs w:val="1"/>
                <w:color w:val="auto"/>
              </w:rPr>
            </w:pPr>
          </w:p>
        </w:tc>
        <w:tc>
          <w:tcPr>
            <w:tcW w:w="920" w:type="dxa"/>
            <w:vAlign w:val="bottom"/>
            <w:tcBorders>
              <w:top w:val="single" w:sz="8" w:color="D1D2D4"/>
            </w:tcBorders>
            <w:shd w:val="clear" w:color="auto" w:fill="D1D2D4"/>
          </w:tcPr>
          <w:p>
            <w:pPr>
              <w:spacing w:after="0" w:line="20" w:lineRule="exact"/>
              <w:rPr>
                <w:sz w:val="1"/>
                <w:szCs w:val="1"/>
                <w:color w:val="auto"/>
              </w:rPr>
            </w:pPr>
          </w:p>
        </w:tc>
        <w:tc>
          <w:tcPr>
            <w:tcW w:w="1080" w:type="dxa"/>
            <w:vAlign w:val="bottom"/>
            <w:tcBorders>
              <w:top w:val="single" w:sz="8" w:color="D1D2D4"/>
            </w:tcBorders>
            <w:shd w:val="clear" w:color="auto" w:fill="D1D2D4"/>
          </w:tcPr>
          <w:p>
            <w:pPr>
              <w:spacing w:after="0" w:line="20" w:lineRule="exact"/>
              <w:rPr>
                <w:sz w:val="1"/>
                <w:szCs w:val="1"/>
                <w:color w:val="auto"/>
              </w:rPr>
            </w:pPr>
          </w:p>
        </w:tc>
        <w:tc>
          <w:tcPr>
            <w:tcW w:w="960" w:type="dxa"/>
            <w:vAlign w:val="bottom"/>
            <w:tcBorders>
              <w:top w:val="single" w:sz="8" w:color="D1D2D4"/>
            </w:tcBorders>
            <w:shd w:val="clear" w:color="auto" w:fill="D1D2D4"/>
          </w:tcPr>
          <w:p>
            <w:pPr>
              <w:spacing w:after="0" w:line="20" w:lineRule="exact"/>
              <w:rPr>
                <w:sz w:val="1"/>
                <w:szCs w:val="1"/>
                <w:color w:val="auto"/>
              </w:rPr>
            </w:pPr>
          </w:p>
        </w:tc>
      </w:tr>
    </w:tbl>
    <w:p>
      <w:pPr>
        <w:spacing w:after="0" w:line="13" w:lineRule="exact"/>
        <w:rPr>
          <w:sz w:val="20"/>
          <w:szCs w:val="20"/>
          <w:color w:val="auto"/>
        </w:rPr>
      </w:pPr>
    </w:p>
    <w:p>
      <w:pPr>
        <w:sectPr>
          <w:pgSz w:w="11900" w:h="16838" w:orient="portrait"/>
          <w:cols w:equalWidth="0" w:num="1">
            <w:col w:w="11240"/>
          </w:cols>
          <w:pgMar w:left="320" w:top="1084" w:right="339" w:bottom="1440" w:gutter="0" w:footer="0" w:header="0"/>
        </w:sectPr>
      </w:pPr>
    </w:p>
    <w:tbl>
      <w:tblPr>
        <w:tblLayout w:type="fixed"/>
        <w:tblInd w:w="2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10.17**</w:t>
            </w:r>
          </w:p>
        </w:tc>
        <w:tc>
          <w:tcPr>
            <w:tcW w:w="5520" w:type="dxa"/>
            <w:vAlign w:val="bottom"/>
            <w:gridSpan w:val="11"/>
          </w:tcPr>
          <w:p>
            <w:pPr>
              <w:spacing w:after="0"/>
              <w:rPr>
                <w:rFonts w:ascii="Arial" w:cs="Arial" w:eastAsia="Arial" w:hAnsi="Arial"/>
                <w:sz w:val="18"/>
                <w:szCs w:val="18"/>
                <w:u w:val="single" w:color="auto"/>
                <w:color w:val="0000FF"/>
              </w:rPr>
            </w:pPr>
            <w:hyperlink r:id="rId212">
              <w:r>
                <w:rPr>
                  <w:rFonts w:ascii="Arial" w:cs="Arial" w:eastAsia="Arial" w:hAnsi="Arial"/>
                  <w:sz w:val="18"/>
                  <w:szCs w:val="18"/>
                  <w:u w:val="single" w:color="auto"/>
                  <w:color w:val="0000FF"/>
                </w:rPr>
                <w:t>Severance Benefits for Sumit Sadana</w:t>
              </w:r>
            </w:hyperlink>
          </w:p>
        </w:tc>
        <w:tc>
          <w:tcPr>
            <w:tcW w:w="160" w:type="dxa"/>
            <w:vAlign w:val="bottom"/>
          </w:tcPr>
          <w:p>
            <w:pPr>
              <w:spacing w:after="0"/>
              <w:rPr>
                <w:sz w:val="20"/>
                <w:szCs w:val="20"/>
                <w:color w:val="auto"/>
              </w:rPr>
            </w:pPr>
          </w:p>
        </w:tc>
      </w:tr>
      <w:tr>
        <w:trPr>
          <w:trHeight w:val="257"/>
        </w:trPr>
        <w:tc>
          <w:tcPr>
            <w:tcW w:w="980" w:type="dxa"/>
            <w:vAlign w:val="bottom"/>
          </w:tcPr>
          <w:p>
            <w:pPr>
              <w:spacing w:after="0"/>
              <w:rPr>
                <w:sz w:val="20"/>
                <w:szCs w:val="20"/>
                <w:color w:val="auto"/>
              </w:rPr>
            </w:pPr>
            <w:r>
              <w:rPr>
                <w:rFonts w:ascii="Arial" w:cs="Arial" w:eastAsia="Arial" w:hAnsi="Arial"/>
                <w:sz w:val="18"/>
                <w:szCs w:val="18"/>
                <w:color w:val="auto"/>
              </w:rPr>
              <w:t>10.18**</w:t>
            </w:r>
          </w:p>
        </w:tc>
        <w:tc>
          <w:tcPr>
            <w:tcW w:w="5520" w:type="dxa"/>
            <w:vAlign w:val="bottom"/>
            <w:gridSpan w:val="11"/>
          </w:tcPr>
          <w:p>
            <w:pPr>
              <w:spacing w:after="0"/>
              <w:rPr>
                <w:rFonts w:ascii="Arial" w:cs="Arial" w:eastAsia="Arial" w:hAnsi="Arial"/>
                <w:sz w:val="18"/>
                <w:szCs w:val="18"/>
                <w:u w:val="single" w:color="auto"/>
                <w:color w:val="0000FF"/>
              </w:rPr>
            </w:pPr>
            <w:hyperlink r:id="rId213">
              <w:r>
                <w:rPr>
                  <w:rFonts w:ascii="Arial" w:cs="Arial" w:eastAsia="Arial" w:hAnsi="Arial"/>
                  <w:sz w:val="18"/>
                  <w:szCs w:val="18"/>
                  <w:u w:val="single" w:color="auto"/>
                  <w:color w:val="0000FF"/>
                </w:rPr>
                <w:t>Form of Amendment to Executive/Severance Agreement</w:t>
              </w:r>
            </w:hyperlink>
          </w:p>
        </w:tc>
        <w:tc>
          <w:tcPr>
            <w:tcW w:w="160" w:type="dxa"/>
            <w:vAlign w:val="bottom"/>
          </w:tcPr>
          <w:p>
            <w:pPr>
              <w:spacing w:after="0"/>
              <w:rPr>
                <w:sz w:val="22"/>
                <w:szCs w:val="22"/>
                <w:color w:val="auto"/>
              </w:rPr>
            </w:pPr>
          </w:p>
        </w:tc>
      </w:tr>
      <w:tr>
        <w:trPr>
          <w:trHeight w:val="257"/>
        </w:trPr>
        <w:tc>
          <w:tcPr>
            <w:tcW w:w="980" w:type="dxa"/>
            <w:vAlign w:val="bottom"/>
          </w:tcPr>
          <w:p>
            <w:pPr>
              <w:spacing w:after="0"/>
              <w:rPr>
                <w:sz w:val="20"/>
                <w:szCs w:val="20"/>
                <w:color w:val="auto"/>
              </w:rPr>
            </w:pPr>
            <w:r>
              <w:rPr>
                <w:rFonts w:ascii="Arial" w:cs="Arial" w:eastAsia="Arial" w:hAnsi="Arial"/>
                <w:sz w:val="18"/>
                <w:szCs w:val="18"/>
                <w:color w:val="auto"/>
              </w:rPr>
              <w:t>10.19**</w:t>
            </w:r>
          </w:p>
        </w:tc>
        <w:tc>
          <w:tcPr>
            <w:tcW w:w="5520" w:type="dxa"/>
            <w:vAlign w:val="bottom"/>
            <w:gridSpan w:val="11"/>
          </w:tcPr>
          <w:p>
            <w:pPr>
              <w:spacing w:after="0"/>
              <w:rPr>
                <w:rFonts w:ascii="Arial" w:cs="Arial" w:eastAsia="Arial" w:hAnsi="Arial"/>
                <w:sz w:val="18"/>
                <w:szCs w:val="18"/>
                <w:u w:val="single" w:color="auto"/>
                <w:color w:val="0000FF"/>
              </w:rPr>
            </w:pPr>
            <w:hyperlink r:id="rId214">
              <w:r>
                <w:rPr>
                  <w:rFonts w:ascii="Arial" w:cs="Arial" w:eastAsia="Arial" w:hAnsi="Arial"/>
                  <w:sz w:val="18"/>
                  <w:szCs w:val="18"/>
                  <w:u w:val="single" w:color="auto"/>
                  <w:color w:val="0000FF"/>
                </w:rPr>
                <w:t>Severance Benefits for Manish Bhatia</w:t>
              </w:r>
            </w:hyperlink>
          </w:p>
        </w:tc>
        <w:tc>
          <w:tcPr>
            <w:tcW w:w="160" w:type="dxa"/>
            <w:vAlign w:val="bottom"/>
          </w:tcPr>
          <w:p>
            <w:pPr>
              <w:spacing w:after="0"/>
              <w:rPr>
                <w:sz w:val="22"/>
                <w:szCs w:val="22"/>
                <w:color w:val="auto"/>
              </w:rPr>
            </w:pPr>
          </w:p>
        </w:tc>
      </w:tr>
      <w:tr>
        <w:trPr>
          <w:trHeight w:val="256"/>
        </w:trPr>
        <w:tc>
          <w:tcPr>
            <w:tcW w:w="980" w:type="dxa"/>
            <w:vAlign w:val="bottom"/>
          </w:tcPr>
          <w:p>
            <w:pPr>
              <w:spacing w:after="0"/>
              <w:rPr>
                <w:sz w:val="20"/>
                <w:szCs w:val="20"/>
                <w:color w:val="auto"/>
              </w:rPr>
            </w:pPr>
            <w:r>
              <w:rPr>
                <w:rFonts w:ascii="Arial" w:cs="Arial" w:eastAsia="Arial" w:hAnsi="Arial"/>
                <w:sz w:val="18"/>
                <w:szCs w:val="18"/>
                <w:color w:val="auto"/>
              </w:rPr>
              <w:t>10.20**</w:t>
            </w:r>
          </w:p>
        </w:tc>
        <w:tc>
          <w:tcPr>
            <w:tcW w:w="5520" w:type="dxa"/>
            <w:vAlign w:val="bottom"/>
            <w:gridSpan w:val="11"/>
          </w:tcPr>
          <w:p>
            <w:pPr>
              <w:spacing w:after="0"/>
              <w:rPr>
                <w:rFonts w:ascii="Arial" w:cs="Arial" w:eastAsia="Arial" w:hAnsi="Arial"/>
                <w:sz w:val="18"/>
                <w:szCs w:val="18"/>
                <w:u w:val="single" w:color="auto"/>
                <w:color w:val="0000FF"/>
              </w:rPr>
            </w:pPr>
            <w:hyperlink r:id="rId183">
              <w:r>
                <w:rPr>
                  <w:rFonts w:ascii="Arial" w:cs="Arial" w:eastAsia="Arial" w:hAnsi="Arial"/>
                  <w:sz w:val="18"/>
                  <w:szCs w:val="18"/>
                  <w:u w:val="single" w:color="auto"/>
                  <w:color w:val="0000FF"/>
                </w:rPr>
                <w:t>Micron Technology, Inc. Employee Stock Purchase Plan</w:t>
              </w:r>
            </w:hyperlink>
          </w:p>
        </w:tc>
        <w:tc>
          <w:tcPr>
            <w:tcW w:w="160" w:type="dxa"/>
            <w:vAlign w:val="bottom"/>
          </w:tcPr>
          <w:p>
            <w:pPr>
              <w:spacing w:after="0"/>
              <w:rPr>
                <w:sz w:val="22"/>
                <w:szCs w:val="22"/>
                <w:color w:val="auto"/>
              </w:rPr>
            </w:pPr>
          </w:p>
        </w:tc>
      </w:tr>
      <w:tr>
        <w:trPr>
          <w:trHeight w:val="257"/>
        </w:trPr>
        <w:tc>
          <w:tcPr>
            <w:tcW w:w="980" w:type="dxa"/>
            <w:vAlign w:val="bottom"/>
          </w:tcPr>
          <w:p>
            <w:pPr>
              <w:spacing w:after="0"/>
              <w:rPr>
                <w:sz w:val="20"/>
                <w:szCs w:val="20"/>
                <w:color w:val="auto"/>
              </w:rPr>
            </w:pPr>
            <w:r>
              <w:rPr>
                <w:rFonts w:ascii="Arial" w:cs="Arial" w:eastAsia="Arial" w:hAnsi="Arial"/>
                <w:sz w:val="18"/>
                <w:szCs w:val="18"/>
                <w:color w:val="auto"/>
              </w:rPr>
              <w:t>10.21**</w:t>
            </w:r>
          </w:p>
        </w:tc>
        <w:tc>
          <w:tcPr>
            <w:tcW w:w="5520" w:type="dxa"/>
            <w:vAlign w:val="bottom"/>
            <w:gridSpan w:val="11"/>
          </w:tcPr>
          <w:p>
            <w:pPr>
              <w:spacing w:after="0"/>
              <w:rPr>
                <w:rFonts w:ascii="Arial" w:cs="Arial" w:eastAsia="Arial" w:hAnsi="Arial"/>
                <w:sz w:val="18"/>
                <w:szCs w:val="18"/>
                <w:u w:val="single" w:color="auto"/>
                <w:color w:val="0000FF"/>
              </w:rPr>
            </w:pPr>
            <w:hyperlink r:id="rId215">
              <w:r>
                <w:rPr>
                  <w:rFonts w:ascii="Arial" w:cs="Arial" w:eastAsia="Arial" w:hAnsi="Arial"/>
                  <w:sz w:val="18"/>
                  <w:szCs w:val="18"/>
                  <w:u w:val="single" w:color="auto"/>
                  <w:color w:val="0000FF"/>
                </w:rPr>
                <w:t>Severance Benefits for David A. Zinsner</w:t>
              </w:r>
            </w:hyperlink>
          </w:p>
        </w:tc>
        <w:tc>
          <w:tcPr>
            <w:tcW w:w="160" w:type="dxa"/>
            <w:vAlign w:val="bottom"/>
          </w:tcPr>
          <w:p>
            <w:pPr>
              <w:spacing w:after="0"/>
              <w:rPr>
                <w:sz w:val="22"/>
                <w:szCs w:val="22"/>
                <w:color w:val="auto"/>
              </w:rPr>
            </w:pPr>
          </w:p>
        </w:tc>
      </w:tr>
      <w:tr>
        <w:trPr>
          <w:trHeight w:val="202"/>
        </w:trPr>
        <w:tc>
          <w:tcPr>
            <w:tcW w:w="980" w:type="dxa"/>
            <w:vAlign w:val="bottom"/>
          </w:tcPr>
          <w:p>
            <w:pPr>
              <w:spacing w:after="0" w:line="202" w:lineRule="exact"/>
              <w:rPr>
                <w:sz w:val="20"/>
                <w:szCs w:val="20"/>
                <w:color w:val="auto"/>
              </w:rPr>
            </w:pPr>
            <w:r>
              <w:rPr>
                <w:rFonts w:ascii="Arial" w:cs="Arial" w:eastAsia="Arial" w:hAnsi="Arial"/>
                <w:sz w:val="18"/>
                <w:szCs w:val="18"/>
                <w:color w:val="auto"/>
              </w:rPr>
              <w:t>10.22</w:t>
            </w:r>
          </w:p>
        </w:tc>
        <w:tc>
          <w:tcPr>
            <w:tcW w:w="5520" w:type="dxa"/>
            <w:vAlign w:val="bottom"/>
            <w:gridSpan w:val="11"/>
          </w:tcPr>
          <w:p>
            <w:pPr>
              <w:spacing w:after="0" w:line="202" w:lineRule="exact"/>
              <w:rPr>
                <w:rFonts w:ascii="Arial" w:cs="Arial" w:eastAsia="Arial" w:hAnsi="Arial"/>
                <w:sz w:val="18"/>
                <w:szCs w:val="18"/>
                <w:color w:val="0000FF"/>
              </w:rPr>
            </w:pPr>
            <w:hyperlink r:id="rId216">
              <w:r>
                <w:rPr>
                  <w:rFonts w:ascii="Arial" w:cs="Arial" w:eastAsia="Arial" w:hAnsi="Arial"/>
                  <w:sz w:val="18"/>
                  <w:szCs w:val="18"/>
                  <w:color w:val="0000FF"/>
                </w:rPr>
                <w:t>Credit Agreement, dated as of July 3, 2018, by and among Micron</w:t>
              </w:r>
            </w:hyperlink>
          </w:p>
        </w:tc>
        <w:tc>
          <w:tcPr>
            <w:tcW w:w="160" w:type="dxa"/>
            <w:vAlign w:val="bottom"/>
          </w:tcPr>
          <w:p>
            <w:pPr>
              <w:spacing w:after="0"/>
              <w:rPr>
                <w:sz w:val="17"/>
                <w:szCs w:val="17"/>
                <w:color w:val="auto"/>
              </w:rPr>
            </w:pPr>
          </w:p>
        </w:tc>
      </w:tr>
      <w:tr>
        <w:trPr>
          <w:trHeight w:val="155"/>
        </w:trPr>
        <w:tc>
          <w:tcPr>
            <w:tcW w:w="980" w:type="dxa"/>
            <w:vAlign w:val="bottom"/>
          </w:tcPr>
          <w:p>
            <w:pPr>
              <w:spacing w:after="0"/>
              <w:rPr>
                <w:sz w:val="13"/>
                <w:szCs w:val="13"/>
                <w:color w:val="auto"/>
              </w:rPr>
            </w:pPr>
          </w:p>
        </w:tc>
        <w:tc>
          <w:tcPr>
            <w:tcW w:w="5240" w:type="dxa"/>
            <w:vAlign w:val="bottom"/>
            <w:tcBorders>
              <w:top w:val="single" w:sz="8" w:color="0000FF"/>
            </w:tcBorders>
            <w:gridSpan w:val="5"/>
          </w:tcPr>
          <w:p>
            <w:pPr>
              <w:spacing w:after="0" w:line="154" w:lineRule="exact"/>
              <w:rPr>
                <w:rFonts w:ascii="Arial" w:cs="Arial" w:eastAsia="Arial" w:hAnsi="Arial"/>
                <w:sz w:val="17"/>
                <w:szCs w:val="17"/>
                <w:color w:val="0000FF"/>
              </w:rPr>
            </w:pPr>
            <w:hyperlink r:id="rId216">
              <w:r>
                <w:rPr>
                  <w:rFonts w:ascii="Arial" w:cs="Arial" w:eastAsia="Arial" w:hAnsi="Arial"/>
                  <w:sz w:val="17"/>
                  <w:szCs w:val="17"/>
                  <w:color w:val="0000FF"/>
                </w:rPr>
                <w:t>Technology, Inc., as borrower, JPMorgan Chase Bank, N.A., as</w:t>
              </w:r>
            </w:hyperlink>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56"/>
        </w:trPr>
        <w:tc>
          <w:tcPr>
            <w:tcW w:w="980" w:type="dxa"/>
            <w:vAlign w:val="bottom"/>
          </w:tcPr>
          <w:p>
            <w:pPr>
              <w:spacing w:after="0"/>
              <w:rPr>
                <w:sz w:val="13"/>
                <w:szCs w:val="13"/>
                <w:color w:val="auto"/>
              </w:rPr>
            </w:pPr>
          </w:p>
        </w:tc>
        <w:tc>
          <w:tcPr>
            <w:tcW w:w="5000" w:type="dxa"/>
            <w:vAlign w:val="bottom"/>
            <w:tcBorders>
              <w:top w:val="single" w:sz="8" w:color="0000FF"/>
            </w:tcBorders>
            <w:gridSpan w:val="3"/>
          </w:tcPr>
          <w:p>
            <w:pPr>
              <w:spacing w:after="0" w:line="157" w:lineRule="exact"/>
              <w:rPr>
                <w:rFonts w:ascii="Arial" w:cs="Arial" w:eastAsia="Arial" w:hAnsi="Arial"/>
                <w:sz w:val="18"/>
                <w:szCs w:val="18"/>
                <w:color w:val="0000FF"/>
                <w:w w:val="99"/>
              </w:rPr>
            </w:pPr>
            <w:hyperlink r:id="rId216">
              <w:r>
                <w:rPr>
                  <w:rFonts w:ascii="Arial" w:cs="Arial" w:eastAsia="Arial" w:hAnsi="Arial"/>
                  <w:sz w:val="18"/>
                  <w:szCs w:val="18"/>
                  <w:color w:val="0000FF"/>
                  <w:w w:val="99"/>
                </w:rPr>
                <w:t>administrative agent and collateral agent, and the other agents</w:t>
              </w:r>
            </w:hyperlink>
          </w:p>
        </w:tc>
        <w:tc>
          <w:tcPr>
            <w:tcW w:w="520" w:type="dxa"/>
            <w:vAlign w:val="bottom"/>
            <w:gridSpan w:val="8"/>
          </w:tcPr>
          <w:p>
            <w:pPr>
              <w:ind w:left="20"/>
              <w:spacing w:after="0" w:line="157" w:lineRule="exact"/>
              <w:rPr>
                <w:rFonts w:ascii="Arial" w:cs="Arial" w:eastAsia="Arial" w:hAnsi="Arial"/>
                <w:sz w:val="18"/>
                <w:szCs w:val="18"/>
                <w:color w:val="0000FF"/>
              </w:rPr>
            </w:pPr>
            <w:hyperlink r:id="rId216">
              <w:r>
                <w:rPr>
                  <w:rFonts w:ascii="Arial" w:cs="Arial" w:eastAsia="Arial" w:hAnsi="Arial"/>
                  <w:sz w:val="18"/>
                  <w:szCs w:val="18"/>
                  <w:color w:val="0000FF"/>
                </w:rPr>
                <w:t>party</w:t>
              </w:r>
            </w:hyperlink>
          </w:p>
        </w:tc>
        <w:tc>
          <w:tcPr>
            <w:tcW w:w="160" w:type="dxa"/>
            <w:vAlign w:val="bottom"/>
          </w:tcPr>
          <w:p>
            <w:pPr>
              <w:spacing w:after="0"/>
              <w:rPr>
                <w:sz w:val="13"/>
                <w:szCs w:val="13"/>
                <w:color w:val="auto"/>
              </w:rPr>
            </w:pPr>
          </w:p>
        </w:tc>
      </w:tr>
      <w:tr>
        <w:trPr>
          <w:trHeight w:val="209"/>
        </w:trPr>
        <w:tc>
          <w:tcPr>
            <w:tcW w:w="980" w:type="dxa"/>
            <w:vAlign w:val="bottom"/>
          </w:tcPr>
          <w:p>
            <w:pPr>
              <w:spacing w:after="0"/>
              <w:rPr>
                <w:sz w:val="18"/>
                <w:szCs w:val="18"/>
                <w:color w:val="auto"/>
              </w:rPr>
            </w:pPr>
          </w:p>
        </w:tc>
        <w:tc>
          <w:tcPr>
            <w:tcW w:w="5420" w:type="dxa"/>
            <w:vAlign w:val="bottom"/>
            <w:tcBorders>
              <w:top w:val="single" w:sz="8" w:color="0000FF"/>
            </w:tcBorders>
            <w:gridSpan w:val="9"/>
          </w:tcPr>
          <w:p>
            <w:pPr>
              <w:spacing w:after="0"/>
              <w:rPr>
                <w:rFonts w:ascii="Arial" w:cs="Arial" w:eastAsia="Arial" w:hAnsi="Arial"/>
                <w:sz w:val="18"/>
                <w:szCs w:val="18"/>
                <w:u w:val="single" w:color="auto"/>
                <w:color w:val="0000FF"/>
              </w:rPr>
            </w:pPr>
            <w:hyperlink r:id="rId216">
              <w:r>
                <w:rPr>
                  <w:rFonts w:ascii="Arial" w:cs="Arial" w:eastAsia="Arial" w:hAnsi="Arial"/>
                  <w:sz w:val="18"/>
                  <w:szCs w:val="18"/>
                  <w:u w:val="single" w:color="auto"/>
                  <w:color w:val="0000FF"/>
                </w:rPr>
                <w:t>thereto and each financial institution party from time to time thereto</w:t>
              </w:r>
            </w:hyperlink>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76"/>
        </w:trPr>
        <w:tc>
          <w:tcPr>
            <w:tcW w:w="980" w:type="dxa"/>
            <w:vAlign w:val="bottom"/>
          </w:tcPr>
          <w:p>
            <w:pPr>
              <w:spacing w:after="0" w:line="176" w:lineRule="exact"/>
              <w:rPr>
                <w:sz w:val="20"/>
                <w:szCs w:val="20"/>
                <w:color w:val="auto"/>
              </w:rPr>
            </w:pPr>
            <w:r>
              <w:rPr>
                <w:rFonts w:ascii="Arial" w:cs="Arial" w:eastAsia="Arial" w:hAnsi="Arial"/>
                <w:sz w:val="18"/>
                <w:szCs w:val="18"/>
                <w:color w:val="auto"/>
              </w:rPr>
              <w:t>10.23</w:t>
            </w:r>
          </w:p>
        </w:tc>
        <w:tc>
          <w:tcPr>
            <w:tcW w:w="5520" w:type="dxa"/>
            <w:vAlign w:val="bottom"/>
            <w:gridSpan w:val="11"/>
          </w:tcPr>
          <w:p>
            <w:pPr>
              <w:spacing w:after="0" w:line="176" w:lineRule="exact"/>
              <w:rPr>
                <w:rFonts w:ascii="Arial" w:cs="Arial" w:eastAsia="Arial" w:hAnsi="Arial"/>
                <w:sz w:val="18"/>
                <w:szCs w:val="18"/>
                <w:color w:val="0000FF"/>
                <w:w w:val="99"/>
              </w:rPr>
            </w:pPr>
            <w:hyperlink r:id="rId217">
              <w:r>
                <w:rPr>
                  <w:rFonts w:ascii="Arial" w:cs="Arial" w:eastAsia="Arial" w:hAnsi="Arial"/>
                  <w:sz w:val="18"/>
                  <w:szCs w:val="18"/>
                  <w:color w:val="0000FF"/>
                  <w:w w:val="99"/>
                </w:rPr>
                <w:t>Guarantee and Collateral Agreement, dated as of July 3, 2018, made</w:t>
              </w:r>
            </w:hyperlink>
          </w:p>
        </w:tc>
        <w:tc>
          <w:tcPr>
            <w:tcW w:w="160" w:type="dxa"/>
            <w:vAlign w:val="bottom"/>
          </w:tcPr>
          <w:p>
            <w:pPr>
              <w:spacing w:after="0"/>
              <w:rPr>
                <w:sz w:val="15"/>
                <w:szCs w:val="15"/>
                <w:color w:val="auto"/>
              </w:rPr>
            </w:pPr>
          </w:p>
        </w:tc>
      </w:tr>
      <w:tr>
        <w:trPr>
          <w:trHeight w:val="156"/>
        </w:trPr>
        <w:tc>
          <w:tcPr>
            <w:tcW w:w="980" w:type="dxa"/>
            <w:vAlign w:val="bottom"/>
          </w:tcPr>
          <w:p>
            <w:pPr>
              <w:spacing w:after="0"/>
              <w:rPr>
                <w:sz w:val="13"/>
                <w:szCs w:val="13"/>
                <w:color w:val="auto"/>
              </w:rPr>
            </w:pPr>
          </w:p>
        </w:tc>
        <w:tc>
          <w:tcPr>
            <w:tcW w:w="548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r:id="rId217">
              <w:r>
                <w:rPr>
                  <w:rFonts w:ascii="Arial" w:cs="Arial" w:eastAsia="Arial" w:hAnsi="Arial"/>
                  <w:sz w:val="18"/>
                  <w:szCs w:val="18"/>
                  <w:color w:val="0000FF"/>
                </w:rPr>
                <w:t>by Micron Technology, Inc. and certain of its subsidiaries in favor of</w:t>
              </w:r>
            </w:hyperlink>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55"/>
        </w:trPr>
        <w:tc>
          <w:tcPr>
            <w:tcW w:w="980" w:type="dxa"/>
            <w:vAlign w:val="bottom"/>
          </w:tcPr>
          <w:p>
            <w:pPr>
              <w:spacing w:after="0"/>
              <w:rPr>
                <w:sz w:val="13"/>
                <w:szCs w:val="13"/>
                <w:color w:val="auto"/>
              </w:rPr>
            </w:pPr>
          </w:p>
        </w:tc>
        <w:tc>
          <w:tcPr>
            <w:tcW w:w="5320" w:type="dxa"/>
            <w:vAlign w:val="bottom"/>
            <w:tcBorders>
              <w:top w:val="single" w:sz="8" w:color="0000FF"/>
            </w:tcBorders>
            <w:gridSpan w:val="6"/>
          </w:tcPr>
          <w:p>
            <w:pPr>
              <w:spacing w:after="0" w:line="156" w:lineRule="exact"/>
              <w:rPr>
                <w:rFonts w:ascii="Arial" w:cs="Arial" w:eastAsia="Arial" w:hAnsi="Arial"/>
                <w:sz w:val="18"/>
                <w:szCs w:val="18"/>
                <w:color w:val="0000FF"/>
              </w:rPr>
            </w:pPr>
            <w:hyperlink r:id="rId217">
              <w:r>
                <w:rPr>
                  <w:rFonts w:ascii="Arial" w:cs="Arial" w:eastAsia="Arial" w:hAnsi="Arial"/>
                  <w:sz w:val="18"/>
                  <w:szCs w:val="18"/>
                  <w:color w:val="0000FF"/>
                </w:rPr>
                <w:t>JPMorgan Chase Bank, N.A., as collateral agent</w:t>
              </w:r>
            </w:hyperlink>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160" w:type="dxa"/>
            <w:vAlign w:val="bottom"/>
          </w:tcPr>
          <w:p>
            <w:pPr>
              <w:spacing w:after="0"/>
              <w:rPr>
                <w:sz w:val="13"/>
                <w:szCs w:val="13"/>
                <w:color w:val="auto"/>
              </w:rPr>
            </w:pPr>
          </w:p>
        </w:tc>
      </w:tr>
      <w:tr>
        <w:trPr>
          <w:trHeight w:val="20"/>
        </w:trPr>
        <w:tc>
          <w:tcPr>
            <w:tcW w:w="980" w:type="dxa"/>
            <w:vAlign w:val="bottom"/>
            <w:tcBorders>
              <w:right w:val="single" w:sz="8" w:color="0000FF"/>
            </w:tcBorders>
          </w:tcPr>
          <w:p>
            <w:pPr>
              <w:spacing w:after="0" w:line="20" w:lineRule="exact"/>
              <w:rPr>
                <w:sz w:val="1"/>
                <w:szCs w:val="1"/>
                <w:color w:val="auto"/>
              </w:rPr>
            </w:pPr>
          </w:p>
        </w:tc>
        <w:tc>
          <w:tcPr>
            <w:tcW w:w="384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980" w:type="dxa"/>
            <w:vAlign w:val="bottom"/>
          </w:tcPr>
          <w:p>
            <w:pPr>
              <w:spacing w:after="0"/>
              <w:rPr>
                <w:sz w:val="20"/>
                <w:szCs w:val="20"/>
                <w:color w:val="auto"/>
              </w:rPr>
            </w:pPr>
            <w:r>
              <w:rPr>
                <w:rFonts w:ascii="Arial" w:cs="Arial" w:eastAsia="Arial" w:hAnsi="Arial"/>
                <w:sz w:val="18"/>
                <w:szCs w:val="18"/>
                <w:color w:val="auto"/>
              </w:rPr>
              <w:t>10.24</w:t>
            </w:r>
          </w:p>
        </w:tc>
        <w:tc>
          <w:tcPr>
            <w:tcW w:w="5520" w:type="dxa"/>
            <w:vAlign w:val="bottom"/>
            <w:gridSpan w:val="11"/>
          </w:tcPr>
          <w:p>
            <w:pPr>
              <w:spacing w:after="0"/>
              <w:rPr>
                <w:rFonts w:ascii="Arial" w:cs="Arial" w:eastAsia="Arial" w:hAnsi="Arial"/>
                <w:sz w:val="18"/>
                <w:szCs w:val="18"/>
                <w:color w:val="0000FF"/>
              </w:rPr>
            </w:pPr>
            <w:hyperlink r:id="rId218">
              <w:r>
                <w:rPr>
                  <w:rFonts w:ascii="Arial" w:cs="Arial" w:eastAsia="Arial" w:hAnsi="Arial"/>
                  <w:sz w:val="18"/>
                  <w:szCs w:val="18"/>
                  <w:u w:val="single" w:color="auto"/>
                  <w:color w:val="0000FF"/>
                </w:rPr>
                <w:t>Incremental Amendment No. 1 to Credit Agreement dated as of</w:t>
              </w:r>
              <w:r>
                <w:rPr>
                  <w:rFonts w:ascii="Arial" w:cs="Arial" w:eastAsia="Arial" w:hAnsi="Arial"/>
                  <w:sz w:val="18"/>
                  <w:szCs w:val="18"/>
                  <w:color w:val="0000FF"/>
                </w:rPr>
                <w:t xml:space="preserve"> July</w:t>
              </w:r>
            </w:hyperlink>
          </w:p>
        </w:tc>
        <w:tc>
          <w:tcPr>
            <w:tcW w:w="160" w:type="dxa"/>
            <w:vAlign w:val="bottom"/>
          </w:tcPr>
          <w:p>
            <w:pPr>
              <w:spacing w:after="0"/>
              <w:rPr>
                <w:sz w:val="18"/>
                <w:szCs w:val="18"/>
                <w:color w:val="auto"/>
              </w:rPr>
            </w:pPr>
          </w:p>
        </w:tc>
      </w:tr>
      <w:tr>
        <w:trPr>
          <w:trHeight w:val="156"/>
        </w:trPr>
        <w:tc>
          <w:tcPr>
            <w:tcW w:w="980" w:type="dxa"/>
            <w:vAlign w:val="bottom"/>
          </w:tcPr>
          <w:p>
            <w:pPr>
              <w:spacing w:after="0"/>
              <w:rPr>
                <w:sz w:val="13"/>
                <w:szCs w:val="13"/>
                <w:color w:val="auto"/>
              </w:rPr>
            </w:pPr>
          </w:p>
        </w:tc>
        <w:tc>
          <w:tcPr>
            <w:tcW w:w="5080" w:type="dxa"/>
            <w:vAlign w:val="bottom"/>
            <w:gridSpan w:val="4"/>
          </w:tcPr>
          <w:p>
            <w:pPr>
              <w:spacing w:after="0" w:line="157" w:lineRule="exact"/>
              <w:rPr>
                <w:rFonts w:ascii="Arial" w:cs="Arial" w:eastAsia="Arial" w:hAnsi="Arial"/>
                <w:sz w:val="18"/>
                <w:szCs w:val="18"/>
                <w:color w:val="0000FF"/>
              </w:rPr>
            </w:pPr>
            <w:hyperlink r:id="rId218">
              <w:r>
                <w:rPr>
                  <w:rFonts w:ascii="Arial" w:cs="Arial" w:eastAsia="Arial" w:hAnsi="Arial"/>
                  <w:sz w:val="18"/>
                  <w:szCs w:val="18"/>
                  <w:color w:val="0000FF"/>
                </w:rPr>
                <w:t>3, 2018, by and among Micron Technology, Inc., as borrower,</w:t>
              </w:r>
            </w:hyperlink>
          </w:p>
        </w:tc>
        <w:tc>
          <w:tcPr>
            <w:tcW w:w="280" w:type="dxa"/>
            <w:vAlign w:val="bottom"/>
            <w:tcBorders>
              <w:top w:val="single" w:sz="8" w:color="0000FF"/>
            </w:tcBorders>
            <w:gridSpan w:val="3"/>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20" w:type="dxa"/>
            <w:vAlign w:val="bottom"/>
            <w:gridSpan w:val="3"/>
          </w:tcPr>
          <w:p>
            <w:pPr>
              <w:spacing w:after="0"/>
              <w:rPr>
                <w:sz w:val="13"/>
                <w:szCs w:val="13"/>
                <w:color w:val="auto"/>
              </w:rPr>
            </w:pPr>
          </w:p>
        </w:tc>
        <w:tc>
          <w:tcPr>
            <w:tcW w:w="160" w:type="dxa"/>
            <w:vAlign w:val="bottom"/>
          </w:tcPr>
          <w:p>
            <w:pPr>
              <w:spacing w:after="0"/>
              <w:rPr>
                <w:sz w:val="13"/>
                <w:szCs w:val="13"/>
                <w:color w:val="auto"/>
              </w:rPr>
            </w:pPr>
          </w:p>
        </w:tc>
      </w:tr>
      <w:tr>
        <w:trPr>
          <w:trHeight w:val="20"/>
        </w:trPr>
        <w:tc>
          <w:tcPr>
            <w:tcW w:w="980" w:type="dxa"/>
            <w:vAlign w:val="bottom"/>
          </w:tcPr>
          <w:p>
            <w:pPr>
              <w:spacing w:after="0" w:line="20" w:lineRule="exact"/>
              <w:rPr>
                <w:sz w:val="1"/>
                <w:szCs w:val="1"/>
                <w:color w:val="auto"/>
              </w:rPr>
            </w:pPr>
          </w:p>
        </w:tc>
        <w:tc>
          <w:tcPr>
            <w:tcW w:w="484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55"/>
        </w:trPr>
        <w:tc>
          <w:tcPr>
            <w:tcW w:w="980" w:type="dxa"/>
            <w:vAlign w:val="bottom"/>
          </w:tcPr>
          <w:p>
            <w:pPr>
              <w:spacing w:after="0"/>
              <w:rPr>
                <w:sz w:val="13"/>
                <w:szCs w:val="13"/>
                <w:color w:val="auto"/>
              </w:rPr>
            </w:pPr>
          </w:p>
        </w:tc>
        <w:tc>
          <w:tcPr>
            <w:tcW w:w="5520" w:type="dxa"/>
            <w:vAlign w:val="bottom"/>
            <w:gridSpan w:val="11"/>
          </w:tcPr>
          <w:p>
            <w:pPr>
              <w:spacing w:after="0" w:line="156" w:lineRule="exact"/>
              <w:rPr>
                <w:rFonts w:ascii="Arial" w:cs="Arial" w:eastAsia="Arial" w:hAnsi="Arial"/>
                <w:sz w:val="18"/>
                <w:szCs w:val="18"/>
                <w:color w:val="0000FF"/>
              </w:rPr>
            </w:pPr>
            <w:hyperlink r:id="rId218">
              <w:r>
                <w:rPr>
                  <w:rFonts w:ascii="Arial" w:cs="Arial" w:eastAsia="Arial" w:hAnsi="Arial"/>
                  <w:sz w:val="18"/>
                  <w:szCs w:val="18"/>
                  <w:color w:val="0000FF"/>
                </w:rPr>
                <w:t>JPMorgan Chase Bank, N.A., as administrative agent and collateral</w:t>
              </w:r>
            </w:hyperlink>
          </w:p>
        </w:tc>
        <w:tc>
          <w:tcPr>
            <w:tcW w:w="160" w:type="dxa"/>
            <w:vAlign w:val="bottom"/>
          </w:tcPr>
          <w:p>
            <w:pPr>
              <w:spacing w:after="0"/>
              <w:rPr>
                <w:sz w:val="13"/>
                <w:szCs w:val="13"/>
                <w:color w:val="auto"/>
              </w:rPr>
            </w:pPr>
          </w:p>
        </w:tc>
      </w:tr>
      <w:tr>
        <w:trPr>
          <w:trHeight w:val="155"/>
        </w:trPr>
        <w:tc>
          <w:tcPr>
            <w:tcW w:w="980" w:type="dxa"/>
            <w:vAlign w:val="bottom"/>
          </w:tcPr>
          <w:p>
            <w:pPr>
              <w:spacing w:after="0"/>
              <w:rPr>
                <w:sz w:val="13"/>
                <w:szCs w:val="13"/>
                <w:color w:val="auto"/>
              </w:rPr>
            </w:pPr>
          </w:p>
        </w:tc>
        <w:tc>
          <w:tcPr>
            <w:tcW w:w="5360" w:type="dxa"/>
            <w:vAlign w:val="bottom"/>
            <w:tcBorders>
              <w:top w:val="single" w:sz="8" w:color="0000FF"/>
            </w:tcBorders>
            <w:gridSpan w:val="7"/>
          </w:tcPr>
          <w:p>
            <w:pPr>
              <w:spacing w:after="0" w:line="154" w:lineRule="exact"/>
              <w:rPr>
                <w:rFonts w:ascii="Arial" w:cs="Arial" w:eastAsia="Arial" w:hAnsi="Arial"/>
                <w:sz w:val="17"/>
                <w:szCs w:val="17"/>
                <w:u w:val="single" w:color="auto"/>
                <w:color w:val="0000FF"/>
              </w:rPr>
            </w:pPr>
            <w:hyperlink r:id="rId218">
              <w:r>
                <w:rPr>
                  <w:rFonts w:ascii="Arial" w:cs="Arial" w:eastAsia="Arial" w:hAnsi="Arial"/>
                  <w:sz w:val="17"/>
                  <w:szCs w:val="17"/>
                  <w:u w:val="single" w:color="auto"/>
                  <w:color w:val="0000FF"/>
                </w:rPr>
                <w:t>agent, and the other agents party thereto and each financial</w:t>
              </w:r>
            </w:hyperlink>
          </w:p>
        </w:tc>
        <w:tc>
          <w:tcPr>
            <w:tcW w:w="160" w:type="dxa"/>
            <w:vAlign w:val="bottom"/>
            <w:gridSpan w:val="4"/>
          </w:tcPr>
          <w:p>
            <w:pPr>
              <w:spacing w:after="0"/>
              <w:rPr>
                <w:sz w:val="13"/>
                <w:szCs w:val="13"/>
                <w:color w:val="auto"/>
              </w:rPr>
            </w:pPr>
          </w:p>
        </w:tc>
        <w:tc>
          <w:tcPr>
            <w:tcW w:w="160" w:type="dxa"/>
            <w:vAlign w:val="bottom"/>
          </w:tcPr>
          <w:p>
            <w:pPr>
              <w:spacing w:after="0"/>
              <w:rPr>
                <w:sz w:val="13"/>
                <w:szCs w:val="13"/>
                <w:color w:val="auto"/>
              </w:rPr>
            </w:pPr>
          </w:p>
        </w:tc>
      </w:tr>
      <w:tr>
        <w:trPr>
          <w:trHeight w:val="217"/>
        </w:trPr>
        <w:tc>
          <w:tcPr>
            <w:tcW w:w="980" w:type="dxa"/>
            <w:vAlign w:val="bottom"/>
          </w:tcPr>
          <w:p>
            <w:pPr>
              <w:spacing w:after="0"/>
              <w:rPr>
                <w:sz w:val="18"/>
                <w:szCs w:val="18"/>
                <w:color w:val="auto"/>
              </w:rPr>
            </w:pPr>
          </w:p>
        </w:tc>
        <w:tc>
          <w:tcPr>
            <w:tcW w:w="5520" w:type="dxa"/>
            <w:vAlign w:val="bottom"/>
            <w:gridSpan w:val="11"/>
          </w:tcPr>
          <w:p>
            <w:pPr>
              <w:spacing w:after="0"/>
              <w:rPr>
                <w:rFonts w:ascii="Arial" w:cs="Arial" w:eastAsia="Arial" w:hAnsi="Arial"/>
                <w:sz w:val="18"/>
                <w:szCs w:val="18"/>
                <w:u w:val="single" w:color="auto"/>
                <w:color w:val="0000FF"/>
              </w:rPr>
            </w:pPr>
            <w:hyperlink r:id="rId218">
              <w:r>
                <w:rPr>
                  <w:rFonts w:ascii="Arial" w:cs="Arial" w:eastAsia="Arial" w:hAnsi="Arial"/>
                  <w:sz w:val="18"/>
                  <w:szCs w:val="18"/>
                  <w:u w:val="single" w:color="auto"/>
                  <w:color w:val="0000FF"/>
                </w:rPr>
                <w:t>institution party from time to time thereto</w:t>
              </w:r>
            </w:hyperlink>
          </w:p>
        </w:tc>
        <w:tc>
          <w:tcPr>
            <w:tcW w:w="160" w:type="dxa"/>
            <w:vAlign w:val="bottom"/>
          </w:tcPr>
          <w:p>
            <w:pPr>
              <w:spacing w:after="0"/>
              <w:rPr>
                <w:sz w:val="18"/>
                <w:szCs w:val="18"/>
                <w:color w:val="auto"/>
              </w:rPr>
            </w:pPr>
          </w:p>
        </w:tc>
      </w:tr>
      <w:tr>
        <w:trPr>
          <w:trHeight w:val="188"/>
        </w:trPr>
        <w:tc>
          <w:tcPr>
            <w:tcW w:w="980" w:type="dxa"/>
            <w:vAlign w:val="bottom"/>
          </w:tcPr>
          <w:p>
            <w:pPr>
              <w:spacing w:after="0" w:line="189" w:lineRule="exact"/>
              <w:rPr>
                <w:sz w:val="20"/>
                <w:szCs w:val="20"/>
                <w:color w:val="auto"/>
              </w:rPr>
            </w:pPr>
            <w:r>
              <w:rPr>
                <w:rFonts w:ascii="Arial" w:cs="Arial" w:eastAsia="Arial" w:hAnsi="Arial"/>
                <w:sz w:val="18"/>
                <w:szCs w:val="18"/>
                <w:color w:val="auto"/>
              </w:rPr>
              <w:t>10.25</w:t>
            </w:r>
          </w:p>
        </w:tc>
        <w:tc>
          <w:tcPr>
            <w:tcW w:w="5520" w:type="dxa"/>
            <w:vAlign w:val="bottom"/>
            <w:gridSpan w:val="11"/>
          </w:tcPr>
          <w:p>
            <w:pPr>
              <w:spacing w:after="0" w:line="189" w:lineRule="exact"/>
              <w:rPr>
                <w:rFonts w:ascii="Arial" w:cs="Arial" w:eastAsia="Arial" w:hAnsi="Arial"/>
                <w:sz w:val="18"/>
                <w:szCs w:val="18"/>
                <w:color w:val="0000FF"/>
              </w:rPr>
            </w:pPr>
            <w:hyperlink r:id="rId219">
              <w:r>
                <w:rPr>
                  <w:rFonts w:ascii="Arial" w:cs="Arial" w:eastAsia="Arial" w:hAnsi="Arial"/>
                  <w:sz w:val="18"/>
                  <w:szCs w:val="18"/>
                  <w:u w:val="single" w:color="auto"/>
                  <w:color w:val="0000FF"/>
                </w:rPr>
                <w:t>Incremental Amendment No. 2 to Credit Agreement dated as of</w:t>
              </w:r>
              <w:r>
                <w:rPr>
                  <w:rFonts w:ascii="Arial" w:cs="Arial" w:eastAsia="Arial" w:hAnsi="Arial"/>
                  <w:sz w:val="18"/>
                  <w:szCs w:val="18"/>
                  <w:color w:val="0000FF"/>
                </w:rPr>
                <w:t xml:space="preserve"> July</w:t>
              </w:r>
            </w:hyperlink>
          </w:p>
        </w:tc>
        <w:tc>
          <w:tcPr>
            <w:tcW w:w="160" w:type="dxa"/>
            <w:vAlign w:val="bottom"/>
          </w:tcPr>
          <w:p>
            <w:pPr>
              <w:spacing w:after="0"/>
              <w:rPr>
                <w:sz w:val="16"/>
                <w:szCs w:val="16"/>
                <w:color w:val="auto"/>
              </w:rPr>
            </w:pPr>
          </w:p>
        </w:tc>
      </w:tr>
      <w:tr>
        <w:trPr>
          <w:trHeight w:val="155"/>
        </w:trPr>
        <w:tc>
          <w:tcPr>
            <w:tcW w:w="980" w:type="dxa"/>
            <w:vAlign w:val="bottom"/>
          </w:tcPr>
          <w:p>
            <w:pPr>
              <w:spacing w:after="0"/>
              <w:rPr>
                <w:sz w:val="13"/>
                <w:szCs w:val="13"/>
                <w:color w:val="auto"/>
              </w:rPr>
            </w:pPr>
          </w:p>
        </w:tc>
        <w:tc>
          <w:tcPr>
            <w:tcW w:w="5080" w:type="dxa"/>
            <w:vAlign w:val="bottom"/>
            <w:gridSpan w:val="4"/>
          </w:tcPr>
          <w:p>
            <w:pPr>
              <w:spacing w:after="0" w:line="156" w:lineRule="exact"/>
              <w:rPr>
                <w:rFonts w:ascii="Arial" w:cs="Arial" w:eastAsia="Arial" w:hAnsi="Arial"/>
                <w:sz w:val="18"/>
                <w:szCs w:val="18"/>
                <w:color w:val="0000FF"/>
              </w:rPr>
            </w:pPr>
            <w:hyperlink r:id="rId219">
              <w:r>
                <w:rPr>
                  <w:rFonts w:ascii="Arial" w:cs="Arial" w:eastAsia="Arial" w:hAnsi="Arial"/>
                  <w:sz w:val="18"/>
                  <w:szCs w:val="18"/>
                  <w:color w:val="0000FF"/>
                </w:rPr>
                <w:t>3, 2018 by and among Micron Technology, Inc., as borrower,</w:t>
              </w:r>
            </w:hyperlink>
          </w:p>
        </w:tc>
        <w:tc>
          <w:tcPr>
            <w:tcW w:w="320" w:type="dxa"/>
            <w:vAlign w:val="bottom"/>
            <w:tcBorders>
              <w:top w:val="single" w:sz="8" w:color="0000FF"/>
            </w:tcBorders>
            <w:gridSpan w:val="4"/>
          </w:tcPr>
          <w:p>
            <w:pPr>
              <w:spacing w:after="0"/>
              <w:rPr>
                <w:sz w:val="13"/>
                <w:szCs w:val="13"/>
                <w:color w:val="auto"/>
              </w:rPr>
            </w:pPr>
          </w:p>
        </w:tc>
        <w:tc>
          <w:tcPr>
            <w:tcW w:w="120" w:type="dxa"/>
            <w:vAlign w:val="bottom"/>
            <w:gridSpan w:val="3"/>
          </w:tcPr>
          <w:p>
            <w:pPr>
              <w:spacing w:after="0"/>
              <w:rPr>
                <w:sz w:val="13"/>
                <w:szCs w:val="13"/>
                <w:color w:val="auto"/>
              </w:rPr>
            </w:pPr>
          </w:p>
        </w:tc>
        <w:tc>
          <w:tcPr>
            <w:tcW w:w="160" w:type="dxa"/>
            <w:vAlign w:val="bottom"/>
          </w:tcPr>
          <w:p>
            <w:pPr>
              <w:spacing w:after="0"/>
              <w:rPr>
                <w:sz w:val="13"/>
                <w:szCs w:val="13"/>
                <w:color w:val="auto"/>
              </w:rPr>
            </w:pPr>
          </w:p>
        </w:tc>
      </w:tr>
      <w:tr>
        <w:trPr>
          <w:trHeight w:val="156"/>
        </w:trPr>
        <w:tc>
          <w:tcPr>
            <w:tcW w:w="980" w:type="dxa"/>
            <w:vAlign w:val="bottom"/>
          </w:tcPr>
          <w:p>
            <w:pPr>
              <w:spacing w:after="0"/>
              <w:rPr>
                <w:sz w:val="13"/>
                <w:szCs w:val="13"/>
                <w:color w:val="auto"/>
              </w:rPr>
            </w:pPr>
          </w:p>
        </w:tc>
        <w:tc>
          <w:tcPr>
            <w:tcW w:w="4840" w:type="dxa"/>
            <w:vAlign w:val="bottom"/>
            <w:tcBorders>
              <w:top w:val="single" w:sz="8" w:color="0000FF"/>
            </w:tcBorders>
            <w:gridSpan w:val="2"/>
          </w:tcPr>
          <w:p>
            <w:pPr>
              <w:spacing w:after="0" w:line="157" w:lineRule="exact"/>
              <w:rPr>
                <w:rFonts w:ascii="Arial" w:cs="Arial" w:eastAsia="Arial" w:hAnsi="Arial"/>
                <w:sz w:val="18"/>
                <w:szCs w:val="18"/>
                <w:color w:val="0000FF"/>
              </w:rPr>
            </w:pPr>
            <w:hyperlink r:id="rId219">
              <w:r>
                <w:rPr>
                  <w:rFonts w:ascii="Arial" w:cs="Arial" w:eastAsia="Arial" w:hAnsi="Arial"/>
                  <w:sz w:val="18"/>
                  <w:szCs w:val="18"/>
                  <w:color w:val="0000FF"/>
                </w:rPr>
                <w:t>JPMorgan Chase Bank, N.A., as administrative agent and</w:t>
              </w:r>
            </w:hyperlink>
          </w:p>
        </w:tc>
        <w:tc>
          <w:tcPr>
            <w:tcW w:w="680" w:type="dxa"/>
            <w:vAlign w:val="bottom"/>
            <w:gridSpan w:val="9"/>
          </w:tcPr>
          <w:p>
            <w:pPr>
              <w:spacing w:after="0" w:line="157" w:lineRule="exact"/>
              <w:rPr>
                <w:rFonts w:ascii="Arial" w:cs="Arial" w:eastAsia="Arial" w:hAnsi="Arial"/>
                <w:sz w:val="18"/>
                <w:szCs w:val="18"/>
                <w:color w:val="0000FF"/>
                <w:w w:val="91"/>
              </w:rPr>
            </w:pPr>
            <w:hyperlink r:id="rId219">
              <w:r>
                <w:rPr>
                  <w:rFonts w:ascii="Arial" w:cs="Arial" w:eastAsia="Arial" w:hAnsi="Arial"/>
                  <w:sz w:val="18"/>
                  <w:szCs w:val="18"/>
                  <w:color w:val="0000FF"/>
                  <w:w w:val="91"/>
                </w:rPr>
                <w:t>collateral</w:t>
              </w:r>
            </w:hyperlink>
          </w:p>
        </w:tc>
        <w:tc>
          <w:tcPr>
            <w:tcW w:w="160" w:type="dxa"/>
            <w:vAlign w:val="bottom"/>
          </w:tcPr>
          <w:p>
            <w:pPr>
              <w:spacing w:after="0"/>
              <w:rPr>
                <w:sz w:val="13"/>
                <w:szCs w:val="13"/>
                <w:color w:val="auto"/>
              </w:rPr>
            </w:pPr>
          </w:p>
        </w:tc>
      </w:tr>
      <w:tr>
        <w:trPr>
          <w:trHeight w:val="155"/>
        </w:trPr>
        <w:tc>
          <w:tcPr>
            <w:tcW w:w="980" w:type="dxa"/>
            <w:vAlign w:val="bottom"/>
          </w:tcPr>
          <w:p>
            <w:pPr>
              <w:spacing w:after="0"/>
              <w:rPr>
                <w:sz w:val="13"/>
                <w:szCs w:val="13"/>
                <w:color w:val="auto"/>
              </w:rPr>
            </w:pPr>
          </w:p>
        </w:tc>
        <w:tc>
          <w:tcPr>
            <w:tcW w:w="5360" w:type="dxa"/>
            <w:vAlign w:val="bottom"/>
            <w:tcBorders>
              <w:top w:val="single" w:sz="8" w:color="0000FF"/>
            </w:tcBorders>
            <w:gridSpan w:val="7"/>
          </w:tcPr>
          <w:p>
            <w:pPr>
              <w:spacing w:after="0" w:line="154" w:lineRule="exact"/>
              <w:rPr>
                <w:rFonts w:ascii="Arial" w:cs="Arial" w:eastAsia="Arial" w:hAnsi="Arial"/>
                <w:sz w:val="17"/>
                <w:szCs w:val="17"/>
                <w:u w:val="single" w:color="auto"/>
                <w:color w:val="0000FF"/>
              </w:rPr>
            </w:pPr>
            <w:hyperlink r:id="rId219">
              <w:r>
                <w:rPr>
                  <w:rFonts w:ascii="Arial" w:cs="Arial" w:eastAsia="Arial" w:hAnsi="Arial"/>
                  <w:sz w:val="17"/>
                  <w:szCs w:val="17"/>
                  <w:u w:val="single" w:color="auto"/>
                  <w:color w:val="0000FF"/>
                </w:rPr>
                <w:t>agent, and the other agents party thereto and each financial</w:t>
              </w:r>
            </w:hyperlink>
          </w:p>
        </w:tc>
        <w:tc>
          <w:tcPr>
            <w:tcW w:w="160" w:type="dxa"/>
            <w:vAlign w:val="bottom"/>
            <w:gridSpan w:val="4"/>
          </w:tcPr>
          <w:p>
            <w:pPr>
              <w:spacing w:after="0"/>
              <w:rPr>
                <w:sz w:val="13"/>
                <w:szCs w:val="13"/>
                <w:color w:val="auto"/>
              </w:rPr>
            </w:pPr>
          </w:p>
        </w:tc>
        <w:tc>
          <w:tcPr>
            <w:tcW w:w="160" w:type="dxa"/>
            <w:vAlign w:val="bottom"/>
          </w:tcPr>
          <w:p>
            <w:pPr>
              <w:spacing w:after="0"/>
              <w:rPr>
                <w:sz w:val="13"/>
                <w:szCs w:val="13"/>
                <w:color w:val="auto"/>
              </w:rPr>
            </w:pPr>
          </w:p>
        </w:tc>
      </w:tr>
      <w:tr>
        <w:trPr>
          <w:trHeight w:val="217"/>
        </w:trPr>
        <w:tc>
          <w:tcPr>
            <w:tcW w:w="980" w:type="dxa"/>
            <w:vAlign w:val="bottom"/>
          </w:tcPr>
          <w:p>
            <w:pPr>
              <w:spacing w:after="0"/>
              <w:rPr>
                <w:sz w:val="18"/>
                <w:szCs w:val="18"/>
                <w:color w:val="auto"/>
              </w:rPr>
            </w:pPr>
          </w:p>
        </w:tc>
        <w:tc>
          <w:tcPr>
            <w:tcW w:w="5520" w:type="dxa"/>
            <w:vAlign w:val="bottom"/>
            <w:gridSpan w:val="11"/>
          </w:tcPr>
          <w:p>
            <w:pPr>
              <w:spacing w:after="0"/>
              <w:rPr>
                <w:rFonts w:ascii="Arial" w:cs="Arial" w:eastAsia="Arial" w:hAnsi="Arial"/>
                <w:sz w:val="18"/>
                <w:szCs w:val="18"/>
                <w:u w:val="single" w:color="auto"/>
                <w:color w:val="0000FF"/>
              </w:rPr>
            </w:pPr>
            <w:hyperlink r:id="rId219">
              <w:r>
                <w:rPr>
                  <w:rFonts w:ascii="Arial" w:cs="Arial" w:eastAsia="Arial" w:hAnsi="Arial"/>
                  <w:sz w:val="18"/>
                  <w:szCs w:val="18"/>
                  <w:u w:val="single" w:color="auto"/>
                  <w:color w:val="0000FF"/>
                </w:rPr>
                <w:t>institution party from time to time thereto</w:t>
              </w:r>
            </w:hyperlink>
          </w:p>
        </w:tc>
        <w:tc>
          <w:tcPr>
            <w:tcW w:w="160" w:type="dxa"/>
            <w:vAlign w:val="bottom"/>
          </w:tcPr>
          <w:p>
            <w:pPr>
              <w:spacing w:after="0"/>
              <w:rPr>
                <w:sz w:val="18"/>
                <w:szCs w:val="18"/>
                <w:color w:val="auto"/>
              </w:rPr>
            </w:pPr>
          </w:p>
        </w:tc>
      </w:tr>
      <w:tr>
        <w:trPr>
          <w:trHeight w:val="243"/>
        </w:trPr>
        <w:tc>
          <w:tcPr>
            <w:tcW w:w="980" w:type="dxa"/>
            <w:vAlign w:val="bottom"/>
          </w:tcPr>
          <w:p>
            <w:pPr>
              <w:spacing w:after="0"/>
              <w:rPr>
                <w:sz w:val="20"/>
                <w:szCs w:val="20"/>
                <w:color w:val="auto"/>
              </w:rPr>
            </w:pPr>
            <w:r>
              <w:rPr>
                <w:rFonts w:ascii="Arial" w:cs="Arial" w:eastAsia="Arial" w:hAnsi="Arial"/>
                <w:sz w:val="18"/>
                <w:szCs w:val="18"/>
                <w:color w:val="auto"/>
              </w:rPr>
              <w:t>21.1</w:t>
            </w:r>
          </w:p>
        </w:tc>
        <w:tc>
          <w:tcPr>
            <w:tcW w:w="5520" w:type="dxa"/>
            <w:vAlign w:val="bottom"/>
            <w:gridSpan w:val="11"/>
          </w:tcPr>
          <w:p>
            <w:pPr>
              <w:spacing w:after="0"/>
              <w:rPr>
                <w:rFonts w:ascii="Arial" w:cs="Arial" w:eastAsia="Arial" w:hAnsi="Arial"/>
                <w:sz w:val="18"/>
                <w:szCs w:val="18"/>
                <w:u w:val="single" w:color="auto"/>
                <w:color w:val="0000FF"/>
              </w:rPr>
            </w:pPr>
            <w:hyperlink w:anchor="page99">
              <w:r>
                <w:rPr>
                  <w:rFonts w:ascii="Arial" w:cs="Arial" w:eastAsia="Arial" w:hAnsi="Arial"/>
                  <w:sz w:val="18"/>
                  <w:szCs w:val="18"/>
                  <w:u w:val="single" w:color="auto"/>
                  <w:color w:val="0000FF"/>
                </w:rPr>
                <w:t>Subsidiaries of the Registrant</w:t>
              </w:r>
            </w:hyperlink>
          </w:p>
        </w:tc>
        <w:tc>
          <w:tcPr>
            <w:tcW w:w="160" w:type="dxa"/>
            <w:vAlign w:val="bottom"/>
          </w:tcPr>
          <w:p>
            <w:pPr>
              <w:ind w:left="40"/>
              <w:spacing w:after="0"/>
              <w:rPr>
                <w:sz w:val="20"/>
                <w:szCs w:val="20"/>
                <w:color w:val="auto"/>
              </w:rPr>
            </w:pPr>
            <w:r>
              <w:rPr>
                <w:rFonts w:ascii="Arial" w:cs="Arial" w:eastAsia="Arial" w:hAnsi="Arial"/>
                <w:sz w:val="18"/>
                <w:szCs w:val="18"/>
                <w:color w:val="auto"/>
                <w:w w:val="82"/>
              </w:rPr>
              <w:t>X</w:t>
            </w:r>
          </w:p>
        </w:tc>
      </w:tr>
      <w:tr>
        <w:trPr>
          <w:trHeight w:val="257"/>
        </w:trPr>
        <w:tc>
          <w:tcPr>
            <w:tcW w:w="980" w:type="dxa"/>
            <w:vAlign w:val="bottom"/>
          </w:tcPr>
          <w:p>
            <w:pPr>
              <w:spacing w:after="0"/>
              <w:rPr>
                <w:sz w:val="20"/>
                <w:szCs w:val="20"/>
                <w:color w:val="auto"/>
              </w:rPr>
            </w:pPr>
            <w:r>
              <w:rPr>
                <w:rFonts w:ascii="Arial" w:cs="Arial" w:eastAsia="Arial" w:hAnsi="Arial"/>
                <w:sz w:val="18"/>
                <w:szCs w:val="18"/>
                <w:color w:val="auto"/>
              </w:rPr>
              <w:t>23.1</w:t>
            </w:r>
          </w:p>
        </w:tc>
        <w:tc>
          <w:tcPr>
            <w:tcW w:w="5520" w:type="dxa"/>
            <w:vAlign w:val="bottom"/>
            <w:gridSpan w:val="11"/>
          </w:tcPr>
          <w:p>
            <w:pPr>
              <w:spacing w:after="0"/>
              <w:rPr>
                <w:rFonts w:ascii="Arial" w:cs="Arial" w:eastAsia="Arial" w:hAnsi="Arial"/>
                <w:sz w:val="18"/>
                <w:szCs w:val="18"/>
                <w:u w:val="single" w:color="auto"/>
                <w:color w:val="0000FF"/>
              </w:rPr>
            </w:pPr>
            <w:hyperlink w:anchor="page100">
              <w:r>
                <w:rPr>
                  <w:rFonts w:ascii="Arial" w:cs="Arial" w:eastAsia="Arial" w:hAnsi="Arial"/>
                  <w:sz w:val="18"/>
                  <w:szCs w:val="18"/>
                  <w:u w:val="single" w:color="auto"/>
                  <w:color w:val="0000FF"/>
                </w:rPr>
                <w:t>Consent of Independent Registered Public Accounting Firm</w:t>
              </w:r>
            </w:hyperlink>
          </w:p>
        </w:tc>
        <w:tc>
          <w:tcPr>
            <w:tcW w:w="160" w:type="dxa"/>
            <w:vAlign w:val="bottom"/>
          </w:tcPr>
          <w:p>
            <w:pPr>
              <w:ind w:left="40"/>
              <w:spacing w:after="0"/>
              <w:rPr>
                <w:sz w:val="20"/>
                <w:szCs w:val="20"/>
                <w:color w:val="auto"/>
              </w:rPr>
            </w:pPr>
            <w:r>
              <w:rPr>
                <w:rFonts w:ascii="Arial" w:cs="Arial" w:eastAsia="Arial" w:hAnsi="Arial"/>
                <w:sz w:val="18"/>
                <w:szCs w:val="18"/>
                <w:color w:val="auto"/>
                <w:w w:val="82"/>
              </w:rPr>
              <w:t>X</w:t>
            </w:r>
          </w:p>
        </w:tc>
      </w:tr>
      <w:tr>
        <w:trPr>
          <w:trHeight w:val="256"/>
        </w:trPr>
        <w:tc>
          <w:tcPr>
            <w:tcW w:w="980" w:type="dxa"/>
            <w:vAlign w:val="bottom"/>
          </w:tcPr>
          <w:p>
            <w:pPr>
              <w:spacing w:after="0"/>
              <w:rPr>
                <w:sz w:val="20"/>
                <w:szCs w:val="20"/>
                <w:color w:val="auto"/>
              </w:rPr>
            </w:pPr>
            <w:r>
              <w:rPr>
                <w:rFonts w:ascii="Arial" w:cs="Arial" w:eastAsia="Arial" w:hAnsi="Arial"/>
                <w:sz w:val="18"/>
                <w:szCs w:val="18"/>
                <w:color w:val="auto"/>
              </w:rPr>
              <w:t>31.1</w:t>
            </w:r>
          </w:p>
        </w:tc>
        <w:tc>
          <w:tcPr>
            <w:tcW w:w="5520" w:type="dxa"/>
            <w:vAlign w:val="bottom"/>
            <w:gridSpan w:val="11"/>
          </w:tcPr>
          <w:p>
            <w:pPr>
              <w:spacing w:after="0"/>
              <w:rPr>
                <w:rFonts w:ascii="Arial" w:cs="Arial" w:eastAsia="Arial" w:hAnsi="Arial"/>
                <w:sz w:val="18"/>
                <w:szCs w:val="18"/>
                <w:u w:val="single" w:color="auto"/>
                <w:color w:val="0000FF"/>
              </w:rPr>
            </w:pPr>
            <w:hyperlink w:anchor="page101">
              <w:r>
                <w:rPr>
                  <w:rFonts w:ascii="Arial" w:cs="Arial" w:eastAsia="Arial" w:hAnsi="Arial"/>
                  <w:sz w:val="18"/>
                  <w:szCs w:val="18"/>
                  <w:u w:val="single" w:color="auto"/>
                  <w:color w:val="0000FF"/>
                </w:rPr>
                <w:t>Rule 13a-14(a) Certification of Chief Executive Officer</w:t>
              </w:r>
            </w:hyperlink>
          </w:p>
        </w:tc>
        <w:tc>
          <w:tcPr>
            <w:tcW w:w="160" w:type="dxa"/>
            <w:vAlign w:val="bottom"/>
          </w:tcPr>
          <w:p>
            <w:pPr>
              <w:ind w:left="40"/>
              <w:spacing w:after="0"/>
              <w:rPr>
                <w:sz w:val="20"/>
                <w:szCs w:val="20"/>
                <w:color w:val="auto"/>
              </w:rPr>
            </w:pPr>
            <w:r>
              <w:rPr>
                <w:rFonts w:ascii="Arial" w:cs="Arial" w:eastAsia="Arial" w:hAnsi="Arial"/>
                <w:sz w:val="18"/>
                <w:szCs w:val="18"/>
                <w:color w:val="auto"/>
                <w:w w:val="82"/>
              </w:rPr>
              <w:t>X</w:t>
            </w:r>
          </w:p>
        </w:tc>
      </w:tr>
      <w:tr>
        <w:trPr>
          <w:trHeight w:val="257"/>
        </w:trPr>
        <w:tc>
          <w:tcPr>
            <w:tcW w:w="980" w:type="dxa"/>
            <w:vAlign w:val="bottom"/>
          </w:tcPr>
          <w:p>
            <w:pPr>
              <w:spacing w:after="0"/>
              <w:rPr>
                <w:sz w:val="20"/>
                <w:szCs w:val="20"/>
                <w:color w:val="auto"/>
              </w:rPr>
            </w:pPr>
            <w:r>
              <w:rPr>
                <w:rFonts w:ascii="Arial" w:cs="Arial" w:eastAsia="Arial" w:hAnsi="Arial"/>
                <w:sz w:val="18"/>
                <w:szCs w:val="18"/>
                <w:color w:val="auto"/>
              </w:rPr>
              <w:t>31.2</w:t>
            </w:r>
          </w:p>
        </w:tc>
        <w:tc>
          <w:tcPr>
            <w:tcW w:w="5520" w:type="dxa"/>
            <w:vAlign w:val="bottom"/>
            <w:gridSpan w:val="11"/>
          </w:tcPr>
          <w:p>
            <w:pPr>
              <w:spacing w:after="0"/>
              <w:rPr>
                <w:rFonts w:ascii="Arial" w:cs="Arial" w:eastAsia="Arial" w:hAnsi="Arial"/>
                <w:sz w:val="18"/>
                <w:szCs w:val="18"/>
                <w:u w:val="single" w:color="auto"/>
                <w:color w:val="0000FF"/>
              </w:rPr>
            </w:pPr>
            <w:hyperlink w:anchor="page102">
              <w:r>
                <w:rPr>
                  <w:rFonts w:ascii="Arial" w:cs="Arial" w:eastAsia="Arial" w:hAnsi="Arial"/>
                  <w:sz w:val="18"/>
                  <w:szCs w:val="18"/>
                  <w:u w:val="single" w:color="auto"/>
                  <w:color w:val="0000FF"/>
                </w:rPr>
                <w:t>Rule 13a-14(a) Certification of Chief Financial Officer</w:t>
              </w:r>
            </w:hyperlink>
          </w:p>
        </w:tc>
        <w:tc>
          <w:tcPr>
            <w:tcW w:w="160" w:type="dxa"/>
            <w:vAlign w:val="bottom"/>
          </w:tcPr>
          <w:p>
            <w:pPr>
              <w:ind w:left="40"/>
              <w:spacing w:after="0"/>
              <w:rPr>
                <w:sz w:val="20"/>
                <w:szCs w:val="20"/>
                <w:color w:val="auto"/>
              </w:rPr>
            </w:pPr>
            <w:r>
              <w:rPr>
                <w:rFonts w:ascii="Arial" w:cs="Arial" w:eastAsia="Arial" w:hAnsi="Arial"/>
                <w:sz w:val="18"/>
                <w:szCs w:val="18"/>
                <w:color w:val="auto"/>
                <w:w w:val="82"/>
              </w:rPr>
              <w:t>X</w:t>
            </w:r>
          </w:p>
        </w:tc>
      </w:tr>
      <w:tr>
        <w:trPr>
          <w:trHeight w:val="256"/>
        </w:trPr>
        <w:tc>
          <w:tcPr>
            <w:tcW w:w="980" w:type="dxa"/>
            <w:vAlign w:val="bottom"/>
          </w:tcPr>
          <w:p>
            <w:pPr>
              <w:spacing w:after="0"/>
              <w:rPr>
                <w:sz w:val="20"/>
                <w:szCs w:val="20"/>
                <w:color w:val="auto"/>
              </w:rPr>
            </w:pPr>
            <w:r>
              <w:rPr>
                <w:rFonts w:ascii="Arial" w:cs="Arial" w:eastAsia="Arial" w:hAnsi="Arial"/>
                <w:sz w:val="18"/>
                <w:szCs w:val="18"/>
                <w:color w:val="auto"/>
              </w:rPr>
              <w:t>32.1</w:t>
            </w:r>
          </w:p>
        </w:tc>
        <w:tc>
          <w:tcPr>
            <w:tcW w:w="5520" w:type="dxa"/>
            <w:vAlign w:val="bottom"/>
            <w:gridSpan w:val="11"/>
          </w:tcPr>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Certification of Chief Executive Officer Pursuant to 18 U.S.C. 1350</w:t>
              </w:r>
            </w:hyperlink>
          </w:p>
        </w:tc>
        <w:tc>
          <w:tcPr>
            <w:tcW w:w="160" w:type="dxa"/>
            <w:vAlign w:val="bottom"/>
          </w:tcPr>
          <w:p>
            <w:pPr>
              <w:ind w:left="40"/>
              <w:spacing w:after="0"/>
              <w:rPr>
                <w:sz w:val="20"/>
                <w:szCs w:val="20"/>
                <w:color w:val="auto"/>
              </w:rPr>
            </w:pPr>
            <w:r>
              <w:rPr>
                <w:rFonts w:ascii="Arial" w:cs="Arial" w:eastAsia="Arial" w:hAnsi="Arial"/>
                <w:sz w:val="18"/>
                <w:szCs w:val="18"/>
                <w:color w:val="auto"/>
                <w:w w:val="82"/>
              </w:rPr>
              <w:t>X</w:t>
            </w:r>
          </w:p>
        </w:tc>
      </w:tr>
      <w:tr>
        <w:trPr>
          <w:trHeight w:val="257"/>
        </w:trPr>
        <w:tc>
          <w:tcPr>
            <w:tcW w:w="980" w:type="dxa"/>
            <w:vAlign w:val="bottom"/>
          </w:tcPr>
          <w:p>
            <w:pPr>
              <w:spacing w:after="0"/>
              <w:rPr>
                <w:sz w:val="20"/>
                <w:szCs w:val="20"/>
                <w:color w:val="auto"/>
              </w:rPr>
            </w:pPr>
            <w:r>
              <w:rPr>
                <w:rFonts w:ascii="Arial" w:cs="Arial" w:eastAsia="Arial" w:hAnsi="Arial"/>
                <w:sz w:val="18"/>
                <w:szCs w:val="18"/>
                <w:color w:val="auto"/>
              </w:rPr>
              <w:t>32.2</w:t>
            </w:r>
          </w:p>
        </w:tc>
        <w:tc>
          <w:tcPr>
            <w:tcW w:w="5520" w:type="dxa"/>
            <w:vAlign w:val="bottom"/>
            <w:gridSpan w:val="11"/>
          </w:tcPr>
          <w:p>
            <w:pPr>
              <w:spacing w:after="0"/>
              <w:rPr>
                <w:rFonts w:ascii="Arial" w:cs="Arial" w:eastAsia="Arial" w:hAnsi="Arial"/>
                <w:sz w:val="18"/>
                <w:szCs w:val="18"/>
                <w:u w:val="single" w:color="auto"/>
                <w:color w:val="0000FF"/>
              </w:rPr>
            </w:pPr>
            <w:hyperlink w:anchor="page104">
              <w:r>
                <w:rPr>
                  <w:rFonts w:ascii="Arial" w:cs="Arial" w:eastAsia="Arial" w:hAnsi="Arial"/>
                  <w:sz w:val="18"/>
                  <w:szCs w:val="18"/>
                  <w:u w:val="single" w:color="auto"/>
                  <w:color w:val="0000FF"/>
                </w:rPr>
                <w:t>Certification of Chief Financial Officer Pursuant to 18 U.S.C. 1350</w:t>
              </w:r>
            </w:hyperlink>
          </w:p>
        </w:tc>
        <w:tc>
          <w:tcPr>
            <w:tcW w:w="160" w:type="dxa"/>
            <w:vAlign w:val="bottom"/>
          </w:tcPr>
          <w:p>
            <w:pPr>
              <w:ind w:left="40"/>
              <w:spacing w:after="0"/>
              <w:rPr>
                <w:sz w:val="20"/>
                <w:szCs w:val="20"/>
                <w:color w:val="auto"/>
              </w:rPr>
            </w:pPr>
            <w:r>
              <w:rPr>
                <w:rFonts w:ascii="Arial" w:cs="Arial" w:eastAsia="Arial" w:hAnsi="Arial"/>
                <w:sz w:val="18"/>
                <w:szCs w:val="18"/>
                <w:color w:val="auto"/>
                <w:w w:val="82"/>
              </w:rPr>
              <w:t>X</w:t>
            </w:r>
          </w:p>
        </w:tc>
      </w:tr>
      <w:tr>
        <w:trPr>
          <w:trHeight w:val="242"/>
        </w:trPr>
        <w:tc>
          <w:tcPr>
            <w:tcW w:w="980" w:type="dxa"/>
            <w:vAlign w:val="bottom"/>
          </w:tcPr>
          <w:p>
            <w:pPr>
              <w:spacing w:after="0"/>
              <w:rPr>
                <w:sz w:val="20"/>
                <w:szCs w:val="20"/>
                <w:color w:val="auto"/>
              </w:rPr>
            </w:pPr>
            <w:r>
              <w:rPr>
                <w:rFonts w:ascii="Arial" w:cs="Arial" w:eastAsia="Arial" w:hAnsi="Arial"/>
                <w:sz w:val="18"/>
                <w:szCs w:val="18"/>
                <w:color w:val="auto"/>
              </w:rPr>
              <w:t>101.INS</w:t>
            </w:r>
          </w:p>
        </w:tc>
        <w:tc>
          <w:tcPr>
            <w:tcW w:w="5520" w:type="dxa"/>
            <w:vAlign w:val="bottom"/>
            <w:gridSpan w:val="11"/>
          </w:tcPr>
          <w:p>
            <w:pPr>
              <w:spacing w:after="0"/>
              <w:rPr>
                <w:sz w:val="20"/>
                <w:szCs w:val="20"/>
                <w:color w:val="auto"/>
              </w:rPr>
            </w:pPr>
            <w:r>
              <w:rPr>
                <w:rFonts w:ascii="Arial" w:cs="Arial" w:eastAsia="Arial" w:hAnsi="Arial"/>
                <w:sz w:val="18"/>
                <w:szCs w:val="18"/>
                <w:color w:val="auto"/>
              </w:rPr>
              <w:t>Inline XBRL Instance Document - the instance document does not</w:t>
            </w:r>
          </w:p>
        </w:tc>
        <w:tc>
          <w:tcPr>
            <w:tcW w:w="160" w:type="dxa"/>
            <w:vAlign w:val="bottom"/>
          </w:tcPr>
          <w:p>
            <w:pPr>
              <w:ind w:left="40"/>
              <w:spacing w:after="0"/>
              <w:rPr>
                <w:sz w:val="20"/>
                <w:szCs w:val="20"/>
                <w:color w:val="auto"/>
              </w:rPr>
            </w:pPr>
            <w:r>
              <w:rPr>
                <w:rFonts w:ascii="Arial" w:cs="Arial" w:eastAsia="Arial" w:hAnsi="Arial"/>
                <w:sz w:val="18"/>
                <w:szCs w:val="18"/>
                <w:color w:val="auto"/>
                <w:w w:val="82"/>
              </w:rPr>
              <w:t>X</w:t>
            </w:r>
          </w:p>
        </w:tc>
      </w:tr>
      <w:tr>
        <w:trPr>
          <w:trHeight w:val="203"/>
        </w:trPr>
        <w:tc>
          <w:tcPr>
            <w:tcW w:w="980" w:type="dxa"/>
            <w:vAlign w:val="bottom"/>
          </w:tcPr>
          <w:p>
            <w:pPr>
              <w:spacing w:after="0"/>
              <w:rPr>
                <w:sz w:val="17"/>
                <w:szCs w:val="17"/>
                <w:color w:val="auto"/>
              </w:rPr>
            </w:pPr>
          </w:p>
        </w:tc>
        <w:tc>
          <w:tcPr>
            <w:tcW w:w="5520" w:type="dxa"/>
            <w:vAlign w:val="bottom"/>
            <w:gridSpan w:val="11"/>
          </w:tcPr>
          <w:p>
            <w:pPr>
              <w:spacing w:after="0" w:line="202" w:lineRule="exact"/>
              <w:rPr>
                <w:sz w:val="20"/>
                <w:szCs w:val="20"/>
                <w:color w:val="auto"/>
              </w:rPr>
            </w:pPr>
            <w:r>
              <w:rPr>
                <w:rFonts w:ascii="Arial" w:cs="Arial" w:eastAsia="Arial" w:hAnsi="Arial"/>
                <w:sz w:val="18"/>
                <w:szCs w:val="18"/>
                <w:color w:val="auto"/>
              </w:rPr>
              <w:t>appear in the Interactive Data File because its XBRL tags are</w:t>
            </w:r>
          </w:p>
        </w:tc>
        <w:tc>
          <w:tcPr>
            <w:tcW w:w="160" w:type="dxa"/>
            <w:vAlign w:val="bottom"/>
          </w:tcPr>
          <w:p>
            <w:pPr>
              <w:spacing w:after="0"/>
              <w:rPr>
                <w:sz w:val="17"/>
                <w:szCs w:val="17"/>
                <w:color w:val="auto"/>
              </w:rPr>
            </w:pPr>
          </w:p>
        </w:tc>
      </w:tr>
      <w:tr>
        <w:trPr>
          <w:trHeight w:val="217"/>
        </w:trPr>
        <w:tc>
          <w:tcPr>
            <w:tcW w:w="980" w:type="dxa"/>
            <w:vAlign w:val="bottom"/>
          </w:tcPr>
          <w:p>
            <w:pPr>
              <w:spacing w:after="0"/>
              <w:rPr>
                <w:sz w:val="18"/>
                <w:szCs w:val="18"/>
                <w:color w:val="auto"/>
              </w:rPr>
            </w:pPr>
          </w:p>
        </w:tc>
        <w:tc>
          <w:tcPr>
            <w:tcW w:w="5520" w:type="dxa"/>
            <w:vAlign w:val="bottom"/>
            <w:gridSpan w:val="11"/>
          </w:tcPr>
          <w:p>
            <w:pPr>
              <w:spacing w:after="0"/>
              <w:rPr>
                <w:sz w:val="20"/>
                <w:szCs w:val="20"/>
                <w:color w:val="auto"/>
              </w:rPr>
            </w:pPr>
            <w:r>
              <w:rPr>
                <w:rFonts w:ascii="Arial" w:cs="Arial" w:eastAsia="Arial" w:hAnsi="Arial"/>
                <w:sz w:val="18"/>
                <w:szCs w:val="18"/>
                <w:color w:val="auto"/>
              </w:rPr>
              <w:t>embedded within the Inline XBRL document</w:t>
            </w:r>
          </w:p>
        </w:tc>
        <w:tc>
          <w:tcPr>
            <w:tcW w:w="160" w:type="dxa"/>
            <w:vAlign w:val="bottom"/>
          </w:tcPr>
          <w:p>
            <w:pPr>
              <w:spacing w:after="0"/>
              <w:rPr>
                <w:sz w:val="18"/>
                <w:szCs w:val="18"/>
                <w:color w:val="auto"/>
              </w:rPr>
            </w:pPr>
          </w:p>
        </w:tc>
      </w:tr>
      <w:tr>
        <w:trPr>
          <w:trHeight w:val="257"/>
        </w:trPr>
        <w:tc>
          <w:tcPr>
            <w:tcW w:w="980" w:type="dxa"/>
            <w:vAlign w:val="bottom"/>
          </w:tcPr>
          <w:p>
            <w:pPr>
              <w:spacing w:after="0"/>
              <w:rPr>
                <w:sz w:val="20"/>
                <w:szCs w:val="20"/>
                <w:color w:val="auto"/>
              </w:rPr>
            </w:pPr>
            <w:r>
              <w:rPr>
                <w:rFonts w:ascii="Arial" w:cs="Arial" w:eastAsia="Arial" w:hAnsi="Arial"/>
                <w:sz w:val="18"/>
                <w:szCs w:val="18"/>
                <w:color w:val="auto"/>
              </w:rPr>
              <w:t>101.SCH</w:t>
            </w:r>
          </w:p>
        </w:tc>
        <w:tc>
          <w:tcPr>
            <w:tcW w:w="5520" w:type="dxa"/>
            <w:vAlign w:val="bottom"/>
            <w:gridSpan w:val="11"/>
          </w:tcPr>
          <w:p>
            <w:pPr>
              <w:spacing w:after="0"/>
              <w:rPr>
                <w:sz w:val="20"/>
                <w:szCs w:val="20"/>
                <w:color w:val="auto"/>
              </w:rPr>
            </w:pPr>
            <w:r>
              <w:rPr>
                <w:rFonts w:ascii="Arial" w:cs="Arial" w:eastAsia="Arial" w:hAnsi="Arial"/>
                <w:sz w:val="18"/>
                <w:szCs w:val="18"/>
                <w:color w:val="auto"/>
              </w:rPr>
              <w:t>Inline XBRL Taxonomy Extension Schema Document</w:t>
            </w:r>
          </w:p>
        </w:tc>
        <w:tc>
          <w:tcPr>
            <w:tcW w:w="160" w:type="dxa"/>
            <w:vAlign w:val="bottom"/>
          </w:tcPr>
          <w:p>
            <w:pPr>
              <w:ind w:left="40"/>
              <w:spacing w:after="0"/>
              <w:rPr>
                <w:sz w:val="20"/>
                <w:szCs w:val="20"/>
                <w:color w:val="auto"/>
              </w:rPr>
            </w:pPr>
            <w:r>
              <w:rPr>
                <w:rFonts w:ascii="Arial" w:cs="Arial" w:eastAsia="Arial" w:hAnsi="Arial"/>
                <w:sz w:val="18"/>
                <w:szCs w:val="18"/>
                <w:color w:val="auto"/>
                <w:w w:val="82"/>
              </w:rPr>
              <w:t>X</w:t>
            </w:r>
          </w:p>
        </w:tc>
      </w:tr>
      <w:tr>
        <w:trPr>
          <w:trHeight w:val="256"/>
        </w:trPr>
        <w:tc>
          <w:tcPr>
            <w:tcW w:w="980" w:type="dxa"/>
            <w:vAlign w:val="bottom"/>
          </w:tcPr>
          <w:p>
            <w:pPr>
              <w:spacing w:after="0"/>
              <w:rPr>
                <w:sz w:val="20"/>
                <w:szCs w:val="20"/>
                <w:color w:val="auto"/>
              </w:rPr>
            </w:pPr>
            <w:r>
              <w:rPr>
                <w:rFonts w:ascii="Arial" w:cs="Arial" w:eastAsia="Arial" w:hAnsi="Arial"/>
                <w:sz w:val="18"/>
                <w:szCs w:val="18"/>
                <w:color w:val="auto"/>
              </w:rPr>
              <w:t>101.CAL</w:t>
            </w:r>
          </w:p>
        </w:tc>
        <w:tc>
          <w:tcPr>
            <w:tcW w:w="5520" w:type="dxa"/>
            <w:vAlign w:val="bottom"/>
            <w:gridSpan w:val="11"/>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160" w:type="dxa"/>
            <w:vAlign w:val="bottom"/>
          </w:tcPr>
          <w:p>
            <w:pPr>
              <w:ind w:left="40"/>
              <w:spacing w:after="0"/>
              <w:rPr>
                <w:sz w:val="20"/>
                <w:szCs w:val="20"/>
                <w:color w:val="auto"/>
              </w:rPr>
            </w:pPr>
            <w:r>
              <w:rPr>
                <w:rFonts w:ascii="Arial" w:cs="Arial" w:eastAsia="Arial" w:hAnsi="Arial"/>
                <w:sz w:val="18"/>
                <w:szCs w:val="18"/>
                <w:color w:val="auto"/>
                <w:w w:val="82"/>
              </w:rPr>
              <w:t>X</w:t>
            </w:r>
          </w:p>
        </w:tc>
      </w:tr>
      <w:tr>
        <w:trPr>
          <w:trHeight w:val="257"/>
        </w:trPr>
        <w:tc>
          <w:tcPr>
            <w:tcW w:w="980" w:type="dxa"/>
            <w:vAlign w:val="bottom"/>
          </w:tcPr>
          <w:p>
            <w:pPr>
              <w:spacing w:after="0"/>
              <w:rPr>
                <w:sz w:val="20"/>
                <w:szCs w:val="20"/>
                <w:color w:val="auto"/>
              </w:rPr>
            </w:pPr>
            <w:r>
              <w:rPr>
                <w:rFonts w:ascii="Arial" w:cs="Arial" w:eastAsia="Arial" w:hAnsi="Arial"/>
                <w:sz w:val="18"/>
                <w:szCs w:val="18"/>
                <w:color w:val="auto"/>
              </w:rPr>
              <w:t>101.DEF</w:t>
            </w:r>
          </w:p>
        </w:tc>
        <w:tc>
          <w:tcPr>
            <w:tcW w:w="5520" w:type="dxa"/>
            <w:vAlign w:val="bottom"/>
            <w:gridSpan w:val="11"/>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160" w:type="dxa"/>
            <w:vAlign w:val="bottom"/>
          </w:tcPr>
          <w:p>
            <w:pPr>
              <w:ind w:left="40"/>
              <w:spacing w:after="0"/>
              <w:rPr>
                <w:sz w:val="20"/>
                <w:szCs w:val="20"/>
                <w:color w:val="auto"/>
              </w:rPr>
            </w:pPr>
            <w:r>
              <w:rPr>
                <w:rFonts w:ascii="Arial" w:cs="Arial" w:eastAsia="Arial" w:hAnsi="Arial"/>
                <w:sz w:val="18"/>
                <w:szCs w:val="18"/>
                <w:color w:val="auto"/>
                <w:w w:val="82"/>
              </w:rPr>
              <w:t>X</w:t>
            </w:r>
          </w:p>
        </w:tc>
      </w:tr>
      <w:tr>
        <w:trPr>
          <w:trHeight w:val="256"/>
        </w:trPr>
        <w:tc>
          <w:tcPr>
            <w:tcW w:w="980" w:type="dxa"/>
            <w:vAlign w:val="bottom"/>
          </w:tcPr>
          <w:p>
            <w:pPr>
              <w:spacing w:after="0"/>
              <w:rPr>
                <w:sz w:val="20"/>
                <w:szCs w:val="20"/>
                <w:color w:val="auto"/>
              </w:rPr>
            </w:pPr>
            <w:r>
              <w:rPr>
                <w:rFonts w:ascii="Arial" w:cs="Arial" w:eastAsia="Arial" w:hAnsi="Arial"/>
                <w:sz w:val="18"/>
                <w:szCs w:val="18"/>
                <w:color w:val="auto"/>
              </w:rPr>
              <w:t>101.LAB</w:t>
            </w:r>
          </w:p>
        </w:tc>
        <w:tc>
          <w:tcPr>
            <w:tcW w:w="5520" w:type="dxa"/>
            <w:vAlign w:val="bottom"/>
            <w:gridSpan w:val="11"/>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160" w:type="dxa"/>
            <w:vAlign w:val="bottom"/>
          </w:tcPr>
          <w:p>
            <w:pPr>
              <w:ind w:left="40"/>
              <w:spacing w:after="0"/>
              <w:rPr>
                <w:sz w:val="20"/>
                <w:szCs w:val="20"/>
                <w:color w:val="auto"/>
              </w:rPr>
            </w:pPr>
            <w:r>
              <w:rPr>
                <w:rFonts w:ascii="Arial" w:cs="Arial" w:eastAsia="Arial" w:hAnsi="Arial"/>
                <w:sz w:val="18"/>
                <w:szCs w:val="18"/>
                <w:color w:val="auto"/>
                <w:w w:val="82"/>
              </w:rPr>
              <w:t>X</w:t>
            </w:r>
          </w:p>
        </w:tc>
      </w:tr>
      <w:tr>
        <w:trPr>
          <w:trHeight w:val="256"/>
        </w:trPr>
        <w:tc>
          <w:tcPr>
            <w:tcW w:w="980" w:type="dxa"/>
            <w:vAlign w:val="bottom"/>
          </w:tcPr>
          <w:p>
            <w:pPr>
              <w:spacing w:after="0"/>
              <w:rPr>
                <w:sz w:val="20"/>
                <w:szCs w:val="20"/>
                <w:color w:val="auto"/>
              </w:rPr>
            </w:pPr>
            <w:r>
              <w:rPr>
                <w:rFonts w:ascii="Arial" w:cs="Arial" w:eastAsia="Arial" w:hAnsi="Arial"/>
                <w:sz w:val="18"/>
                <w:szCs w:val="18"/>
                <w:color w:val="auto"/>
              </w:rPr>
              <w:t>101.PRE</w:t>
            </w:r>
          </w:p>
        </w:tc>
        <w:tc>
          <w:tcPr>
            <w:tcW w:w="5520" w:type="dxa"/>
            <w:vAlign w:val="bottom"/>
            <w:gridSpan w:val="11"/>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160" w:type="dxa"/>
            <w:vAlign w:val="bottom"/>
          </w:tcPr>
          <w:p>
            <w:pPr>
              <w:ind w:left="40"/>
              <w:spacing w:after="0"/>
              <w:rPr>
                <w:sz w:val="20"/>
                <w:szCs w:val="20"/>
                <w:color w:val="auto"/>
              </w:rPr>
            </w:pPr>
            <w:r>
              <w:rPr>
                <w:rFonts w:ascii="Arial" w:cs="Arial" w:eastAsia="Arial" w:hAnsi="Arial"/>
                <w:sz w:val="18"/>
                <w:szCs w:val="18"/>
                <w:color w:val="auto"/>
                <w:w w:val="82"/>
              </w:rPr>
              <w:t>X</w:t>
            </w:r>
          </w:p>
        </w:tc>
      </w:tr>
      <w:tr>
        <w:trPr>
          <w:trHeight w:val="242"/>
        </w:trPr>
        <w:tc>
          <w:tcPr>
            <w:tcW w:w="980" w:type="dxa"/>
            <w:vAlign w:val="bottom"/>
          </w:tcPr>
          <w:p>
            <w:pPr>
              <w:spacing w:after="0"/>
              <w:rPr>
                <w:sz w:val="20"/>
                <w:szCs w:val="20"/>
                <w:color w:val="auto"/>
              </w:rPr>
            </w:pPr>
            <w:r>
              <w:rPr>
                <w:rFonts w:ascii="Arial" w:cs="Arial" w:eastAsia="Arial" w:hAnsi="Arial"/>
                <w:sz w:val="18"/>
                <w:szCs w:val="18"/>
                <w:color w:val="auto"/>
              </w:rPr>
              <w:t>104</w:t>
            </w:r>
          </w:p>
        </w:tc>
        <w:tc>
          <w:tcPr>
            <w:tcW w:w="5520" w:type="dxa"/>
            <w:vAlign w:val="bottom"/>
            <w:gridSpan w:val="11"/>
          </w:tcPr>
          <w:p>
            <w:pPr>
              <w:spacing w:after="0"/>
              <w:rPr>
                <w:sz w:val="20"/>
                <w:szCs w:val="20"/>
                <w:color w:val="auto"/>
              </w:rPr>
            </w:pPr>
            <w:r>
              <w:rPr>
                <w:rFonts w:ascii="Arial" w:cs="Arial" w:eastAsia="Arial" w:hAnsi="Arial"/>
                <w:sz w:val="18"/>
                <w:szCs w:val="18"/>
                <w:color w:val="auto"/>
              </w:rPr>
              <w:t>Cover Page Interactive Data File (formatted as Inline XBRL and</w:t>
            </w:r>
          </w:p>
        </w:tc>
        <w:tc>
          <w:tcPr>
            <w:tcW w:w="160" w:type="dxa"/>
            <w:vAlign w:val="bottom"/>
          </w:tcPr>
          <w:p>
            <w:pPr>
              <w:ind w:left="40"/>
              <w:spacing w:after="0"/>
              <w:rPr>
                <w:sz w:val="20"/>
                <w:szCs w:val="20"/>
                <w:color w:val="auto"/>
              </w:rPr>
            </w:pPr>
            <w:r>
              <w:rPr>
                <w:rFonts w:ascii="Arial" w:cs="Arial" w:eastAsia="Arial" w:hAnsi="Arial"/>
                <w:sz w:val="18"/>
                <w:szCs w:val="18"/>
                <w:color w:val="auto"/>
                <w:w w:val="82"/>
              </w:rPr>
              <w:t>X</w:t>
            </w:r>
          </w:p>
        </w:tc>
      </w:tr>
      <w:tr>
        <w:trPr>
          <w:trHeight w:val="217"/>
        </w:trPr>
        <w:tc>
          <w:tcPr>
            <w:tcW w:w="980" w:type="dxa"/>
            <w:vAlign w:val="bottom"/>
          </w:tcPr>
          <w:p>
            <w:pPr>
              <w:spacing w:after="0"/>
              <w:rPr>
                <w:sz w:val="18"/>
                <w:szCs w:val="18"/>
                <w:color w:val="auto"/>
              </w:rPr>
            </w:pPr>
          </w:p>
        </w:tc>
        <w:tc>
          <w:tcPr>
            <w:tcW w:w="5520" w:type="dxa"/>
            <w:vAlign w:val="bottom"/>
            <w:gridSpan w:val="11"/>
          </w:tcPr>
          <w:p>
            <w:pPr>
              <w:spacing w:after="0"/>
              <w:rPr>
                <w:sz w:val="20"/>
                <w:szCs w:val="20"/>
                <w:color w:val="auto"/>
              </w:rPr>
            </w:pPr>
            <w:r>
              <w:rPr>
                <w:rFonts w:ascii="Arial" w:cs="Arial" w:eastAsia="Arial" w:hAnsi="Arial"/>
                <w:sz w:val="18"/>
                <w:szCs w:val="18"/>
                <w:color w:val="auto"/>
              </w:rPr>
              <w:t>contained in Exhibit 101)</w:t>
            </w:r>
          </w:p>
        </w:tc>
        <w:tc>
          <w:tcPr>
            <w:tcW w:w="1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-5177155</wp:posOffset>
            </wp:positionV>
            <wp:extent cx="7132320" cy="16319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-4851400</wp:posOffset>
            </wp:positionV>
            <wp:extent cx="7132320" cy="16256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-4525645</wp:posOffset>
            </wp:positionV>
            <wp:extent cx="7132320" cy="4800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2">
                      <a:extLst>
                        <a:ext uri="{28A0092B-C50C-407E-A947-70E740481C1C}"/>
                      </a:extLst>
                    </a:blip>
                    <a:srcRect/>
                    <a:stretch>
                      <a:fillRect/>
                    </a:stretch>
                  </pic:blipFill>
                  <pic:spPr bwMode="auto">
                    <a:xfrm>
                      <a:off x="0" y="0"/>
                      <a:ext cx="7132320" cy="4800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-3676650</wp:posOffset>
            </wp:positionV>
            <wp:extent cx="7132320" cy="5911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3">
                      <a:extLst>
                        <a:ext uri="{28A0092B-C50C-407E-A947-70E740481C1C}"/>
                      </a:extLst>
                    </a:blip>
                    <a:srcRect/>
                    <a:stretch>
                      <a:fillRect/>
                    </a:stretch>
                  </pic:blipFill>
                  <pic:spPr bwMode="auto">
                    <a:xfrm>
                      <a:off x="0" y="0"/>
                      <a:ext cx="7132320" cy="5911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-2493645</wp:posOffset>
            </wp:positionV>
            <wp:extent cx="7132320" cy="16319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-2167890</wp:posOffset>
            </wp:positionV>
            <wp:extent cx="7132320" cy="16256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-1842135</wp:posOffset>
            </wp:positionV>
            <wp:extent cx="7132320" cy="16256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-1516380</wp:posOffset>
            </wp:positionV>
            <wp:extent cx="7132320" cy="419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7">
                      <a:extLst>
                        <a:ext uri="{28A0092B-C50C-407E-A947-70E740481C1C}"/>
                      </a:extLst>
                    </a:blip>
                    <a:srcRect/>
                    <a:stretch>
                      <a:fillRect/>
                    </a:stretch>
                  </pic:blipFill>
                  <pic:spPr bwMode="auto">
                    <a:xfrm>
                      <a:off x="0" y="0"/>
                      <a:ext cx="7132320" cy="419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-933450</wp:posOffset>
            </wp:positionV>
            <wp:extent cx="7132320" cy="16256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-607695</wp:posOffset>
            </wp:positionV>
            <wp:extent cx="7132320" cy="16256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-281940</wp:posOffset>
            </wp:positionV>
            <wp:extent cx="7132320" cy="29146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0">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760" w:type="dxa"/>
            <w:vAlign w:val="bottom"/>
          </w:tcPr>
          <w:p>
            <w:pPr>
              <w:spacing w:after="0"/>
              <w:rPr>
                <w:sz w:val="20"/>
                <w:szCs w:val="20"/>
                <w:color w:val="auto"/>
              </w:rPr>
            </w:pPr>
            <w:r>
              <w:rPr>
                <w:rFonts w:ascii="Arial" w:cs="Arial" w:eastAsia="Arial" w:hAnsi="Arial"/>
                <w:sz w:val="18"/>
                <w:szCs w:val="18"/>
                <w:color w:val="auto"/>
              </w:rPr>
              <w:t>10-Q</w:t>
            </w:r>
          </w:p>
        </w:tc>
        <w:tc>
          <w:tcPr>
            <w:tcW w:w="840" w:type="dxa"/>
            <w:vAlign w:val="bottom"/>
          </w:tcPr>
          <w:p>
            <w:pPr>
              <w:ind w:left="20"/>
              <w:spacing w:after="0"/>
              <w:rPr>
                <w:sz w:val="20"/>
                <w:szCs w:val="20"/>
                <w:color w:val="auto"/>
              </w:rPr>
            </w:pPr>
            <w:r>
              <w:rPr>
                <w:rFonts w:ascii="Arial" w:cs="Arial" w:eastAsia="Arial" w:hAnsi="Arial"/>
                <w:sz w:val="18"/>
                <w:szCs w:val="18"/>
                <w:color w:val="auto"/>
              </w:rPr>
              <w:t>11/30/17</w:t>
            </w:r>
          </w:p>
        </w:tc>
        <w:tc>
          <w:tcPr>
            <w:tcW w:w="860" w:type="dxa"/>
            <w:vAlign w:val="bottom"/>
          </w:tcPr>
          <w:p>
            <w:pPr>
              <w:ind w:left="100"/>
              <w:spacing w:after="0"/>
              <w:rPr>
                <w:sz w:val="20"/>
                <w:szCs w:val="20"/>
                <w:color w:val="auto"/>
              </w:rPr>
            </w:pPr>
            <w:r>
              <w:rPr>
                <w:rFonts w:ascii="Arial" w:cs="Arial" w:eastAsia="Arial" w:hAnsi="Arial"/>
                <w:sz w:val="18"/>
                <w:szCs w:val="18"/>
                <w:color w:val="auto"/>
              </w:rPr>
              <w:t>10.70</w:t>
            </w:r>
          </w:p>
        </w:tc>
        <w:tc>
          <w:tcPr>
            <w:tcW w:w="1000" w:type="dxa"/>
            <w:vAlign w:val="bottom"/>
          </w:tcPr>
          <w:p>
            <w:pPr>
              <w:ind w:left="300"/>
              <w:spacing w:after="0"/>
              <w:rPr>
                <w:sz w:val="20"/>
                <w:szCs w:val="20"/>
                <w:color w:val="auto"/>
              </w:rPr>
            </w:pPr>
            <w:r>
              <w:rPr>
                <w:rFonts w:ascii="Arial" w:cs="Arial" w:eastAsia="Arial" w:hAnsi="Arial"/>
                <w:sz w:val="18"/>
                <w:szCs w:val="18"/>
                <w:color w:val="auto"/>
                <w:w w:val="96"/>
              </w:rPr>
              <w:t>12/20/17</w:t>
            </w:r>
          </w:p>
        </w:tc>
      </w:tr>
      <w:tr>
        <w:trPr>
          <w:trHeight w:val="257"/>
        </w:trPr>
        <w:tc>
          <w:tcPr>
            <w:tcW w:w="760" w:type="dxa"/>
            <w:vAlign w:val="bottom"/>
          </w:tcPr>
          <w:p>
            <w:pPr>
              <w:spacing w:after="0"/>
              <w:rPr>
                <w:sz w:val="20"/>
                <w:szCs w:val="20"/>
                <w:color w:val="auto"/>
              </w:rPr>
            </w:pPr>
            <w:r>
              <w:rPr>
                <w:rFonts w:ascii="Arial" w:cs="Arial" w:eastAsia="Arial" w:hAnsi="Arial"/>
                <w:sz w:val="18"/>
                <w:szCs w:val="18"/>
                <w:color w:val="auto"/>
              </w:rPr>
              <w:t>8-K</w:t>
            </w:r>
          </w:p>
        </w:tc>
        <w:tc>
          <w:tcPr>
            <w:tcW w:w="840" w:type="dxa"/>
            <w:vAlign w:val="bottom"/>
          </w:tcPr>
          <w:p>
            <w:pPr>
              <w:spacing w:after="0"/>
              <w:rPr>
                <w:sz w:val="22"/>
                <w:szCs w:val="22"/>
                <w:color w:val="auto"/>
              </w:rPr>
            </w:pPr>
          </w:p>
        </w:tc>
        <w:tc>
          <w:tcPr>
            <w:tcW w:w="860" w:type="dxa"/>
            <w:vAlign w:val="bottom"/>
          </w:tcPr>
          <w:p>
            <w:pPr>
              <w:ind w:left="100"/>
              <w:spacing w:after="0"/>
              <w:rPr>
                <w:sz w:val="20"/>
                <w:szCs w:val="20"/>
                <w:color w:val="auto"/>
              </w:rPr>
            </w:pPr>
            <w:r>
              <w:rPr>
                <w:rFonts w:ascii="Arial" w:cs="Arial" w:eastAsia="Arial" w:hAnsi="Arial"/>
                <w:sz w:val="18"/>
                <w:szCs w:val="18"/>
                <w:color w:val="auto"/>
              </w:rPr>
              <w:t>99.1</w:t>
            </w:r>
          </w:p>
        </w:tc>
        <w:tc>
          <w:tcPr>
            <w:tcW w:w="1000" w:type="dxa"/>
            <w:vAlign w:val="bottom"/>
          </w:tcPr>
          <w:p>
            <w:pPr>
              <w:ind w:left="300"/>
              <w:spacing w:after="0"/>
              <w:rPr>
                <w:sz w:val="20"/>
                <w:szCs w:val="20"/>
                <w:color w:val="auto"/>
              </w:rPr>
            </w:pPr>
            <w:r>
              <w:rPr>
                <w:rFonts w:ascii="Arial" w:cs="Arial" w:eastAsia="Arial" w:hAnsi="Arial"/>
                <w:sz w:val="18"/>
                <w:szCs w:val="18"/>
                <w:color w:val="auto"/>
                <w:w w:val="96"/>
              </w:rPr>
              <w:t>11/13/17</w:t>
            </w:r>
          </w:p>
        </w:tc>
      </w:tr>
      <w:tr>
        <w:trPr>
          <w:trHeight w:val="257"/>
        </w:trPr>
        <w:tc>
          <w:tcPr>
            <w:tcW w:w="760" w:type="dxa"/>
            <w:vAlign w:val="bottom"/>
          </w:tcPr>
          <w:p>
            <w:pPr>
              <w:spacing w:after="0"/>
              <w:rPr>
                <w:sz w:val="20"/>
                <w:szCs w:val="20"/>
                <w:color w:val="auto"/>
              </w:rPr>
            </w:pPr>
            <w:r>
              <w:rPr>
                <w:rFonts w:ascii="Arial" w:cs="Arial" w:eastAsia="Arial" w:hAnsi="Arial"/>
                <w:sz w:val="18"/>
                <w:szCs w:val="18"/>
                <w:color w:val="auto"/>
              </w:rPr>
              <w:t>10-Q</w:t>
            </w:r>
          </w:p>
        </w:tc>
        <w:tc>
          <w:tcPr>
            <w:tcW w:w="840" w:type="dxa"/>
            <w:vAlign w:val="bottom"/>
          </w:tcPr>
          <w:p>
            <w:pPr>
              <w:ind w:left="20"/>
              <w:spacing w:after="0"/>
              <w:rPr>
                <w:sz w:val="20"/>
                <w:szCs w:val="20"/>
                <w:color w:val="auto"/>
              </w:rPr>
            </w:pPr>
            <w:r>
              <w:rPr>
                <w:rFonts w:ascii="Arial" w:cs="Arial" w:eastAsia="Arial" w:hAnsi="Arial"/>
                <w:sz w:val="18"/>
                <w:szCs w:val="18"/>
                <w:color w:val="auto"/>
              </w:rPr>
              <w:t>11/30/17</w:t>
            </w:r>
          </w:p>
        </w:tc>
        <w:tc>
          <w:tcPr>
            <w:tcW w:w="860" w:type="dxa"/>
            <w:vAlign w:val="bottom"/>
          </w:tcPr>
          <w:p>
            <w:pPr>
              <w:ind w:left="100"/>
              <w:spacing w:after="0"/>
              <w:rPr>
                <w:sz w:val="20"/>
                <w:szCs w:val="20"/>
                <w:color w:val="auto"/>
              </w:rPr>
            </w:pPr>
            <w:r>
              <w:rPr>
                <w:rFonts w:ascii="Arial" w:cs="Arial" w:eastAsia="Arial" w:hAnsi="Arial"/>
                <w:sz w:val="18"/>
                <w:szCs w:val="18"/>
                <w:color w:val="auto"/>
              </w:rPr>
              <w:t>10.74</w:t>
            </w:r>
          </w:p>
        </w:tc>
        <w:tc>
          <w:tcPr>
            <w:tcW w:w="1000" w:type="dxa"/>
            <w:vAlign w:val="bottom"/>
          </w:tcPr>
          <w:p>
            <w:pPr>
              <w:ind w:left="300"/>
              <w:spacing w:after="0"/>
              <w:rPr>
                <w:sz w:val="20"/>
                <w:szCs w:val="20"/>
                <w:color w:val="auto"/>
              </w:rPr>
            </w:pPr>
            <w:r>
              <w:rPr>
                <w:rFonts w:ascii="Arial" w:cs="Arial" w:eastAsia="Arial" w:hAnsi="Arial"/>
                <w:sz w:val="18"/>
                <w:szCs w:val="18"/>
                <w:color w:val="auto"/>
                <w:w w:val="96"/>
              </w:rPr>
              <w:t>12/20/17</w:t>
            </w:r>
          </w:p>
        </w:tc>
      </w:tr>
      <w:tr>
        <w:trPr>
          <w:trHeight w:val="256"/>
        </w:trPr>
        <w:tc>
          <w:tcPr>
            <w:tcW w:w="760" w:type="dxa"/>
            <w:vAlign w:val="bottom"/>
          </w:tcPr>
          <w:p>
            <w:pPr>
              <w:spacing w:after="0"/>
              <w:rPr>
                <w:sz w:val="20"/>
                <w:szCs w:val="20"/>
                <w:color w:val="auto"/>
              </w:rPr>
            </w:pPr>
            <w:r>
              <w:rPr>
                <w:rFonts w:ascii="Arial" w:cs="Arial" w:eastAsia="Arial" w:hAnsi="Arial"/>
                <w:sz w:val="18"/>
                <w:szCs w:val="18"/>
                <w:color w:val="auto"/>
              </w:rPr>
              <w:t>DEF 14A</w:t>
            </w:r>
          </w:p>
        </w:tc>
        <w:tc>
          <w:tcPr>
            <w:tcW w:w="840" w:type="dxa"/>
            <w:vAlign w:val="bottom"/>
          </w:tcPr>
          <w:p>
            <w:pPr>
              <w:spacing w:after="0"/>
              <w:rPr>
                <w:sz w:val="22"/>
                <w:szCs w:val="22"/>
                <w:color w:val="auto"/>
              </w:rPr>
            </w:pPr>
          </w:p>
        </w:tc>
        <w:tc>
          <w:tcPr>
            <w:tcW w:w="860" w:type="dxa"/>
            <w:vAlign w:val="bottom"/>
          </w:tcPr>
          <w:p>
            <w:pPr>
              <w:ind w:left="100"/>
              <w:spacing w:after="0"/>
              <w:rPr>
                <w:sz w:val="20"/>
                <w:szCs w:val="20"/>
                <w:color w:val="auto"/>
              </w:rPr>
            </w:pPr>
            <w:r>
              <w:rPr>
                <w:rFonts w:ascii="Arial" w:cs="Arial" w:eastAsia="Arial" w:hAnsi="Arial"/>
                <w:sz w:val="18"/>
                <w:szCs w:val="18"/>
                <w:color w:val="auto"/>
              </w:rPr>
              <w:t>A</w:t>
            </w:r>
          </w:p>
        </w:tc>
        <w:tc>
          <w:tcPr>
            <w:tcW w:w="1000" w:type="dxa"/>
            <w:vAlign w:val="bottom"/>
          </w:tcPr>
          <w:p>
            <w:pPr>
              <w:ind w:left="300"/>
              <w:spacing w:after="0"/>
              <w:rPr>
                <w:sz w:val="20"/>
                <w:szCs w:val="20"/>
                <w:color w:val="auto"/>
              </w:rPr>
            </w:pPr>
            <w:r>
              <w:rPr>
                <w:rFonts w:ascii="Arial" w:cs="Arial" w:eastAsia="Arial" w:hAnsi="Arial"/>
                <w:sz w:val="18"/>
                <w:szCs w:val="18"/>
                <w:color w:val="auto"/>
              </w:rPr>
              <w:t>12/7/17</w:t>
            </w:r>
          </w:p>
        </w:tc>
      </w:tr>
      <w:tr>
        <w:trPr>
          <w:trHeight w:val="257"/>
        </w:trPr>
        <w:tc>
          <w:tcPr>
            <w:tcW w:w="760" w:type="dxa"/>
            <w:vAlign w:val="bottom"/>
          </w:tcPr>
          <w:p>
            <w:pPr>
              <w:spacing w:after="0"/>
              <w:rPr>
                <w:sz w:val="20"/>
                <w:szCs w:val="20"/>
                <w:color w:val="auto"/>
              </w:rPr>
            </w:pPr>
            <w:r>
              <w:rPr>
                <w:rFonts w:ascii="Arial" w:cs="Arial" w:eastAsia="Arial" w:hAnsi="Arial"/>
                <w:sz w:val="18"/>
                <w:szCs w:val="18"/>
                <w:color w:val="auto"/>
              </w:rPr>
              <w:t>10-Q</w:t>
            </w:r>
          </w:p>
        </w:tc>
        <w:tc>
          <w:tcPr>
            <w:tcW w:w="840" w:type="dxa"/>
            <w:vAlign w:val="bottom"/>
          </w:tcPr>
          <w:p>
            <w:pPr>
              <w:ind w:left="20"/>
              <w:spacing w:after="0"/>
              <w:rPr>
                <w:sz w:val="20"/>
                <w:szCs w:val="20"/>
                <w:color w:val="auto"/>
              </w:rPr>
            </w:pPr>
            <w:r>
              <w:rPr>
                <w:rFonts w:ascii="Arial" w:cs="Arial" w:eastAsia="Arial" w:hAnsi="Arial"/>
                <w:sz w:val="18"/>
                <w:szCs w:val="18"/>
                <w:color w:val="auto"/>
              </w:rPr>
              <w:t>3/1/18</w:t>
            </w:r>
          </w:p>
        </w:tc>
        <w:tc>
          <w:tcPr>
            <w:tcW w:w="860" w:type="dxa"/>
            <w:vAlign w:val="bottom"/>
          </w:tcPr>
          <w:p>
            <w:pPr>
              <w:ind w:left="100"/>
              <w:spacing w:after="0"/>
              <w:rPr>
                <w:sz w:val="20"/>
                <w:szCs w:val="20"/>
                <w:color w:val="auto"/>
              </w:rPr>
            </w:pPr>
            <w:r>
              <w:rPr>
                <w:rFonts w:ascii="Arial" w:cs="Arial" w:eastAsia="Arial" w:hAnsi="Arial"/>
                <w:sz w:val="18"/>
                <w:szCs w:val="18"/>
                <w:color w:val="auto"/>
              </w:rPr>
              <w:t>10.76</w:t>
            </w:r>
          </w:p>
        </w:tc>
        <w:tc>
          <w:tcPr>
            <w:tcW w:w="1000" w:type="dxa"/>
            <w:vAlign w:val="bottom"/>
          </w:tcPr>
          <w:p>
            <w:pPr>
              <w:ind w:left="300"/>
              <w:spacing w:after="0"/>
              <w:rPr>
                <w:sz w:val="20"/>
                <w:szCs w:val="20"/>
                <w:color w:val="auto"/>
              </w:rPr>
            </w:pPr>
            <w:r>
              <w:rPr>
                <w:rFonts w:ascii="Arial" w:cs="Arial" w:eastAsia="Arial" w:hAnsi="Arial"/>
                <w:sz w:val="18"/>
                <w:szCs w:val="18"/>
                <w:color w:val="auto"/>
              </w:rPr>
              <w:t>3/23/18</w:t>
            </w:r>
          </w:p>
        </w:tc>
      </w:tr>
      <w:tr>
        <w:trPr>
          <w:trHeight w:val="257"/>
        </w:trPr>
        <w:tc>
          <w:tcPr>
            <w:tcW w:w="760" w:type="dxa"/>
            <w:vAlign w:val="bottom"/>
          </w:tcPr>
          <w:p>
            <w:pPr>
              <w:spacing w:after="0"/>
              <w:rPr>
                <w:sz w:val="20"/>
                <w:szCs w:val="20"/>
                <w:color w:val="auto"/>
              </w:rPr>
            </w:pPr>
            <w:r>
              <w:rPr>
                <w:rFonts w:ascii="Arial" w:cs="Arial" w:eastAsia="Arial" w:hAnsi="Arial"/>
                <w:sz w:val="18"/>
                <w:szCs w:val="18"/>
                <w:color w:val="auto"/>
              </w:rPr>
              <w:t>10-K</w:t>
            </w:r>
          </w:p>
        </w:tc>
        <w:tc>
          <w:tcPr>
            <w:tcW w:w="840" w:type="dxa"/>
            <w:vAlign w:val="bottom"/>
          </w:tcPr>
          <w:p>
            <w:pPr>
              <w:ind w:left="20"/>
              <w:spacing w:after="0"/>
              <w:rPr>
                <w:sz w:val="20"/>
                <w:szCs w:val="20"/>
                <w:color w:val="auto"/>
              </w:rPr>
            </w:pPr>
            <w:r>
              <w:rPr>
                <w:rFonts w:ascii="Arial" w:cs="Arial" w:eastAsia="Arial" w:hAnsi="Arial"/>
                <w:sz w:val="18"/>
                <w:szCs w:val="18"/>
                <w:color w:val="auto"/>
              </w:rPr>
              <w:t>8/30/18</w:t>
            </w:r>
          </w:p>
        </w:tc>
        <w:tc>
          <w:tcPr>
            <w:tcW w:w="860" w:type="dxa"/>
            <w:vAlign w:val="bottom"/>
          </w:tcPr>
          <w:p>
            <w:pPr>
              <w:ind w:left="100"/>
              <w:spacing w:after="0"/>
              <w:rPr>
                <w:sz w:val="20"/>
                <w:szCs w:val="20"/>
                <w:color w:val="auto"/>
              </w:rPr>
            </w:pPr>
            <w:r>
              <w:rPr>
                <w:rFonts w:ascii="Arial" w:cs="Arial" w:eastAsia="Arial" w:hAnsi="Arial"/>
                <w:sz w:val="18"/>
                <w:szCs w:val="18"/>
                <w:color w:val="auto"/>
              </w:rPr>
              <w:t>10.68</w:t>
            </w:r>
          </w:p>
        </w:tc>
        <w:tc>
          <w:tcPr>
            <w:tcW w:w="1000" w:type="dxa"/>
            <w:vAlign w:val="bottom"/>
          </w:tcPr>
          <w:p>
            <w:pPr>
              <w:ind w:left="300"/>
              <w:spacing w:after="0"/>
              <w:rPr>
                <w:sz w:val="20"/>
                <w:szCs w:val="20"/>
                <w:color w:val="auto"/>
              </w:rPr>
            </w:pPr>
            <w:r>
              <w:rPr>
                <w:rFonts w:ascii="Arial" w:cs="Arial" w:eastAsia="Arial" w:hAnsi="Arial"/>
                <w:sz w:val="18"/>
                <w:szCs w:val="18"/>
                <w:color w:val="auto"/>
                <w:w w:val="96"/>
              </w:rPr>
              <w:t>10/15/18</w:t>
            </w:r>
          </w:p>
        </w:tc>
      </w:tr>
      <w:tr>
        <w:trPr>
          <w:trHeight w:val="756"/>
        </w:trPr>
        <w:tc>
          <w:tcPr>
            <w:tcW w:w="760" w:type="dxa"/>
            <w:vAlign w:val="bottom"/>
          </w:tcPr>
          <w:p>
            <w:pPr>
              <w:spacing w:after="0"/>
              <w:rPr>
                <w:sz w:val="20"/>
                <w:szCs w:val="20"/>
                <w:color w:val="auto"/>
              </w:rPr>
            </w:pPr>
            <w:r>
              <w:rPr>
                <w:rFonts w:ascii="Arial" w:cs="Arial" w:eastAsia="Arial" w:hAnsi="Arial"/>
                <w:sz w:val="18"/>
                <w:szCs w:val="18"/>
                <w:color w:val="auto"/>
              </w:rPr>
              <w:t>10-K</w:t>
            </w:r>
          </w:p>
        </w:tc>
        <w:tc>
          <w:tcPr>
            <w:tcW w:w="840" w:type="dxa"/>
            <w:vAlign w:val="bottom"/>
          </w:tcPr>
          <w:p>
            <w:pPr>
              <w:ind w:left="20"/>
              <w:spacing w:after="0"/>
              <w:rPr>
                <w:sz w:val="20"/>
                <w:szCs w:val="20"/>
                <w:color w:val="auto"/>
              </w:rPr>
            </w:pPr>
            <w:r>
              <w:rPr>
                <w:rFonts w:ascii="Arial" w:cs="Arial" w:eastAsia="Arial" w:hAnsi="Arial"/>
                <w:sz w:val="18"/>
                <w:szCs w:val="18"/>
                <w:color w:val="auto"/>
              </w:rPr>
              <w:t>8/30/18</w:t>
            </w:r>
          </w:p>
        </w:tc>
        <w:tc>
          <w:tcPr>
            <w:tcW w:w="860" w:type="dxa"/>
            <w:vAlign w:val="bottom"/>
          </w:tcPr>
          <w:p>
            <w:pPr>
              <w:ind w:left="100"/>
              <w:spacing w:after="0"/>
              <w:rPr>
                <w:sz w:val="20"/>
                <w:szCs w:val="20"/>
                <w:color w:val="auto"/>
              </w:rPr>
            </w:pPr>
            <w:r>
              <w:rPr>
                <w:rFonts w:ascii="Arial" w:cs="Arial" w:eastAsia="Arial" w:hAnsi="Arial"/>
                <w:sz w:val="18"/>
                <w:szCs w:val="18"/>
                <w:color w:val="auto"/>
              </w:rPr>
              <w:t>10.69</w:t>
            </w:r>
          </w:p>
        </w:tc>
        <w:tc>
          <w:tcPr>
            <w:tcW w:w="1000" w:type="dxa"/>
            <w:vAlign w:val="bottom"/>
          </w:tcPr>
          <w:p>
            <w:pPr>
              <w:ind w:left="300"/>
              <w:spacing w:after="0"/>
              <w:rPr>
                <w:sz w:val="20"/>
                <w:szCs w:val="20"/>
                <w:color w:val="auto"/>
              </w:rPr>
            </w:pPr>
            <w:r>
              <w:rPr>
                <w:rFonts w:ascii="Arial" w:cs="Arial" w:eastAsia="Arial" w:hAnsi="Arial"/>
                <w:sz w:val="18"/>
                <w:szCs w:val="18"/>
                <w:color w:val="auto"/>
                <w:w w:val="96"/>
              </w:rPr>
              <w:t>10/15/18</w:t>
            </w:r>
          </w:p>
        </w:tc>
      </w:tr>
      <w:tr>
        <w:trPr>
          <w:trHeight w:val="580"/>
        </w:trPr>
        <w:tc>
          <w:tcPr>
            <w:tcW w:w="760" w:type="dxa"/>
            <w:vAlign w:val="bottom"/>
          </w:tcPr>
          <w:p>
            <w:pPr>
              <w:spacing w:after="0"/>
              <w:rPr>
                <w:sz w:val="20"/>
                <w:szCs w:val="20"/>
                <w:color w:val="auto"/>
              </w:rPr>
            </w:pPr>
            <w:r>
              <w:rPr>
                <w:rFonts w:ascii="Arial" w:cs="Arial" w:eastAsia="Arial" w:hAnsi="Arial"/>
                <w:sz w:val="18"/>
                <w:szCs w:val="18"/>
                <w:color w:val="auto"/>
              </w:rPr>
              <w:t>10-Q</w:t>
            </w:r>
          </w:p>
        </w:tc>
        <w:tc>
          <w:tcPr>
            <w:tcW w:w="840" w:type="dxa"/>
            <w:vAlign w:val="bottom"/>
          </w:tcPr>
          <w:p>
            <w:pPr>
              <w:ind w:left="20"/>
              <w:spacing w:after="0"/>
              <w:rPr>
                <w:sz w:val="20"/>
                <w:szCs w:val="20"/>
                <w:color w:val="auto"/>
              </w:rPr>
            </w:pPr>
            <w:r>
              <w:rPr>
                <w:rFonts w:ascii="Arial" w:cs="Arial" w:eastAsia="Arial" w:hAnsi="Arial"/>
                <w:sz w:val="18"/>
                <w:szCs w:val="18"/>
                <w:color w:val="auto"/>
              </w:rPr>
              <w:t>11/29/18</w:t>
            </w:r>
          </w:p>
        </w:tc>
        <w:tc>
          <w:tcPr>
            <w:tcW w:w="860" w:type="dxa"/>
            <w:vAlign w:val="bottom"/>
          </w:tcPr>
          <w:p>
            <w:pPr>
              <w:ind w:left="100"/>
              <w:spacing w:after="0"/>
              <w:rPr>
                <w:sz w:val="20"/>
                <w:szCs w:val="20"/>
                <w:color w:val="auto"/>
              </w:rPr>
            </w:pPr>
            <w:r>
              <w:rPr>
                <w:rFonts w:ascii="Arial" w:cs="Arial" w:eastAsia="Arial" w:hAnsi="Arial"/>
                <w:sz w:val="18"/>
                <w:szCs w:val="18"/>
                <w:color w:val="auto"/>
              </w:rPr>
              <w:t>10.70</w:t>
            </w:r>
          </w:p>
        </w:tc>
        <w:tc>
          <w:tcPr>
            <w:tcW w:w="1000" w:type="dxa"/>
            <w:vAlign w:val="bottom"/>
          </w:tcPr>
          <w:p>
            <w:pPr>
              <w:ind w:left="300"/>
              <w:spacing w:after="0"/>
              <w:rPr>
                <w:sz w:val="20"/>
                <w:szCs w:val="20"/>
                <w:color w:val="auto"/>
              </w:rPr>
            </w:pPr>
            <w:r>
              <w:rPr>
                <w:rFonts w:ascii="Arial" w:cs="Arial" w:eastAsia="Arial" w:hAnsi="Arial"/>
                <w:sz w:val="18"/>
                <w:szCs w:val="18"/>
                <w:color w:val="auto"/>
                <w:w w:val="96"/>
              </w:rPr>
              <w:t>12/19/18</w:t>
            </w:r>
          </w:p>
        </w:tc>
      </w:tr>
      <w:tr>
        <w:trPr>
          <w:trHeight w:val="932"/>
        </w:trPr>
        <w:tc>
          <w:tcPr>
            <w:tcW w:w="760" w:type="dxa"/>
            <w:vAlign w:val="bottom"/>
          </w:tcPr>
          <w:p>
            <w:pPr>
              <w:spacing w:after="0"/>
              <w:rPr>
                <w:sz w:val="20"/>
                <w:szCs w:val="20"/>
                <w:color w:val="auto"/>
              </w:rPr>
            </w:pPr>
            <w:r>
              <w:rPr>
                <w:rFonts w:ascii="Arial" w:cs="Arial" w:eastAsia="Arial" w:hAnsi="Arial"/>
                <w:sz w:val="18"/>
                <w:szCs w:val="18"/>
                <w:color w:val="auto"/>
              </w:rPr>
              <w:t>10-K</w:t>
            </w:r>
          </w:p>
        </w:tc>
        <w:tc>
          <w:tcPr>
            <w:tcW w:w="840" w:type="dxa"/>
            <w:vAlign w:val="bottom"/>
          </w:tcPr>
          <w:p>
            <w:pPr>
              <w:ind w:left="20"/>
              <w:spacing w:after="0"/>
              <w:rPr>
                <w:sz w:val="20"/>
                <w:szCs w:val="20"/>
                <w:color w:val="auto"/>
              </w:rPr>
            </w:pPr>
            <w:r>
              <w:rPr>
                <w:rFonts w:ascii="Arial" w:cs="Arial" w:eastAsia="Arial" w:hAnsi="Arial"/>
                <w:sz w:val="18"/>
                <w:szCs w:val="18"/>
                <w:color w:val="auto"/>
              </w:rPr>
              <w:t>8/29/19</w:t>
            </w:r>
          </w:p>
        </w:tc>
        <w:tc>
          <w:tcPr>
            <w:tcW w:w="860" w:type="dxa"/>
            <w:vAlign w:val="bottom"/>
          </w:tcPr>
          <w:p>
            <w:pPr>
              <w:ind w:left="100"/>
              <w:spacing w:after="0"/>
              <w:rPr>
                <w:sz w:val="20"/>
                <w:szCs w:val="20"/>
                <w:color w:val="auto"/>
              </w:rPr>
            </w:pPr>
            <w:r>
              <w:rPr>
                <w:rFonts w:ascii="Arial" w:cs="Arial" w:eastAsia="Arial" w:hAnsi="Arial"/>
                <w:sz w:val="18"/>
                <w:szCs w:val="18"/>
                <w:color w:val="auto"/>
              </w:rPr>
              <w:t>10.42</w:t>
            </w:r>
          </w:p>
        </w:tc>
        <w:tc>
          <w:tcPr>
            <w:tcW w:w="1000" w:type="dxa"/>
            <w:vAlign w:val="bottom"/>
          </w:tcPr>
          <w:p>
            <w:pPr>
              <w:ind w:left="300"/>
              <w:spacing w:after="0"/>
              <w:rPr>
                <w:sz w:val="20"/>
                <w:szCs w:val="20"/>
                <w:color w:val="auto"/>
              </w:rPr>
            </w:pPr>
            <w:r>
              <w:rPr>
                <w:rFonts w:ascii="Arial" w:cs="Arial" w:eastAsia="Arial" w:hAnsi="Arial"/>
                <w:sz w:val="18"/>
                <w:szCs w:val="18"/>
                <w:color w:val="auto"/>
                <w:w w:val="96"/>
              </w:rPr>
              <w:t>10/17/19</w:t>
            </w:r>
          </w:p>
        </w:tc>
      </w:tr>
    </w:tbl>
    <w:p>
      <w:pPr>
        <w:spacing w:after="0" w:line="4737" w:lineRule="exact"/>
        <w:rPr>
          <w:sz w:val="20"/>
          <w:szCs w:val="20"/>
          <w:color w:val="auto"/>
        </w:rPr>
      </w:pPr>
    </w:p>
    <w:p>
      <w:pPr>
        <w:sectPr>
          <w:pgSz w:w="11900" w:h="16838" w:orient="portrait"/>
          <w:cols w:equalWidth="0" w:num="2">
            <w:col w:w="6860" w:space="720"/>
            <w:col w:w="3660"/>
          </w:cols>
          <w:pgMar w:left="320" w:top="1084" w:right="339" w:bottom="1440" w:gutter="0" w:footer="0" w:header="0"/>
          <w:type w:val="continuous"/>
        </w:sectPr>
      </w:pPr>
    </w:p>
    <w:p>
      <w:pPr>
        <w:ind w:right="1900" w:firstLine="8"/>
        <w:spacing w:after="0" w:line="824" w:lineRule="auto"/>
        <w:tabs>
          <w:tab w:leader="none" w:pos="1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Portions of this exhibit have been omitted pursuant to a request for confidential treatment filed with the Commission. 91 </w:t>
      </w:r>
      <w:r>
        <w:rPr>
          <w:rFonts w:ascii="Arial" w:cs="Arial" w:eastAsia="Arial" w:hAnsi="Arial"/>
          <w:sz w:val="21"/>
          <w:szCs w:val="21"/>
          <w:b w:val="1"/>
          <w:bCs w:val="1"/>
          <w:color w:val="0090DA"/>
        </w:rPr>
        <w:t>|</w:t>
      </w:r>
      <w:r>
        <w:rPr>
          <w:rFonts w:ascii="Arial" w:cs="Arial" w:eastAsia="Arial" w:hAnsi="Arial"/>
          <w:sz w:val="18"/>
          <w:szCs w:val="18"/>
          <w:color w:val="auto"/>
        </w:rPr>
        <w:t xml:space="preserve"> 2020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type w:val="continuous"/>
        </w:sectPr>
      </w:pPr>
    </w:p>
    <w:bookmarkStart w:id="94" w:name="page95"/>
    <w:bookmarkEnd w:id="94"/>
    <w:p>
      <w:pPr>
        <w:spacing w:after="0"/>
        <w:rPr>
          <w:sz w:val="20"/>
          <w:szCs w:val="20"/>
          <w:color w:val="auto"/>
        </w:rPr>
      </w:pPr>
      <w:r>
        <w:rPr>
          <w:rFonts w:ascii="Arial" w:cs="Arial" w:eastAsia="Arial" w:hAnsi="Arial"/>
          <w:sz w:val="18"/>
          <w:szCs w:val="18"/>
          <w:color w:val="auto"/>
        </w:rPr>
        <w:t>** Indicates management contract or compensatory plan or arrangement.</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16. FORM 10-K SUMMARY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sz w:val="1"/>
          <w:szCs w:val="1"/>
          <w:color w:val="auto"/>
        </w:rPr>
        <w:drawing>
          <wp:inline distT="0" distB="0" distL="0" distR="0">
            <wp:extent cx="608330" cy="171450"/>
            <wp:effectExtent l="0" t="0" r="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2">
                      <a:extLst>
                        <a:ext uri="{28A0092B-C50C-407E-A947-70E740481C1C}"/>
                      </a:extLst>
                    </a:blip>
                    <a:srcRect/>
                    <a:stretch>
                      <a:fillRect/>
                    </a:stretch>
                  </pic:blipFill>
                  <pic:spPr bwMode="auto">
                    <a:xfrm>
                      <a:off x="0" y="0"/>
                      <a:ext cx="608330" cy="171450"/>
                    </a:xfrm>
                    <a:prstGeom prst="rect">
                      <a:avLst/>
                    </a:prstGeom>
                    <a:noFill/>
                    <a:ln>
                      <a:noFill/>
                    </a:ln>
                  </pic:spPr>
                </pic:pic>
              </a:graphicData>
            </a:graphic>
          </wp:inline>
        </w:drawing>
      </w:r>
      <w:r>
        <w:rPr>
          <w:rFonts w:ascii="Arial" w:cs="Arial" w:eastAsia="Arial" w:hAnsi="Arial"/>
          <w:sz w:val="18"/>
          <w:szCs w:val="18"/>
          <w:color w:val="auto"/>
        </w:rPr>
        <w:t xml:space="preserve"> 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95" w:name="page96"/>
    <w:bookmarkEnd w:id="95"/>
    <w:p>
      <w:pPr>
        <w:jc w:val="center"/>
        <w:ind w:right="-59"/>
        <w:spacing w:after="0"/>
        <w:rPr>
          <w:sz w:val="20"/>
          <w:szCs w:val="20"/>
          <w:color w:val="auto"/>
        </w:rPr>
      </w:pPr>
      <w:r>
        <w:rPr>
          <w:rFonts w:ascii="Arial" w:cs="Arial" w:eastAsia="Arial" w:hAnsi="Arial"/>
          <w:sz w:val="22"/>
          <w:szCs w:val="22"/>
          <w:b w:val="1"/>
          <w:bCs w:val="1"/>
          <w:color w:val="auto"/>
        </w:rPr>
        <w:t>SIGNATURES</w:t>
      </w:r>
    </w:p>
    <w:p>
      <w:pPr>
        <w:spacing w:after="0" w:line="26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9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Micron Technology, Inc.</w:t>
      </w:r>
    </w:p>
    <w:p>
      <w:pPr>
        <w:spacing w:after="0" w:line="32" w:lineRule="exact"/>
        <w:rPr>
          <w:sz w:val="20"/>
          <w:szCs w:val="20"/>
          <w:color w:val="auto"/>
        </w:rPr>
      </w:pPr>
    </w:p>
    <w:p>
      <w:pPr>
        <w:ind w:left="20"/>
        <w:spacing w:after="0"/>
        <w:tabs>
          <w:tab w:leader="none" w:pos="5600" w:val="left"/>
          <w:tab w:leader="none" w:pos="7840" w:val="left"/>
        </w:tabs>
        <w:rPr>
          <w:sz w:val="20"/>
          <w:szCs w:val="20"/>
          <w:color w:val="auto"/>
        </w:rPr>
      </w:pPr>
      <w:r>
        <w:rPr>
          <w:rFonts w:ascii="Arial" w:cs="Arial" w:eastAsia="Arial" w:hAnsi="Arial"/>
          <w:sz w:val="18"/>
          <w:szCs w:val="18"/>
          <w:color w:val="auto"/>
        </w:rPr>
        <w:t>Date  October 19,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David A. Zinsner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26035</wp:posOffset>
            </wp:positionV>
            <wp:extent cx="329184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4">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16" w:lineRule="exact"/>
        <w:rPr>
          <w:sz w:val="20"/>
          <w:szCs w:val="20"/>
          <w:color w:val="auto"/>
        </w:rPr>
      </w:pPr>
    </w:p>
    <w:p>
      <w:pPr>
        <w:jc w:val="center"/>
        <w:ind w:left="6040"/>
        <w:spacing w:after="0"/>
        <w:rPr>
          <w:sz w:val="20"/>
          <w:szCs w:val="20"/>
          <w:color w:val="auto"/>
        </w:rPr>
      </w:pPr>
      <w:r>
        <w:rPr>
          <w:rFonts w:ascii="Arial" w:cs="Arial" w:eastAsia="Arial" w:hAnsi="Arial"/>
          <w:sz w:val="18"/>
          <w:szCs w:val="18"/>
          <w:b w:val="1"/>
          <w:bCs w:val="1"/>
          <w:color w:val="auto"/>
        </w:rPr>
        <w:t>David A. Zinsner</w:t>
      </w:r>
    </w:p>
    <w:p>
      <w:pPr>
        <w:jc w:val="center"/>
        <w:ind w:left="6040"/>
        <w:spacing w:after="0"/>
        <w:rPr>
          <w:sz w:val="20"/>
          <w:szCs w:val="20"/>
          <w:color w:val="auto"/>
        </w:rPr>
      </w:pPr>
      <w:r>
        <w:rPr>
          <w:rFonts w:ascii="Arial" w:cs="Arial" w:eastAsia="Arial" w:hAnsi="Arial"/>
          <w:sz w:val="18"/>
          <w:szCs w:val="18"/>
          <w:color w:val="auto"/>
        </w:rPr>
        <w:t>Senior Vice President and Chief Financial Officer</w:t>
      </w:r>
    </w:p>
    <w:p>
      <w:pPr>
        <w:spacing w:after="0" w:line="36"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(Principal Financial Officer)</w:t>
      </w:r>
    </w:p>
    <w:p>
      <w:pPr>
        <w:spacing w:after="0" w:line="37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this Annual Report has been signed below by the following persons on behalf of the Registrant and in the capacities and on the dates indicated.</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4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rPr>
              <w:t>Signature</w:t>
            </w:r>
          </w:p>
        </w:tc>
        <w:tc>
          <w:tcPr>
            <w:tcW w:w="27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80" w:type="dxa"/>
            <w:vAlign w:val="bottom"/>
            <w:gridSpan w:val="2"/>
          </w:tcPr>
          <w:p>
            <w:pPr>
              <w:spacing w:after="0"/>
              <w:rPr>
                <w:sz w:val="20"/>
                <w:szCs w:val="20"/>
                <w:color w:val="auto"/>
              </w:rPr>
            </w:pPr>
            <w:r>
              <w:rPr>
                <w:rFonts w:ascii="Arial" w:cs="Arial" w:eastAsia="Arial" w:hAnsi="Arial"/>
                <w:sz w:val="18"/>
                <w:szCs w:val="18"/>
                <w:b w:val="1"/>
                <w:bCs w:val="1"/>
                <w:color w:val="auto"/>
              </w:rPr>
              <w:t>Title</w:t>
            </w:r>
          </w:p>
        </w:tc>
        <w:tc>
          <w:tcPr>
            <w:tcW w:w="1960" w:type="dxa"/>
            <w:vAlign w:val="bottom"/>
            <w:gridSpan w:val="3"/>
          </w:tcPr>
          <w:p>
            <w:pPr>
              <w:ind w:left="860"/>
              <w:spacing w:after="0"/>
              <w:rPr>
                <w:sz w:val="20"/>
                <w:szCs w:val="20"/>
                <w:color w:val="auto"/>
              </w:rPr>
            </w:pPr>
            <w:r>
              <w:rPr>
                <w:rFonts w:ascii="Arial" w:cs="Arial" w:eastAsia="Arial" w:hAnsi="Arial"/>
                <w:sz w:val="18"/>
                <w:szCs w:val="18"/>
                <w:b w:val="1"/>
                <w:bCs w:val="1"/>
                <w:color w:val="auto"/>
              </w:rPr>
              <w:t>Date</w:t>
            </w:r>
          </w:p>
        </w:tc>
      </w:tr>
      <w:tr>
        <w:trPr>
          <w:trHeight w:val="20"/>
        </w:trPr>
        <w:tc>
          <w:tcPr>
            <w:tcW w:w="27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500"/>
        </w:trPr>
        <w:tc>
          <w:tcPr>
            <w:tcW w:w="63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w w:val="99"/>
              </w:rPr>
              <w:t>/s/ Sanjay Mehrotra</w:t>
            </w:r>
          </w:p>
        </w:tc>
        <w:tc>
          <w:tcPr>
            <w:tcW w:w="2900" w:type="dxa"/>
            <w:vAlign w:val="bottom"/>
            <w:gridSpan w:val="3"/>
          </w:tcPr>
          <w:p>
            <w:pPr>
              <w:ind w:left="20"/>
              <w:spacing w:after="0"/>
              <w:rPr>
                <w:sz w:val="20"/>
                <w:szCs w:val="20"/>
                <w:color w:val="auto"/>
              </w:rPr>
            </w:pPr>
            <w:r>
              <w:rPr>
                <w:rFonts w:ascii="Arial" w:cs="Arial" w:eastAsia="Arial" w:hAnsi="Arial"/>
                <w:sz w:val="18"/>
                <w:szCs w:val="18"/>
                <w:color w:val="auto"/>
              </w:rPr>
              <w:t>President and</w:t>
            </w:r>
          </w:p>
        </w:tc>
        <w:tc>
          <w:tcPr>
            <w:tcW w:w="1960" w:type="dxa"/>
            <w:vAlign w:val="bottom"/>
            <w:gridSpan w:val="3"/>
          </w:tcPr>
          <w:p>
            <w:pPr>
              <w:ind w:left="580"/>
              <w:spacing w:after="0"/>
              <w:rPr>
                <w:sz w:val="20"/>
                <w:szCs w:val="20"/>
                <w:color w:val="auto"/>
              </w:rPr>
            </w:pPr>
            <w:r>
              <w:rPr>
                <w:rFonts w:ascii="Arial" w:cs="Arial" w:eastAsia="Arial" w:hAnsi="Arial"/>
                <w:sz w:val="18"/>
                <w:szCs w:val="18"/>
                <w:color w:val="auto"/>
                <w:w w:val="97"/>
              </w:rPr>
              <w:t>October 19, 2020</w:t>
            </w:r>
          </w:p>
        </w:tc>
      </w:tr>
      <w:tr>
        <w:trPr>
          <w:trHeight w:val="243"/>
        </w:trPr>
        <w:tc>
          <w:tcPr>
            <w:tcW w:w="63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9"/>
              </w:rPr>
              <w:t>(Sanjay Mehrotra)</w:t>
            </w:r>
          </w:p>
        </w:tc>
        <w:tc>
          <w:tcPr>
            <w:tcW w:w="2900" w:type="dxa"/>
            <w:vAlign w:val="bottom"/>
            <w:gridSpan w:val="3"/>
          </w:tcPr>
          <w:p>
            <w:pPr>
              <w:ind w:left="20"/>
              <w:spacing w:after="0"/>
              <w:rPr>
                <w:sz w:val="20"/>
                <w:szCs w:val="20"/>
                <w:color w:val="auto"/>
              </w:rPr>
            </w:pPr>
            <w:r>
              <w:rPr>
                <w:rFonts w:ascii="Arial" w:cs="Arial" w:eastAsia="Arial" w:hAnsi="Arial"/>
                <w:sz w:val="18"/>
                <w:szCs w:val="18"/>
                <w:color w:val="auto"/>
              </w:rPr>
              <w:t>Chief Executive Officer and</w:t>
            </w:r>
          </w:p>
        </w:tc>
        <w:tc>
          <w:tcPr>
            <w:tcW w:w="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57"/>
        </w:trPr>
        <w:tc>
          <w:tcPr>
            <w:tcW w:w="27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290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8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57"/>
        </w:trPr>
        <w:tc>
          <w:tcPr>
            <w:tcW w:w="27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2900" w:type="dxa"/>
            <w:vAlign w:val="bottom"/>
            <w:gridSpan w:val="3"/>
          </w:tcPr>
          <w:p>
            <w:pPr>
              <w:ind w:left="20"/>
              <w:spacing w:after="0"/>
              <w:rPr>
                <w:sz w:val="20"/>
                <w:szCs w:val="20"/>
                <w:color w:val="auto"/>
              </w:rPr>
            </w:pPr>
            <w:r>
              <w:rPr>
                <w:rFonts w:ascii="Arial" w:cs="Arial" w:eastAsia="Arial" w:hAnsi="Arial"/>
                <w:sz w:val="18"/>
                <w:szCs w:val="18"/>
                <w:color w:val="auto"/>
              </w:rPr>
              <w:t>(Principal Executive Officer)</w:t>
            </w:r>
          </w:p>
        </w:tc>
        <w:tc>
          <w:tcPr>
            <w:tcW w:w="8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479"/>
        </w:trPr>
        <w:tc>
          <w:tcPr>
            <w:tcW w:w="63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w w:val="99"/>
              </w:rPr>
              <w:t>/s/ David A. Zinsner</w:t>
            </w:r>
          </w:p>
        </w:tc>
        <w:tc>
          <w:tcPr>
            <w:tcW w:w="2900" w:type="dxa"/>
            <w:vAlign w:val="bottom"/>
            <w:gridSpan w:val="3"/>
          </w:tcPr>
          <w:p>
            <w:pPr>
              <w:ind w:left="20"/>
              <w:spacing w:after="0"/>
              <w:rPr>
                <w:sz w:val="20"/>
                <w:szCs w:val="20"/>
                <w:color w:val="auto"/>
              </w:rPr>
            </w:pPr>
            <w:r>
              <w:rPr>
                <w:rFonts w:ascii="Arial" w:cs="Arial" w:eastAsia="Arial" w:hAnsi="Arial"/>
                <w:sz w:val="18"/>
                <w:szCs w:val="18"/>
                <w:color w:val="auto"/>
              </w:rPr>
              <w:t>Senior Vice President and</w:t>
            </w:r>
          </w:p>
        </w:tc>
        <w:tc>
          <w:tcPr>
            <w:tcW w:w="1960" w:type="dxa"/>
            <w:vAlign w:val="bottom"/>
            <w:gridSpan w:val="3"/>
          </w:tcPr>
          <w:p>
            <w:pPr>
              <w:ind w:left="580"/>
              <w:spacing w:after="0"/>
              <w:rPr>
                <w:sz w:val="20"/>
                <w:szCs w:val="20"/>
                <w:color w:val="auto"/>
              </w:rPr>
            </w:pPr>
            <w:r>
              <w:rPr>
                <w:rFonts w:ascii="Arial" w:cs="Arial" w:eastAsia="Arial" w:hAnsi="Arial"/>
                <w:sz w:val="18"/>
                <w:szCs w:val="18"/>
                <w:color w:val="auto"/>
                <w:w w:val="97"/>
              </w:rPr>
              <w:t>October 19, 2020</w:t>
            </w:r>
          </w:p>
        </w:tc>
      </w:tr>
      <w:tr>
        <w:trPr>
          <w:trHeight w:val="243"/>
        </w:trPr>
        <w:tc>
          <w:tcPr>
            <w:tcW w:w="63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9"/>
              </w:rPr>
              <w:t>(David A. Zinsner)</w:t>
            </w:r>
          </w:p>
        </w:tc>
        <w:tc>
          <w:tcPr>
            <w:tcW w:w="2900" w:type="dxa"/>
            <w:vAlign w:val="bottom"/>
            <w:gridSpan w:val="3"/>
          </w:tcPr>
          <w:p>
            <w:pPr>
              <w:ind w:left="20"/>
              <w:spacing w:after="0"/>
              <w:rPr>
                <w:sz w:val="20"/>
                <w:szCs w:val="20"/>
                <w:color w:val="auto"/>
              </w:rPr>
            </w:pPr>
            <w:r>
              <w:rPr>
                <w:rFonts w:ascii="Arial" w:cs="Arial" w:eastAsia="Arial" w:hAnsi="Arial"/>
                <w:sz w:val="18"/>
                <w:szCs w:val="18"/>
                <w:color w:val="auto"/>
              </w:rPr>
              <w:t>Chief Financial Officer</w:t>
            </w:r>
          </w:p>
        </w:tc>
        <w:tc>
          <w:tcPr>
            <w:tcW w:w="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57"/>
        </w:trPr>
        <w:tc>
          <w:tcPr>
            <w:tcW w:w="27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2900" w:type="dxa"/>
            <w:vAlign w:val="bottom"/>
            <w:gridSpan w:val="3"/>
          </w:tcPr>
          <w:p>
            <w:pPr>
              <w:ind w:left="20"/>
              <w:spacing w:after="0"/>
              <w:rPr>
                <w:sz w:val="20"/>
                <w:szCs w:val="20"/>
                <w:color w:val="auto"/>
              </w:rPr>
            </w:pPr>
            <w:r>
              <w:rPr>
                <w:rFonts w:ascii="Arial" w:cs="Arial" w:eastAsia="Arial" w:hAnsi="Arial"/>
                <w:sz w:val="18"/>
                <w:szCs w:val="18"/>
                <w:color w:val="auto"/>
              </w:rPr>
              <w:t>(Principal Financial Officer)</w:t>
            </w:r>
          </w:p>
        </w:tc>
        <w:tc>
          <w:tcPr>
            <w:tcW w:w="8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480"/>
        </w:trPr>
        <w:tc>
          <w:tcPr>
            <w:tcW w:w="63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w w:val="99"/>
              </w:rPr>
              <w:t>/s/ Paul Marosvari</w:t>
            </w:r>
          </w:p>
        </w:tc>
        <w:tc>
          <w:tcPr>
            <w:tcW w:w="2900" w:type="dxa"/>
            <w:vAlign w:val="bottom"/>
            <w:gridSpan w:val="3"/>
          </w:tcPr>
          <w:p>
            <w:pPr>
              <w:ind w:left="20"/>
              <w:spacing w:after="0"/>
              <w:rPr>
                <w:sz w:val="20"/>
                <w:szCs w:val="20"/>
                <w:color w:val="auto"/>
              </w:rPr>
            </w:pPr>
            <w:r>
              <w:rPr>
                <w:rFonts w:ascii="Arial" w:cs="Arial" w:eastAsia="Arial" w:hAnsi="Arial"/>
                <w:sz w:val="18"/>
                <w:szCs w:val="18"/>
                <w:color w:val="auto"/>
              </w:rPr>
              <w:t>Vice President and</w:t>
            </w:r>
          </w:p>
        </w:tc>
        <w:tc>
          <w:tcPr>
            <w:tcW w:w="1960" w:type="dxa"/>
            <w:vAlign w:val="bottom"/>
            <w:gridSpan w:val="3"/>
          </w:tcPr>
          <w:p>
            <w:pPr>
              <w:ind w:left="580"/>
              <w:spacing w:after="0"/>
              <w:rPr>
                <w:sz w:val="20"/>
                <w:szCs w:val="20"/>
                <w:color w:val="auto"/>
              </w:rPr>
            </w:pPr>
            <w:r>
              <w:rPr>
                <w:rFonts w:ascii="Arial" w:cs="Arial" w:eastAsia="Arial" w:hAnsi="Arial"/>
                <w:sz w:val="18"/>
                <w:szCs w:val="18"/>
                <w:color w:val="auto"/>
                <w:w w:val="97"/>
              </w:rPr>
              <w:t>October 19, 2020</w:t>
            </w:r>
          </w:p>
        </w:tc>
      </w:tr>
      <w:tr>
        <w:trPr>
          <w:trHeight w:val="243"/>
        </w:trPr>
        <w:tc>
          <w:tcPr>
            <w:tcW w:w="63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9"/>
              </w:rPr>
              <w:t>(Paul Marosvari)</w:t>
            </w:r>
          </w:p>
        </w:tc>
        <w:tc>
          <w:tcPr>
            <w:tcW w:w="2900" w:type="dxa"/>
            <w:vAlign w:val="bottom"/>
            <w:gridSpan w:val="3"/>
          </w:tcPr>
          <w:p>
            <w:pPr>
              <w:ind w:left="20"/>
              <w:spacing w:after="0"/>
              <w:rPr>
                <w:sz w:val="20"/>
                <w:szCs w:val="20"/>
                <w:color w:val="auto"/>
              </w:rPr>
            </w:pPr>
            <w:r>
              <w:rPr>
                <w:rFonts w:ascii="Arial" w:cs="Arial" w:eastAsia="Arial" w:hAnsi="Arial"/>
                <w:sz w:val="18"/>
                <w:szCs w:val="18"/>
                <w:color w:val="auto"/>
              </w:rPr>
              <w:t>Chief Accounting Officer</w:t>
            </w:r>
          </w:p>
        </w:tc>
        <w:tc>
          <w:tcPr>
            <w:tcW w:w="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57"/>
        </w:trPr>
        <w:tc>
          <w:tcPr>
            <w:tcW w:w="27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2900" w:type="dxa"/>
            <w:vAlign w:val="bottom"/>
            <w:gridSpan w:val="3"/>
          </w:tcPr>
          <w:p>
            <w:pPr>
              <w:ind w:left="20"/>
              <w:spacing w:after="0"/>
              <w:rPr>
                <w:sz w:val="20"/>
                <w:szCs w:val="20"/>
                <w:color w:val="auto"/>
              </w:rPr>
            </w:pPr>
            <w:r>
              <w:rPr>
                <w:rFonts w:ascii="Arial" w:cs="Arial" w:eastAsia="Arial" w:hAnsi="Arial"/>
                <w:sz w:val="18"/>
                <w:szCs w:val="18"/>
                <w:color w:val="auto"/>
              </w:rPr>
              <w:t>(Principal Accounting Officer)</w:t>
            </w:r>
          </w:p>
        </w:tc>
        <w:tc>
          <w:tcPr>
            <w:tcW w:w="8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479"/>
        </w:trPr>
        <w:tc>
          <w:tcPr>
            <w:tcW w:w="63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w w:val="99"/>
              </w:rPr>
              <w:t>/s/ Robert L. Bailey</w:t>
            </w:r>
          </w:p>
        </w:tc>
        <w:tc>
          <w:tcPr>
            <w:tcW w:w="290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1960" w:type="dxa"/>
            <w:vAlign w:val="bottom"/>
            <w:gridSpan w:val="3"/>
          </w:tcPr>
          <w:p>
            <w:pPr>
              <w:ind w:left="580"/>
              <w:spacing w:after="0"/>
              <w:rPr>
                <w:sz w:val="20"/>
                <w:szCs w:val="20"/>
                <w:color w:val="auto"/>
              </w:rPr>
            </w:pPr>
            <w:r>
              <w:rPr>
                <w:rFonts w:ascii="Arial" w:cs="Arial" w:eastAsia="Arial" w:hAnsi="Arial"/>
                <w:sz w:val="18"/>
                <w:szCs w:val="18"/>
                <w:color w:val="auto"/>
                <w:w w:val="97"/>
              </w:rPr>
              <w:t>October 19, 2020</w:t>
            </w:r>
          </w:p>
        </w:tc>
      </w:tr>
      <w:tr>
        <w:trPr>
          <w:trHeight w:val="243"/>
        </w:trPr>
        <w:tc>
          <w:tcPr>
            <w:tcW w:w="63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9"/>
              </w:rPr>
              <w:t>(Robert L. Bailey)</w:t>
            </w:r>
          </w:p>
        </w:tc>
        <w:tc>
          <w:tcPr>
            <w:tcW w:w="1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479"/>
        </w:trPr>
        <w:tc>
          <w:tcPr>
            <w:tcW w:w="63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rPr>
              <w:t>/s/ Richard M. Beyer</w:t>
            </w:r>
          </w:p>
        </w:tc>
        <w:tc>
          <w:tcPr>
            <w:tcW w:w="290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1960" w:type="dxa"/>
            <w:vAlign w:val="bottom"/>
            <w:gridSpan w:val="3"/>
          </w:tcPr>
          <w:p>
            <w:pPr>
              <w:ind w:left="580"/>
              <w:spacing w:after="0"/>
              <w:rPr>
                <w:sz w:val="20"/>
                <w:szCs w:val="20"/>
                <w:color w:val="auto"/>
              </w:rPr>
            </w:pPr>
            <w:r>
              <w:rPr>
                <w:rFonts w:ascii="Arial" w:cs="Arial" w:eastAsia="Arial" w:hAnsi="Arial"/>
                <w:sz w:val="18"/>
                <w:szCs w:val="18"/>
                <w:color w:val="auto"/>
                <w:w w:val="97"/>
              </w:rPr>
              <w:t>October 19, 2020</w:t>
            </w:r>
          </w:p>
        </w:tc>
      </w:tr>
      <w:tr>
        <w:trPr>
          <w:trHeight w:val="243"/>
        </w:trPr>
        <w:tc>
          <w:tcPr>
            <w:tcW w:w="6320" w:type="dxa"/>
            <w:vAlign w:val="bottom"/>
            <w:gridSpan w:val="3"/>
          </w:tcPr>
          <w:p>
            <w:pPr>
              <w:jc w:val="center"/>
              <w:spacing w:after="0"/>
              <w:rPr>
                <w:sz w:val="20"/>
                <w:szCs w:val="20"/>
                <w:color w:val="auto"/>
              </w:rPr>
            </w:pPr>
            <w:r>
              <w:rPr>
                <w:rFonts w:ascii="Arial" w:cs="Arial" w:eastAsia="Arial" w:hAnsi="Arial"/>
                <w:sz w:val="18"/>
                <w:szCs w:val="18"/>
                <w:b w:val="1"/>
                <w:bCs w:val="1"/>
                <w:color w:val="auto"/>
              </w:rPr>
              <w:t>(Richard M. Beyer)</w:t>
            </w:r>
          </w:p>
        </w:tc>
        <w:tc>
          <w:tcPr>
            <w:tcW w:w="1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479"/>
        </w:trPr>
        <w:tc>
          <w:tcPr>
            <w:tcW w:w="63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rPr>
              <w:t>/s/ Lynn Dugle</w:t>
            </w:r>
          </w:p>
        </w:tc>
        <w:tc>
          <w:tcPr>
            <w:tcW w:w="290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1960" w:type="dxa"/>
            <w:vAlign w:val="bottom"/>
            <w:gridSpan w:val="3"/>
          </w:tcPr>
          <w:p>
            <w:pPr>
              <w:ind w:left="580"/>
              <w:spacing w:after="0"/>
              <w:rPr>
                <w:sz w:val="20"/>
                <w:szCs w:val="20"/>
                <w:color w:val="auto"/>
              </w:rPr>
            </w:pPr>
            <w:r>
              <w:rPr>
                <w:rFonts w:ascii="Arial" w:cs="Arial" w:eastAsia="Arial" w:hAnsi="Arial"/>
                <w:sz w:val="18"/>
                <w:szCs w:val="18"/>
                <w:color w:val="auto"/>
                <w:w w:val="97"/>
              </w:rPr>
              <w:t>October 19, 2020</w:t>
            </w:r>
          </w:p>
        </w:tc>
      </w:tr>
      <w:tr>
        <w:trPr>
          <w:trHeight w:val="243"/>
        </w:trPr>
        <w:tc>
          <w:tcPr>
            <w:tcW w:w="63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8"/>
              </w:rPr>
              <w:t>(Lynn Dugle)</w:t>
            </w:r>
          </w:p>
        </w:tc>
        <w:tc>
          <w:tcPr>
            <w:tcW w:w="1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479"/>
        </w:trPr>
        <w:tc>
          <w:tcPr>
            <w:tcW w:w="63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w w:val="99"/>
              </w:rPr>
              <w:t>/s/ Steve Gomo</w:t>
            </w:r>
          </w:p>
        </w:tc>
        <w:tc>
          <w:tcPr>
            <w:tcW w:w="290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1960" w:type="dxa"/>
            <w:vAlign w:val="bottom"/>
            <w:gridSpan w:val="3"/>
          </w:tcPr>
          <w:p>
            <w:pPr>
              <w:ind w:left="580"/>
              <w:spacing w:after="0"/>
              <w:rPr>
                <w:sz w:val="20"/>
                <w:szCs w:val="20"/>
                <w:color w:val="auto"/>
              </w:rPr>
            </w:pPr>
            <w:r>
              <w:rPr>
                <w:rFonts w:ascii="Arial" w:cs="Arial" w:eastAsia="Arial" w:hAnsi="Arial"/>
                <w:sz w:val="18"/>
                <w:szCs w:val="18"/>
                <w:color w:val="auto"/>
                <w:w w:val="97"/>
              </w:rPr>
              <w:t>October 19, 2020</w:t>
            </w:r>
          </w:p>
        </w:tc>
      </w:tr>
      <w:tr>
        <w:trPr>
          <w:trHeight w:val="243"/>
        </w:trPr>
        <w:tc>
          <w:tcPr>
            <w:tcW w:w="63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9"/>
              </w:rPr>
              <w:t>(Steve Gomo)</w:t>
            </w:r>
          </w:p>
        </w:tc>
        <w:tc>
          <w:tcPr>
            <w:tcW w:w="1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480"/>
        </w:trPr>
        <w:tc>
          <w:tcPr>
            <w:tcW w:w="63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w w:val="99"/>
              </w:rPr>
              <w:t>/s/ Mary Pat McCarthy</w:t>
            </w:r>
          </w:p>
        </w:tc>
        <w:tc>
          <w:tcPr>
            <w:tcW w:w="290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1960" w:type="dxa"/>
            <w:vAlign w:val="bottom"/>
            <w:gridSpan w:val="3"/>
          </w:tcPr>
          <w:p>
            <w:pPr>
              <w:ind w:left="580"/>
              <w:spacing w:after="0"/>
              <w:rPr>
                <w:sz w:val="20"/>
                <w:szCs w:val="20"/>
                <w:color w:val="auto"/>
              </w:rPr>
            </w:pPr>
            <w:r>
              <w:rPr>
                <w:rFonts w:ascii="Arial" w:cs="Arial" w:eastAsia="Arial" w:hAnsi="Arial"/>
                <w:sz w:val="18"/>
                <w:szCs w:val="18"/>
                <w:color w:val="auto"/>
                <w:w w:val="97"/>
              </w:rPr>
              <w:t>October 19, 2020</w:t>
            </w:r>
          </w:p>
        </w:tc>
      </w:tr>
      <w:tr>
        <w:trPr>
          <w:trHeight w:val="243"/>
        </w:trPr>
        <w:tc>
          <w:tcPr>
            <w:tcW w:w="63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9"/>
              </w:rPr>
              <w:t>(Mary Pat McCarthy)</w:t>
            </w:r>
          </w:p>
        </w:tc>
        <w:tc>
          <w:tcPr>
            <w:tcW w:w="1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480"/>
        </w:trPr>
        <w:tc>
          <w:tcPr>
            <w:tcW w:w="63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w w:val="99"/>
              </w:rPr>
              <w:t>/s/ Robert E. Switz</w:t>
            </w:r>
          </w:p>
        </w:tc>
        <w:tc>
          <w:tcPr>
            <w:tcW w:w="2900" w:type="dxa"/>
            <w:vAlign w:val="bottom"/>
            <w:gridSpan w:val="3"/>
          </w:tcPr>
          <w:p>
            <w:pPr>
              <w:ind w:left="20"/>
              <w:spacing w:after="0"/>
              <w:rPr>
                <w:sz w:val="20"/>
                <w:szCs w:val="20"/>
                <w:color w:val="auto"/>
              </w:rPr>
            </w:pPr>
            <w:r>
              <w:rPr>
                <w:rFonts w:ascii="Arial" w:cs="Arial" w:eastAsia="Arial" w:hAnsi="Arial"/>
                <w:sz w:val="18"/>
                <w:szCs w:val="18"/>
                <w:color w:val="auto"/>
              </w:rPr>
              <w:t>Chairman of the Board</w:t>
            </w:r>
          </w:p>
        </w:tc>
        <w:tc>
          <w:tcPr>
            <w:tcW w:w="1960" w:type="dxa"/>
            <w:vAlign w:val="bottom"/>
            <w:gridSpan w:val="3"/>
          </w:tcPr>
          <w:p>
            <w:pPr>
              <w:ind w:left="580"/>
              <w:spacing w:after="0"/>
              <w:rPr>
                <w:sz w:val="20"/>
                <w:szCs w:val="20"/>
                <w:color w:val="auto"/>
              </w:rPr>
            </w:pPr>
            <w:r>
              <w:rPr>
                <w:rFonts w:ascii="Arial" w:cs="Arial" w:eastAsia="Arial" w:hAnsi="Arial"/>
                <w:sz w:val="18"/>
                <w:szCs w:val="18"/>
                <w:color w:val="auto"/>
                <w:w w:val="97"/>
              </w:rPr>
              <w:t>October 19, 2020</w:t>
            </w:r>
          </w:p>
        </w:tc>
      </w:tr>
      <w:tr>
        <w:trPr>
          <w:trHeight w:val="243"/>
        </w:trPr>
        <w:tc>
          <w:tcPr>
            <w:tcW w:w="6320" w:type="dxa"/>
            <w:vAlign w:val="bottom"/>
            <w:gridSpan w:val="3"/>
          </w:tcPr>
          <w:p>
            <w:pPr>
              <w:jc w:val="center"/>
              <w:spacing w:after="0"/>
              <w:rPr>
                <w:sz w:val="20"/>
                <w:szCs w:val="20"/>
                <w:color w:val="auto"/>
              </w:rPr>
            </w:pPr>
            <w:r>
              <w:rPr>
                <w:rFonts w:ascii="Arial" w:cs="Arial" w:eastAsia="Arial" w:hAnsi="Arial"/>
                <w:sz w:val="18"/>
                <w:szCs w:val="18"/>
                <w:b w:val="1"/>
                <w:bCs w:val="1"/>
                <w:color w:val="auto"/>
              </w:rPr>
              <w:t>(Robert E. Switz)</w:t>
            </w:r>
          </w:p>
        </w:tc>
        <w:tc>
          <w:tcPr>
            <w:tcW w:w="290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480"/>
        </w:trPr>
        <w:tc>
          <w:tcPr>
            <w:tcW w:w="63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w w:val="99"/>
              </w:rPr>
              <w:t>/s/ MaryAnn Wright</w:t>
            </w:r>
          </w:p>
        </w:tc>
        <w:tc>
          <w:tcPr>
            <w:tcW w:w="290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1960" w:type="dxa"/>
            <w:vAlign w:val="bottom"/>
            <w:gridSpan w:val="3"/>
          </w:tcPr>
          <w:p>
            <w:pPr>
              <w:ind w:left="580"/>
              <w:spacing w:after="0"/>
              <w:rPr>
                <w:sz w:val="20"/>
                <w:szCs w:val="20"/>
                <w:color w:val="auto"/>
              </w:rPr>
            </w:pPr>
            <w:r>
              <w:rPr>
                <w:rFonts w:ascii="Arial" w:cs="Arial" w:eastAsia="Arial" w:hAnsi="Arial"/>
                <w:sz w:val="18"/>
                <w:szCs w:val="18"/>
                <w:color w:val="auto"/>
                <w:w w:val="97"/>
              </w:rPr>
              <w:t>October 19, 2020</w:t>
            </w:r>
          </w:p>
        </w:tc>
      </w:tr>
      <w:tr>
        <w:trPr>
          <w:trHeight w:val="243"/>
        </w:trPr>
        <w:tc>
          <w:tcPr>
            <w:tcW w:w="6320" w:type="dxa"/>
            <w:vAlign w:val="bottom"/>
            <w:gridSpan w:val="3"/>
          </w:tcPr>
          <w:p>
            <w:pPr>
              <w:jc w:val="center"/>
              <w:spacing w:after="0"/>
              <w:rPr>
                <w:sz w:val="20"/>
                <w:szCs w:val="20"/>
                <w:color w:val="auto"/>
              </w:rPr>
            </w:pPr>
            <w:r>
              <w:rPr>
                <w:rFonts w:ascii="Arial" w:cs="Arial" w:eastAsia="Arial" w:hAnsi="Arial"/>
                <w:sz w:val="18"/>
                <w:szCs w:val="18"/>
                <w:b w:val="1"/>
                <w:bCs w:val="1"/>
                <w:color w:val="auto"/>
              </w:rPr>
              <w:t>(MaryAnn Wright)</w:t>
            </w:r>
          </w:p>
        </w:tc>
        <w:tc>
          <w:tcPr>
            <w:tcW w:w="1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1180"/>
          </w:cols>
          <w:pgMar w:left="320" w:top="93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93 </w:t>
      </w:r>
      <w:r>
        <w:rPr>
          <w:rFonts w:ascii="Arial" w:cs="Arial" w:eastAsia="Arial" w:hAnsi="Arial"/>
          <w:sz w:val="21"/>
          <w:szCs w:val="21"/>
          <w:b w:val="1"/>
          <w:bCs w:val="1"/>
          <w:color w:val="0090DA"/>
        </w:rPr>
        <w:t>|</w:t>
      </w:r>
      <w:r>
        <w:rPr>
          <w:rFonts w:ascii="Arial" w:cs="Arial" w:eastAsia="Arial" w:hAnsi="Arial"/>
          <w:sz w:val="18"/>
          <w:szCs w:val="18"/>
          <w:color w:val="auto"/>
        </w:rPr>
        <w:t xml:space="preserve"> 2020 10-K</w:t>
      </w:r>
    </w:p>
    <w:p>
      <w:pPr>
        <w:sectPr>
          <w:pgSz w:w="11900" w:h="16838" w:orient="portrait"/>
          <w:cols w:equalWidth="0" w:num="1">
            <w:col w:w="11180"/>
          </w:cols>
          <w:pgMar w:left="320" w:top="931" w:right="399" w:bottom="1440" w:gutter="0" w:footer="0" w:header="0"/>
          <w:type w:val="continuous"/>
        </w:sectPr>
      </w:pPr>
    </w:p>
    <w:bookmarkStart w:id="96" w:name="page97"/>
    <w:bookmarkEnd w:id="96"/>
    <w:p>
      <w:pPr>
        <w:spacing w:after="0" w:line="211"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4.13</w:t>
      </w:r>
    </w:p>
    <w:p>
      <w:pPr>
        <w:spacing w:after="0" w:line="243" w:lineRule="exact"/>
        <w:rPr>
          <w:sz w:val="20"/>
          <w:szCs w:val="20"/>
          <w:color w:val="auto"/>
        </w:rPr>
      </w:pPr>
    </w:p>
    <w:p>
      <w:pPr>
        <w:jc w:val="center"/>
        <w:spacing w:after="0" w:line="255" w:lineRule="auto"/>
        <w:rPr>
          <w:sz w:val="20"/>
          <w:szCs w:val="20"/>
          <w:color w:val="auto"/>
        </w:rPr>
      </w:pPr>
      <w:r>
        <w:rPr>
          <w:rFonts w:ascii="Arial" w:cs="Arial" w:eastAsia="Arial" w:hAnsi="Arial"/>
          <w:sz w:val="20"/>
          <w:szCs w:val="20"/>
          <w:b w:val="1"/>
          <w:bCs w:val="1"/>
          <w:color w:val="auto"/>
        </w:rPr>
        <w:t>DESCRIPTION OF THE REGISTRANT’S SECURITIES REGISTERED PURSUANT TO SECTION 12 OF THE SECURITIES EXCHANGE ACT OF 1934</w:t>
      </w:r>
    </w:p>
    <w:p>
      <w:pPr>
        <w:spacing w:after="0" w:line="222" w:lineRule="exact"/>
        <w:rPr>
          <w:sz w:val="20"/>
          <w:szCs w:val="20"/>
          <w:color w:val="auto"/>
        </w:rPr>
      </w:pPr>
    </w:p>
    <w:p>
      <w:pPr>
        <w:ind w:right="580"/>
        <w:spacing w:after="0" w:line="246" w:lineRule="auto"/>
        <w:rPr>
          <w:sz w:val="20"/>
          <w:szCs w:val="20"/>
          <w:color w:val="auto"/>
        </w:rPr>
      </w:pPr>
      <w:r>
        <w:rPr>
          <w:rFonts w:ascii="Arial" w:cs="Arial" w:eastAsia="Arial" w:hAnsi="Arial"/>
          <w:sz w:val="20"/>
          <w:szCs w:val="20"/>
          <w:color w:val="auto"/>
        </w:rPr>
        <w:t>Micron Technology, Inc. (the “Company,” “we,” “our,” or “us”) has one class of securities registered under Section 12 of the Securities Exchange Act of 1934, as amended: our common stock.</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Description of Common Stock</w:t>
      </w:r>
    </w:p>
    <w:p>
      <w:pPr>
        <w:spacing w:after="0" w:line="247" w:lineRule="exact"/>
        <w:rPr>
          <w:sz w:val="20"/>
          <w:szCs w:val="20"/>
          <w:color w:val="auto"/>
        </w:rPr>
      </w:pPr>
    </w:p>
    <w:p>
      <w:pPr>
        <w:ind w:right="80"/>
        <w:spacing w:after="0" w:line="246" w:lineRule="auto"/>
        <w:rPr>
          <w:sz w:val="20"/>
          <w:szCs w:val="20"/>
          <w:color w:val="auto"/>
        </w:rPr>
      </w:pPr>
      <w:r>
        <w:rPr>
          <w:rFonts w:ascii="Arial" w:cs="Arial" w:eastAsia="Arial" w:hAnsi="Arial"/>
          <w:sz w:val="20"/>
          <w:szCs w:val="20"/>
          <w:i w:val="1"/>
          <w:iCs w:val="1"/>
          <w:color w:val="auto"/>
        </w:rPr>
        <w:t>The following summary describes our common stock and certain provisions of our amended and restated certificate of incorporation and our by-Laws, as amended, and the General Corporation Law of the State of Delaware (the "DGCL"). Because the following is only a summary, it does not contain all of the information that may be important to you. For a complete description, you should refer to our amended and restated certificate of incorporation and by-Laws, as amended, copies of which are exhibits to the Annual Report on Form 10-K to which this description is an exhibit.</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Our authorized common stock consists of 3,000,000,000 shares, $0.10 par value per share.</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Common stock</w:t>
      </w:r>
    </w:p>
    <w:p>
      <w:pPr>
        <w:spacing w:after="0" w:line="267" w:lineRule="exact"/>
        <w:rPr>
          <w:sz w:val="20"/>
          <w:szCs w:val="20"/>
          <w:color w:val="auto"/>
        </w:rPr>
      </w:pPr>
    </w:p>
    <w:p>
      <w:pPr>
        <w:ind w:right="140"/>
        <w:spacing w:after="0" w:line="241" w:lineRule="auto"/>
        <w:rPr>
          <w:sz w:val="20"/>
          <w:szCs w:val="20"/>
          <w:color w:val="auto"/>
        </w:rPr>
      </w:pPr>
      <w:r>
        <w:rPr>
          <w:rFonts w:ascii="Arial" w:cs="Arial" w:eastAsia="Arial" w:hAnsi="Arial"/>
          <w:sz w:val="20"/>
          <w:szCs w:val="20"/>
          <w:color w:val="auto"/>
        </w:rPr>
        <w:t>The holders of common stock are entitled to one vote per share on all matters to be voted on by stockholders, including the election of directors. Stockholders are not entitled to cumulative voting rights, and, accordingly, the holders of a majority of the shares voting for the election of directors can elect the entire board if they choose to do so and, in that event, the holders of the remaining shares will not be able to elect any person to the board of directors.</w:t>
      </w:r>
    </w:p>
    <w:p>
      <w:pPr>
        <w:spacing w:after="0" w:line="237" w:lineRule="exact"/>
        <w:rPr>
          <w:sz w:val="20"/>
          <w:szCs w:val="20"/>
          <w:color w:val="auto"/>
        </w:rPr>
      </w:pPr>
    </w:p>
    <w:p>
      <w:pPr>
        <w:ind w:right="80"/>
        <w:spacing w:after="0"/>
        <w:rPr>
          <w:sz w:val="20"/>
          <w:szCs w:val="20"/>
          <w:color w:val="auto"/>
        </w:rPr>
      </w:pPr>
      <w:r>
        <w:rPr>
          <w:rFonts w:ascii="Arial" w:cs="Arial" w:eastAsia="Arial" w:hAnsi="Arial"/>
          <w:sz w:val="20"/>
          <w:szCs w:val="20"/>
          <w:color w:val="auto"/>
        </w:rPr>
        <w:t>The holders of common stock are entitled to receive ratably such dividends, if any, as may be declared from time to time by the board of directors, in its discretion, from funds legally available therefor and subject to prior dividend rights of holders of shares of preferred stock or other senior equity, if any, which may be outstanding. Upon liquidation or dissolution of the Company, subject to prior liquidation rights of the holders of shares of preferred stock, if any, the holders of common stock are entitled to receive on a pro rata basis the remaining assets of the Company available for distribution. Holders of common stock have no preemptive or other subscription rights, and there are no conversion rights or redemption or sinking fund provisions with respect to such shares. All outstanding shares of common stock are fully paid and non-assessable.</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Anti-takeover effects of Delaware law</w:t>
      </w:r>
    </w:p>
    <w:p>
      <w:pPr>
        <w:spacing w:after="0" w:line="267" w:lineRule="exact"/>
        <w:rPr>
          <w:sz w:val="20"/>
          <w:szCs w:val="20"/>
          <w:color w:val="auto"/>
        </w:rPr>
      </w:pPr>
    </w:p>
    <w:p>
      <w:pPr>
        <w:ind w:right="380"/>
        <w:spacing w:after="0" w:line="243" w:lineRule="auto"/>
        <w:rPr>
          <w:sz w:val="20"/>
          <w:szCs w:val="20"/>
          <w:color w:val="auto"/>
        </w:rPr>
      </w:pPr>
      <w:r>
        <w:rPr>
          <w:rFonts w:ascii="Arial" w:cs="Arial" w:eastAsia="Arial" w:hAnsi="Arial"/>
          <w:sz w:val="20"/>
          <w:szCs w:val="20"/>
          <w:color w:val="auto"/>
        </w:rPr>
        <w:t>We are subject to the provisions of Section 203 of the DGCL. Under Section 203, we would generally be prohibited from engaging in any business combination (as defined in Section 203) with any interested stockholder for a period of three years following the time that this stockholder became an interested stockholder unless:</w:t>
      </w:r>
    </w:p>
    <w:p>
      <w:pPr>
        <w:sectPr>
          <w:pgSz w:w="11900" w:h="16838" w:orient="portrait"/>
          <w:cols w:equalWidth="0" w:num="1">
            <w:col w:w="11240"/>
          </w:cols>
          <w:pgMar w:left="320" w:top="1440" w:right="339" w:bottom="1440" w:gutter="0" w:footer="0" w:header="0"/>
        </w:sectPr>
      </w:pPr>
    </w:p>
    <w:bookmarkStart w:id="97" w:name="page98"/>
    <w:bookmarkEnd w:id="97"/>
    <w:p>
      <w:pPr>
        <w:ind w:left="660" w:right="200" w:hanging="328"/>
        <w:spacing w:after="0" w:line="246" w:lineRule="auto"/>
        <w:tabs>
          <w:tab w:leader="none" w:pos="648" w:val="left"/>
        </w:tabs>
        <w:numPr>
          <w:ilvl w:val="0"/>
          <w:numId w:val="39"/>
        </w:numPr>
        <w:rPr>
          <w:rFonts w:ascii="Arial" w:cs="Arial" w:eastAsia="Arial" w:hAnsi="Arial"/>
          <w:sz w:val="20"/>
          <w:szCs w:val="20"/>
          <w:color w:val="auto"/>
        </w:rPr>
      </w:pPr>
      <w:r>
        <w:rPr>
          <w:rFonts w:ascii="Arial" w:cs="Arial" w:eastAsia="Arial" w:hAnsi="Arial"/>
          <w:sz w:val="20"/>
          <w:szCs w:val="20"/>
          <w:color w:val="auto"/>
        </w:rPr>
        <w:t>prior to this time, our board of directors approved either the business combination or the transaction that resulted in the stockholder becoming an interested stockholder;</w:t>
      </w:r>
    </w:p>
    <w:p>
      <w:pPr>
        <w:spacing w:after="0" w:line="230" w:lineRule="exact"/>
        <w:rPr>
          <w:rFonts w:ascii="Arial" w:cs="Arial" w:eastAsia="Arial" w:hAnsi="Arial"/>
          <w:sz w:val="20"/>
          <w:szCs w:val="20"/>
          <w:color w:val="auto"/>
        </w:rPr>
      </w:pPr>
    </w:p>
    <w:p>
      <w:pPr>
        <w:ind w:left="660" w:hanging="328"/>
        <w:spacing w:after="0" w:line="241" w:lineRule="auto"/>
        <w:tabs>
          <w:tab w:leader="none" w:pos="648" w:val="left"/>
        </w:tabs>
        <w:numPr>
          <w:ilvl w:val="0"/>
          <w:numId w:val="39"/>
        </w:numPr>
        <w:rPr>
          <w:rFonts w:ascii="Arial" w:cs="Arial" w:eastAsia="Arial" w:hAnsi="Arial"/>
          <w:sz w:val="20"/>
          <w:szCs w:val="20"/>
          <w:color w:val="auto"/>
        </w:rPr>
      </w:pPr>
      <w:r>
        <w:rPr>
          <w:rFonts w:ascii="Arial" w:cs="Arial" w:eastAsia="Arial" w:hAnsi="Arial"/>
          <w:sz w:val="20"/>
          <w:szCs w:val="20"/>
          <w:color w:val="auto"/>
        </w:rPr>
        <w:t>upon consummation of the transaction that resulted in the stockholder becoming an interested stockholder, the interested stockholder owned (as defined in Section 203) at least 85% of our voting stock (as defined in Section 203) outstanding at the time the transaction commenced, excluding shares owned by persons who are directors and also officers, and by employee stock plans in which employee participants do not have the right to determine confidentially whether shares held subject to the plan will be tendered in a tender or exchange offer; or</w:t>
      </w:r>
    </w:p>
    <w:p>
      <w:pPr>
        <w:spacing w:after="0" w:line="235" w:lineRule="exact"/>
        <w:rPr>
          <w:rFonts w:ascii="Arial" w:cs="Arial" w:eastAsia="Arial" w:hAnsi="Arial"/>
          <w:sz w:val="20"/>
          <w:szCs w:val="20"/>
          <w:color w:val="auto"/>
        </w:rPr>
      </w:pPr>
    </w:p>
    <w:p>
      <w:pPr>
        <w:ind w:left="660" w:right="220" w:hanging="328"/>
        <w:spacing w:after="0" w:line="243" w:lineRule="auto"/>
        <w:tabs>
          <w:tab w:leader="none" w:pos="648" w:val="left"/>
        </w:tabs>
        <w:numPr>
          <w:ilvl w:val="0"/>
          <w:numId w:val="39"/>
        </w:numPr>
        <w:rPr>
          <w:rFonts w:ascii="Arial" w:cs="Arial" w:eastAsia="Arial" w:hAnsi="Arial"/>
          <w:sz w:val="20"/>
          <w:szCs w:val="20"/>
          <w:color w:val="auto"/>
        </w:rPr>
      </w:pPr>
      <w:r>
        <w:rPr>
          <w:rFonts w:ascii="Arial" w:cs="Arial" w:eastAsia="Arial" w:hAnsi="Arial"/>
          <w:sz w:val="20"/>
          <w:szCs w:val="20"/>
          <w:color w:val="auto"/>
        </w:rPr>
        <w:t>at or subsequent to such time, the business combination is approved by our board of directors and authorized at an annual or special meeting of stockholders, and not by written consent, by the affirmative vote of at least 66 2/3% of the outstanding voting stock that is not owned by the interested stockholder.</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color w:val="auto"/>
        </w:rPr>
        <w:t>Under Section 203, a "business combination" generally includes:</w:t>
      </w:r>
    </w:p>
    <w:p>
      <w:pPr>
        <w:spacing w:after="0" w:line="243" w:lineRule="exact"/>
        <w:rPr>
          <w:sz w:val="20"/>
          <w:szCs w:val="20"/>
          <w:color w:val="auto"/>
        </w:rPr>
      </w:pPr>
    </w:p>
    <w:p>
      <w:pPr>
        <w:ind w:left="640" w:hanging="308"/>
        <w:spacing w:after="0"/>
        <w:tabs>
          <w:tab w:leader="none" w:pos="640" w:val="left"/>
        </w:tabs>
        <w:numPr>
          <w:ilvl w:val="0"/>
          <w:numId w:val="40"/>
        </w:numPr>
        <w:rPr>
          <w:rFonts w:ascii="Arial" w:cs="Arial" w:eastAsia="Arial" w:hAnsi="Arial"/>
          <w:sz w:val="20"/>
          <w:szCs w:val="20"/>
          <w:color w:val="auto"/>
        </w:rPr>
      </w:pPr>
      <w:r>
        <w:rPr>
          <w:rFonts w:ascii="Arial" w:cs="Arial" w:eastAsia="Arial" w:hAnsi="Arial"/>
          <w:sz w:val="20"/>
          <w:szCs w:val="20"/>
          <w:color w:val="auto"/>
        </w:rPr>
        <w:t>any merger or consolidation involving us and the interested stockholder;</w:t>
      </w:r>
    </w:p>
    <w:p>
      <w:pPr>
        <w:spacing w:after="0" w:line="242" w:lineRule="exact"/>
        <w:rPr>
          <w:rFonts w:ascii="Arial" w:cs="Arial" w:eastAsia="Arial" w:hAnsi="Arial"/>
          <w:sz w:val="20"/>
          <w:szCs w:val="20"/>
          <w:color w:val="auto"/>
        </w:rPr>
      </w:pPr>
    </w:p>
    <w:p>
      <w:pPr>
        <w:ind w:left="640" w:hanging="308"/>
        <w:spacing w:after="0"/>
        <w:tabs>
          <w:tab w:leader="none" w:pos="640" w:val="left"/>
        </w:tabs>
        <w:numPr>
          <w:ilvl w:val="0"/>
          <w:numId w:val="40"/>
        </w:numPr>
        <w:rPr>
          <w:rFonts w:ascii="Arial" w:cs="Arial" w:eastAsia="Arial" w:hAnsi="Arial"/>
          <w:sz w:val="20"/>
          <w:szCs w:val="20"/>
          <w:color w:val="auto"/>
        </w:rPr>
      </w:pPr>
      <w:r>
        <w:rPr>
          <w:rFonts w:ascii="Arial" w:cs="Arial" w:eastAsia="Arial" w:hAnsi="Arial"/>
          <w:sz w:val="20"/>
          <w:szCs w:val="20"/>
          <w:color w:val="auto"/>
        </w:rPr>
        <w:t>any sale, transfer, pledge or other disposition of 10% or more of our assets involving the interested stockholder;</w:t>
      </w:r>
    </w:p>
    <w:p>
      <w:pPr>
        <w:spacing w:after="0" w:line="242" w:lineRule="exact"/>
        <w:rPr>
          <w:rFonts w:ascii="Arial" w:cs="Arial" w:eastAsia="Arial" w:hAnsi="Arial"/>
          <w:sz w:val="20"/>
          <w:szCs w:val="20"/>
          <w:color w:val="auto"/>
        </w:rPr>
      </w:pPr>
    </w:p>
    <w:p>
      <w:pPr>
        <w:ind w:left="660" w:right="60" w:hanging="328"/>
        <w:spacing w:after="0" w:line="246" w:lineRule="auto"/>
        <w:tabs>
          <w:tab w:leader="none" w:pos="648" w:val="left"/>
        </w:tabs>
        <w:numPr>
          <w:ilvl w:val="0"/>
          <w:numId w:val="40"/>
        </w:numPr>
        <w:rPr>
          <w:rFonts w:ascii="Arial" w:cs="Arial" w:eastAsia="Arial" w:hAnsi="Arial"/>
          <w:sz w:val="20"/>
          <w:szCs w:val="20"/>
          <w:color w:val="auto"/>
        </w:rPr>
      </w:pPr>
      <w:r>
        <w:rPr>
          <w:rFonts w:ascii="Arial" w:cs="Arial" w:eastAsia="Arial" w:hAnsi="Arial"/>
          <w:sz w:val="20"/>
          <w:szCs w:val="20"/>
          <w:color w:val="auto"/>
        </w:rPr>
        <w:t>any transaction that results in the issuance or transfer by us of any of the Company's stock to the interested stockholder, subject to limited exceptions;</w:t>
      </w:r>
    </w:p>
    <w:p>
      <w:pPr>
        <w:spacing w:after="0" w:line="230" w:lineRule="exact"/>
        <w:rPr>
          <w:rFonts w:ascii="Arial" w:cs="Arial" w:eastAsia="Arial" w:hAnsi="Arial"/>
          <w:sz w:val="20"/>
          <w:szCs w:val="20"/>
          <w:color w:val="auto"/>
        </w:rPr>
      </w:pPr>
    </w:p>
    <w:p>
      <w:pPr>
        <w:ind w:left="660" w:right="40" w:hanging="328"/>
        <w:spacing w:after="0" w:line="246" w:lineRule="auto"/>
        <w:tabs>
          <w:tab w:leader="none" w:pos="648" w:val="left"/>
        </w:tabs>
        <w:numPr>
          <w:ilvl w:val="0"/>
          <w:numId w:val="40"/>
        </w:numPr>
        <w:rPr>
          <w:rFonts w:ascii="Arial" w:cs="Arial" w:eastAsia="Arial" w:hAnsi="Arial"/>
          <w:sz w:val="20"/>
          <w:szCs w:val="20"/>
          <w:color w:val="auto"/>
        </w:rPr>
      </w:pPr>
      <w:r>
        <w:rPr>
          <w:rFonts w:ascii="Arial" w:cs="Arial" w:eastAsia="Arial" w:hAnsi="Arial"/>
          <w:sz w:val="20"/>
          <w:szCs w:val="20"/>
          <w:color w:val="auto"/>
        </w:rPr>
        <w:t>any transaction involving us that has the effect of increasing the proportionate share of the stock of any class or series of the Company beneficially owned by the interested stockholder; or</w:t>
      </w:r>
    </w:p>
    <w:p>
      <w:pPr>
        <w:spacing w:after="0" w:line="230" w:lineRule="exact"/>
        <w:rPr>
          <w:rFonts w:ascii="Arial" w:cs="Arial" w:eastAsia="Arial" w:hAnsi="Arial"/>
          <w:sz w:val="20"/>
          <w:szCs w:val="20"/>
          <w:color w:val="auto"/>
        </w:rPr>
      </w:pPr>
    </w:p>
    <w:p>
      <w:pPr>
        <w:ind w:left="660" w:right="360" w:hanging="328"/>
        <w:spacing w:after="0" w:line="246" w:lineRule="auto"/>
        <w:tabs>
          <w:tab w:leader="none" w:pos="648" w:val="left"/>
        </w:tabs>
        <w:numPr>
          <w:ilvl w:val="0"/>
          <w:numId w:val="40"/>
        </w:numPr>
        <w:rPr>
          <w:rFonts w:ascii="Arial" w:cs="Arial" w:eastAsia="Arial" w:hAnsi="Arial"/>
          <w:sz w:val="20"/>
          <w:szCs w:val="20"/>
          <w:color w:val="auto"/>
        </w:rPr>
      </w:pPr>
      <w:r>
        <w:rPr>
          <w:rFonts w:ascii="Arial" w:cs="Arial" w:eastAsia="Arial" w:hAnsi="Arial"/>
          <w:sz w:val="20"/>
          <w:szCs w:val="20"/>
          <w:color w:val="auto"/>
        </w:rPr>
        <w:t>the receipt by the interested stockholder of the benefit of any loans, advances, guarantees, pledges or other financial benefits provided by or through us.</w:t>
      </w:r>
    </w:p>
    <w:p>
      <w:pPr>
        <w:spacing w:after="0" w:line="231" w:lineRule="exact"/>
        <w:rPr>
          <w:sz w:val="20"/>
          <w:szCs w:val="20"/>
          <w:color w:val="auto"/>
        </w:rPr>
      </w:pPr>
    </w:p>
    <w:p>
      <w:pPr>
        <w:ind w:right="800"/>
        <w:spacing w:after="0" w:line="272" w:lineRule="auto"/>
        <w:rPr>
          <w:sz w:val="20"/>
          <w:szCs w:val="20"/>
          <w:color w:val="auto"/>
        </w:rPr>
      </w:pPr>
      <w:r>
        <w:rPr>
          <w:rFonts w:ascii="Arial" w:cs="Arial" w:eastAsia="Arial" w:hAnsi="Arial"/>
          <w:sz w:val="19"/>
          <w:szCs w:val="19"/>
          <w:color w:val="auto"/>
        </w:rPr>
        <w:t>In general, Section 203 defines an interested stockholder as an entity or person beneficially owning 15% or more of our outstanding voting stock and any entity or person affiliated with or controlling or controlled by such entity or person.</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Transfer agent</w:t>
      </w: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color w:val="auto"/>
        </w:rPr>
        <w:t>The transfer agent and registrar for our common stock is Wells Fargo Bank, National Association.</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Listing</w:t>
      </w: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color w:val="auto"/>
        </w:rPr>
        <w:t>Our common stock is listed on The Nasdaq Global Select Market under the symbol "MU".</w:t>
      </w:r>
    </w:p>
    <w:p>
      <w:pPr>
        <w:sectPr>
          <w:pgSz w:w="11900" w:h="16838" w:orient="portrait"/>
          <w:cols w:equalWidth="0" w:num="1">
            <w:col w:w="11220"/>
          </w:cols>
          <w:pgMar w:left="320" w:top="1432" w:right="35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85"/>
        </w:trPr>
        <w:tc>
          <w:tcPr>
            <w:tcW w:w="7960" w:type="dxa"/>
            <w:vAlign w:val="bottom"/>
          </w:tcPr>
          <w:p>
            <w:pPr>
              <w:spacing w:after="0"/>
              <w:rPr>
                <w:sz w:val="24"/>
                <w:szCs w:val="24"/>
                <w:color w:val="auto"/>
              </w:rPr>
            </w:pPr>
          </w:p>
        </w:tc>
        <w:tc>
          <w:tcPr>
            <w:tcW w:w="3280" w:type="dxa"/>
            <w:vAlign w:val="bottom"/>
          </w:tcPr>
          <w:p>
            <w:pPr>
              <w:ind w:left="1940"/>
              <w:spacing w:after="0"/>
              <w:rPr>
                <w:sz w:val="20"/>
                <w:szCs w:val="20"/>
                <w:color w:val="auto"/>
              </w:rPr>
            </w:pPr>
            <w:r>
              <w:rPr>
                <w:rFonts w:ascii="Arial" w:cs="Arial" w:eastAsia="Arial" w:hAnsi="Arial"/>
                <w:sz w:val="22"/>
                <w:szCs w:val="22"/>
                <w:b w:val="1"/>
                <w:bCs w:val="1"/>
                <w:color w:val="auto"/>
                <w:w w:val="97"/>
              </w:rPr>
              <w:t>EXHIBIT 21.1</w:t>
            </w:r>
          </w:p>
        </w:tc>
      </w:tr>
      <w:tr>
        <w:trPr>
          <w:trHeight w:val="675"/>
        </w:trPr>
        <w:tc>
          <w:tcPr>
            <w:tcW w:w="7960" w:type="dxa"/>
            <w:vAlign w:val="bottom"/>
          </w:tcPr>
          <w:p>
            <w:pPr>
              <w:spacing w:after="0"/>
              <w:rPr>
                <w:sz w:val="20"/>
                <w:szCs w:val="20"/>
                <w:color w:val="auto"/>
              </w:rPr>
            </w:pPr>
            <w:r>
              <w:rPr>
                <w:rFonts w:ascii="Arial" w:cs="Arial" w:eastAsia="Arial" w:hAnsi="Arial"/>
                <w:sz w:val="40"/>
                <w:szCs w:val="40"/>
                <w:b w:val="1"/>
                <w:bCs w:val="1"/>
                <w:color w:val="auto"/>
              </w:rPr>
              <w:t>MICRON TECHNOLOGY, INC.</w:t>
            </w:r>
          </w:p>
        </w:tc>
        <w:tc>
          <w:tcPr>
            <w:tcW w:w="3280" w:type="dxa"/>
            <w:vAlign w:val="bottom"/>
          </w:tcPr>
          <w:p>
            <w:pPr>
              <w:spacing w:after="0"/>
              <w:rPr>
                <w:sz w:val="24"/>
                <w:szCs w:val="24"/>
                <w:color w:val="auto"/>
              </w:rPr>
            </w:pPr>
          </w:p>
        </w:tc>
      </w:tr>
      <w:tr>
        <w:trPr>
          <w:trHeight w:val="526"/>
        </w:trPr>
        <w:tc>
          <w:tcPr>
            <w:tcW w:w="7960" w:type="dxa"/>
            <w:vAlign w:val="bottom"/>
          </w:tcPr>
          <w:p>
            <w:pPr>
              <w:spacing w:after="0"/>
              <w:rPr>
                <w:sz w:val="20"/>
                <w:szCs w:val="20"/>
                <w:color w:val="auto"/>
              </w:rPr>
            </w:pPr>
            <w:r>
              <w:rPr>
                <w:rFonts w:ascii="Arial" w:cs="Arial" w:eastAsia="Arial" w:hAnsi="Arial"/>
                <w:sz w:val="40"/>
                <w:szCs w:val="40"/>
                <w:b w:val="1"/>
                <w:bCs w:val="1"/>
                <w:color w:val="auto"/>
              </w:rPr>
              <w:t>SUBSIDIARIES OF THE REGISTRANT*</w:t>
            </w:r>
          </w:p>
        </w:tc>
        <w:tc>
          <w:tcPr>
            <w:tcW w:w="3280" w:type="dxa"/>
            <w:vAlign w:val="bottom"/>
          </w:tcPr>
          <w:p>
            <w:pPr>
              <w:spacing w:after="0"/>
              <w:rPr>
                <w:sz w:val="24"/>
                <w:szCs w:val="24"/>
                <w:color w:val="auto"/>
              </w:rPr>
            </w:pPr>
          </w:p>
        </w:tc>
      </w:tr>
      <w:tr>
        <w:trPr>
          <w:trHeight w:val="453"/>
        </w:trPr>
        <w:tc>
          <w:tcPr>
            <w:tcW w:w="7960" w:type="dxa"/>
            <w:vAlign w:val="bottom"/>
          </w:tcPr>
          <w:p>
            <w:pPr>
              <w:spacing w:after="0"/>
              <w:rPr>
                <w:sz w:val="24"/>
                <w:szCs w:val="24"/>
                <w:color w:val="auto"/>
              </w:rPr>
            </w:pPr>
          </w:p>
        </w:tc>
        <w:tc>
          <w:tcPr>
            <w:tcW w:w="3280" w:type="dxa"/>
            <w:vAlign w:val="bottom"/>
          </w:tcPr>
          <w:p>
            <w:pPr>
              <w:ind w:left="960"/>
              <w:spacing w:after="0"/>
              <w:rPr>
                <w:sz w:val="20"/>
                <w:szCs w:val="20"/>
                <w:color w:val="auto"/>
              </w:rPr>
            </w:pPr>
            <w:r>
              <w:rPr>
                <w:rFonts w:ascii="Arial" w:cs="Arial" w:eastAsia="Arial" w:hAnsi="Arial"/>
                <w:sz w:val="18"/>
                <w:szCs w:val="18"/>
                <w:b w:val="1"/>
                <w:bCs w:val="1"/>
                <w:color w:val="auto"/>
              </w:rPr>
              <w:t>State (or Jurisdiction) in</w:t>
            </w:r>
          </w:p>
        </w:tc>
      </w:tr>
      <w:tr>
        <w:trPr>
          <w:trHeight w:val="252"/>
        </w:trPr>
        <w:tc>
          <w:tcPr>
            <w:tcW w:w="796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Name</w:t>
            </w:r>
          </w:p>
        </w:tc>
        <w:tc>
          <w:tcPr>
            <w:tcW w:w="3280" w:type="dxa"/>
            <w:vAlign w:val="bottom"/>
            <w:tcBorders>
              <w:bottom w:val="single" w:sz="8" w:color="0090DA"/>
            </w:tcBorders>
          </w:tcPr>
          <w:p>
            <w:pPr>
              <w:ind w:left="1280"/>
              <w:spacing w:after="0"/>
              <w:rPr>
                <w:sz w:val="20"/>
                <w:szCs w:val="20"/>
                <w:color w:val="auto"/>
              </w:rPr>
            </w:pPr>
            <w:r>
              <w:rPr>
                <w:rFonts w:ascii="Arial" w:cs="Arial" w:eastAsia="Arial" w:hAnsi="Arial"/>
                <w:sz w:val="18"/>
                <w:szCs w:val="18"/>
                <w:b w:val="1"/>
                <w:bCs w:val="1"/>
                <w:color w:val="auto"/>
              </w:rPr>
              <w:t>which Organized</w:t>
            </w:r>
          </w:p>
        </w:tc>
      </w:tr>
      <w:tr>
        <w:trPr>
          <w:trHeight w:val="34"/>
        </w:trPr>
        <w:tc>
          <w:tcPr>
            <w:tcW w:w="7960" w:type="dxa"/>
            <w:vAlign w:val="bottom"/>
          </w:tcPr>
          <w:p>
            <w:pPr>
              <w:spacing w:after="0"/>
              <w:rPr>
                <w:sz w:val="2"/>
                <w:szCs w:val="2"/>
                <w:color w:val="auto"/>
              </w:rPr>
            </w:pPr>
          </w:p>
        </w:tc>
        <w:tc>
          <w:tcPr>
            <w:tcW w:w="3280" w:type="dxa"/>
            <w:vAlign w:val="bottom"/>
          </w:tcPr>
          <w:p>
            <w:pPr>
              <w:spacing w:after="0"/>
              <w:rPr>
                <w:sz w:val="2"/>
                <w:szCs w:val="2"/>
                <w:color w:val="auto"/>
              </w:rPr>
            </w:pPr>
          </w:p>
        </w:tc>
      </w:tr>
      <w:tr>
        <w:trPr>
          <w:trHeight w:val="257"/>
        </w:trPr>
        <w:tc>
          <w:tcPr>
            <w:tcW w:w="7960" w:type="dxa"/>
            <w:vAlign w:val="bottom"/>
            <w:shd w:val="clear" w:color="auto" w:fill="D1D2D4"/>
          </w:tcPr>
          <w:p>
            <w:pPr>
              <w:ind w:left="20"/>
              <w:spacing w:after="0"/>
              <w:rPr>
                <w:sz w:val="20"/>
                <w:szCs w:val="20"/>
                <w:color w:val="auto"/>
              </w:rPr>
            </w:pPr>
            <w:r>
              <w:rPr>
                <w:rFonts w:ascii="Arial" w:cs="Arial" w:eastAsia="Arial" w:hAnsi="Arial"/>
                <w:sz w:val="18"/>
                <w:szCs w:val="18"/>
                <w:color w:val="auto"/>
              </w:rPr>
              <w:t>Micron Asia Pacific LLC</w:t>
            </w:r>
          </w:p>
        </w:tc>
        <w:tc>
          <w:tcPr>
            <w:tcW w:w="3280" w:type="dxa"/>
            <w:vAlign w:val="bottom"/>
            <w:shd w:val="clear" w:color="auto" w:fill="D1D2D4"/>
          </w:tcPr>
          <w:p>
            <w:pPr>
              <w:ind w:left="740"/>
              <w:spacing w:after="0"/>
              <w:rPr>
                <w:sz w:val="20"/>
                <w:szCs w:val="20"/>
                <w:color w:val="auto"/>
              </w:rPr>
            </w:pPr>
            <w:r>
              <w:rPr>
                <w:rFonts w:ascii="Arial" w:cs="Arial" w:eastAsia="Arial" w:hAnsi="Arial"/>
                <w:sz w:val="18"/>
                <w:szCs w:val="18"/>
                <w:color w:val="auto"/>
              </w:rPr>
              <w:t>Delaware</w:t>
            </w:r>
          </w:p>
        </w:tc>
      </w:tr>
      <w:tr>
        <w:trPr>
          <w:trHeight w:val="250"/>
        </w:trPr>
        <w:tc>
          <w:tcPr>
            <w:tcW w:w="7960" w:type="dxa"/>
            <w:vAlign w:val="bottom"/>
          </w:tcPr>
          <w:p>
            <w:pPr>
              <w:ind w:left="20"/>
              <w:spacing w:after="0"/>
              <w:rPr>
                <w:sz w:val="20"/>
                <w:szCs w:val="20"/>
                <w:color w:val="auto"/>
              </w:rPr>
            </w:pPr>
            <w:r>
              <w:rPr>
                <w:rFonts w:ascii="Arial" w:cs="Arial" w:eastAsia="Arial" w:hAnsi="Arial"/>
                <w:sz w:val="18"/>
                <w:szCs w:val="18"/>
                <w:color w:val="auto"/>
              </w:rPr>
              <w:t>Micron International LLC</w:t>
            </w:r>
          </w:p>
        </w:tc>
        <w:tc>
          <w:tcPr>
            <w:tcW w:w="3280" w:type="dxa"/>
            <w:vAlign w:val="bottom"/>
          </w:tcPr>
          <w:p>
            <w:pPr>
              <w:ind w:left="740"/>
              <w:spacing w:after="0"/>
              <w:rPr>
                <w:sz w:val="20"/>
                <w:szCs w:val="20"/>
                <w:color w:val="auto"/>
              </w:rPr>
            </w:pPr>
            <w:r>
              <w:rPr>
                <w:rFonts w:ascii="Arial" w:cs="Arial" w:eastAsia="Arial" w:hAnsi="Arial"/>
                <w:sz w:val="18"/>
                <w:szCs w:val="18"/>
                <w:color w:val="auto"/>
              </w:rPr>
              <w:t>Delaware</w:t>
            </w:r>
          </w:p>
        </w:tc>
      </w:tr>
      <w:tr>
        <w:trPr>
          <w:trHeight w:val="263"/>
        </w:trPr>
        <w:tc>
          <w:tcPr>
            <w:tcW w:w="7960" w:type="dxa"/>
            <w:vAlign w:val="bottom"/>
            <w:shd w:val="clear" w:color="auto" w:fill="D1D2D4"/>
          </w:tcPr>
          <w:p>
            <w:pPr>
              <w:ind w:left="20"/>
              <w:spacing w:after="0"/>
              <w:rPr>
                <w:sz w:val="20"/>
                <w:szCs w:val="20"/>
                <w:color w:val="auto"/>
              </w:rPr>
            </w:pPr>
            <w:r>
              <w:rPr>
                <w:rFonts w:ascii="Arial" w:cs="Arial" w:eastAsia="Arial" w:hAnsi="Arial"/>
                <w:sz w:val="18"/>
                <w:szCs w:val="18"/>
                <w:color w:val="auto"/>
              </w:rPr>
              <w:t>Micron Memory Japan, G.K.</w:t>
            </w:r>
          </w:p>
        </w:tc>
        <w:tc>
          <w:tcPr>
            <w:tcW w:w="3280" w:type="dxa"/>
            <w:vAlign w:val="bottom"/>
            <w:shd w:val="clear" w:color="auto" w:fill="D1D2D4"/>
          </w:tcPr>
          <w:p>
            <w:pPr>
              <w:ind w:left="740"/>
              <w:spacing w:after="0"/>
              <w:rPr>
                <w:sz w:val="20"/>
                <w:szCs w:val="20"/>
                <w:color w:val="auto"/>
              </w:rPr>
            </w:pPr>
            <w:r>
              <w:rPr>
                <w:rFonts w:ascii="Arial" w:cs="Arial" w:eastAsia="Arial" w:hAnsi="Arial"/>
                <w:sz w:val="18"/>
                <w:szCs w:val="18"/>
                <w:color w:val="auto"/>
              </w:rPr>
              <w:t>Japan</w:t>
            </w:r>
          </w:p>
        </w:tc>
      </w:tr>
      <w:tr>
        <w:trPr>
          <w:trHeight w:val="250"/>
        </w:trPr>
        <w:tc>
          <w:tcPr>
            <w:tcW w:w="7960" w:type="dxa"/>
            <w:vAlign w:val="bottom"/>
          </w:tcPr>
          <w:p>
            <w:pPr>
              <w:ind w:left="20"/>
              <w:spacing w:after="0"/>
              <w:rPr>
                <w:sz w:val="20"/>
                <w:szCs w:val="20"/>
                <w:color w:val="auto"/>
              </w:rPr>
            </w:pPr>
            <w:r>
              <w:rPr>
                <w:rFonts w:ascii="Arial" w:cs="Arial" w:eastAsia="Arial" w:hAnsi="Arial"/>
                <w:sz w:val="18"/>
                <w:szCs w:val="18"/>
                <w:color w:val="auto"/>
              </w:rPr>
              <w:t>Micron Memory Taiwan Co., Ltd.</w:t>
            </w:r>
          </w:p>
        </w:tc>
        <w:tc>
          <w:tcPr>
            <w:tcW w:w="3280" w:type="dxa"/>
            <w:vAlign w:val="bottom"/>
          </w:tcPr>
          <w:p>
            <w:pPr>
              <w:ind w:left="740"/>
              <w:spacing w:after="0"/>
              <w:rPr>
                <w:sz w:val="20"/>
                <w:szCs w:val="20"/>
                <w:color w:val="auto"/>
              </w:rPr>
            </w:pPr>
            <w:r>
              <w:rPr>
                <w:rFonts w:ascii="Arial" w:cs="Arial" w:eastAsia="Arial" w:hAnsi="Arial"/>
                <w:sz w:val="18"/>
                <w:szCs w:val="18"/>
                <w:color w:val="auto"/>
              </w:rPr>
              <w:t>Taiwan</w:t>
            </w:r>
          </w:p>
        </w:tc>
      </w:tr>
      <w:tr>
        <w:trPr>
          <w:trHeight w:val="263"/>
        </w:trPr>
        <w:tc>
          <w:tcPr>
            <w:tcW w:w="7960" w:type="dxa"/>
            <w:vAlign w:val="bottom"/>
            <w:shd w:val="clear" w:color="auto" w:fill="D1D2D4"/>
          </w:tcPr>
          <w:p>
            <w:pPr>
              <w:ind w:left="20"/>
              <w:spacing w:after="0"/>
              <w:rPr>
                <w:sz w:val="20"/>
                <w:szCs w:val="20"/>
                <w:color w:val="auto"/>
              </w:rPr>
            </w:pPr>
            <w:r>
              <w:rPr>
                <w:rFonts w:ascii="Arial" w:cs="Arial" w:eastAsia="Arial" w:hAnsi="Arial"/>
                <w:sz w:val="18"/>
                <w:szCs w:val="18"/>
                <w:color w:val="auto"/>
              </w:rPr>
              <w:t>Micron Semiconductor Asia, LLC</w:t>
            </w:r>
          </w:p>
        </w:tc>
        <w:tc>
          <w:tcPr>
            <w:tcW w:w="3280" w:type="dxa"/>
            <w:vAlign w:val="bottom"/>
            <w:shd w:val="clear" w:color="auto" w:fill="D1D2D4"/>
          </w:tcPr>
          <w:p>
            <w:pPr>
              <w:ind w:left="740"/>
              <w:spacing w:after="0"/>
              <w:rPr>
                <w:sz w:val="20"/>
                <w:szCs w:val="20"/>
                <w:color w:val="auto"/>
              </w:rPr>
            </w:pPr>
            <w:r>
              <w:rPr>
                <w:rFonts w:ascii="Arial" w:cs="Arial" w:eastAsia="Arial" w:hAnsi="Arial"/>
                <w:sz w:val="18"/>
                <w:szCs w:val="18"/>
                <w:color w:val="auto"/>
              </w:rPr>
              <w:t>Delaware</w:t>
            </w:r>
          </w:p>
        </w:tc>
      </w:tr>
      <w:tr>
        <w:trPr>
          <w:trHeight w:val="250"/>
        </w:trPr>
        <w:tc>
          <w:tcPr>
            <w:tcW w:w="7960" w:type="dxa"/>
            <w:vAlign w:val="bottom"/>
          </w:tcPr>
          <w:p>
            <w:pPr>
              <w:ind w:left="20"/>
              <w:spacing w:after="0"/>
              <w:rPr>
                <w:sz w:val="20"/>
                <w:szCs w:val="20"/>
                <w:color w:val="auto"/>
              </w:rPr>
            </w:pPr>
            <w:r>
              <w:rPr>
                <w:rFonts w:ascii="Arial" w:cs="Arial" w:eastAsia="Arial" w:hAnsi="Arial"/>
                <w:sz w:val="18"/>
                <w:szCs w:val="18"/>
                <w:color w:val="auto"/>
              </w:rPr>
              <w:t>Micron Semiconductor Asia Operations Pte. Ltd.</w:t>
            </w:r>
          </w:p>
        </w:tc>
        <w:tc>
          <w:tcPr>
            <w:tcW w:w="3280" w:type="dxa"/>
            <w:vAlign w:val="bottom"/>
          </w:tcPr>
          <w:p>
            <w:pPr>
              <w:ind w:left="740"/>
              <w:spacing w:after="0"/>
              <w:rPr>
                <w:sz w:val="20"/>
                <w:szCs w:val="20"/>
                <w:color w:val="auto"/>
              </w:rPr>
            </w:pPr>
            <w:r>
              <w:rPr>
                <w:rFonts w:ascii="Arial" w:cs="Arial" w:eastAsia="Arial" w:hAnsi="Arial"/>
                <w:sz w:val="18"/>
                <w:szCs w:val="18"/>
                <w:color w:val="auto"/>
              </w:rPr>
              <w:t>Singapore</w:t>
            </w:r>
          </w:p>
        </w:tc>
      </w:tr>
      <w:tr>
        <w:trPr>
          <w:trHeight w:val="263"/>
        </w:trPr>
        <w:tc>
          <w:tcPr>
            <w:tcW w:w="7960" w:type="dxa"/>
            <w:vAlign w:val="bottom"/>
            <w:shd w:val="clear" w:color="auto" w:fill="D1D2D4"/>
          </w:tcPr>
          <w:p>
            <w:pPr>
              <w:ind w:left="20"/>
              <w:spacing w:after="0"/>
              <w:rPr>
                <w:sz w:val="20"/>
                <w:szCs w:val="20"/>
                <w:color w:val="auto"/>
              </w:rPr>
            </w:pPr>
            <w:r>
              <w:rPr>
                <w:rFonts w:ascii="Arial" w:cs="Arial" w:eastAsia="Arial" w:hAnsi="Arial"/>
                <w:sz w:val="18"/>
                <w:szCs w:val="18"/>
                <w:color w:val="auto"/>
              </w:rPr>
              <w:t>Micron Semiconductor Asia Pte. Ltd.</w:t>
            </w:r>
          </w:p>
        </w:tc>
        <w:tc>
          <w:tcPr>
            <w:tcW w:w="3280" w:type="dxa"/>
            <w:vAlign w:val="bottom"/>
            <w:shd w:val="clear" w:color="auto" w:fill="D1D2D4"/>
          </w:tcPr>
          <w:p>
            <w:pPr>
              <w:ind w:left="740"/>
              <w:spacing w:after="0"/>
              <w:rPr>
                <w:sz w:val="20"/>
                <w:szCs w:val="20"/>
                <w:color w:val="auto"/>
              </w:rPr>
            </w:pPr>
            <w:r>
              <w:rPr>
                <w:rFonts w:ascii="Arial" w:cs="Arial" w:eastAsia="Arial" w:hAnsi="Arial"/>
                <w:sz w:val="18"/>
                <w:szCs w:val="18"/>
                <w:color w:val="auto"/>
              </w:rPr>
              <w:t>Singapore</w:t>
            </w:r>
          </w:p>
        </w:tc>
      </w:tr>
      <w:tr>
        <w:trPr>
          <w:trHeight w:val="250"/>
        </w:trPr>
        <w:tc>
          <w:tcPr>
            <w:tcW w:w="7960" w:type="dxa"/>
            <w:vAlign w:val="bottom"/>
          </w:tcPr>
          <w:p>
            <w:pPr>
              <w:ind w:left="20"/>
              <w:spacing w:after="0"/>
              <w:rPr>
                <w:sz w:val="20"/>
                <w:szCs w:val="20"/>
                <w:color w:val="auto"/>
              </w:rPr>
            </w:pPr>
            <w:r>
              <w:rPr>
                <w:rFonts w:ascii="Arial" w:cs="Arial" w:eastAsia="Arial" w:hAnsi="Arial"/>
                <w:sz w:val="18"/>
                <w:szCs w:val="18"/>
                <w:color w:val="auto"/>
              </w:rPr>
              <w:t>Micron Semiconductor Products, Inc.</w:t>
            </w:r>
          </w:p>
        </w:tc>
        <w:tc>
          <w:tcPr>
            <w:tcW w:w="3280" w:type="dxa"/>
            <w:vAlign w:val="bottom"/>
          </w:tcPr>
          <w:p>
            <w:pPr>
              <w:ind w:left="740"/>
              <w:spacing w:after="0"/>
              <w:rPr>
                <w:sz w:val="20"/>
                <w:szCs w:val="20"/>
                <w:color w:val="auto"/>
              </w:rPr>
            </w:pPr>
            <w:r>
              <w:rPr>
                <w:rFonts w:ascii="Arial" w:cs="Arial" w:eastAsia="Arial" w:hAnsi="Arial"/>
                <w:sz w:val="18"/>
                <w:szCs w:val="18"/>
                <w:color w:val="auto"/>
              </w:rPr>
              <w:t>Idaho</w:t>
            </w:r>
          </w:p>
        </w:tc>
      </w:tr>
      <w:tr>
        <w:trPr>
          <w:trHeight w:val="263"/>
        </w:trPr>
        <w:tc>
          <w:tcPr>
            <w:tcW w:w="7960" w:type="dxa"/>
            <w:vAlign w:val="bottom"/>
            <w:shd w:val="clear" w:color="auto" w:fill="D1D2D4"/>
          </w:tcPr>
          <w:p>
            <w:pPr>
              <w:ind w:left="20"/>
              <w:spacing w:after="0"/>
              <w:rPr>
                <w:sz w:val="20"/>
                <w:szCs w:val="20"/>
                <w:color w:val="auto"/>
              </w:rPr>
            </w:pPr>
            <w:r>
              <w:rPr>
                <w:rFonts w:ascii="Arial" w:cs="Arial" w:eastAsia="Arial" w:hAnsi="Arial"/>
                <w:sz w:val="18"/>
                <w:szCs w:val="18"/>
                <w:color w:val="auto"/>
              </w:rPr>
              <w:t>Micron Semiconductor Taiwan Co., Ltd.</w:t>
            </w:r>
          </w:p>
        </w:tc>
        <w:tc>
          <w:tcPr>
            <w:tcW w:w="3280" w:type="dxa"/>
            <w:vAlign w:val="bottom"/>
            <w:shd w:val="clear" w:color="auto" w:fill="D1D2D4"/>
          </w:tcPr>
          <w:p>
            <w:pPr>
              <w:ind w:left="740"/>
              <w:spacing w:after="0"/>
              <w:rPr>
                <w:sz w:val="20"/>
                <w:szCs w:val="20"/>
                <w:color w:val="auto"/>
              </w:rPr>
            </w:pPr>
            <w:r>
              <w:rPr>
                <w:rFonts w:ascii="Arial" w:cs="Arial" w:eastAsia="Arial" w:hAnsi="Arial"/>
                <w:sz w:val="18"/>
                <w:szCs w:val="18"/>
                <w:color w:val="auto"/>
              </w:rPr>
              <w:t>Taiwan</w:t>
            </w:r>
          </w:p>
        </w:tc>
      </w:tr>
      <w:tr>
        <w:trPr>
          <w:trHeight w:val="250"/>
        </w:trPr>
        <w:tc>
          <w:tcPr>
            <w:tcW w:w="7960" w:type="dxa"/>
            <w:vAlign w:val="bottom"/>
          </w:tcPr>
          <w:p>
            <w:pPr>
              <w:ind w:left="20"/>
              <w:spacing w:after="0"/>
              <w:rPr>
                <w:sz w:val="20"/>
                <w:szCs w:val="20"/>
                <w:color w:val="auto"/>
              </w:rPr>
            </w:pPr>
            <w:r>
              <w:rPr>
                <w:rFonts w:ascii="Arial" w:cs="Arial" w:eastAsia="Arial" w:hAnsi="Arial"/>
                <w:sz w:val="18"/>
                <w:szCs w:val="18"/>
                <w:color w:val="auto"/>
              </w:rPr>
              <w:t>Micron Semiconductor (Xi’an) Co., Ltd.</w:t>
            </w:r>
          </w:p>
        </w:tc>
        <w:tc>
          <w:tcPr>
            <w:tcW w:w="3280" w:type="dxa"/>
            <w:vAlign w:val="bottom"/>
          </w:tcPr>
          <w:p>
            <w:pPr>
              <w:ind w:left="740"/>
              <w:spacing w:after="0"/>
              <w:rPr>
                <w:sz w:val="20"/>
                <w:szCs w:val="20"/>
                <w:color w:val="auto"/>
              </w:rPr>
            </w:pPr>
            <w:r>
              <w:rPr>
                <w:rFonts w:ascii="Arial" w:cs="Arial" w:eastAsia="Arial" w:hAnsi="Arial"/>
                <w:sz w:val="18"/>
                <w:szCs w:val="18"/>
                <w:color w:val="auto"/>
              </w:rPr>
              <w:t>China</w:t>
            </w:r>
          </w:p>
        </w:tc>
      </w:tr>
      <w:tr>
        <w:trPr>
          <w:trHeight w:val="263"/>
        </w:trPr>
        <w:tc>
          <w:tcPr>
            <w:tcW w:w="7960" w:type="dxa"/>
            <w:vAlign w:val="bottom"/>
            <w:shd w:val="clear" w:color="auto" w:fill="D1D2D4"/>
          </w:tcPr>
          <w:p>
            <w:pPr>
              <w:ind w:left="20"/>
              <w:spacing w:after="0"/>
              <w:rPr>
                <w:sz w:val="20"/>
                <w:szCs w:val="20"/>
                <w:color w:val="auto"/>
              </w:rPr>
            </w:pPr>
            <w:r>
              <w:rPr>
                <w:rFonts w:ascii="Arial" w:cs="Arial" w:eastAsia="Arial" w:hAnsi="Arial"/>
                <w:sz w:val="18"/>
                <w:szCs w:val="18"/>
                <w:color w:val="auto"/>
              </w:rPr>
              <w:t>Micron Technology B.V.</w:t>
            </w:r>
          </w:p>
        </w:tc>
        <w:tc>
          <w:tcPr>
            <w:tcW w:w="3280" w:type="dxa"/>
            <w:vAlign w:val="bottom"/>
            <w:shd w:val="clear" w:color="auto" w:fill="D1D2D4"/>
          </w:tcPr>
          <w:p>
            <w:pPr>
              <w:ind w:left="740"/>
              <w:spacing w:after="0"/>
              <w:rPr>
                <w:sz w:val="20"/>
                <w:szCs w:val="20"/>
                <w:color w:val="auto"/>
              </w:rPr>
            </w:pPr>
            <w:r>
              <w:rPr>
                <w:rFonts w:ascii="Arial" w:cs="Arial" w:eastAsia="Arial" w:hAnsi="Arial"/>
                <w:sz w:val="18"/>
                <w:szCs w:val="18"/>
                <w:color w:val="auto"/>
              </w:rPr>
              <w:t>Netherlands</w:t>
            </w:r>
          </w:p>
        </w:tc>
      </w:tr>
      <w:tr>
        <w:trPr>
          <w:trHeight w:val="250"/>
        </w:trPr>
        <w:tc>
          <w:tcPr>
            <w:tcW w:w="7960" w:type="dxa"/>
            <w:vAlign w:val="bottom"/>
          </w:tcPr>
          <w:p>
            <w:pPr>
              <w:ind w:left="20"/>
              <w:spacing w:after="0"/>
              <w:rPr>
                <w:sz w:val="20"/>
                <w:szCs w:val="20"/>
                <w:color w:val="auto"/>
              </w:rPr>
            </w:pPr>
            <w:r>
              <w:rPr>
                <w:rFonts w:ascii="Arial" w:cs="Arial" w:eastAsia="Arial" w:hAnsi="Arial"/>
                <w:sz w:val="18"/>
                <w:szCs w:val="18"/>
                <w:color w:val="auto"/>
              </w:rPr>
              <w:t>Micron Technology Finance LLC</w:t>
            </w:r>
          </w:p>
        </w:tc>
        <w:tc>
          <w:tcPr>
            <w:tcW w:w="3280" w:type="dxa"/>
            <w:vAlign w:val="bottom"/>
          </w:tcPr>
          <w:p>
            <w:pPr>
              <w:ind w:left="740"/>
              <w:spacing w:after="0"/>
              <w:rPr>
                <w:sz w:val="20"/>
                <w:szCs w:val="20"/>
                <w:color w:val="auto"/>
              </w:rPr>
            </w:pPr>
            <w:r>
              <w:rPr>
                <w:rFonts w:ascii="Arial" w:cs="Arial" w:eastAsia="Arial" w:hAnsi="Arial"/>
                <w:sz w:val="18"/>
                <w:szCs w:val="18"/>
                <w:color w:val="auto"/>
              </w:rPr>
              <w:t>Delaware</w:t>
            </w:r>
          </w:p>
        </w:tc>
      </w:tr>
      <w:tr>
        <w:trPr>
          <w:trHeight w:val="263"/>
        </w:trPr>
        <w:tc>
          <w:tcPr>
            <w:tcW w:w="7960" w:type="dxa"/>
            <w:vAlign w:val="bottom"/>
            <w:shd w:val="clear" w:color="auto" w:fill="D1D2D4"/>
          </w:tcPr>
          <w:p>
            <w:pPr>
              <w:ind w:left="20"/>
              <w:spacing w:after="0"/>
              <w:rPr>
                <w:sz w:val="20"/>
                <w:szCs w:val="20"/>
                <w:color w:val="auto"/>
              </w:rPr>
            </w:pPr>
            <w:r>
              <w:rPr>
                <w:rFonts w:ascii="Arial" w:cs="Arial" w:eastAsia="Arial" w:hAnsi="Arial"/>
                <w:sz w:val="18"/>
                <w:szCs w:val="18"/>
                <w:color w:val="auto"/>
              </w:rPr>
              <w:t>Micron Technology Taiwan, Inc.</w:t>
            </w:r>
          </w:p>
        </w:tc>
        <w:tc>
          <w:tcPr>
            <w:tcW w:w="3280" w:type="dxa"/>
            <w:vAlign w:val="bottom"/>
            <w:shd w:val="clear" w:color="auto" w:fill="D1D2D4"/>
          </w:tcPr>
          <w:p>
            <w:pPr>
              <w:ind w:left="740"/>
              <w:spacing w:after="0"/>
              <w:rPr>
                <w:sz w:val="20"/>
                <w:szCs w:val="20"/>
                <w:color w:val="auto"/>
              </w:rPr>
            </w:pPr>
            <w:r>
              <w:rPr>
                <w:rFonts w:ascii="Arial" w:cs="Arial" w:eastAsia="Arial" w:hAnsi="Arial"/>
                <w:sz w:val="18"/>
                <w:szCs w:val="18"/>
                <w:color w:val="auto"/>
              </w:rPr>
              <w:t>Taiwan</w:t>
            </w:r>
          </w:p>
        </w:tc>
      </w:tr>
      <w:tr>
        <w:trPr>
          <w:trHeight w:val="243"/>
        </w:trPr>
        <w:tc>
          <w:tcPr>
            <w:tcW w:w="7960" w:type="dxa"/>
            <w:vAlign w:val="bottom"/>
          </w:tcPr>
          <w:p>
            <w:pPr>
              <w:ind w:left="20"/>
              <w:spacing w:after="0"/>
              <w:rPr>
                <w:sz w:val="20"/>
                <w:szCs w:val="20"/>
                <w:color w:val="auto"/>
              </w:rPr>
            </w:pPr>
            <w:r>
              <w:rPr>
                <w:rFonts w:ascii="Arial" w:cs="Arial" w:eastAsia="Arial" w:hAnsi="Arial"/>
                <w:sz w:val="18"/>
                <w:szCs w:val="18"/>
                <w:color w:val="auto"/>
              </w:rPr>
              <w:t>Micron Technology Utah, LLC</w:t>
            </w:r>
          </w:p>
        </w:tc>
        <w:tc>
          <w:tcPr>
            <w:tcW w:w="3280" w:type="dxa"/>
            <w:vAlign w:val="bottom"/>
          </w:tcPr>
          <w:p>
            <w:pPr>
              <w:ind w:left="740"/>
              <w:spacing w:after="0"/>
              <w:rPr>
                <w:sz w:val="20"/>
                <w:szCs w:val="20"/>
                <w:color w:val="auto"/>
              </w:rPr>
            </w:pPr>
            <w:r>
              <w:rPr>
                <w:rFonts w:ascii="Arial" w:cs="Arial" w:eastAsia="Arial" w:hAnsi="Arial"/>
                <w:sz w:val="18"/>
                <w:szCs w:val="18"/>
                <w:color w:val="auto"/>
              </w:rPr>
              <w:t>Delaware</w:t>
            </w:r>
          </w:p>
        </w:tc>
      </w:tr>
    </w:tbl>
    <w:p>
      <w:pPr>
        <w:spacing w:after="0" w:line="364" w:lineRule="exact"/>
        <w:rPr>
          <w:sz w:val="20"/>
          <w:szCs w:val="20"/>
          <w:color w:val="auto"/>
        </w:rPr>
      </w:pPr>
    </w:p>
    <w:p>
      <w:pPr>
        <w:ind w:right="400" w:firstLine="8"/>
        <w:spacing w:after="0" w:line="220" w:lineRule="auto"/>
        <w:tabs>
          <w:tab w:leader="none" w:pos="95" w:val="left"/>
        </w:tabs>
        <w:numPr>
          <w:ilvl w:val="0"/>
          <w:numId w:val="41"/>
        </w:numPr>
        <w:rPr>
          <w:rFonts w:ascii="Arial" w:cs="Arial" w:eastAsia="Arial" w:hAnsi="Arial"/>
          <w:sz w:val="23"/>
          <w:szCs w:val="23"/>
          <w:color w:val="auto"/>
          <w:vertAlign w:val="superscript"/>
        </w:rPr>
      </w:pPr>
      <w:r>
        <w:rPr>
          <w:rFonts w:ascii="Arial" w:cs="Arial" w:eastAsia="Arial" w:hAnsi="Arial"/>
          <w:sz w:val="18"/>
          <w:szCs w:val="18"/>
          <w:color w:val="auto"/>
        </w:rPr>
        <w:t>The above list of subsidiaries of Micron Technology, Inc. omitted subsidiaries which, considered in the aggregate as a single subsidiary, would not constitute a significant subsidiary as of the end of the year covered by this report.</w:t>
      </w:r>
    </w:p>
    <w:p>
      <w:pPr>
        <w:sectPr>
          <w:pgSz w:w="11900" w:h="16838" w:orient="portrait"/>
          <w:cols w:equalWidth="0" w:num="1">
            <w:col w:w="11240"/>
          </w:cols>
          <w:pgMar w:left="320" w:top="1133" w:right="339" w:bottom="1440" w:gutter="0" w:footer="0" w:header="0"/>
        </w:sectPr>
      </w:pPr>
    </w:p>
    <w:bookmarkStart w:id="99" w:name="page100"/>
    <w:bookmarkEnd w:id="99"/>
    <w:p>
      <w:pPr>
        <w:ind w:left="9900"/>
        <w:spacing w:after="0"/>
        <w:rPr>
          <w:sz w:val="20"/>
          <w:szCs w:val="20"/>
          <w:color w:val="auto"/>
        </w:rPr>
      </w:pPr>
      <w:r>
        <w:rPr>
          <w:rFonts w:ascii="Arial" w:cs="Arial" w:eastAsia="Arial" w:hAnsi="Arial"/>
          <w:sz w:val="21"/>
          <w:szCs w:val="21"/>
          <w:b w:val="1"/>
          <w:bCs w:val="1"/>
          <w:color w:val="auto"/>
        </w:rPr>
        <w:t>EXHIBIT 23.1</w:t>
      </w:r>
    </w:p>
    <w:p>
      <w:pPr>
        <w:spacing w:after="0" w:line="241"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CONSENT OF INDEPENDENT REGISTERED PUBLIC ACCOUNTING FIRM</w:t>
      </w:r>
    </w:p>
    <w:p>
      <w:pPr>
        <w:spacing w:after="0" w:line="288"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hereby consent to the incorporation by reference in the Registration Statements on Form S-8 (File Nos. 333-17073, 333-50353, 333-103341, 333-120620, 333-133667, 333-140091, 333-148357, 333-159711, 333-171717, 333-179592, 333-190010, 333-196293, 333-203467, 333-217314, 333-223874, 333-234359) of Micron Technology, Inc. of our report dated October 19, 2020 relating to the financial statements and financial statement schedule and the effectiveness of internal control over financial reporting, which appears in this Form 10-K.</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19, 2020</w:t>
      </w:r>
    </w:p>
    <w:p>
      <w:pPr>
        <w:sectPr>
          <w:pgSz w:w="11900" w:h="16838" w:orient="portrait"/>
          <w:cols w:equalWidth="0" w:num="1">
            <w:col w:w="11240"/>
          </w:cols>
          <w:pgMar w:left="320" w:top="890"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22"/>
          <w:szCs w:val="22"/>
          <w:b w:val="1"/>
          <w:bCs w:val="1"/>
          <w:color w:val="auto"/>
        </w:rPr>
        <w:t>EXHIBIT 31.1</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RULE 13a-14(a) CERTIFICATION OF</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CHIEF EXECUTIVE OFFICER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Sanjay Mehrotra, certify that:</w:t>
      </w:r>
    </w:p>
    <w:p>
      <w:pPr>
        <w:spacing w:after="0" w:line="171" w:lineRule="exact"/>
        <w:rPr>
          <w:sz w:val="20"/>
          <w:szCs w:val="20"/>
          <w:color w:val="auto"/>
        </w:rPr>
      </w:pPr>
    </w:p>
    <w:p>
      <w:pPr>
        <w:ind w:left="320" w:hanging="312"/>
        <w:spacing w:after="0"/>
        <w:tabs>
          <w:tab w:leader="none" w:pos="3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Micron Technology, Inc.;</w:t>
      </w:r>
    </w:p>
    <w:p>
      <w:pPr>
        <w:spacing w:after="0" w:line="171" w:lineRule="exact"/>
        <w:rPr>
          <w:rFonts w:ascii="Arial" w:cs="Arial" w:eastAsia="Arial" w:hAnsi="Arial"/>
          <w:sz w:val="18"/>
          <w:szCs w:val="18"/>
          <w:color w:val="auto"/>
        </w:rPr>
      </w:pPr>
    </w:p>
    <w:p>
      <w:pPr>
        <w:ind w:left="340" w:right="80" w:hanging="332"/>
        <w:spacing w:after="0" w:line="256" w:lineRule="auto"/>
        <w:tabs>
          <w:tab w:leader="none" w:pos="328"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340" w:right="120" w:hanging="332"/>
        <w:spacing w:after="0" w:line="291" w:lineRule="auto"/>
        <w:tabs>
          <w:tab w:leader="none" w:pos="328" w:val="left"/>
        </w:tabs>
        <w:numPr>
          <w:ilvl w:val="0"/>
          <w:numId w:val="4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ind w:left="340" w:right="140" w:hanging="332"/>
        <w:spacing w:after="0" w:line="265" w:lineRule="auto"/>
        <w:tabs>
          <w:tab w:leader="none" w:pos="328"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71" w:lineRule="exact"/>
        <w:rPr>
          <w:rFonts w:ascii="Arial" w:cs="Arial" w:eastAsia="Arial" w:hAnsi="Arial"/>
          <w:sz w:val="17"/>
          <w:szCs w:val="17"/>
          <w:color w:val="auto"/>
        </w:rPr>
      </w:pPr>
    </w:p>
    <w:p>
      <w:pPr>
        <w:ind w:left="660" w:right="60" w:hanging="328"/>
        <w:spacing w:after="0" w:line="256" w:lineRule="auto"/>
        <w:tabs>
          <w:tab w:leader="none" w:pos="648"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660" w:right="140" w:hanging="328"/>
        <w:spacing w:after="0" w:line="256" w:lineRule="auto"/>
        <w:tabs>
          <w:tab w:leader="none" w:pos="648"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ind w:left="660" w:right="80" w:hanging="328"/>
        <w:spacing w:after="0" w:line="256" w:lineRule="auto"/>
        <w:tabs>
          <w:tab w:leader="none" w:pos="651" w:val="left"/>
        </w:tabs>
        <w:numPr>
          <w:ilvl w:val="1"/>
          <w:numId w:val="4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660" w:right="400" w:hanging="328"/>
        <w:spacing w:after="0" w:line="256" w:lineRule="auto"/>
        <w:tabs>
          <w:tab w:leader="none" w:pos="648"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340" w:right="140" w:hanging="332"/>
        <w:spacing w:after="0" w:line="256" w:lineRule="auto"/>
        <w:tabs>
          <w:tab w:leader="none" w:pos="328"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ind w:left="660" w:right="280" w:hanging="328"/>
        <w:spacing w:after="0" w:line="291" w:lineRule="auto"/>
        <w:tabs>
          <w:tab w:leader="none" w:pos="648" w:val="left"/>
        </w:tabs>
        <w:numPr>
          <w:ilvl w:val="1"/>
          <w:numId w:val="4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9" w:lineRule="exact"/>
        <w:rPr>
          <w:rFonts w:ascii="Arial" w:cs="Arial" w:eastAsia="Arial" w:hAnsi="Arial"/>
          <w:sz w:val="17"/>
          <w:szCs w:val="17"/>
          <w:color w:val="auto"/>
        </w:rPr>
      </w:pPr>
    </w:p>
    <w:p>
      <w:pPr>
        <w:ind w:left="660" w:right="520" w:hanging="328"/>
        <w:spacing w:after="0" w:line="261" w:lineRule="auto"/>
        <w:tabs>
          <w:tab w:leader="none" w:pos="648"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8" w:lineRule="exact"/>
        <w:rPr>
          <w:sz w:val="20"/>
          <w:szCs w:val="20"/>
          <w:color w:val="auto"/>
        </w:rPr>
      </w:pPr>
    </w:p>
    <w:p>
      <w:pPr>
        <w:ind w:left="500"/>
        <w:spacing w:after="0"/>
        <w:tabs>
          <w:tab w:leader="none" w:pos="1200" w:val="left"/>
          <w:tab w:leader="none" w:pos="55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19, 2020</w:t>
      </w:r>
      <w:r>
        <w:rPr>
          <w:sz w:val="20"/>
          <w:szCs w:val="20"/>
          <w:color w:val="auto"/>
        </w:rPr>
        <w:tab/>
      </w:r>
      <w:r>
        <w:rPr>
          <w:rFonts w:ascii="Arial" w:cs="Arial" w:eastAsia="Arial" w:hAnsi="Arial"/>
          <w:sz w:val="17"/>
          <w:szCs w:val="17"/>
          <w:color w:val="auto"/>
        </w:rPr>
        <w:t>/s/ Sanjay Mehrotra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14605</wp:posOffset>
            </wp:positionV>
            <wp:extent cx="332613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5">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5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Sanjay Mehrotra</w:t>
      </w:r>
    </w:p>
    <w:p>
      <w:pPr>
        <w:ind w:left="5560"/>
        <w:spacing w:after="0"/>
        <w:rPr>
          <w:sz w:val="20"/>
          <w:szCs w:val="20"/>
          <w:color w:val="auto"/>
        </w:rPr>
      </w:pPr>
      <w:r>
        <w:rPr>
          <w:rFonts w:ascii="Arial" w:cs="Arial" w:eastAsia="Arial" w:hAnsi="Arial"/>
          <w:sz w:val="18"/>
          <w:szCs w:val="18"/>
          <w:color w:val="auto"/>
        </w:rPr>
        <w:t>President and Chief Executive Officer and Director</w:t>
      </w:r>
    </w:p>
    <w:p>
      <w:pPr>
        <w:sectPr>
          <w:pgSz w:w="11900" w:h="16838" w:orient="portrait"/>
          <w:cols w:equalWidth="0" w:num="1">
            <w:col w:w="11240"/>
          </w:cols>
          <w:pgMar w:left="320" w:top="985"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22"/>
          <w:szCs w:val="22"/>
          <w:b w:val="1"/>
          <w:bCs w:val="1"/>
          <w:color w:val="auto"/>
        </w:rPr>
        <w:t>EXHIBIT 31.2</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RULE 13a-14(a) CERTIFICATION OF</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CHIEF FINANCIAL OFFICER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David A. Zinsner, certify that:</w:t>
      </w:r>
    </w:p>
    <w:p>
      <w:pPr>
        <w:spacing w:after="0" w:line="171" w:lineRule="exact"/>
        <w:rPr>
          <w:sz w:val="20"/>
          <w:szCs w:val="20"/>
          <w:color w:val="auto"/>
        </w:rPr>
      </w:pPr>
    </w:p>
    <w:p>
      <w:pPr>
        <w:ind w:left="320" w:hanging="312"/>
        <w:spacing w:after="0"/>
        <w:tabs>
          <w:tab w:leader="none" w:pos="3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Micron Technology, Inc.;</w:t>
      </w:r>
    </w:p>
    <w:p>
      <w:pPr>
        <w:spacing w:after="0" w:line="171" w:lineRule="exact"/>
        <w:rPr>
          <w:rFonts w:ascii="Arial" w:cs="Arial" w:eastAsia="Arial" w:hAnsi="Arial"/>
          <w:sz w:val="18"/>
          <w:szCs w:val="18"/>
          <w:color w:val="auto"/>
        </w:rPr>
      </w:pPr>
    </w:p>
    <w:p>
      <w:pPr>
        <w:ind w:left="340" w:right="80" w:hanging="332"/>
        <w:spacing w:after="0" w:line="256" w:lineRule="auto"/>
        <w:tabs>
          <w:tab w:leader="none" w:pos="328"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340" w:right="120" w:hanging="332"/>
        <w:spacing w:after="0" w:line="291" w:lineRule="auto"/>
        <w:tabs>
          <w:tab w:leader="none" w:pos="328" w:val="left"/>
        </w:tabs>
        <w:numPr>
          <w:ilvl w:val="0"/>
          <w:numId w:val="4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ind w:left="340" w:right="140" w:hanging="332"/>
        <w:spacing w:after="0" w:line="265" w:lineRule="auto"/>
        <w:tabs>
          <w:tab w:leader="none" w:pos="328"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71" w:lineRule="exact"/>
        <w:rPr>
          <w:rFonts w:ascii="Arial" w:cs="Arial" w:eastAsia="Arial" w:hAnsi="Arial"/>
          <w:sz w:val="17"/>
          <w:szCs w:val="17"/>
          <w:color w:val="auto"/>
        </w:rPr>
      </w:pPr>
    </w:p>
    <w:p>
      <w:pPr>
        <w:ind w:left="660" w:right="60" w:hanging="328"/>
        <w:spacing w:after="0" w:line="256" w:lineRule="auto"/>
        <w:tabs>
          <w:tab w:leader="none" w:pos="648"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660" w:right="140" w:hanging="328"/>
        <w:spacing w:after="0" w:line="256" w:lineRule="auto"/>
        <w:tabs>
          <w:tab w:leader="none" w:pos="648"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ind w:left="660" w:right="80" w:hanging="328"/>
        <w:spacing w:after="0" w:line="256" w:lineRule="auto"/>
        <w:tabs>
          <w:tab w:leader="none" w:pos="651" w:val="left"/>
        </w:tabs>
        <w:numPr>
          <w:ilvl w:val="1"/>
          <w:numId w:val="4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660" w:right="400" w:hanging="328"/>
        <w:spacing w:after="0" w:line="256" w:lineRule="auto"/>
        <w:tabs>
          <w:tab w:leader="none" w:pos="648"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340" w:right="140" w:hanging="332"/>
        <w:spacing w:after="0" w:line="256" w:lineRule="auto"/>
        <w:tabs>
          <w:tab w:leader="none" w:pos="328"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ind w:left="660" w:right="280" w:hanging="328"/>
        <w:spacing w:after="0" w:line="291" w:lineRule="auto"/>
        <w:tabs>
          <w:tab w:leader="none" w:pos="648" w:val="left"/>
        </w:tabs>
        <w:numPr>
          <w:ilvl w:val="1"/>
          <w:numId w:val="4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9" w:lineRule="exact"/>
        <w:rPr>
          <w:rFonts w:ascii="Arial" w:cs="Arial" w:eastAsia="Arial" w:hAnsi="Arial"/>
          <w:sz w:val="17"/>
          <w:szCs w:val="17"/>
          <w:color w:val="auto"/>
        </w:rPr>
      </w:pPr>
    </w:p>
    <w:p>
      <w:pPr>
        <w:ind w:left="660" w:right="520" w:hanging="328"/>
        <w:spacing w:after="0" w:line="261" w:lineRule="auto"/>
        <w:tabs>
          <w:tab w:leader="none" w:pos="648"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35" w:lineRule="exact"/>
        <w:rPr>
          <w:sz w:val="20"/>
          <w:szCs w:val="20"/>
          <w:color w:val="auto"/>
        </w:rPr>
      </w:pPr>
    </w:p>
    <w:p>
      <w:pPr>
        <w:ind w:left="40"/>
        <w:spacing w:after="0"/>
        <w:tabs>
          <w:tab w:leader="none" w:pos="680" w:val="left"/>
          <w:tab w:leader="none" w:pos="5620" w:val="left"/>
        </w:tabs>
        <w:rPr>
          <w:sz w:val="20"/>
          <w:szCs w:val="20"/>
          <w:color w:val="auto"/>
        </w:rPr>
      </w:pPr>
      <w:r>
        <w:rPr>
          <w:rFonts w:ascii="Arial" w:cs="Arial" w:eastAsia="Arial" w:hAnsi="Arial"/>
          <w:sz w:val="18"/>
          <w:szCs w:val="18"/>
          <w:color w:val="auto"/>
        </w:rPr>
        <w:t>Date:</w:t>
        <w:tab/>
        <w:t>October 19, 2020</w:t>
      </w:r>
      <w:r>
        <w:rPr>
          <w:sz w:val="20"/>
          <w:szCs w:val="20"/>
          <w:color w:val="auto"/>
        </w:rPr>
        <w:tab/>
      </w:r>
      <w:r>
        <w:rPr>
          <w:rFonts w:ascii="Arial" w:cs="Arial" w:eastAsia="Arial" w:hAnsi="Arial"/>
          <w:sz w:val="17"/>
          <w:szCs w:val="17"/>
          <w:color w:val="auto"/>
        </w:rPr>
        <w:t>/s/ David A. Zinsner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5727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6">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8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David A. Zinsner</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240"/>
          </w:cols>
          <w:pgMar w:left="320" w:top="985" w:right="339" w:bottom="1440" w:gutter="0" w:footer="0" w:header="0"/>
        </w:sectPr>
      </w:pPr>
    </w:p>
    <w:bookmarkStart w:id="102" w:name="page103"/>
    <w:bookmarkEnd w:id="102"/>
    <w:p>
      <w:pPr>
        <w:jc w:val="right"/>
        <w:spacing w:after="0"/>
        <w:rPr>
          <w:sz w:val="20"/>
          <w:szCs w:val="20"/>
          <w:color w:val="auto"/>
        </w:rPr>
      </w:pPr>
      <w:r>
        <w:rPr>
          <w:rFonts w:ascii="Arial" w:cs="Arial" w:eastAsia="Arial" w:hAnsi="Arial"/>
          <w:sz w:val="22"/>
          <w:szCs w:val="22"/>
          <w:b w:val="1"/>
          <w:bCs w:val="1"/>
          <w:color w:val="auto"/>
        </w:rPr>
        <w:t>EXHIBIT 32.1</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CERTIFICATION OF CHIEF EXECUTIVE OFFICER</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PURSUANT TO 18 U.S.C. 1350</w:t>
      </w:r>
    </w:p>
    <w:p>
      <w:pPr>
        <w:spacing w:after="0" w:line="158" w:lineRule="exact"/>
        <w:rPr>
          <w:sz w:val="20"/>
          <w:szCs w:val="20"/>
          <w:color w:val="auto"/>
        </w:rPr>
      </w:pPr>
    </w:p>
    <w:p>
      <w:pPr>
        <w:ind w:right="420"/>
        <w:spacing w:after="0" w:line="254" w:lineRule="auto"/>
        <w:rPr>
          <w:sz w:val="20"/>
          <w:szCs w:val="20"/>
          <w:color w:val="auto"/>
        </w:rPr>
      </w:pPr>
      <w:r>
        <w:rPr>
          <w:rFonts w:ascii="Arial" w:cs="Arial" w:eastAsia="Arial" w:hAnsi="Arial"/>
          <w:sz w:val="18"/>
          <w:szCs w:val="18"/>
          <w:color w:val="auto"/>
        </w:rPr>
        <w:t>I, Sanjay Mehrotra, certify, pursuant to 18 U.S.C. 1350, as adopted pursuant to Section 906 of the Sarbanes-Oxley Act of 2002, that the Annual Report of Micron Technology, Inc. on Form 10-K for the period ended September 3, 2020, fully complies with the requirements of Section 13(a) or 15(d) of the Securities Exchange Act of 1934 and that information contained in the Annual Report on Form 10-K fairly presents, in all material respects, the financial condition and results of operations of Micron Technology, Inc.</w:t>
      </w:r>
    </w:p>
    <w:p>
      <w:pPr>
        <w:spacing w:after="0" w:line="136" w:lineRule="exact"/>
        <w:rPr>
          <w:sz w:val="20"/>
          <w:szCs w:val="20"/>
          <w:color w:val="auto"/>
        </w:rPr>
      </w:pPr>
    </w:p>
    <w:p>
      <w:pPr>
        <w:ind w:left="60"/>
        <w:spacing w:after="0"/>
        <w:tabs>
          <w:tab w:leader="none" w:pos="680" w:val="left"/>
          <w:tab w:leader="none" w:pos="5600" w:val="left"/>
        </w:tabs>
        <w:rPr>
          <w:sz w:val="20"/>
          <w:szCs w:val="20"/>
          <w:color w:val="auto"/>
        </w:rPr>
      </w:pPr>
      <w:r>
        <w:rPr>
          <w:rFonts w:ascii="Arial" w:cs="Arial" w:eastAsia="Arial" w:hAnsi="Arial"/>
          <w:sz w:val="18"/>
          <w:szCs w:val="18"/>
          <w:color w:val="auto"/>
        </w:rPr>
        <w:t>Date:</w:t>
        <w:tab/>
        <w:t>October 19, 2020</w:t>
      </w:r>
      <w:r>
        <w:rPr>
          <w:sz w:val="20"/>
          <w:szCs w:val="20"/>
          <w:color w:val="auto"/>
        </w:rPr>
        <w:tab/>
      </w:r>
      <w:r>
        <w:rPr>
          <w:rFonts w:ascii="Arial" w:cs="Arial" w:eastAsia="Arial" w:hAnsi="Arial"/>
          <w:sz w:val="17"/>
          <w:szCs w:val="17"/>
          <w:color w:val="auto"/>
        </w:rPr>
        <w:t>/s/ Sanjay Mehrotra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14605</wp:posOffset>
            </wp:positionV>
            <wp:extent cx="355790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7">
                      <a:extLst>
                        <a:ext uri="{28A0092B-C50C-407E-A947-70E740481C1C}"/>
                      </a:extLst>
                    </a:blip>
                    <a:srcRect/>
                    <a:stretch>
                      <a:fillRect/>
                    </a:stretch>
                  </pic:blipFill>
                  <pic:spPr bwMode="auto">
                    <a:xfrm>
                      <a:off x="0" y="0"/>
                      <a:ext cx="3557905" cy="8255"/>
                    </a:xfrm>
                    <a:prstGeom prst="rect">
                      <a:avLst/>
                    </a:prstGeom>
                    <a:noFill/>
                  </pic:spPr>
                </pic:pic>
              </a:graphicData>
            </a:graphic>
          </wp:anchor>
        </w:drawing>
      </w:r>
    </w:p>
    <w:p>
      <w:pPr>
        <w:spacing w:after="0" w:line="8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Sanjay Mehrotra</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President and Chief Executive Officer and Director</w:t>
      </w:r>
    </w:p>
    <w:p>
      <w:pPr>
        <w:sectPr>
          <w:pgSz w:w="11900" w:h="16838" w:orient="portrait"/>
          <w:cols w:equalWidth="0" w:num="1">
            <w:col w:w="11240"/>
          </w:cols>
          <w:pgMar w:left="320" w:top="985" w:right="339" w:bottom="1440" w:gutter="0" w:footer="0" w:header="0"/>
        </w:sectPr>
      </w:pPr>
    </w:p>
    <w:bookmarkStart w:id="103" w:name="page104"/>
    <w:bookmarkEnd w:id="103"/>
    <w:p>
      <w:pPr>
        <w:jc w:val="right"/>
        <w:spacing w:after="0"/>
        <w:rPr>
          <w:sz w:val="20"/>
          <w:szCs w:val="20"/>
          <w:color w:val="auto"/>
        </w:rPr>
      </w:pPr>
      <w:r>
        <w:rPr>
          <w:rFonts w:ascii="Arial" w:cs="Arial" w:eastAsia="Arial" w:hAnsi="Arial"/>
          <w:sz w:val="22"/>
          <w:szCs w:val="22"/>
          <w:b w:val="1"/>
          <w:bCs w:val="1"/>
          <w:color w:val="auto"/>
        </w:rPr>
        <w:t>EXHIBIT 32.2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CERTIFICATION OF CHIEF FINANCIAL OFFICER</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PURSUANT TO 18 U.S.C. 1350</w:t>
      </w:r>
    </w:p>
    <w:p>
      <w:pPr>
        <w:spacing w:after="0" w:line="158" w:lineRule="exact"/>
        <w:rPr>
          <w:sz w:val="20"/>
          <w:szCs w:val="20"/>
          <w:color w:val="auto"/>
        </w:rPr>
      </w:pPr>
    </w:p>
    <w:p>
      <w:pPr>
        <w:ind w:right="420"/>
        <w:spacing w:after="0" w:line="254" w:lineRule="auto"/>
        <w:rPr>
          <w:sz w:val="20"/>
          <w:szCs w:val="20"/>
          <w:color w:val="auto"/>
        </w:rPr>
      </w:pPr>
      <w:r>
        <w:rPr>
          <w:rFonts w:ascii="Arial" w:cs="Arial" w:eastAsia="Arial" w:hAnsi="Arial"/>
          <w:sz w:val="18"/>
          <w:szCs w:val="18"/>
          <w:color w:val="auto"/>
        </w:rPr>
        <w:t>I, David A. Zinsner, certify, pursuant to 18 U.S.C. 1350, as adopted pursuant to Section 906 of the Sarbanes-Oxley Act of 2002, that the Annual Report of Micron Technology, Inc. on Form 10-K for the period ended September 3, 2020, fully complies with the requirements of Section 13(a) or 15(d) of the Securities Exchange Act of 1934 and that information contained in the Annual Report on Form 10-K fairly presents, in all material respects, the financial condition and results of operations of Micron Technology, Inc.</w:t>
      </w:r>
    </w:p>
    <w:p>
      <w:pPr>
        <w:spacing w:after="0" w:line="136" w:lineRule="exact"/>
        <w:rPr>
          <w:sz w:val="20"/>
          <w:szCs w:val="20"/>
          <w:color w:val="auto"/>
        </w:rPr>
      </w:pPr>
    </w:p>
    <w:p>
      <w:pPr>
        <w:ind w:left="40"/>
        <w:spacing w:after="0"/>
        <w:tabs>
          <w:tab w:leader="none" w:pos="680" w:val="left"/>
          <w:tab w:leader="none" w:pos="5620" w:val="left"/>
        </w:tabs>
        <w:rPr>
          <w:sz w:val="20"/>
          <w:szCs w:val="20"/>
          <w:color w:val="auto"/>
        </w:rPr>
      </w:pPr>
      <w:r>
        <w:rPr>
          <w:rFonts w:ascii="Arial" w:cs="Arial" w:eastAsia="Arial" w:hAnsi="Arial"/>
          <w:sz w:val="18"/>
          <w:szCs w:val="18"/>
          <w:color w:val="auto"/>
        </w:rPr>
        <w:t>Date:</w:t>
        <w:tab/>
        <w:t>October 19, 2020</w:t>
      </w:r>
      <w:r>
        <w:rPr>
          <w:sz w:val="20"/>
          <w:szCs w:val="20"/>
          <w:color w:val="auto"/>
        </w:rPr>
        <w:tab/>
      </w:r>
      <w:r>
        <w:rPr>
          <w:rFonts w:ascii="Arial" w:cs="Arial" w:eastAsia="Arial" w:hAnsi="Arial"/>
          <w:sz w:val="17"/>
          <w:szCs w:val="17"/>
          <w:color w:val="auto"/>
        </w:rPr>
        <w:t>/s/ David A. Zinsner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5727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8">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8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David A. Zinsner</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Senior Vice President and Chief Financial Officer</w:t>
      </w:r>
    </w:p>
    <w:sectPr>
      <w:pgSz w:w="11900" w:h="16838" w:orient="portrait"/>
      <w:cols w:equalWidth="0" w:num="1">
        <w:col w:w="11240"/>
      </w:cols>
      <w:pgMar w:left="320" w:top="98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lvl w:ilvl="1">
      <w:lvlJc w:val="left"/>
      <w:lvlText w:val="◦"/>
      <w:numFmt w:val="bullet"/>
      <w:start w:val="1"/>
    </w:lvl>
  </w:abstractNum>
  <w:abstractNum w:abstractNumId="5">
    <w:nsid w:val="8EDBDAB"/>
    <w:multiLevelType w:val="hybridMultilevel"/>
    <w:lvl w:ilvl="0">
      <w:lvlJc w:val="left"/>
      <w:lvlText w:val="•"/>
      <w:numFmt w:val="bullet"/>
      <w:start w:val="1"/>
    </w:lvl>
    <w:lvl w:ilvl="1">
      <w:lvlJc w:val="left"/>
      <w:lvlText w:val="◦"/>
      <w:numFmt w:val="bullet"/>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1)"/>
      <w:numFmt w:val="decimal"/>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endash "/>
      <w:numFmt w:val="bullet"/>
      <w:start w:val="1"/>
    </w:lvl>
  </w:abstractNum>
  <w:abstractNum w:abstractNumId="24">
    <w:nsid w:val="614FD4A1"/>
    <w:multiLevelType w:val="hybridMultilevel"/>
    <w:lvl w:ilvl="0">
      <w:lvlJc w:val="left"/>
      <w:lvlText w:val="(%1)"/>
      <w:numFmt w:val="decimal"/>
      <w:start w:val="1"/>
    </w:lvl>
  </w:abstractNum>
  <w:abstractNum w:abstractNumId="25">
    <w:nsid w:val="419AC241"/>
    <w:multiLevelType w:val="hybridMultilevel"/>
    <w:lvl w:ilvl="0">
      <w:lvlJc w:val="left"/>
      <w:lvlText w:val="(%1)"/>
      <w:numFmt w:val="decimal"/>
      <w:start w:val="1"/>
    </w:lvl>
  </w:abstractNum>
  <w:abstractNum w:abstractNumId="26">
    <w:nsid w:val="5577F8E1"/>
    <w:multiLevelType w:val="hybridMultilevel"/>
    <w:lvl w:ilvl="0">
      <w:lvlJc w:val="left"/>
      <w:lvlText w:val="(%1)"/>
      <w:numFmt w:val="decimal"/>
      <w:start w:val="1"/>
    </w:lvl>
  </w:abstractNum>
  <w:abstractNum w:abstractNumId="27">
    <w:nsid w:val="440BADFC"/>
    <w:multiLevelType w:val="hybridMultilevel"/>
    <w:lvl w:ilvl="0">
      <w:lvlJc w:val="left"/>
      <w:lvlText w:val="(%1)"/>
      <w:numFmt w:val="decimal"/>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1)"/>
      <w:numFmt w:val="decimal"/>
      <w:start w:val="1"/>
    </w:lvl>
  </w:abstractNum>
  <w:abstractNum w:abstractNumId="30">
    <w:nsid w:val="77465F01"/>
    <w:multiLevelType w:val="hybridMultilevel"/>
    <w:lvl w:ilvl="0">
      <w:lvlJc w:val="left"/>
      <w:lvlText w:val="(%1)"/>
      <w:numFmt w:val="decimal"/>
      <w:start w:val="1"/>
    </w:lvl>
  </w:abstractNum>
  <w:abstractNum w:abstractNumId="31">
    <w:nsid w:val="7724C67E"/>
    <w:multiLevelType w:val="hybridMultilevel"/>
    <w:lvl w:ilvl="0">
      <w:lvlJc w:val="left"/>
      <w:lvlText w:val="(%1)"/>
      <w:numFmt w:val="decimal"/>
      <w:start w:val="3"/>
    </w:lvl>
  </w:abstractNum>
  <w:abstractNum w:abstractNumId="32">
    <w:nsid w:val="5C482A97"/>
    <w:multiLevelType w:val="hybridMultilevel"/>
    <w:lvl w:ilvl="0">
      <w:lvlJc w:val="left"/>
      <w:lvlText w:val="(%1)"/>
      <w:numFmt w:val="decimal"/>
      <w:start w:val="1"/>
    </w:lvl>
  </w:abstractNum>
  <w:abstractNum w:abstractNumId="33">
    <w:nsid w:val="2463B9EA"/>
    <w:multiLevelType w:val="hybridMultilevel"/>
    <w:lvl w:ilvl="0">
      <w:lvlJc w:val="left"/>
      <w:lvlText w:val="(%1)"/>
      <w:numFmt w:val="lowerRoman"/>
      <w:start w:val="3"/>
    </w:lvl>
  </w:abstractNum>
  <w:abstractNum w:abstractNumId="34">
    <w:nsid w:val="5E884ADC"/>
    <w:multiLevelType w:val="hybridMultilevel"/>
    <w:lvl w:ilvl="0">
      <w:lvlJc w:val="left"/>
      <w:lvlText w:val="1"/>
      <w:numFmt w:val="bullet"/>
      <w:start w:val="1"/>
    </w:lvl>
  </w:abstractNum>
  <w:abstractNum w:abstractNumId="35">
    <w:nsid w:val="51EAD36B"/>
    <w:multiLevelType w:val="hybridMultilevel"/>
    <w:lvl w:ilvl="0">
      <w:lvlJc w:val="left"/>
      <w:lvlText w:val="2"/>
      <w:numFmt w:val="bullet"/>
      <w:start w:val="1"/>
    </w:lvl>
  </w:abstractNum>
  <w:abstractNum w:abstractNumId="36">
    <w:nsid w:val="2D517796"/>
    <w:multiLevelType w:val="hybridMultilevel"/>
    <w:lvl w:ilvl="0">
      <w:lvlJc w:val="left"/>
      <w:lvlText w:val="3"/>
      <w:numFmt w:val="bullet"/>
      <w:start w:val="1"/>
    </w:lvl>
  </w:abstractNum>
  <w:abstractNum w:abstractNumId="37">
    <w:nsid w:val="580BD78F"/>
    <w:multiLevelType w:val="hybridMultilevel"/>
    <w:lvl w:ilvl="0">
      <w:lvlJc w:val="left"/>
      <w:lvlText w:val="*"/>
      <w:numFmt w:val="bullet"/>
      <w:start w:val="1"/>
    </w:lvl>
  </w:abstractNum>
  <w:abstractNum w:abstractNumId="38">
    <w:nsid w:val="153EA438"/>
    <w:multiLevelType w:val="hybridMultilevel"/>
    <w:lvl w:ilvl="0">
      <w:lvlJc w:val="left"/>
      <w:lvlText w:val="•"/>
      <w:numFmt w:val="bullet"/>
      <w:start w:val="1"/>
    </w:lvl>
  </w:abstractNum>
  <w:abstractNum w:abstractNumId="39">
    <w:nsid w:val="3855585C"/>
    <w:multiLevelType w:val="hybridMultilevel"/>
    <w:lvl w:ilvl="0">
      <w:lvlJc w:val="left"/>
      <w:lvlText w:val="•"/>
      <w:numFmt w:val="bullet"/>
      <w:start w:val="1"/>
    </w:lvl>
  </w:abstractNum>
  <w:abstractNum w:abstractNumId="40">
    <w:nsid w:val="70A64E2A"/>
    <w:multiLevelType w:val="hybridMultilevel"/>
    <w:lvl w:ilvl="0">
      <w:lvlJc w:val="left"/>
      <w:lvlText w:val="*"/>
      <w:numFmt w:val="bullet"/>
      <w:start w:val="1"/>
    </w:lvl>
  </w:abstractNum>
  <w:abstractNum w:abstractNumId="41">
    <w:nsid w:val="6A2342EC"/>
    <w:multiLevelType w:val="hybridMultilevel"/>
    <w:lvl w:ilvl="0">
      <w:lvlJc w:val="left"/>
      <w:lvlText w:val="%1."/>
      <w:numFmt w:val="decimal"/>
      <w:start w:val="1"/>
    </w:lvl>
    <w:lvl w:ilvl="1">
      <w:lvlJc w:val="left"/>
      <w:lvlText w:val="%2."/>
      <w:numFmt w:val="lowerLetter"/>
      <w:start w:val="1"/>
    </w:lvl>
  </w:abstractNum>
  <w:abstractNum w:abstractNumId="42">
    <w:nsid w:val="2A487CB0"/>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7" Type="http://schemas.openxmlformats.org/officeDocument/2006/relationships/image" Target="media/image167.png"/><Relationship Id="rId194" Type="http://schemas.openxmlformats.org/officeDocument/2006/relationships/image" Target="media/image168.png"/><Relationship Id="rId195" Type="http://schemas.openxmlformats.org/officeDocument/2006/relationships/image" Target="media/image169.png"/><Relationship Id="rId196" Type="http://schemas.openxmlformats.org/officeDocument/2006/relationships/image" Target="media/image170.png"/><Relationship Id="rId197" Type="http://schemas.openxmlformats.org/officeDocument/2006/relationships/image" Target="media/image171.png"/><Relationship Id="rId198" Type="http://schemas.openxmlformats.org/officeDocument/2006/relationships/image" Target="media/image172.png"/><Relationship Id="rId199" Type="http://schemas.openxmlformats.org/officeDocument/2006/relationships/image" Target="media/image173.png"/><Relationship Id="rId200" Type="http://schemas.openxmlformats.org/officeDocument/2006/relationships/image" Target="media/image174.png"/><Relationship Id="rId201" Type="http://schemas.openxmlformats.org/officeDocument/2006/relationships/image" Target="media/image175.png"/><Relationship Id="rId202" Type="http://schemas.openxmlformats.org/officeDocument/2006/relationships/image" Target="media/image176.png"/><Relationship Id="rId203" Type="http://schemas.openxmlformats.org/officeDocument/2006/relationships/image" Target="media/image177.png"/><Relationship Id="rId204" Type="http://schemas.openxmlformats.org/officeDocument/2006/relationships/image" Target="media/image178.png"/><Relationship Id="rId205" Type="http://schemas.openxmlformats.org/officeDocument/2006/relationships/image" Target="media/image179.png"/><Relationship Id="rId206" Type="http://schemas.openxmlformats.org/officeDocument/2006/relationships/image" Target="media/image180.jpeg"/><Relationship Id="rId220" Type="http://schemas.openxmlformats.org/officeDocument/2006/relationships/image" Target="media/image181.png"/><Relationship Id="rId221" Type="http://schemas.openxmlformats.org/officeDocument/2006/relationships/image" Target="media/image182.png"/><Relationship Id="rId222" Type="http://schemas.openxmlformats.org/officeDocument/2006/relationships/image" Target="media/image183.png"/><Relationship Id="rId223" Type="http://schemas.openxmlformats.org/officeDocument/2006/relationships/image" Target="media/image184.png"/><Relationship Id="rId224" Type="http://schemas.openxmlformats.org/officeDocument/2006/relationships/image" Target="media/image185.png"/><Relationship Id="rId225" Type="http://schemas.openxmlformats.org/officeDocument/2006/relationships/image" Target="media/image186.png"/><Relationship Id="rId226" Type="http://schemas.openxmlformats.org/officeDocument/2006/relationships/image" Target="media/image187.png"/><Relationship Id="rId227" Type="http://schemas.openxmlformats.org/officeDocument/2006/relationships/image" Target="media/image188.png"/><Relationship Id="rId228" Type="http://schemas.openxmlformats.org/officeDocument/2006/relationships/image" Target="media/image189.png"/><Relationship Id="rId229" Type="http://schemas.openxmlformats.org/officeDocument/2006/relationships/image" Target="media/image190.png"/><Relationship Id="rId230" Type="http://schemas.openxmlformats.org/officeDocument/2006/relationships/image" Target="media/image191.png"/><Relationship Id="rId231" Type="http://schemas.openxmlformats.org/officeDocument/2006/relationships/image" Target="media/image192.png"/><Relationship Id="rId232" Type="http://schemas.openxmlformats.org/officeDocument/2006/relationships/image" Target="media/image193.jpeg"/><Relationship Id="rId233" Type="http://schemas.openxmlformats.org/officeDocument/2006/relationships/image" Target="media/image194.png"/><Relationship Id="rId234" Type="http://schemas.openxmlformats.org/officeDocument/2006/relationships/image" Target="media/image195.png"/><Relationship Id="rId235" Type="http://schemas.openxmlformats.org/officeDocument/2006/relationships/image" Target="media/image196.png"/><Relationship Id="rId236" Type="http://schemas.openxmlformats.org/officeDocument/2006/relationships/image" Target="media/image197.png"/><Relationship Id="rId237" Type="http://schemas.openxmlformats.org/officeDocument/2006/relationships/image" Target="media/image198.png"/><Relationship Id="rId238" Type="http://schemas.openxmlformats.org/officeDocument/2006/relationships/image" Target="media/image199.png"/><Relationship Id="rId174" Type="http://schemas.openxmlformats.org/officeDocument/2006/relationships/hyperlink" Target="https://www.sec.gov/Archives/edgar/data/723125/000110465915004447/a15-3005_2ex99d2.htm" TargetMode="External"/><Relationship Id="rId175" Type="http://schemas.openxmlformats.org/officeDocument/2006/relationships/hyperlink" Target="http://www.sec.gov/Archives/edgar/data/723125/000110465920090285/tm2026510d1_ex99-2.htm" TargetMode="External"/><Relationship Id="rId176" Type="http://schemas.openxmlformats.org/officeDocument/2006/relationships/hyperlink" Target="https://www.sec.gov/Archives/edgar/data/723125/000110465912026222/a12-9302_3ex4d3.htm" TargetMode="External"/><Relationship Id="rId178" Type="http://schemas.openxmlformats.org/officeDocument/2006/relationships/hyperlink" Target="https://www.sec.gov/Archives/edgar/data/723125/000110465919006069/a18-36862_4ex4d1.htm" TargetMode="External"/><Relationship Id="rId179" Type="http://schemas.openxmlformats.org/officeDocument/2006/relationships/hyperlink" Target="https://www.sec.gov/Archives/edgar/data/723125/000110465919006069/a18-36862_4ex4d2.htm" TargetMode="External"/><Relationship Id="rId180" Type="http://schemas.openxmlformats.org/officeDocument/2006/relationships/hyperlink" Target="https://www.sec.gov/Archives/edgar/data/723125/000110465919040167/a19-12548_4ex4d2.htm" TargetMode="External"/><Relationship Id="rId181" Type="http://schemas.openxmlformats.org/officeDocument/2006/relationships/hyperlink" Target="http://www.sec.gov/Archives/edgar/data/723125/000110465920050965/tm2016033d4_ex4-2.htm" TargetMode="External"/><Relationship Id="rId182" Type="http://schemas.openxmlformats.org/officeDocument/2006/relationships/hyperlink" Target="https://www.sec.gov/Archives/edgar/data/723125/000110465920050965/tm2016033d4_ex4-2.htm" TargetMode="External"/><Relationship Id="rId183" Type="http://schemas.openxmlformats.org/officeDocument/2006/relationships/hyperlink" Target="https://www.sec.gov/Archives/edgar/data/723125/000072312517000155/a2017definitiveproxy.htm" TargetMode="External"/><Relationship Id="rId184" Type="http://schemas.openxmlformats.org/officeDocument/2006/relationships/hyperlink" Target="https://www.sec.gov/Archives/edgar/data/723125/000072312516000269/a2016q4ex1062004equityince.htm" TargetMode="External"/><Relationship Id="rId185" Type="http://schemas.openxmlformats.org/officeDocument/2006/relationships/hyperlink" Target="https://www.sec.gov/Archives/edgar/data/723125/000072312516000269/a2016q4ex1072004termsandco.htm" TargetMode="External"/><Relationship Id="rId186" Type="http://schemas.openxmlformats.org/officeDocument/2006/relationships/hyperlink" Target="https://www.sec.gov/Archives/edgar/data/723125/000072312516000269/a2016q4ex1082007equityince.htm" TargetMode="External"/><Relationship Id="rId187" Type="http://schemas.openxmlformats.org/officeDocument/2006/relationships/hyperlink" Target="https://www.sec.gov/Archives/edgar/data/723125/000072312516000269/a2016q4ex1092007termsandco.htm" TargetMode="External"/><Relationship Id="rId188" Type="http://schemas.openxmlformats.org/officeDocument/2006/relationships/hyperlink" Target="https://www.sec.gov/Archives/edgar/data/723125/000072312516000269/a2016q4ex1010nonstatutorys.htm" TargetMode="External"/><Relationship Id="rId189" Type="http://schemas.openxmlformats.org/officeDocument/2006/relationships/hyperlink" Target="https://www.sec.gov/Archives/edgar/data/723125/000072312516000269/a2016q4ex1011stockplanterm.htm" TargetMode="External"/><Relationship Id="rId190" Type="http://schemas.openxmlformats.org/officeDocument/2006/relationships/hyperlink" Target="https://www.sec.gov/Archives/edgar/data/723125/000110465907002662/a07-1385_1ex10d66.htm" TargetMode="External"/><Relationship Id="rId191" Type="http://schemas.openxmlformats.org/officeDocument/2006/relationships/hyperlink" Target="https://www.sec.gov/Archives/edgar/data/723125/000072312514000068/a2014q2ex10-3.htm" TargetMode="External"/><Relationship Id="rId192" Type="http://schemas.openxmlformats.org/officeDocument/2006/relationships/hyperlink" Target="https://www.sec.gov/Archives/edgar/data/723125/000072312507000113/exhibit_99-2.htm" TargetMode="External"/><Relationship Id="rId193" Type="http://schemas.openxmlformats.org/officeDocument/2006/relationships/hyperlink" Target="https://www.sec.gov/Archives/edgar/data/723125/000072312513000138/a2013q3a2ex10-126.htm" TargetMode="External"/><Relationship Id="rId207" Type="http://schemas.openxmlformats.org/officeDocument/2006/relationships/hyperlink" Target="https://www.sec.gov/Archives/edgar/data/723125/000072312513000042/a2013q2ex10-127.htm" TargetMode="External"/><Relationship Id="rId208" Type="http://schemas.openxmlformats.org/officeDocument/2006/relationships/hyperlink" Target="https://www.sec.gov/Archives/edgar/data/723125/000072312513000138/a2013q3a2ex10-128.htm" TargetMode="External"/><Relationship Id="rId209" Type="http://schemas.openxmlformats.org/officeDocument/2006/relationships/hyperlink" Target="https://www.sec.gov/Archives/edgar/data/723125/000072312513000042/a2013q2ex10-129.htm" TargetMode="External"/><Relationship Id="rId210" Type="http://schemas.openxmlformats.org/officeDocument/2006/relationships/hyperlink" Target="https://www.sec.gov/Archives/edgar/data/723125/000072312518000065/a2018q3ex10-64xdeferredcomp.htm" TargetMode="External"/><Relationship Id="rId211" Type="http://schemas.openxmlformats.org/officeDocument/2006/relationships/hyperlink" Target="https://www.sec.gov/Archives/edgar/data/723125/000072312517000085/a2017q3ex10-67executiveagr.htm" TargetMode="External"/><Relationship Id="rId212" Type="http://schemas.openxmlformats.org/officeDocument/2006/relationships/hyperlink" Target="https://www.sec.gov/Archives/edgar/data/723125/000072312517000166/a2018q1ex10-70xssseverance.htm" TargetMode="External"/><Relationship Id="rId213" Type="http://schemas.openxmlformats.org/officeDocument/2006/relationships/hyperlink" Target="https://www.sec.gov/Archives/edgar/data/723125/000072312517000148/exhibit991formofamendmentt.htm" TargetMode="External"/><Relationship Id="rId214" Type="http://schemas.openxmlformats.org/officeDocument/2006/relationships/hyperlink" Target="https://www.sec.gov/Archives/edgar/data/723125/000072312517000166/a2018q1ex10-74xmbseverance.htm" TargetMode="External"/><Relationship Id="rId215" Type="http://schemas.openxmlformats.org/officeDocument/2006/relationships/hyperlink" Target="https://www.sec.gov/Archives/edgar/data/723125/000072312518000036/a2018q2ex10-76.htm" TargetMode="External"/><Relationship Id="rId216" Type="http://schemas.openxmlformats.org/officeDocument/2006/relationships/hyperlink" Target="https://www.sec.gov/Archives/edgar/data/723125/000072312518000092/a2018q4e1068-creditagreeme.htm" TargetMode="External"/><Relationship Id="rId217" Type="http://schemas.openxmlformats.org/officeDocument/2006/relationships/hyperlink" Target="https://www.sec.gov/Archives/edgar/data/723125/000072312518000092/a2018q4e1069-guranteeandco.htm" TargetMode="External"/><Relationship Id="rId218" Type="http://schemas.openxmlformats.org/officeDocument/2006/relationships/hyperlink" Target="https://www.sec.gov/Archives/edgar/data/723125/000072312518000156/a2019q1ex10-70xamendmentto.htm" TargetMode="External"/><Relationship Id="rId219" Type="http://schemas.openxmlformats.org/officeDocument/2006/relationships/hyperlink" Target="https://www.sec.gov/Archives/edgar/data/723125/000072312519000094/a2019q4ex10xx-amendment2t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2020-10-19T13:41:05Z</dcterms:created>
  <dcterms:modified xsi:type="dcterms:W3CDTF">2020-10-19T13:41:05Z</dcterms:modified>
</cp:coreProperties>
</file>