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28,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142875</wp:posOffset>
            </wp:positionV>
            <wp:extent cx="1457325"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75-1618004</w:t>
            </w:r>
          </w:p>
        </w:tc>
      </w:tr>
      <w:tr>
        <w:trPr>
          <w:trHeight w:val="191"/>
        </w:trPr>
        <w:tc>
          <w:tcPr>
            <w:tcW w:w="330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8"/>
              </w:rPr>
              <w:t>(Commission File</w:t>
            </w:r>
          </w:p>
        </w:tc>
        <w:tc>
          <w:tcPr>
            <w:tcW w:w="310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w:t>
            </w: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Number)</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100" w:type="dxa"/>
            <w:vAlign w:val="bottom"/>
          </w:tcPr>
          <w:p>
            <w:pPr>
              <w:spacing w:after="0"/>
              <w:rPr>
                <w:sz w:val="24"/>
                <w:szCs w:val="24"/>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Boise, Idaho 83716-9632</w:t>
            </w:r>
          </w:p>
        </w:tc>
        <w:tc>
          <w:tcPr>
            <w:tcW w:w="3100" w:type="dxa"/>
            <w:vAlign w:val="bottom"/>
            <w:tcBorders>
              <w:bottom w:val="single" w:sz="8" w:color="auto"/>
            </w:tcBorders>
          </w:tcPr>
          <w:p>
            <w:pPr>
              <w:spacing w:after="0"/>
              <w:rPr>
                <w:sz w:val="20"/>
                <w:szCs w:val="20"/>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00" w:type="dxa"/>
            <w:vAlign w:val="bottom"/>
          </w:tcPr>
          <w:p>
            <w:pPr>
              <w:spacing w:after="0"/>
              <w:rPr>
                <w:sz w:val="19"/>
                <w:szCs w:val="19"/>
                <w:color w:val="auto"/>
              </w:rPr>
            </w:pPr>
          </w:p>
        </w:tc>
      </w:tr>
      <w:tr>
        <w:trPr>
          <w:trHeight w:val="427"/>
        </w:trPr>
        <w:tc>
          <w:tcPr>
            <w:tcW w:w="33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(208) 368-4000</w:t>
            </w:r>
          </w:p>
        </w:tc>
        <w:tc>
          <w:tcPr>
            <w:tcW w:w="3100" w:type="dxa"/>
            <w:vAlign w:val="bottom"/>
            <w:tcBorders>
              <w:bottom w:val="single" w:sz="8" w:color="auto"/>
            </w:tcBorders>
          </w:tcPr>
          <w:p>
            <w:pPr>
              <w:spacing w:after="0"/>
              <w:rPr>
                <w:sz w:val="24"/>
                <w:szCs w:val="24"/>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00" w:type="dxa"/>
            <w:vAlign w:val="bottom"/>
          </w:tcPr>
          <w:p>
            <w:pPr>
              <w:spacing w:after="0"/>
              <w:rPr>
                <w:sz w:val="19"/>
                <w:szCs w:val="19"/>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November 28, 2023, Micron Technology, Inc. issued a press release announcing updates to its guidance for the first quarter of fiscal year 2024. A copy of the press release is attached hereto as Exhibit 99.1 and incorporated herein by reference.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0" w:type="dxa"/>
            <w:vAlign w:val="bottom"/>
          </w:tcPr>
          <w:p>
            <w:pPr>
              <w:spacing w:after="0"/>
              <w:rPr>
                <w:sz w:val="20"/>
                <w:szCs w:val="20"/>
                <w:color w:val="auto"/>
              </w:rPr>
            </w:pPr>
          </w:p>
        </w:tc>
        <w:tc>
          <w:tcPr>
            <w:tcW w:w="10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 Exhibits.</w:t>
            </w:r>
          </w:p>
        </w:tc>
      </w:tr>
      <w:tr>
        <w:trPr>
          <w:trHeight w:val="439"/>
        </w:trPr>
        <w:tc>
          <w:tcPr>
            <w:tcW w:w="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20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20" w:type="dxa"/>
            <w:vAlign w:val="bottom"/>
            <w:tcBorders>
              <w:top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10100" w:type="dxa"/>
            <w:vAlign w:val="bottom"/>
            <w:tcBorders>
              <w:top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Press Release dated November 28, 2023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3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28, 2023</w:t>
      </w:r>
      <w:r>
        <w:rPr>
          <w:sz w:val="20"/>
          <w:szCs w:val="20"/>
          <w:color w:val="auto"/>
        </w:rPr>
        <w:tab/>
      </w:r>
      <w:r>
        <w:rPr>
          <w:rFonts w:ascii="Times New Roman" w:cs="Times New Roman" w:eastAsia="Times New Roman" w:hAnsi="Times New Roman"/>
          <w:sz w:val="17"/>
          <w:szCs w:val="17"/>
          <w:b w:val="1"/>
          <w:bCs w:val="1"/>
          <w:color w:val="auto"/>
        </w:rPr>
        <w:t>MICRON TECHNOLOGY,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Murphy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333"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Updates First Quarter Fiscal 2024 Guidance</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BOISE, Idaho, Nov. 28, 2023 </w:t>
      </w:r>
      <w:r>
        <w:rPr>
          <w:rFonts w:ascii="Times New Roman" w:cs="Times New Roman" w:eastAsia="Times New Roman" w:hAnsi="Times New Roman"/>
          <w:sz w:val="18"/>
          <w:szCs w:val="18"/>
          <w:color w:val="auto"/>
        </w:rPr>
        <w:t>– Micron Technology, Inc. (Nasdaq: MU) (the “Company”) today announced that it is updating its revenue, gross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expense, and EPS guidance for the first quarter of fiscal 2024, which ends Nov. 30, 2023. The Company previously guided revenue of $4.4 billion ± $200 million and non-GAAP gross margins of (4.0%) ± 2%. As a result of improved supply and demand balance and improved pricing, the Company today announced that it expects revenue will approach $4.7 billion and non-GAAP gross margins will approach breakeven for the first quarter of fiscal 2024. The Company announced additional updates as set forth in the tables below.</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Micron President and Chief Executive Officer Sanjay Mehrotra and Executive Vice President and Chief Financial Officer Mark Murphy will share further updates in a fireside chat at the 2023 UBS Global Technology Conference in Scottsdale, Arizona scheduled to take place at 7:35 a.m. Mountain time on Nov. 28,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live webcast and subsequent replay of the event can be accessed from Micron’s Investor Relations website at </w:t>
      </w:r>
      <w:r>
        <w:rPr>
          <w:rFonts w:ascii="Times New Roman" w:cs="Times New Roman" w:eastAsia="Times New Roman" w:hAnsi="Times New Roman"/>
          <w:sz w:val="18"/>
          <w:szCs w:val="18"/>
          <w:u w:val="single" w:color="auto"/>
          <w:color w:val="auto"/>
        </w:rPr>
        <w:t>http://investors.micron.com</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Previous Guidance</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Updated Guidance</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187"/>
        </w:trPr>
        <w:tc>
          <w:tcPr>
            <w:tcW w:w="1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Non-GAAP</w:t>
            </w: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1480" w:type="dxa"/>
            <w:vAlign w:val="bottom"/>
          </w:tcPr>
          <w:p>
            <w:pPr>
              <w:spacing w:after="0"/>
              <w:rPr>
                <w:sz w:val="20"/>
                <w:szCs w:val="20"/>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GAAP Outlook</w:t>
            </w:r>
          </w:p>
        </w:tc>
        <w:tc>
          <w:tcPr>
            <w:tcW w:w="120" w:type="dxa"/>
            <w:vAlign w:val="bottom"/>
          </w:tcPr>
          <w:p>
            <w:pPr>
              <w:spacing w:after="0"/>
              <w:rPr>
                <w:sz w:val="20"/>
                <w:szCs w:val="20"/>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GAAP Outlook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Non-GAAP Outlook</w:t>
            </w:r>
          </w:p>
        </w:tc>
      </w:tr>
      <w:tr>
        <w:trPr>
          <w:trHeight w:val="209"/>
        </w:trPr>
        <w:tc>
          <w:tcPr>
            <w:tcW w:w="1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$4.4B ± $200M</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$4.4B ± $200M</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Approaching $4.7B</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Approaching $4.7B</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 ± 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 ± 2.0%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to (2.0%)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(0.5%) to 0.0%</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$1.01B ± $15M</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$113M</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$900M ± $15M</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Approximately $1.10B</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$113M</w:t>
            </w:r>
          </w:p>
        </w:tc>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68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Approximately $990M</w:t>
            </w:r>
          </w:p>
        </w:tc>
      </w:tr>
      <w:tr>
        <w:trPr>
          <w:trHeight w:val="201"/>
        </w:trPr>
        <w:tc>
          <w:tcPr>
            <w:tcW w:w="1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Diluted earnings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r>
              <w:rPr>
                <w:rFonts w:ascii="Times New Roman" w:cs="Times New Roman" w:eastAsia="Times New Roman" w:hAnsi="Times New Roman"/>
                <w:sz w:val="29"/>
                <w:szCs w:val="29"/>
                <w:color w:val="auto"/>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 ± $0.07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B, C</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 ± $0.07</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Approximately ($1.17)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B, C</w:t>
            </w: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Approximately ($1.00)</w:t>
            </w:r>
          </w:p>
        </w:tc>
      </w:tr>
      <w:tr>
        <w:trPr>
          <w:trHeight w:val="28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Adjustments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3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   Stock-based compensation – cost of goods sold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Other – cost of goods sold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r>
      <w:tr>
        <w:trPr>
          <w:trHeight w:val="216"/>
        </w:trPr>
        <w:tc>
          <w:tcPr>
            <w:tcW w:w="4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   Stock-based compensation – research and development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   Stock-based compensation – sales, general, and administrative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r>
      <w:tr>
        <w:trPr>
          <w:trHeight w:val="230"/>
        </w:trPr>
        <w:tc>
          <w:tcPr>
            <w:tcW w:w="4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   Tax effects of the above items and other tax adjustments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GAAP and non-GAAP earnings (loss) per share based on approximately 1.10 billion diluted shares.</w:t>
      </w:r>
    </w:p>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tables above reconcile our GAAP to non-GAAP guidance based on the current outlook, with a non-GAAP tax assumption consistent with previously provided guidance of $80 million. The guidance does not incorporate the impact of any potential balance sheet valuation adjustments, tax-related adjustments, or other adjustments to be made in connection with finalizing our quarterly results. The timing and impact of such items are dependent on future events that may be uncertain or outside of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Micron Technology, Inc.</w:t>
      </w:r>
    </w:p>
    <w:p>
      <w:pPr>
        <w:spacing w:after="0" w:line="227"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7"/>
          <w:szCs w:val="17"/>
          <w:color w:val="auto"/>
        </w:rPr>
        <w:t xml:space="preserve">We are an industry leader in innovative memory and storage solutions transforming how the world uses information to enrich life </w:t>
      </w:r>
      <w:r>
        <w:rPr>
          <w:rFonts w:ascii="Times New Roman" w:cs="Times New Roman" w:eastAsia="Times New Roman" w:hAnsi="Times New Roman"/>
          <w:sz w:val="17"/>
          <w:szCs w:val="17"/>
          <w:i w:val="1"/>
          <w:iCs w:val="1"/>
          <w:color w:val="auto"/>
        </w:rPr>
        <w:t>for all</w:t>
      </w:r>
      <w:r>
        <w:rPr>
          <w:rFonts w:ascii="Times New Roman" w:cs="Times New Roman" w:eastAsia="Times New Roman" w:hAnsi="Times New Roman"/>
          <w:sz w:val="17"/>
          <w:szCs w:val="17"/>
          <w:color w:val="auto"/>
        </w:rPr>
        <w:t>. With a relentless focus on our customers, technology leadership, and manufacturing and operational excellence, Micron delivers a rich portfolio of high-performance</w:t>
      </w:r>
    </w:p>
    <w:p>
      <w:pPr>
        <w:spacing w:after="0" w:line="1" w:lineRule="exact"/>
        <w:rPr>
          <w:sz w:val="20"/>
          <w:szCs w:val="20"/>
          <w:color w:val="auto"/>
        </w:rPr>
      </w:pPr>
    </w:p>
    <w:p>
      <w:pPr>
        <w:jc w:val="both"/>
        <w:ind w:right="60"/>
        <w:spacing w:after="0" w:line="221" w:lineRule="auto"/>
        <w:rPr>
          <w:sz w:val="20"/>
          <w:szCs w:val="20"/>
          <w:color w:val="auto"/>
        </w:rPr>
      </w:pPr>
      <w:r>
        <w:rPr>
          <w:rFonts w:ascii="Times New Roman" w:cs="Times New Roman" w:eastAsia="Times New Roman" w:hAnsi="Times New Roman"/>
          <w:sz w:val="18"/>
          <w:szCs w:val="18"/>
          <w:color w:val="auto"/>
        </w:rPr>
        <w:t>DRAM, NAND and NOR memory and storage products through our Micron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Crucial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micron.com.</w:t>
      </w:r>
    </w:p>
    <w:p>
      <w:pPr>
        <w:spacing w:after="0" w:line="196" w:lineRule="exact"/>
        <w:rPr>
          <w:sz w:val="20"/>
          <w:szCs w:val="20"/>
          <w:color w:val="auto"/>
        </w:rPr>
      </w:pPr>
    </w:p>
    <w:p>
      <w:pPr>
        <w:ind w:right="60" w:firstLine="8"/>
        <w:spacing w:after="0" w:line="315" w:lineRule="auto"/>
        <w:tabs>
          <w:tab w:leader="none" w:pos="182"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2023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the Company’s financial and operating results. These forward-looking statements are subject to a number of risks and uncertainties that could cause actual results to differ materially. Please refer to the documents the Company files with the Securities and Exchange Commission, specifically its most recent Form 10-K and Form 10-Q. These documents contain and identify important factors that could cause the Company’s actual results to differ materially from those contained in these forward-looking statements. These certain factors can be found at https://investors.micron.com/risk-factor. Although the Company believes that the expectations reflected in the forward-looking statements are reasonable, the Company cannot guarantee future results, levels of activity, performance, or achievements. The Company is under no duty to update any of the forward-looking statements after the date of this press release to conform these statements to actual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Pompen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(408) 834-1873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epompen@micron.com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 Kumar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satyakumar@micron.com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2023-11-28T08:10:21Z</dcterms:created>
  <dcterms:modified xsi:type="dcterms:W3CDTF">2023-11-28T08:10:21Z</dcterms:modified>
</cp:coreProperties>
</file>