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9,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1"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right="2180" w:firstLine="8"/>
        <w:spacing w:after="0" w:line="26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20" w:type="dxa"/>
            <w:vAlign w:val="bottom"/>
          </w:tcPr>
          <w:p>
            <w:pPr>
              <w:spacing w:after="0"/>
              <w:rPr>
                <w:sz w:val="21"/>
                <w:szCs w:val="21"/>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80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1"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 w:name="page2"/>
    <w:bookmarkEnd w:id="1"/>
    <w:p>
      <w:pPr>
        <w:spacing w:after="0" w:line="2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Termination of a Material Definitive Agreement.</w:t>
      </w:r>
    </w:p>
    <w:p>
      <w:pPr>
        <w:spacing w:after="0" w:line="2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9, 2020, Micron Technology, Inc. (“Micron”) and Intel Corporation (“Intel”) agreed to terminate, effective March 6, 2020, the Product Supply Agreement, dated April 6, 2012, among Micron, Intel, and Micron Semiconductor Asia Pte. Ltd. (the “PSA”). The PSA set forth the terms under which Micron agreed to supply 3D XPoint wafers to Intel at prices determined under a defined formula and in accordance with a negotiated forecast. Contemporaneous with the PSA’s termination, Micron and Intel entered into a new 3D XPoint wafer supply agreement with changes to pricing and forecast terms. The new agreement is not material to Micron and does not change Micron’s previously-communicated outlook that underutilization charges associated with Micron’s Lehi, Utah fab will average approximately $150 million on a quarterly basis in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1182370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20" w:type="dxa"/>
            <w:vAlign w:val="bottom"/>
            <w:gridSpan w:val="2"/>
          </w:tcPr>
          <w:p>
            <w:pPr>
              <w:ind w:left="1560"/>
              <w:spacing w:after="0"/>
              <w:rPr>
                <w:sz w:val="20"/>
                <w:szCs w:val="20"/>
                <w:color w:val="auto"/>
              </w:rPr>
            </w:pPr>
            <w:r>
              <w:rPr>
                <w:rFonts w:ascii="Arial" w:cs="Arial" w:eastAsia="Arial" w:hAnsi="Arial"/>
                <w:sz w:val="18"/>
                <w:szCs w:val="18"/>
                <w:b w:val="1"/>
                <w:bCs w:val="1"/>
                <w:color w:val="auto"/>
              </w:rPr>
              <w:t>Micron Technology, Inc.</w:t>
            </w:r>
          </w:p>
        </w:tc>
      </w:tr>
      <w:tr>
        <w:trPr>
          <w:trHeight w:val="77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80"/>
              <w:spacing w:after="0"/>
              <w:rPr>
                <w:sz w:val="20"/>
                <w:szCs w:val="20"/>
                <w:color w:val="auto"/>
              </w:rPr>
            </w:pPr>
            <w:r>
              <w:rPr>
                <w:rFonts w:ascii="Arial" w:cs="Arial" w:eastAsia="Arial" w:hAnsi="Arial"/>
                <w:sz w:val="18"/>
                <w:szCs w:val="18"/>
                <w:color w:val="auto"/>
              </w:rPr>
              <w:t>March 12, 2020</w:t>
            </w:r>
          </w:p>
        </w:tc>
        <w:tc>
          <w:tcPr>
            <w:tcW w:w="2440" w:type="dxa"/>
            <w:vAlign w:val="bottom"/>
          </w:tcPr>
          <w:p>
            <w:pPr>
              <w:ind w:left="15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A. Zinsner</w:t>
            </w:r>
          </w:p>
        </w:tc>
      </w:tr>
      <w:tr>
        <w:trPr>
          <w:trHeight w:val="243"/>
        </w:trPr>
        <w:tc>
          <w:tcPr>
            <w:tcW w:w="6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40" w:type="dxa"/>
            <w:vAlign w:val="bottom"/>
          </w:tcPr>
          <w:p>
            <w:pPr>
              <w:ind w:left="156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6"/>
        </w:trPr>
        <w:tc>
          <w:tcPr>
            <w:tcW w:w="6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440" w:type="dxa"/>
            <w:vAlign w:val="bottom"/>
          </w:tcPr>
          <w:p>
            <w:pPr>
              <w:ind w:left="156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2020-03-12T16:26:48Z</dcterms:created>
  <dcterms:modified xsi:type="dcterms:W3CDTF">2020-03-12T16:26:48Z</dcterms:modified>
</cp:coreProperties>
</file>