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Micron Technology, Inc.</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hanging="519"/>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80" w:right="260" w:hanging="580"/>
        <w:spacing w:after="0" w:line="265"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rFonts w:ascii="Arial" w:cs="Arial" w:eastAsia="Arial" w:hAnsi="Arial"/>
          <w:sz w:val="18"/>
          <w:szCs w:val="18"/>
          <w:color w:val="auto"/>
        </w:rPr>
      </w:pPr>
    </w:p>
    <w:p>
      <w:pPr>
        <w:spacing w:after="0" w:line="250" w:lineRule="exact"/>
        <w:rPr>
          <w:rFonts w:ascii="Arial" w:cs="Arial" w:eastAsia="Arial" w:hAnsi="Arial"/>
          <w:sz w:val="18"/>
          <w:szCs w:val="18"/>
          <w:color w:val="auto"/>
        </w:rPr>
      </w:pPr>
    </w:p>
    <w:p>
      <w:pPr>
        <w:ind w:left="1080" w:right="64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-442595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-725170</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-1008380</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-1291590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-1977390</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-2260600</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-2543175</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-2963545</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-3246755</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180975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40"/>
        <w:spacing w:after="0"/>
        <w:rPr>
          <w:sz w:val="20"/>
          <w:szCs w:val="20"/>
          <w:color w:val="auto"/>
        </w:rPr>
      </w:pPr>
      <w:r>
        <w:rPr>
          <w:rFonts w:ascii="Arial" w:cs="Arial" w:eastAsia="Arial" w:hAnsi="Arial"/>
          <w:sz w:val="22"/>
          <w:szCs w:val="22"/>
          <w:b w:val="1"/>
          <w:bCs w:val="1"/>
          <w:color w:val="auto"/>
        </w:rPr>
        <w:t>Important Notice Regarding the Availability of Proxy Materials for Micron Technology, Inc.</w:t>
      </w:r>
    </w:p>
    <w:p>
      <w:pPr>
        <w:sectPr>
          <w:pgSz w:w="11900" w:h="16838" w:orient="portrait"/>
          <w:cols w:equalWidth="0" w:num="1">
            <w:col w:w="11360"/>
          </w:cols>
          <w:pgMar w:left="260" w:top="688"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380"/>
        <w:spacing w:after="0"/>
        <w:rPr>
          <w:sz w:val="20"/>
          <w:szCs w:val="20"/>
          <w:color w:val="auto"/>
        </w:rPr>
      </w:pPr>
      <w:r>
        <w:rPr>
          <w:rFonts w:ascii="Arial" w:cs="Arial" w:eastAsia="Arial" w:hAnsi="Arial"/>
          <w:sz w:val="14"/>
          <w:szCs w:val="14"/>
          <w:b w:val="1"/>
          <w:bCs w:val="1"/>
          <w:color w:val="auto"/>
        </w:rPr>
        <w:t>P.O. BOX 8016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-455930</wp:posOffset>
            </wp:positionV>
            <wp:extent cx="116649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6495" cy="3257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b w:val="1"/>
          <w:bCs w:val="1"/>
          <w:color w:val="auto"/>
        </w:rPr>
        <w:t>CARY, NC 27512-9903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1229995</wp:posOffset>
            </wp:positionV>
            <wp:extent cx="8890" cy="95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958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303530</wp:posOffset>
            </wp:positionV>
            <wp:extent cx="146050" cy="266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0" cy="2660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jc w:val="both"/>
        <w:ind w:right="140"/>
        <w:spacing w:after="0" w:line="316" w:lineRule="auto"/>
        <w:rPr>
          <w:sz w:val="20"/>
          <w:szCs w:val="20"/>
          <w:color w:val="auto"/>
        </w:rPr>
      </w:pPr>
      <w:r>
        <w:rPr>
          <w:rFonts w:ascii="Arial" w:cs="Arial" w:eastAsia="Arial" w:hAnsi="Arial"/>
          <w:sz w:val="14"/>
          <w:szCs w:val="14"/>
          <w:b w:val="1"/>
          <w:bCs w:val="1"/>
          <w:color w:val="auto"/>
        </w:rPr>
        <w:t xml:space="preserve">This communication presents only an overview of the more complete proxy materials that are available to you on the Internet. We encourage you to access and review all of the important information contained in the proxy materials before voting. To view the proxy statement and annual report, go to </w:t>
      </w:r>
      <w:r>
        <w:rPr>
          <w:rFonts w:ascii="Arial" w:cs="Arial" w:eastAsia="Arial" w:hAnsi="Arial"/>
          <w:sz w:val="14"/>
          <w:szCs w:val="14"/>
          <w:b w:val="1"/>
          <w:bCs w:val="1"/>
          <w:u w:val="single" w:color="auto"/>
          <w:color w:val="auto"/>
        </w:rPr>
        <w:t>www.proxydocs.com/mu.</w:t>
      </w:r>
      <w:r>
        <w:rPr>
          <w:rFonts w:ascii="Arial" w:cs="Arial" w:eastAsia="Arial" w:hAnsi="Arial"/>
          <w:sz w:val="14"/>
          <w:szCs w:val="14"/>
          <w:b w:val="1"/>
          <w:bCs w:val="1"/>
          <w:color w:val="auto"/>
        </w:rPr>
        <w:t xml:space="preserve"> To vote your proxy while visiting this site you will need the 12 digit control number in the box below.</w:t>
      </w:r>
    </w:p>
    <w:p>
      <w:pPr>
        <w:spacing w:after="0" w:line="83" w:lineRule="exact"/>
        <w:rPr>
          <w:sz w:val="24"/>
          <w:szCs w:val="24"/>
          <w:color w:val="auto"/>
        </w:rPr>
      </w:pPr>
    </w:p>
    <w:p>
      <w:pPr>
        <w:ind w:left="480"/>
        <w:spacing w:after="0"/>
        <w:rPr>
          <w:sz w:val="20"/>
          <w:szCs w:val="20"/>
          <w:color w:val="auto"/>
        </w:rPr>
      </w:pPr>
      <w:r>
        <w:rPr>
          <w:rFonts w:ascii="Arial" w:cs="Arial" w:eastAsia="Arial" w:hAnsi="Arial"/>
          <w:sz w:val="15"/>
          <w:szCs w:val="15"/>
          <w:color w:val="auto"/>
        </w:rPr>
        <w:t>Under new United States Securities and Exchange Commission rules,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-377190</wp:posOffset>
            </wp:positionH>
            <wp:positionV relativeFrom="paragraph">
              <wp:posOffset>-102870</wp:posOffset>
            </wp:positionV>
            <wp:extent cx="377190"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7190" cy="266065"/>
                    </a:xfrm>
                    <a:prstGeom prst="rect">
                      <a:avLst/>
                    </a:prstGeom>
                    <a:noFill/>
                  </pic:spPr>
                </pic:pic>
              </a:graphicData>
            </a:graphic>
          </wp:anchor>
        </w:drawing>
      </w:r>
    </w:p>
    <w:p>
      <w:pPr>
        <w:spacing w:after="0" w:line="14" w:lineRule="exact"/>
        <w:rPr>
          <w:sz w:val="24"/>
          <w:szCs w:val="24"/>
          <w:color w:val="auto"/>
        </w:rPr>
      </w:pPr>
    </w:p>
    <w:p>
      <w:pPr>
        <w:ind w:left="480"/>
        <w:spacing w:after="0"/>
        <w:rPr>
          <w:sz w:val="20"/>
          <w:szCs w:val="20"/>
          <w:color w:val="auto"/>
        </w:rPr>
      </w:pPr>
      <w:r>
        <w:rPr>
          <w:rFonts w:ascii="Arial" w:cs="Arial" w:eastAsia="Arial" w:hAnsi="Arial"/>
          <w:sz w:val="15"/>
          <w:szCs w:val="15"/>
          <w:color w:val="auto"/>
        </w:rPr>
        <w:t>proxy materials do not have to be  delivered in paper. Proxy materials</w:t>
      </w:r>
    </w:p>
    <w:p>
      <w:pPr>
        <w:spacing w:after="0" w:line="30" w:lineRule="exact"/>
        <w:rPr>
          <w:sz w:val="24"/>
          <w:szCs w:val="24"/>
          <w:color w:val="auto"/>
        </w:rPr>
      </w:pPr>
    </w:p>
    <w:p>
      <w:pPr>
        <w:ind w:left="480"/>
        <w:spacing w:after="0"/>
        <w:rPr>
          <w:sz w:val="20"/>
          <w:szCs w:val="20"/>
          <w:color w:val="auto"/>
        </w:rPr>
      </w:pPr>
      <w:r>
        <w:rPr>
          <w:rFonts w:ascii="Arial" w:cs="Arial" w:eastAsia="Arial" w:hAnsi="Arial"/>
          <w:sz w:val="15"/>
          <w:szCs w:val="15"/>
          <w:color w:val="auto"/>
        </w:rPr>
        <w:t>can be distributed by making them available on the Internet. We have</w:t>
      </w:r>
    </w:p>
    <w:p>
      <w:pPr>
        <w:spacing w:after="0" w:line="30" w:lineRule="exact"/>
        <w:rPr>
          <w:sz w:val="24"/>
          <w:szCs w:val="24"/>
          <w:color w:val="auto"/>
        </w:rPr>
      </w:pPr>
    </w:p>
    <w:p>
      <w:pPr>
        <w:ind w:left="480"/>
        <w:spacing w:after="0"/>
        <w:rPr>
          <w:sz w:val="20"/>
          <w:szCs w:val="20"/>
          <w:color w:val="auto"/>
        </w:rPr>
      </w:pPr>
      <w:r>
        <w:rPr>
          <w:rFonts w:ascii="Arial" w:cs="Arial" w:eastAsia="Arial" w:hAnsi="Arial"/>
          <w:sz w:val="16"/>
          <w:szCs w:val="16"/>
          <w:color w:val="auto"/>
        </w:rPr>
        <w:t>chosen to adopt these rules and need YOUR participation.</w:t>
      </w:r>
    </w:p>
    <w:p>
      <w:pPr>
        <w:spacing w:after="0" w:line="163" w:lineRule="exact"/>
        <w:rPr>
          <w:sz w:val="24"/>
          <w:szCs w:val="24"/>
          <w:color w:val="auto"/>
        </w:rPr>
      </w:pPr>
    </w:p>
    <w:p>
      <w:pPr>
        <w:ind w:left="480"/>
        <w:spacing w:after="0"/>
        <w:rPr>
          <w:sz w:val="20"/>
          <w:szCs w:val="20"/>
          <w:color w:val="auto"/>
        </w:rPr>
      </w:pPr>
      <w:r>
        <w:rPr>
          <w:rFonts w:ascii="Arial" w:cs="Arial" w:eastAsia="Arial" w:hAnsi="Arial"/>
          <w:sz w:val="14"/>
          <w:szCs w:val="14"/>
          <w:b w:val="1"/>
          <w:bCs w:val="1"/>
          <w:i w:val="1"/>
          <w:iCs w:val="1"/>
          <w:color w:val="auto"/>
        </w:rPr>
        <w:t>If you want to receive a paper or e-mail notice of the proxy material,</w:t>
      </w:r>
    </w:p>
    <w:p>
      <w:pPr>
        <w:spacing w:after="0" w:line="45" w:lineRule="exact"/>
        <w:rPr>
          <w:sz w:val="24"/>
          <w:szCs w:val="24"/>
          <w:color w:val="auto"/>
        </w:rPr>
      </w:pPr>
    </w:p>
    <w:p>
      <w:pPr>
        <w:ind w:left="480"/>
        <w:spacing w:after="0"/>
        <w:rPr>
          <w:sz w:val="20"/>
          <w:szCs w:val="20"/>
          <w:color w:val="auto"/>
        </w:rPr>
      </w:pPr>
      <w:r>
        <w:rPr>
          <w:rFonts w:ascii="Arial" w:cs="Arial" w:eastAsia="Arial" w:hAnsi="Arial"/>
          <w:sz w:val="13"/>
          <w:szCs w:val="13"/>
          <w:b w:val="1"/>
          <w:bCs w:val="1"/>
          <w:i w:val="1"/>
          <w:iCs w:val="1"/>
          <w:color w:val="auto"/>
        </w:rPr>
        <w:t>you may request one. There is no charge to you for requesting a copy.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97790</wp:posOffset>
            </wp:positionV>
            <wp:extent cx="8890" cy="95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95885"/>
                    </a:xfrm>
                    <a:prstGeom prst="rect">
                      <a:avLst/>
                    </a:prstGeom>
                    <a:noFill/>
                  </pic:spPr>
                </pic:pic>
              </a:graphicData>
            </a:graphic>
          </wp:anchor>
        </w:drawing>
      </w:r>
    </w:p>
    <w:p>
      <w:pPr>
        <w:sectPr>
          <w:pgSz w:w="11900" w:h="16838" w:orient="portrait"/>
          <w:cols w:equalWidth="0" w:num="2">
            <w:col w:w="5360" w:space="720"/>
            <w:col w:w="5280"/>
          </w:cols>
          <w:pgMar w:left="260" w:top="688" w:right="279" w:bottom="0" w:gutter="0" w:footer="0" w:header="0"/>
          <w:type w:val="continuous"/>
        </w:sectPr>
      </w:pPr>
    </w:p>
    <w:bookmarkStart w:id="1" w:name="page2"/>
    <w:bookmarkEnd w:id="1"/>
    <w:p>
      <w:pPr>
        <w:ind w:left="6580"/>
        <w:spacing w:after="0"/>
        <w:tabs>
          <w:tab w:leader="none" w:pos="10740" w:val="left"/>
        </w:tabs>
        <w:rPr>
          <w:sz w:val="20"/>
          <w:szCs w:val="20"/>
          <w:color w:val="auto"/>
        </w:rPr>
      </w:pPr>
      <w:r>
        <w:rPr>
          <w:rFonts w:ascii="Arial" w:cs="Arial" w:eastAsia="Arial" w:hAnsi="Arial"/>
          <w:sz w:val="16"/>
          <w:szCs w:val="16"/>
          <w:b w:val="1"/>
          <w:bCs w:val="1"/>
          <w:i w:val="1"/>
          <w:iCs w:val="1"/>
          <w:color w:val="auto"/>
        </w:rPr>
        <w:t>In order to receive a paper package in time for this year’s</w:t>
      </w:r>
      <w:r>
        <w:rPr>
          <w:sz w:val="20"/>
          <w:szCs w:val="20"/>
          <w:color w:val="auto"/>
        </w:rPr>
        <w:tab/>
      </w:r>
      <w:r>
        <w:rPr>
          <w:rFonts w:ascii="Arial" w:cs="Arial" w:eastAsia="Arial" w:hAnsi="Arial"/>
          <w:sz w:val="14"/>
          <w:szCs w:val="14"/>
          <w:b w:val="1"/>
          <w:bCs w:val="1"/>
          <w:i w:val="1"/>
          <w:iCs w:val="1"/>
          <w:color w:val="auto"/>
        </w:rPr>
        <w:t>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-109855</wp:posOffset>
            </wp:positionV>
            <wp:extent cx="37719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719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14605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050" cy="308610"/>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4"/>
          <w:szCs w:val="14"/>
          <w:b w:val="1"/>
          <w:bCs w:val="1"/>
          <w:i w:val="1"/>
          <w:iCs w:val="1"/>
          <w:color w:val="auto"/>
        </w:rPr>
        <w:t>meeting, you must make this request on or before December 1, 2008.</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Material may be requested by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102235</wp:posOffset>
            </wp:positionV>
            <wp:extent cx="6997700" cy="814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814705"/>
                    </a:xfrm>
                    <a:prstGeom prst="rect">
                      <a:avLst/>
                    </a:prstGeom>
                    <a:noFill/>
                  </pic:spPr>
                </pic:pic>
              </a:graphicData>
            </a:graphic>
          </wp:anchor>
        </w:drawing>
      </w:r>
    </w:p>
    <w:p>
      <w:pPr>
        <w:sectPr>
          <w:pgSz w:w="11900" w:h="16838" w:orient="portrait"/>
          <w:cols w:equalWidth="0" w:num="1">
            <w:col w:w="11460"/>
          </w:cols>
          <w:pgMar w:left="240" w:top="130" w:right="199" w:bottom="1440" w:gutter="0" w:footer="0" w:header="0"/>
        </w:sectPr>
      </w:pPr>
    </w:p>
    <w:p>
      <w:pPr>
        <w:spacing w:after="0" w:line="161" w:lineRule="exact"/>
        <w:rPr>
          <w:sz w:val="20"/>
          <w:szCs w:val="20"/>
          <w:color w:val="auto"/>
        </w:rPr>
      </w:pPr>
    </w:p>
    <w:tbl>
      <w:tblPr>
        <w:tblLayout w:type="fixed"/>
        <w:tblInd w:w="250" w:type="dxa"/>
        <w:tblCellMar>
          <w:top w:w="0" w:type="dxa"/>
          <w:left w:w="0" w:type="dxa"/>
          <w:bottom w:w="0" w:type="dxa"/>
          <w:right w:w="0" w:type="dxa"/>
        </w:tblCellMar>
      </w:tblPr>
      <w:tr>
        <w:trPr>
          <w:trHeight w:val="950"/>
        </w:trPr>
        <w:tc>
          <w:tcPr>
            <w:tcW w:w="960" w:type="dxa"/>
            <w:vAlign w:val="bottom"/>
            <w:tcBorders>
              <w:left w:val="single" w:sz="8" w:color="auto"/>
            </w:tcBorders>
          </w:tcPr>
          <w:p>
            <w:pPr>
              <w:spacing w:after="0"/>
              <w:rPr>
                <w:sz w:val="24"/>
                <w:szCs w:val="24"/>
                <w:color w:val="auto"/>
              </w:rPr>
            </w:pPr>
          </w:p>
        </w:tc>
        <w:tc>
          <w:tcPr>
            <w:tcW w:w="3580" w:type="dxa"/>
            <w:vAlign w:val="bottom"/>
            <w:tcBorders>
              <w:right w:val="single" w:sz="8" w:color="auto"/>
            </w:tcBorders>
            <w:gridSpan w:val="2"/>
          </w:tcPr>
          <w:p>
            <w:pPr>
              <w:jc w:val="center"/>
              <w:ind w:right="980"/>
              <w:spacing w:after="0"/>
              <w:rPr>
                <w:sz w:val="20"/>
                <w:szCs w:val="20"/>
                <w:color w:val="auto"/>
              </w:rPr>
            </w:pPr>
            <w:r>
              <w:rPr>
                <w:rFonts w:ascii="Arial" w:cs="Arial" w:eastAsia="Arial" w:hAnsi="Arial"/>
                <w:sz w:val="20"/>
                <w:szCs w:val="20"/>
                <w:b w:val="1"/>
                <w:bCs w:val="1"/>
                <w:color w:val="auto"/>
              </w:rPr>
              <w:t>INTERNET</w:t>
            </w:r>
          </w:p>
        </w:tc>
        <w:tc>
          <w:tcPr>
            <w:tcW w:w="40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ind w:left="320"/>
              <w:spacing w:after="0"/>
              <w:rPr>
                <w:sz w:val="20"/>
                <w:szCs w:val="20"/>
                <w:color w:val="auto"/>
              </w:rPr>
            </w:pPr>
            <w:r>
              <w:rPr>
                <w:rFonts w:ascii="Arial" w:cs="Arial" w:eastAsia="Arial" w:hAnsi="Arial"/>
                <w:sz w:val="20"/>
                <w:szCs w:val="20"/>
                <w:b w:val="1"/>
                <w:bCs w:val="1"/>
                <w:color w:val="auto"/>
              </w:rPr>
              <w:t>TELEPHONE</w:t>
            </w:r>
          </w:p>
        </w:tc>
      </w:tr>
      <w:tr>
        <w:trPr>
          <w:trHeight w:val="212"/>
        </w:trPr>
        <w:tc>
          <w:tcPr>
            <w:tcW w:w="960" w:type="dxa"/>
            <w:vAlign w:val="bottom"/>
            <w:tcBorders>
              <w:left w:val="single" w:sz="8" w:color="auto"/>
            </w:tcBorders>
          </w:tcPr>
          <w:p>
            <w:pPr>
              <w:spacing w:after="0"/>
              <w:rPr>
                <w:sz w:val="18"/>
                <w:szCs w:val="18"/>
                <w:color w:val="auto"/>
              </w:rPr>
            </w:pPr>
          </w:p>
        </w:tc>
        <w:tc>
          <w:tcPr>
            <w:tcW w:w="3580" w:type="dxa"/>
            <w:vAlign w:val="bottom"/>
            <w:tcBorders>
              <w:right w:val="single" w:sz="8" w:color="auto"/>
            </w:tcBorders>
            <w:gridSpan w:val="2"/>
          </w:tcPr>
          <w:p>
            <w:pPr>
              <w:jc w:val="center"/>
              <w:ind w:right="980"/>
              <w:spacing w:after="0" w:line="212" w:lineRule="exact"/>
              <w:rPr>
                <w:sz w:val="20"/>
                <w:szCs w:val="20"/>
                <w:color w:val="auto"/>
              </w:rPr>
            </w:pPr>
            <w:r>
              <w:rPr>
                <w:rFonts w:ascii="Arial" w:cs="Arial" w:eastAsia="Arial" w:hAnsi="Arial"/>
                <w:sz w:val="20"/>
                <w:szCs w:val="20"/>
                <w:b w:val="1"/>
                <w:bCs w:val="1"/>
                <w:color w:val="auto"/>
                <w:w w:val="86"/>
              </w:rPr>
              <w:t>www.investorelections.com/mu</w:t>
            </w:r>
          </w:p>
        </w:tc>
        <w:tc>
          <w:tcPr>
            <w:tcW w:w="40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ind w:left="320"/>
              <w:spacing w:after="0" w:line="212" w:lineRule="exact"/>
              <w:rPr>
                <w:sz w:val="20"/>
                <w:szCs w:val="20"/>
                <w:color w:val="auto"/>
              </w:rPr>
            </w:pPr>
            <w:r>
              <w:rPr>
                <w:rFonts w:ascii="Arial" w:cs="Arial" w:eastAsia="Arial" w:hAnsi="Arial"/>
                <w:sz w:val="20"/>
                <w:szCs w:val="20"/>
                <w:b w:val="1"/>
                <w:bCs w:val="1"/>
                <w:color w:val="auto"/>
              </w:rPr>
              <w:t>(866) 648-8133</w:t>
            </w:r>
          </w:p>
        </w:tc>
      </w:tr>
      <w:tr>
        <w:trPr>
          <w:trHeight w:val="88"/>
        </w:trPr>
        <w:tc>
          <w:tcPr>
            <w:tcW w:w="960" w:type="dxa"/>
            <w:vAlign w:val="bottom"/>
            <w:tcBorders>
              <w:left w:val="single" w:sz="8" w:color="auto"/>
              <w:bottom w:val="single" w:sz="8" w:color="auto"/>
            </w:tcBorders>
          </w:tcPr>
          <w:p>
            <w:pPr>
              <w:spacing w:after="0"/>
              <w:rPr>
                <w:sz w:val="7"/>
                <w:szCs w:val="7"/>
                <w:color w:val="auto"/>
              </w:rPr>
            </w:pPr>
          </w:p>
        </w:tc>
        <w:tc>
          <w:tcPr>
            <w:tcW w:w="2600" w:type="dxa"/>
            <w:vAlign w:val="bottom"/>
            <w:tcBorders>
              <w:top w:val="single" w:sz="8" w:color="auto"/>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r>
    </w:tbl>
    <w:p>
      <w:pPr>
        <w:jc w:val="center"/>
        <w:ind w:left="340"/>
        <w:spacing w:after="0"/>
        <w:rPr>
          <w:sz w:val="20"/>
          <w:szCs w:val="20"/>
          <w:color w:val="auto"/>
        </w:rPr>
      </w:pPr>
      <w:r>
        <w:rPr>
          <w:rFonts w:ascii="Arial" w:cs="Arial" w:eastAsia="Arial" w:hAnsi="Arial"/>
          <w:sz w:val="22"/>
          <w:szCs w:val="22"/>
          <w:b w:val="1"/>
          <w:bCs w:val="1"/>
          <w:color w:val="auto"/>
        </w:rPr>
        <w:t>You must use the 12 digit control number</w:t>
      </w:r>
    </w:p>
    <w:p>
      <w:pPr>
        <w:jc w:val="center"/>
        <w:ind w:left="340"/>
        <w:spacing w:after="0"/>
        <w:rPr>
          <w:sz w:val="20"/>
          <w:szCs w:val="20"/>
          <w:color w:val="auto"/>
        </w:rPr>
      </w:pPr>
      <w:r>
        <w:rPr>
          <w:rFonts w:ascii="Arial" w:cs="Arial" w:eastAsia="Arial" w:hAnsi="Arial"/>
          <w:sz w:val="22"/>
          <w:szCs w:val="22"/>
          <w:b w:val="1"/>
          <w:bCs w:val="1"/>
          <w:color w:val="auto"/>
        </w:rPr>
        <w:t>located in the box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47625</wp:posOffset>
            </wp:positionV>
            <wp:extent cx="6620510" cy="685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20510" cy="685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60" w:hanging="156"/>
        <w:spacing w:after="0"/>
        <w:tabs>
          <w:tab w:leader="none" w:pos="1460" w:val="left"/>
        </w:tabs>
        <w:numPr>
          <w:ilvl w:val="1"/>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E-MAIL</w:t>
      </w:r>
    </w:p>
    <w:p>
      <w:pPr>
        <w:spacing w:after="0" w:line="21" w:lineRule="exact"/>
        <w:rPr>
          <w:rFonts w:ascii="Arial" w:cs="Arial" w:eastAsia="Arial" w:hAnsi="Arial"/>
          <w:sz w:val="20"/>
          <w:szCs w:val="20"/>
          <w:b w:val="1"/>
          <w:bCs w:val="1"/>
          <w:color w:val="auto"/>
        </w:rPr>
      </w:pPr>
    </w:p>
    <w:p>
      <w:pPr>
        <w:ind w:left="500"/>
        <w:spacing w:after="0"/>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paper@investorelections.com</w:t>
      </w:r>
    </w:p>
    <w:p>
      <w:pPr>
        <w:spacing w:after="0" w:line="94" w:lineRule="exact"/>
        <w:rPr>
          <w:rFonts w:ascii="Arial" w:cs="Arial" w:eastAsia="Arial" w:hAnsi="Arial"/>
          <w:sz w:val="20"/>
          <w:szCs w:val="20"/>
          <w:b w:val="1"/>
          <w:bCs w:val="1"/>
          <w:color w:val="auto"/>
        </w:rPr>
      </w:pPr>
    </w:p>
    <w:p>
      <w:pPr>
        <w:ind w:right="400" w:hanging="119"/>
        <w:spacing w:after="0" w:line="255" w:lineRule="auto"/>
        <w:rPr>
          <w:rFonts w:ascii="Arial" w:cs="Arial" w:eastAsia="Arial" w:hAnsi="Arial"/>
          <w:sz w:val="20"/>
          <w:szCs w:val="20"/>
          <w:b w:val="1"/>
          <w:bCs w:val="1"/>
          <w:color w:val="auto"/>
        </w:rPr>
      </w:pPr>
      <w:r>
        <w:rPr>
          <w:rFonts w:ascii="Arial" w:cs="Arial" w:eastAsia="Arial" w:hAnsi="Arial"/>
          <w:sz w:val="12"/>
          <w:szCs w:val="12"/>
          <w:color w:val="auto"/>
        </w:rPr>
        <w:t>* If requesting material by e-mail, please send a blank e-mail with the 12 digit control number (located below) in the subject line. No other requests, instructions or other inquiries should be included with your e-mail requesting material.</w:t>
      </w:r>
    </w:p>
    <w:p>
      <w:pPr>
        <w:spacing w:after="0" w:line="200" w:lineRule="exact"/>
        <w:rPr>
          <w:sz w:val="20"/>
          <w:szCs w:val="20"/>
          <w:color w:val="auto"/>
        </w:rPr>
      </w:pPr>
    </w:p>
    <w:p>
      <w:pPr>
        <w:sectPr>
          <w:pgSz w:w="11900" w:h="16838" w:orient="portrait"/>
          <w:cols w:equalWidth="0" w:num="2">
            <w:col w:w="7080" w:space="500"/>
            <w:col w:w="3880"/>
          </w:cols>
          <w:pgMar w:left="240" w:top="130" w:right="199" w:bottom="1440" w:gutter="0" w:footer="0" w:header="0"/>
          <w:type w:val="continuous"/>
        </w:sectPr>
      </w:pPr>
    </w:p>
    <w:p>
      <w:pPr>
        <w:spacing w:after="0" w:line="47" w:lineRule="exact"/>
        <w:rPr>
          <w:sz w:val="20"/>
          <w:szCs w:val="20"/>
          <w:color w:val="auto"/>
        </w:rPr>
      </w:pPr>
    </w:p>
    <w:p>
      <w:pPr>
        <w:jc w:val="center"/>
        <w:ind w:right="360"/>
        <w:spacing w:after="0"/>
        <w:rPr>
          <w:sz w:val="20"/>
          <w:szCs w:val="20"/>
          <w:color w:val="auto"/>
        </w:rPr>
      </w:pPr>
      <w:r>
        <w:rPr>
          <w:rFonts w:ascii="Arial" w:cs="Arial" w:eastAsia="Arial" w:hAnsi="Arial"/>
          <w:sz w:val="29"/>
          <w:szCs w:val="29"/>
          <w:b w:val="1"/>
          <w:bCs w:val="1"/>
          <w:color w:val="auto"/>
        </w:rPr>
        <w:t xml:space="preserve">View Materials Online at </w:t>
      </w:r>
      <w:r>
        <w:rPr>
          <w:rFonts w:ascii="Arial" w:cs="Arial" w:eastAsia="Arial" w:hAnsi="Arial"/>
          <w:sz w:val="29"/>
          <w:szCs w:val="29"/>
          <w:b w:val="1"/>
          <w:bCs w:val="1"/>
          <w:u w:val="single" w:color="auto"/>
          <w:color w:val="auto"/>
        </w:rPr>
        <w:t>www.proxydocs.com/mu</w:t>
      </w:r>
    </w:p>
    <w:p>
      <w:pPr>
        <w:spacing w:after="0" w:line="36" w:lineRule="exact"/>
        <w:rPr>
          <w:sz w:val="20"/>
          <w:szCs w:val="20"/>
          <w:color w:val="auto"/>
        </w:rPr>
      </w:pPr>
    </w:p>
    <w:p>
      <w:pPr>
        <w:jc w:val="center"/>
        <w:ind w:right="360"/>
        <w:spacing w:after="0"/>
        <w:rPr>
          <w:sz w:val="20"/>
          <w:szCs w:val="20"/>
          <w:color w:val="auto"/>
        </w:rPr>
      </w:pPr>
      <w:r>
        <w:rPr>
          <w:rFonts w:ascii="Arial" w:cs="Arial" w:eastAsia="Arial" w:hAnsi="Arial"/>
          <w:sz w:val="29"/>
          <w:szCs w:val="29"/>
          <w:color w:val="auto"/>
        </w:rPr>
        <w:t xml:space="preserve">A </w:t>
      </w:r>
      <w:r>
        <w:rPr>
          <w:rFonts w:ascii="Arial" w:cs="Arial" w:eastAsia="Arial" w:hAnsi="Arial"/>
          <w:sz w:val="29"/>
          <w:szCs w:val="29"/>
          <w:b w:val="1"/>
          <w:bCs w:val="1"/>
          <w:color w:val="auto"/>
        </w:rPr>
        <w:t>convenient way to view proxy materials and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2540</wp:posOffset>
            </wp:positionV>
            <wp:extent cx="59601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0110" cy="8890"/>
                    </a:xfrm>
                    <a:prstGeom prst="rect">
                      <a:avLst/>
                    </a:prstGeom>
                    <a:noFill/>
                  </pic:spPr>
                </pic:pic>
              </a:graphicData>
            </a:graphic>
          </wp:anchor>
        </w:drawing>
      </w:r>
    </w:p>
    <w:p>
      <w:pPr>
        <w:spacing w:after="0" w:line="204" w:lineRule="exact"/>
        <w:rPr>
          <w:sz w:val="20"/>
          <w:szCs w:val="20"/>
          <w:color w:val="auto"/>
        </w:rPr>
      </w:pPr>
    </w:p>
    <w:p>
      <w:pPr>
        <w:ind w:left="1420" w:right="700"/>
        <w:spacing w:after="0" w:line="293" w:lineRule="auto"/>
        <w:rPr>
          <w:sz w:val="20"/>
          <w:szCs w:val="20"/>
          <w:color w:val="auto"/>
        </w:rPr>
      </w:pPr>
      <w:r>
        <w:rPr>
          <w:rFonts w:ascii="Arial" w:cs="Arial" w:eastAsia="Arial" w:hAnsi="Arial"/>
          <w:sz w:val="16"/>
          <w:szCs w:val="16"/>
          <w:color w:val="auto"/>
        </w:rPr>
        <w:t xml:space="preserve">To view your proxy materials online, go to </w:t>
      </w:r>
      <w:r>
        <w:rPr>
          <w:rFonts w:ascii="Arial" w:cs="Arial" w:eastAsia="Arial" w:hAnsi="Arial"/>
          <w:sz w:val="16"/>
          <w:szCs w:val="16"/>
          <w:u w:val="single" w:color="auto"/>
          <w:color w:val="auto"/>
        </w:rPr>
        <w:t>www.proxydocs.com/mu</w:t>
      </w:r>
      <w:r>
        <w:rPr>
          <w:rFonts w:ascii="Arial" w:cs="Arial" w:eastAsia="Arial" w:hAnsi="Arial"/>
          <w:sz w:val="16"/>
          <w:szCs w:val="16"/>
          <w:color w:val="auto"/>
        </w:rPr>
        <w:t xml:space="preserve"> Have the 12 digit control number available when you access the website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54875" cy="1946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1946910"/>
                    </a:xfrm>
                    <a:prstGeom prst="rect">
                      <a:avLst/>
                    </a:prstGeom>
                    <a:noFill/>
                  </pic:spPr>
                </pic:pic>
              </a:graphicData>
            </a:graphic>
          </wp:anchor>
        </w:drawing>
      </w:r>
    </w:p>
    <w:p>
      <w:pPr>
        <w:spacing w:after="0" w:line="188"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Micron Technology, Inc. Notice of Annual Meeting</w:t>
      </w:r>
    </w:p>
    <w:p>
      <w:pPr>
        <w:spacing w:after="0" w:line="200" w:lineRule="exact"/>
        <w:rPr>
          <w:sz w:val="20"/>
          <w:szCs w:val="20"/>
          <w:color w:val="auto"/>
        </w:rPr>
      </w:pPr>
    </w:p>
    <w:p>
      <w:pPr>
        <w:spacing w:after="0" w:line="226" w:lineRule="exact"/>
        <w:rPr>
          <w:sz w:val="20"/>
          <w:szCs w:val="20"/>
          <w:color w:val="auto"/>
        </w:rPr>
      </w:pPr>
    </w:p>
    <w:p>
      <w:pPr>
        <w:ind w:left="140" w:right="400"/>
        <w:spacing w:after="0" w:line="293" w:lineRule="auto"/>
        <w:rPr>
          <w:sz w:val="20"/>
          <w:szCs w:val="20"/>
          <w:color w:val="auto"/>
        </w:rPr>
      </w:pPr>
      <w:r>
        <w:rPr>
          <w:rFonts w:ascii="Arial" w:cs="Arial" w:eastAsia="Arial" w:hAnsi="Arial"/>
          <w:sz w:val="16"/>
          <w:szCs w:val="16"/>
          <w:color w:val="auto"/>
        </w:rPr>
        <w:t>The 2008 Annual Meeting of Shareholders of Micron Technology, Inc., Inc. will be held on December 11, 2008, at 9:00 am, Mountain Standard Time, at the Company’s headquarters located at 8000 South Federal Way, Boise, Idaho 83716-9632 for the following purposes:</w:t>
      </w:r>
    </w:p>
    <w:p>
      <w:pPr>
        <w:spacing w:after="0" w:line="159" w:lineRule="exact"/>
        <w:rPr>
          <w:sz w:val="20"/>
          <w:szCs w:val="20"/>
          <w:color w:val="auto"/>
        </w:rPr>
      </w:pPr>
    </w:p>
    <w:p>
      <w:pPr>
        <w:ind w:left="460" w:hanging="279"/>
        <w:spacing w:after="0"/>
        <w:tabs>
          <w:tab w:leader="none" w:pos="460" w:val="left"/>
        </w:tabs>
        <w:numPr>
          <w:ilvl w:val="1"/>
          <w:numId w:val="7"/>
        </w:numPr>
        <w:rPr>
          <w:rFonts w:ascii="Arial" w:cs="Arial" w:eastAsia="Arial" w:hAnsi="Arial"/>
          <w:sz w:val="16"/>
          <w:szCs w:val="16"/>
          <w:color w:val="auto"/>
        </w:rPr>
      </w:pPr>
      <w:r>
        <w:rPr>
          <w:rFonts w:ascii="Arial" w:cs="Arial" w:eastAsia="Arial" w:hAnsi="Arial"/>
          <w:sz w:val="16"/>
          <w:szCs w:val="16"/>
          <w:color w:val="auto"/>
        </w:rPr>
        <w:t>To elect directors to serve for the ensuing year and until their successors are elected and qualified:</w:t>
      </w:r>
    </w:p>
    <w:p>
      <w:pPr>
        <w:spacing w:after="0" w:line="2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5"/>
          <w:szCs w:val="15"/>
          <w:color w:val="auto"/>
        </w:rPr>
        <w:t>(01)Teruaki Aoki, (02) Steven R. Appleton, (03) James W. Bagley, (04) Robert L. Bailey, (05) Mercedes Johnson, (06) Lawrence N. Mondry, (07) Robert E. Switz</w:t>
      </w:r>
    </w:p>
    <w:p>
      <w:pPr>
        <w:spacing w:after="0" w:line="228" w:lineRule="exact"/>
        <w:rPr>
          <w:rFonts w:ascii="Arial" w:cs="Arial" w:eastAsia="Arial" w:hAnsi="Arial"/>
          <w:sz w:val="16"/>
          <w:szCs w:val="16"/>
          <w:color w:val="auto"/>
        </w:rPr>
      </w:pPr>
    </w:p>
    <w:p>
      <w:pPr>
        <w:ind w:left="460" w:right="320" w:hanging="318"/>
        <w:spacing w:after="0" w:line="293"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Proposal by the Company to approve an amendment to the Company’s 2007 Equity Incentive Plan to increase the number of shares reserved for issuance thereunder by 10,000,000</w:t>
      </w:r>
    </w:p>
    <w:p>
      <w:pPr>
        <w:spacing w:after="0" w:line="158" w:lineRule="exact"/>
        <w:rPr>
          <w:rFonts w:ascii="Arial" w:cs="Arial" w:eastAsia="Arial" w:hAnsi="Arial"/>
          <w:sz w:val="16"/>
          <w:szCs w:val="16"/>
          <w:color w:val="auto"/>
        </w:rPr>
      </w:pPr>
    </w:p>
    <w:p>
      <w:pPr>
        <w:ind w:left="460" w:right="280" w:hanging="318"/>
        <w:spacing w:after="0" w:line="293"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Proposal by the Company to ratify the appointment of PricewaterhouseCoopers LLP as the Company’s Independent Registered Public Accounting Firm for the fiscal year ending September 3, 2009</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1000" w:type="dxa"/>
            <w:vAlign w:val="bottom"/>
            <w:tcBorders>
              <w:right w:val="single" w:sz="8" w:color="auto"/>
            </w:tcBorders>
          </w:tcPr>
          <w:p>
            <w:pPr>
              <w:spacing w:after="0"/>
              <w:rPr>
                <w:sz w:val="24"/>
                <w:szCs w:val="24"/>
                <w:color w:val="auto"/>
              </w:rPr>
            </w:pPr>
          </w:p>
        </w:tc>
        <w:tc>
          <w:tcPr>
            <w:tcW w:w="31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b w:val="1"/>
                <w:bCs w:val="1"/>
                <w:color w:val="auto"/>
              </w:rPr>
              <w:t>CONTROL NO.</w:t>
            </w:r>
          </w:p>
        </w:tc>
        <w:tc>
          <w:tcPr>
            <w:tcW w:w="3080" w:type="dxa"/>
            <w:vAlign w:val="bottom"/>
          </w:tcPr>
          <w:p>
            <w:pPr>
              <w:ind w:left="1040"/>
              <w:spacing w:after="0"/>
              <w:rPr>
                <w:sz w:val="20"/>
                <w:szCs w:val="20"/>
                <w:color w:val="auto"/>
              </w:rPr>
            </w:pPr>
            <w:r>
              <w:rPr>
                <w:rFonts w:ascii="Arial" w:cs="Arial" w:eastAsia="Arial" w:hAnsi="Arial"/>
                <w:sz w:val="18"/>
                <w:szCs w:val="18"/>
                <w:b w:val="1"/>
                <w:bCs w:val="1"/>
                <w:color w:val="auto"/>
              </w:rPr>
              <w:t>ACCOUNT NO.</w:t>
            </w:r>
          </w:p>
        </w:tc>
        <w:tc>
          <w:tcPr>
            <w:tcW w:w="4240" w:type="dxa"/>
            <w:vAlign w:val="bottom"/>
          </w:tcPr>
          <w:p>
            <w:pPr>
              <w:ind w:left="780"/>
              <w:spacing w:after="0"/>
              <w:rPr>
                <w:sz w:val="20"/>
                <w:szCs w:val="20"/>
                <w:color w:val="auto"/>
              </w:rPr>
            </w:pPr>
            <w:r>
              <w:rPr>
                <w:rFonts w:ascii="Arial" w:cs="Arial" w:eastAsia="Arial" w:hAnsi="Arial"/>
                <w:sz w:val="18"/>
                <w:szCs w:val="18"/>
                <w:b w:val="1"/>
                <w:bCs w:val="1"/>
                <w:color w:val="auto"/>
              </w:rPr>
              <w:t># SHARES</w:t>
            </w:r>
          </w:p>
        </w:tc>
      </w:tr>
      <w:tr>
        <w:trPr>
          <w:trHeight w:val="216"/>
        </w:trPr>
        <w:tc>
          <w:tcPr>
            <w:tcW w:w="1000" w:type="dxa"/>
            <w:vAlign w:val="bottom"/>
            <w:tcBorders>
              <w:right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341"/>
        </w:trPr>
        <w:tc>
          <w:tcPr>
            <w:tcW w:w="1000" w:type="dxa"/>
            <w:vAlign w:val="bottom"/>
            <w:tcBorders>
              <w:bottom w:val="single" w:sz="8" w:color="010101"/>
            </w:tcBorders>
          </w:tcPr>
          <w:p>
            <w:pPr>
              <w:spacing w:after="0"/>
              <w:rPr>
                <w:sz w:val="24"/>
                <w:szCs w:val="24"/>
                <w:color w:val="auto"/>
              </w:rPr>
            </w:pPr>
          </w:p>
        </w:tc>
        <w:tc>
          <w:tcPr>
            <w:tcW w:w="3140" w:type="dxa"/>
            <w:vAlign w:val="bottom"/>
            <w:tcBorders>
              <w:bottom w:val="single" w:sz="8" w:color="010101"/>
            </w:tcBorders>
          </w:tcPr>
          <w:p>
            <w:pPr>
              <w:spacing w:after="0"/>
              <w:rPr>
                <w:sz w:val="24"/>
                <w:szCs w:val="24"/>
                <w:color w:val="auto"/>
              </w:rPr>
            </w:pPr>
          </w:p>
        </w:tc>
        <w:tc>
          <w:tcPr>
            <w:tcW w:w="3080" w:type="dxa"/>
            <w:vAlign w:val="bottom"/>
            <w:tcBorders>
              <w:bottom w:val="single" w:sz="8" w:color="010101"/>
            </w:tcBorders>
          </w:tcPr>
          <w:p>
            <w:pPr>
              <w:spacing w:after="0"/>
              <w:rPr>
                <w:sz w:val="24"/>
                <w:szCs w:val="24"/>
                <w:color w:val="auto"/>
              </w:rPr>
            </w:pPr>
          </w:p>
        </w:tc>
        <w:tc>
          <w:tcPr>
            <w:tcW w:w="42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30"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x"/>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o"/>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2019-12-11T14:23:29Z</dcterms:created>
  <dcterms:modified xsi:type="dcterms:W3CDTF">2019-12-11T14:23:29Z</dcterms:modified>
</cp:coreProperties>
</file>