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834390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860425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12, 2020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305"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45085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0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1-10658</w:t>
            </w:r>
          </w:p>
        </w:tc>
        <w:tc>
          <w:tcPr>
            <w:tcW w:w="394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4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00" w:type="dxa"/>
            <w:vAlign w:val="bottom"/>
          </w:tcPr>
          <w:p>
            <w:pPr>
              <w:jc w:val="center"/>
              <w:ind w:right="30"/>
              <w:spacing w:after="0"/>
              <w:rPr>
                <w:sz w:val="20"/>
                <w:szCs w:val="20"/>
                <w:color w:val="auto"/>
              </w:rPr>
            </w:pPr>
            <w:r>
              <w:rPr>
                <w:rFonts w:ascii="Arial" w:cs="Arial" w:eastAsia="Arial" w:hAnsi="Arial"/>
                <w:sz w:val="18"/>
                <w:szCs w:val="18"/>
                <w:color w:val="auto"/>
                <w:w w:val="99"/>
              </w:rPr>
              <w:t>(Commission File Number)</w:t>
            </w:r>
          </w:p>
        </w:tc>
        <w:tc>
          <w:tcPr>
            <w:tcW w:w="3940" w:type="dxa"/>
            <w:vAlign w:val="bottom"/>
          </w:tcPr>
          <w:p>
            <w:pPr>
              <w:jc w:val="center"/>
              <w:ind w:right="10"/>
              <w:spacing w:after="0"/>
              <w:rPr>
                <w:sz w:val="20"/>
                <w:szCs w:val="20"/>
                <w:color w:val="auto"/>
              </w:rPr>
            </w:pPr>
            <w:r>
              <w:rPr>
                <w:rFonts w:ascii="Arial" w:cs="Arial" w:eastAsia="Arial" w:hAnsi="Arial"/>
                <w:sz w:val="18"/>
                <w:szCs w:val="18"/>
                <w:color w:val="auto"/>
                <w:w w:val="99"/>
              </w:rPr>
              <w:t>(I.R.S. Employer Identification No.)</w:t>
            </w:r>
          </w:p>
        </w:tc>
      </w:tr>
    </w:tbl>
    <w:p>
      <w:pPr>
        <w:spacing w:after="0" w:line="396"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36"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74" w:lineRule="exact"/>
        <w:rPr>
          <w:sz w:val="24"/>
          <w:szCs w:val="24"/>
          <w:color w:val="auto"/>
        </w:rPr>
      </w:pPr>
    </w:p>
    <w:p>
      <w:pPr>
        <w:ind w:right="140"/>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720" w:type="dxa"/>
            <w:vAlign w:val="bottom"/>
            <w:gridSpan w:val="3"/>
          </w:tcPr>
          <w:p>
            <w:pPr>
              <w:jc w:val="center"/>
              <w:ind w:right="140"/>
              <w:spacing w:after="0"/>
              <w:rPr>
                <w:sz w:val="20"/>
                <w:szCs w:val="20"/>
                <w:color w:val="auto"/>
              </w:rPr>
            </w:pPr>
            <w:r>
              <w:rPr>
                <w:rFonts w:ascii="Arial" w:cs="Arial" w:eastAsia="Arial" w:hAnsi="Arial"/>
                <w:sz w:val="18"/>
                <w:szCs w:val="18"/>
                <w:color w:val="auto"/>
              </w:rPr>
              <w:t>Securities registered pursuant to Section 12(b) of the Act: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77"/>
        </w:trPr>
        <w:tc>
          <w:tcPr>
            <w:tcW w:w="40" w:type="dxa"/>
            <w:vAlign w:val="bottom"/>
          </w:tcPr>
          <w:p>
            <w:pPr>
              <w:spacing w:after="0"/>
              <w:rPr>
                <w:sz w:val="24"/>
                <w:szCs w:val="24"/>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Trading symbol</w:t>
            </w:r>
          </w:p>
        </w:tc>
        <w:tc>
          <w:tcPr>
            <w:tcW w:w="100" w:type="dxa"/>
            <w:vAlign w:val="bottom"/>
          </w:tcPr>
          <w:p>
            <w:pPr>
              <w:spacing w:after="0"/>
              <w:rPr>
                <w:sz w:val="24"/>
                <w:szCs w:val="24"/>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43"/>
        </w:trPr>
        <w:tc>
          <w:tcPr>
            <w:tcW w:w="40" w:type="dxa"/>
            <w:vAlign w:val="bottom"/>
          </w:tcPr>
          <w:p>
            <w:pPr>
              <w:spacing w:after="0"/>
              <w:rPr>
                <w:sz w:val="21"/>
                <w:szCs w:val="21"/>
                <w:color w:val="auto"/>
              </w:rPr>
            </w:pPr>
          </w:p>
        </w:tc>
        <w:tc>
          <w:tcPr>
            <w:tcW w:w="4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Common Stock, par value $0.10 per share</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MU</w:t>
            </w: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21"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977900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3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7"/>
          <w:szCs w:val="17"/>
          <w:b w:val="1"/>
          <w:bCs w:val="1"/>
          <w:color w:val="auto"/>
        </w:rPr>
        <w:t>Creation of a Direct Financial Obligation or an Obligation under an Off-Balance Sheet Arrangement of a Registrant.</w:t>
      </w:r>
    </w:p>
    <w:p>
      <w:pPr>
        <w:spacing w:after="0" w:line="200" w:lineRule="exact"/>
        <w:rPr>
          <w:sz w:val="20"/>
          <w:szCs w:val="20"/>
          <w:color w:val="auto"/>
        </w:rPr>
      </w:pPr>
    </w:p>
    <w:p>
      <w:pPr>
        <w:spacing w:after="0" w:line="2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previously disclosed, Micron Technology, Inc. (the "Company") and certain of its subsidiaries are party to a credit agreement dated July 3, 2018, as amended (the "Credit Agreement"). The Credit Agreement provides the Company two credit facilities: a $2.5 billion committed revolving credit facility (the "Revolving Credit Facility") and a $1.25 billion committed term loan facility. A copy of the Credit Agreement, as amended, was filed as an exhibit to the Company’s 10-K filed with the Securities and Exchange Commission (the "SEC") on October 17, 2019.</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March 12, 2020, the Company provided notice to the administrative agent under the Credit Agreement to draw down the entire available amount ($2.5 billion) under the Revolving Credit Facility and as of March 13, 2020 a total of $2.5 billion was outstanding under the Revolving Credit Facility. Borrowings under the Revolving Credit Facility are scheduled to mature on July 3, 2023, and the Company may repay amounts borrowed any time without penalty.</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Borrowings under the Revolving Credit Facility will bear interest, at the Company’s option, at a base rate or LIBOR, plus an applicable interest rate margin varying depending on the Company’s corporate ratings or leverage ratio, whichever yields a lower pricing level. The additional interest rate margin for borrowings ranges from 0.25% to 1.00% per annum in the case of base rate borrowings and from 1.25% to 2.00% per annum in the case of LIBOR borrowings. Based on the Company’s current corporate ratings and leverage ratio, the currently applicable interest rate margins are 0.25% for base rate borrowings and 1.25% for LIBOR borrowings.</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increased its borrowings under the Revolving Credit Facility as a precautionary measure in order to increase its cash position and preserve financial flexibility in light of current uncertainty in the global markets resulting from the COVID-19 outbreak. The draw-down proceeds from the Revolving Credit Facility are currently being held on the Company’s balance sheet and may be used for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691515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0" w:right="39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740" w:type="dxa"/>
            <w:vAlign w:val="bottom"/>
          </w:tcPr>
          <w:p>
            <w:pPr>
              <w:spacing w:after="0"/>
              <w:rPr>
                <w:sz w:val="20"/>
                <w:szCs w:val="20"/>
                <w:color w:val="auto"/>
              </w:rPr>
            </w:pPr>
          </w:p>
        </w:tc>
        <w:tc>
          <w:tcPr>
            <w:tcW w:w="6900" w:type="dxa"/>
            <w:vAlign w:val="bottom"/>
            <w:gridSpan w:val="2"/>
          </w:tcPr>
          <w:p>
            <w:pPr>
              <w:ind w:left="1740"/>
              <w:spacing w:after="0"/>
              <w:rPr>
                <w:sz w:val="20"/>
                <w:szCs w:val="20"/>
                <w:color w:val="auto"/>
              </w:rPr>
            </w:pPr>
            <w:r>
              <w:rPr>
                <w:rFonts w:ascii="Arial" w:cs="Arial" w:eastAsia="Arial" w:hAnsi="Arial"/>
                <w:sz w:val="18"/>
                <w:szCs w:val="18"/>
                <w:b w:val="1"/>
                <w:bCs w:val="1"/>
                <w:color w:val="auto"/>
              </w:rPr>
              <w:t>MICRON TECHNOLOGY, INC.</w:t>
            </w:r>
          </w:p>
        </w:tc>
      </w:tr>
      <w:tr>
        <w:trPr>
          <w:trHeight w:val="777"/>
        </w:trPr>
        <w:tc>
          <w:tcPr>
            <w:tcW w:w="3740" w:type="dxa"/>
            <w:vAlign w:val="bottom"/>
          </w:tcPr>
          <w:p>
            <w:pPr>
              <w:spacing w:after="0"/>
              <w:rPr>
                <w:sz w:val="20"/>
                <w:szCs w:val="20"/>
                <w:color w:val="auto"/>
              </w:rPr>
            </w:pPr>
            <w:r>
              <w:rPr>
                <w:rFonts w:ascii="Arial" w:cs="Arial" w:eastAsia="Arial" w:hAnsi="Arial"/>
                <w:sz w:val="18"/>
                <w:szCs w:val="18"/>
                <w:color w:val="auto"/>
              </w:rPr>
              <w:t>Date:   March 13, 2020</w:t>
            </w:r>
          </w:p>
        </w:tc>
        <w:tc>
          <w:tcPr>
            <w:tcW w:w="2660" w:type="dxa"/>
            <w:vAlign w:val="bottom"/>
          </w:tcPr>
          <w:p>
            <w:pPr>
              <w:ind w:left="1740"/>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A. Zinsner</w:t>
            </w:r>
          </w:p>
        </w:tc>
      </w:tr>
      <w:tr>
        <w:trPr>
          <w:trHeight w:val="243"/>
        </w:trPr>
        <w:tc>
          <w:tcPr>
            <w:tcW w:w="3740" w:type="dxa"/>
            <w:vAlign w:val="bottom"/>
          </w:tcPr>
          <w:p>
            <w:pPr>
              <w:spacing w:after="0"/>
              <w:rPr>
                <w:sz w:val="21"/>
                <w:szCs w:val="21"/>
                <w:color w:val="auto"/>
              </w:rPr>
            </w:pPr>
          </w:p>
        </w:tc>
        <w:tc>
          <w:tcPr>
            <w:tcW w:w="2660" w:type="dxa"/>
            <w:vAlign w:val="bottom"/>
          </w:tcPr>
          <w:p>
            <w:pPr>
              <w:ind w:left="1740"/>
              <w:spacing w:after="0"/>
              <w:rPr>
                <w:sz w:val="20"/>
                <w:szCs w:val="20"/>
                <w:color w:val="auto"/>
              </w:rPr>
            </w:pPr>
            <w:r>
              <w:rPr>
                <w:rFonts w:ascii="Arial" w:cs="Arial" w:eastAsia="Arial" w:hAnsi="Arial"/>
                <w:sz w:val="18"/>
                <w:szCs w:val="18"/>
                <w:color w:val="auto"/>
              </w:rPr>
              <w:t>Name:</w:t>
            </w:r>
          </w:p>
        </w:tc>
        <w:tc>
          <w:tcPr>
            <w:tcW w:w="424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56"/>
        </w:trPr>
        <w:tc>
          <w:tcPr>
            <w:tcW w:w="3740" w:type="dxa"/>
            <w:vAlign w:val="bottom"/>
          </w:tcPr>
          <w:p>
            <w:pPr>
              <w:spacing w:after="0"/>
              <w:rPr>
                <w:sz w:val="22"/>
                <w:szCs w:val="22"/>
                <w:color w:val="auto"/>
              </w:rPr>
            </w:pPr>
          </w:p>
        </w:tc>
        <w:tc>
          <w:tcPr>
            <w:tcW w:w="2660" w:type="dxa"/>
            <w:vAlign w:val="bottom"/>
          </w:tcPr>
          <w:p>
            <w:pPr>
              <w:ind w:left="1740"/>
              <w:spacing w:after="0"/>
              <w:rPr>
                <w:sz w:val="20"/>
                <w:szCs w:val="20"/>
                <w:color w:val="auto"/>
              </w:rPr>
            </w:pPr>
            <w:r>
              <w:rPr>
                <w:rFonts w:ascii="Arial" w:cs="Arial" w:eastAsia="Arial" w:hAnsi="Arial"/>
                <w:sz w:val="18"/>
                <w:szCs w:val="18"/>
                <w:color w:val="auto"/>
              </w:rPr>
              <w:t>Title:</w:t>
            </w:r>
          </w:p>
        </w:tc>
        <w:tc>
          <w:tcPr>
            <w:tcW w:w="42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1" w:lineRule="exact"/>
        <w:rPr>
          <w:sz w:val="20"/>
          <w:szCs w:val="20"/>
          <w:color w:val="auto"/>
        </w:rPr>
      </w:pPr>
    </w:p>
    <w:sectPr>
      <w:pgSz w:w="11900" w:h="16838" w:orient="portrait"/>
      <w:cols w:equalWidth="0" w:num="1">
        <w:col w:w="11200"/>
      </w:cols>
      <w:pgMar w:left="320" w:top="88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2020-03-13T16:04:34Z</dcterms:created>
  <dcterms:modified xsi:type="dcterms:W3CDTF">2020-03-13T16:04:34Z</dcterms:modified>
</cp:coreProperties>
</file>