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12,242,658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86,255,904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86,255,904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14.393%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86,255,904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86,255,904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14.393%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86,255,904</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86,255,904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14.393%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 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ectPr>
          <w:pgSz w:w="11900" w:h="16838" w:orient="portrait"/>
          <w:cols w:equalWidth="0" w:num="1">
            <w:col w:w="10219"/>
          </w:cols>
          <w:pgMar w:left="240" w:top="244" w:right="1440" w:bottom="0" w:gutter="0" w:footer="0" w:header="0"/>
        </w:sectPr>
      </w:pPr>
    </w:p>
    <w:bookmarkStart w:id="1" w:name="page2"/>
    <w:bookmarkEnd w:id="1"/>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86,255,904</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14.393%</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12,242,658</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86,255,904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Micron Technology Incorporated at December 31, 2001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73,063,891 shares or 12.192%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73,063,891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8,436,967 shares or 1.408%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8,436,967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7,474,867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962,100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35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 As such, FMR Corp.'s beneficial ownership includes 600 shares, or 0.000%, of the Common Stock stock outstanding of Micron Technology Incorporated, beneficially owned through Strategic Advisers, Inc.</w:t>
      </w:r>
    </w:p>
    <w:p>
      <w:pPr>
        <w:spacing w:after="0" w:line="214"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4099" w:firstLine="843"/>
        <w:spacing w:after="0" w:line="275"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237" w:lineRule="auto"/>
        <w:rPr>
          <w:sz w:val="20"/>
          <w:szCs w:val="20"/>
          <w:color w:val="auto"/>
        </w:rPr>
      </w:pPr>
      <w:r>
        <w:rPr>
          <w:rFonts w:ascii="Courier New" w:cs="Courier New" w:eastAsia="Courier New" w:hAnsi="Courier New"/>
          <w:sz w:val="18"/>
          <w:szCs w:val="18"/>
          <w:color w:val="auto"/>
        </w:rPr>
        <w:t>"International Funds") and certain institutional investors. Fidelity International Limited is the beneficial owner of 4,754,446 shares or 0.793%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4,754,446 shares or 0.793% of the Common Stock outstanding of Micron Technology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w:t>
      </w:r>
    </w:p>
    <w:p>
      <w:pPr>
        <w:sectPr>
          <w:pgSz w:w="11900" w:h="16838" w:orient="portrait"/>
          <w:cols w:equalWidth="0" w:num="1">
            <w:col w:w="10219"/>
          </w:cols>
          <w:pgMar w:left="240" w:top="142" w:right="1440" w:bottom="0" w:gutter="0" w:footer="0" w:header="0"/>
        </w:sectPr>
      </w:pPr>
    </w:p>
    <w:bookmarkStart w:id="4" w:name="page5"/>
    <w:bookmarkEnd w:id="4"/>
    <w:p>
      <w:pPr>
        <w:ind w:right="3779"/>
        <w:spacing w:after="0" w:line="271" w:lineRule="auto"/>
        <w:rPr>
          <w:sz w:val="20"/>
          <w:szCs w:val="20"/>
          <w:color w:val="auto"/>
        </w:rPr>
      </w:pPr>
      <w:r>
        <w:rPr>
          <w:rFonts w:ascii="Courier New" w:cs="Courier New" w:eastAsia="Courier New" w:hAnsi="Courier New"/>
          <w:sz w:val="16"/>
          <w:szCs w:val="16"/>
          <w:color w:val="auto"/>
        </w:rPr>
        <w:t>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4,754,446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2002, agree and consent to the joint filing on their behalf of this Schedule 13G in connection with their beneficial ownership of the Common Stock of Micron Technology Incorporated at December 31, 2001.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2019-12-11T20:18:58Z</dcterms:created>
  <dcterms:modified xsi:type="dcterms:W3CDTF">2019-12-11T20:18:58Z</dcterms:modified>
</cp:coreProperties>
</file>