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08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Beard Robert 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General Counsel&amp;Secretary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213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69.4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1,163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Acquisition resulted from the vesting of an equal number of Restricted Stock Units.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awards under the Issuer's 2007 Equity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vested or will vest, as the case may be, in four equal installments on March 15, 2021, 2022, 2023, and 2024.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03/15/2022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22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2022-03-15T19:22:54Z</dcterms:created>
  <dcterms:modified xsi:type="dcterms:W3CDTF">2022-03-15T19:22:54Z</dcterms:modified>
</cp:coreProperties>
</file>