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333-104894</w:t>
      </w:r>
    </w:p>
    <w:p>
      <w:pPr>
        <w:spacing w:after="0" w:line="213"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PROSPECTUS SUPPLEMENT DATED NOVEMBER 5, 2003</w:t>
      </w:r>
    </w:p>
    <w:p>
      <w:pPr>
        <w:spacing w:after="0" w:line="21"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(To Prospectus filed on September 3, 2003)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$632,500,000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(aggregate principal amount)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 Convertible Subordinated Notes due 2010 and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Issuable Upon Conversion of the Notes</w:t>
      </w:r>
    </w:p>
    <w:p>
      <w:pPr>
        <w:spacing w:after="0" w:line="219" w:lineRule="exact"/>
        <w:rPr>
          <w:sz w:val="24"/>
          <w:szCs w:val="24"/>
          <w:color w:val="auto"/>
        </w:rPr>
      </w:pPr>
    </w:p>
    <w:p>
      <w:pPr>
        <w:ind w:right="640" w:firstLine="348"/>
        <w:spacing w:after="0" w:line="332" w:lineRule="auto"/>
        <w:rPr>
          <w:sz w:val="20"/>
          <w:szCs w:val="20"/>
          <w:color w:val="auto"/>
        </w:rPr>
      </w:pPr>
      <w:r>
        <w:rPr>
          <w:rFonts w:ascii="Arial" w:cs="Arial" w:eastAsia="Arial" w:hAnsi="Arial"/>
          <w:sz w:val="16"/>
          <w:szCs w:val="16"/>
          <w:color w:val="auto"/>
        </w:rPr>
        <w:t>This Prospectus Supplement, together with the Prospectus listed above, is to be used by certain holders of the above-referenced securities or by their transferees, pledgees, donees or their successors in connection with the offer and sale of the above referenced securities.</w:t>
      </w:r>
    </w:p>
    <w:p>
      <w:pPr>
        <w:spacing w:after="0" w:line="13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table captioned "Selling Securityholders" commencing on page 40 of the Prospectus is hereby amended to reflect the following additions and changes.</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jc w:val="center"/>
              <w:ind w:right="218"/>
              <w:spacing w:after="0"/>
              <w:rPr>
                <w:sz w:val="20"/>
                <w:szCs w:val="20"/>
                <w:color w:val="auto"/>
              </w:rPr>
            </w:pPr>
            <w:r>
              <w:rPr>
                <w:rFonts w:ascii="Arial" w:cs="Arial" w:eastAsia="Arial" w:hAnsi="Arial"/>
                <w:sz w:val="14"/>
                <w:szCs w:val="14"/>
                <w:b w:val="1"/>
                <w:bCs w:val="1"/>
                <w:color w:val="auto"/>
                <w:w w:val="89"/>
              </w:rPr>
              <w:t>Principal Amount at</w:t>
            </w: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89"/>
              </w:rPr>
              <w:t>Maturity of Notes</w:t>
            </w: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220" w:type="dxa"/>
            <w:vAlign w:val="bottom"/>
          </w:tcPr>
          <w:p>
            <w:pPr>
              <w:spacing w:after="0"/>
              <w:rPr>
                <w:sz w:val="12"/>
                <w:szCs w:val="12"/>
                <w:color w:val="auto"/>
              </w:rPr>
            </w:pPr>
          </w:p>
        </w:tc>
        <w:tc>
          <w:tcPr>
            <w:tcW w:w="164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88"/>
              </w:rPr>
              <w:t>Beneficially Owned</w:t>
            </w:r>
          </w:p>
        </w:tc>
        <w:tc>
          <w:tcPr>
            <w:tcW w:w="220" w:type="dxa"/>
            <w:vAlign w:val="bottom"/>
          </w:tcPr>
          <w:p>
            <w:pPr>
              <w:spacing w:after="0"/>
              <w:rPr>
                <w:sz w:val="12"/>
                <w:szCs w:val="12"/>
                <w:color w:val="auto"/>
              </w:rPr>
            </w:pPr>
          </w:p>
        </w:tc>
        <w:tc>
          <w:tcPr>
            <w:tcW w:w="1860" w:type="dxa"/>
            <w:vAlign w:val="bottom"/>
          </w:tcPr>
          <w:p>
            <w:pPr>
              <w:jc w:val="right"/>
              <w:ind w:right="472"/>
              <w:spacing w:after="0" w:line="149" w:lineRule="exact"/>
              <w:rPr>
                <w:sz w:val="20"/>
                <w:szCs w:val="20"/>
                <w:color w:val="auto"/>
              </w:rPr>
            </w:pPr>
            <w:r>
              <w:rPr>
                <w:rFonts w:ascii="Arial" w:cs="Arial" w:eastAsia="Arial" w:hAnsi="Arial"/>
                <w:sz w:val="14"/>
                <w:szCs w:val="14"/>
                <w:b w:val="1"/>
                <w:bCs w:val="1"/>
                <w:color w:val="auto"/>
              </w:rPr>
              <w:t>Percentage of</w:t>
            </w:r>
          </w:p>
        </w:tc>
        <w:tc>
          <w:tcPr>
            <w:tcW w:w="2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 Be</w:t>
            </w:r>
          </w:p>
        </w:tc>
        <w:tc>
          <w:tcPr>
            <w:tcW w:w="220" w:type="dxa"/>
            <w:vAlign w:val="bottom"/>
          </w:tcPr>
          <w:p>
            <w:pPr>
              <w:spacing w:after="0"/>
              <w:rPr>
                <w:sz w:val="12"/>
                <w:szCs w:val="12"/>
                <w:color w:val="auto"/>
              </w:rPr>
            </w:pPr>
          </w:p>
        </w:tc>
        <w:tc>
          <w:tcPr>
            <w:tcW w:w="164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74"/>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jc w:val="center"/>
              <w:ind w:right="218"/>
              <w:spacing w:after="0"/>
              <w:rPr>
                <w:sz w:val="20"/>
                <w:szCs w:val="20"/>
                <w:color w:val="auto"/>
              </w:rPr>
            </w:pPr>
            <w:r>
              <w:rPr>
                <w:rFonts w:ascii="Arial" w:cs="Arial" w:eastAsia="Arial" w:hAnsi="Arial"/>
                <w:sz w:val="14"/>
                <w:szCs w:val="14"/>
                <w:b w:val="1"/>
                <w:bCs w:val="1"/>
                <w:color w:val="auto"/>
                <w:w w:val="90"/>
              </w:rPr>
              <w:t>That May Be Sold</w:t>
            </w:r>
          </w:p>
        </w:tc>
        <w:tc>
          <w:tcPr>
            <w:tcW w:w="220" w:type="dxa"/>
            <w:vAlign w:val="bottom"/>
          </w:tcPr>
          <w:p>
            <w:pPr>
              <w:spacing w:after="0"/>
              <w:rPr>
                <w:sz w:val="15"/>
                <w:szCs w:val="15"/>
                <w:color w:val="auto"/>
              </w:rPr>
            </w:pPr>
          </w:p>
        </w:tc>
        <w:tc>
          <w:tcPr>
            <w:tcW w:w="1860" w:type="dxa"/>
            <w:vAlign w:val="bottom"/>
          </w:tcPr>
          <w:p>
            <w:pPr>
              <w:jc w:val="right"/>
              <w:ind w:right="332"/>
              <w:spacing w:after="0"/>
              <w:rPr>
                <w:sz w:val="20"/>
                <w:szCs w:val="20"/>
                <w:color w:val="auto"/>
              </w:rPr>
            </w:pPr>
            <w:r>
              <w:rPr>
                <w:rFonts w:ascii="Arial" w:cs="Arial" w:eastAsia="Arial" w:hAnsi="Arial"/>
                <w:sz w:val="14"/>
                <w:szCs w:val="14"/>
                <w:b w:val="1"/>
                <w:bCs w:val="1"/>
                <w:color w:val="auto"/>
              </w:rPr>
              <w:t>Notes Outstanding</w:t>
            </w:r>
          </w:p>
        </w:tc>
        <w:tc>
          <w:tcPr>
            <w:tcW w:w="22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8"/>
              </w:rPr>
              <w:t>Sold(1)</w:t>
            </w:r>
          </w:p>
        </w:tc>
        <w:tc>
          <w:tcPr>
            <w:tcW w:w="220" w:type="dxa"/>
            <w:vAlign w:val="bottom"/>
          </w:tcPr>
          <w:p>
            <w:pPr>
              <w:spacing w:after="0"/>
              <w:rPr>
                <w:sz w:val="15"/>
                <w:szCs w:val="15"/>
                <w:color w:val="auto"/>
              </w:rPr>
            </w:pPr>
          </w:p>
        </w:tc>
        <w:tc>
          <w:tcPr>
            <w:tcW w:w="1640" w:type="dxa"/>
            <w:vAlign w:val="bottom"/>
          </w:tcPr>
          <w:p>
            <w:pPr>
              <w:jc w:val="right"/>
              <w:ind w:right="312"/>
              <w:spacing w:after="0"/>
              <w:rPr>
                <w:sz w:val="20"/>
                <w:szCs w:val="20"/>
                <w:color w:val="auto"/>
              </w:rPr>
            </w:pPr>
            <w:r>
              <w:rPr>
                <w:rFonts w:ascii="Arial" w:cs="Arial" w:eastAsia="Arial" w:hAnsi="Arial"/>
                <w:sz w:val="14"/>
                <w:szCs w:val="14"/>
                <w:b w:val="1"/>
                <w:bCs w:val="1"/>
                <w:color w:val="auto"/>
              </w:rPr>
              <w:t>Outstanding(2)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AIG DKR Sandshore Strategic Holding</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 Ltd.</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169,664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Arbitex Master Fund, L.P.</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3,647,776</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Forest Fulcrum Fund L.L.P.</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2,575,000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218,442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Forest Global Convertible Fund Series A-</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7,146,000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606,209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KBC Financial Products (Cayman</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gridSpan w:val="3"/>
          </w:tcPr>
          <w:p>
            <w:pPr>
              <w:spacing w:after="0"/>
              <w:rPr>
                <w:sz w:val="20"/>
                <w:szCs w:val="20"/>
                <w:color w:val="auto"/>
              </w:rPr>
            </w:pPr>
            <w:r>
              <w:rPr>
                <w:rFonts w:ascii="Arial" w:cs="Arial" w:eastAsia="Arial" w:hAnsi="Arial"/>
                <w:sz w:val="18"/>
                <w:szCs w:val="18"/>
                <w:color w:val="auto"/>
              </w:rPr>
              <w:t>Islands) Ltd.</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16,000,000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1,357,312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Laurel Ridge Capital, LP</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636,240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Sagamore Hill Hub Fund Ltd.</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2,510,000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212,928</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Tempo Master Fund LP</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1898015</wp:posOffset>
            </wp:positionH>
            <wp:positionV relativeFrom="paragraph">
              <wp:posOffset>-1815465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-1815465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-1815465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-1815465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-1815465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-1815465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-1815465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-1815465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-1815465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-1815465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4"/>
          <w:szCs w:val="24"/>
          <w:color w:val="auto"/>
        </w:rPr>
      </w:pPr>
    </w:p>
    <w:p>
      <w:pPr>
        <w:jc w:val="both"/>
        <w:ind w:left="540" w:right="4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conversion of all of the holder's notes at a conversion price of $11.79 per share of common stock. However, this conversion price will be subject to adjustment as described under "Description of the Notes-Conversion Rights." As a result, the amount of common stock issuable upon conversion of the notes may increase or decrease in the future.</w:t>
      </w:r>
    </w:p>
    <w:p>
      <w:pPr>
        <w:spacing w:after="0" w:line="207"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based on Rule 13d-3(d)(i) of the Exchange Act using 609,133,723 shares of common stock outstanding as of October 31, 2003. In calculating this amount, we treated as outstanding the number of shares of common stock issuable upon conversion of all of that particular holder's notes. However, we did not assume the conversion of any other holder's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6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2019-12-13T13:29:50Z</dcterms:created>
  <dcterms:modified xsi:type="dcterms:W3CDTF">2019-12-13T13:29:50Z</dcterms:modified>
</cp:coreProperties>
</file>