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_________</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UNITED STATES</w:t>
      </w:r>
    </w:p>
    <w:p>
      <w:pPr>
        <w:spacing w:after="0" w:line="33" w:lineRule="exact"/>
        <w:rPr>
          <w:sz w:val="24"/>
          <w:szCs w:val="24"/>
          <w:color w:val="auto"/>
        </w:rPr>
      </w:pPr>
    </w:p>
    <w:p>
      <w:pPr>
        <w:ind w:left="20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0"/>
        <w:spacing w:after="0"/>
        <w:tabs>
          <w:tab w:leader="none" w:pos="4060" w:val="left"/>
        </w:tabs>
        <w:rPr>
          <w:sz w:val="20"/>
          <w:szCs w:val="20"/>
          <w:color w:val="auto"/>
        </w:rPr>
      </w:pPr>
      <w:r>
        <w:rPr>
          <w:rFonts w:ascii="Courier New" w:cs="Courier New" w:eastAsia="Courier New" w:hAnsi="Courier New"/>
          <w:sz w:val="15"/>
          <w:szCs w:val="15"/>
          <w:color w:val="auto"/>
        </w:rPr>
        <w:t>Washington, DC</w:t>
        <w:tab/>
        <w:t>20549</w:t>
      </w:r>
    </w:p>
    <w:p>
      <w:pPr>
        <w:spacing w:after="0" w:line="152"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_________</w:t>
      </w:r>
    </w:p>
    <w:p>
      <w:pPr>
        <w:spacing w:after="0" w:line="180" w:lineRule="exact"/>
        <w:rPr>
          <w:sz w:val="24"/>
          <w:szCs w:val="24"/>
          <w:color w:val="auto"/>
        </w:rPr>
      </w:pPr>
    </w:p>
    <w:p>
      <w:pPr>
        <w:ind w:left="2620" w:right="3419" w:hanging="2354"/>
        <w:spacing w:after="0" w:line="368" w:lineRule="auto"/>
        <w:tabs>
          <w:tab w:leader="none" w:pos="7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the quarter period ended June 3, 1999</w:t>
      </w:r>
    </w:p>
    <w:p>
      <w:pPr>
        <w:spacing w:after="0" w:line="180" w:lineRule="exact"/>
        <w:rPr>
          <w:sz w:val="24"/>
          <w:szCs w:val="24"/>
          <w:color w:val="auto"/>
        </w:rPr>
      </w:pPr>
    </w:p>
    <w:p>
      <w:pPr>
        <w:ind w:left="3440"/>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jc w:val="center"/>
        <w:ind w:left="2620" w:right="3419" w:hanging="2354"/>
        <w:spacing w:after="0" w:line="368" w:lineRule="auto"/>
        <w:tabs>
          <w:tab w:leader="none" w:pos="43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3"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_________</w:t>
      </w:r>
    </w:p>
    <w:p>
      <w:pPr>
        <w:spacing w:after="0" w:line="354" w:lineRule="exact"/>
        <w:rPr>
          <w:sz w:val="24"/>
          <w:szCs w:val="24"/>
          <w:color w:val="auto"/>
        </w:rPr>
      </w:pPr>
    </w:p>
    <w:p>
      <w:pPr>
        <w:ind w:left="2080"/>
        <w:spacing w:after="0"/>
        <w:tabs>
          <w:tab w:leader="none" w:pos="4340" w:val="left"/>
        </w:tabs>
        <w:rPr>
          <w:sz w:val="20"/>
          <w:szCs w:val="20"/>
          <w:color w:val="auto"/>
        </w:rPr>
      </w:pPr>
      <w:r>
        <w:rPr>
          <w:rFonts w:ascii="Courier New" w:cs="Courier New" w:eastAsia="Courier New" w:hAnsi="Courier New"/>
          <w:sz w:val="15"/>
          <w:szCs w:val="15"/>
          <w:color w:val="auto"/>
        </w:rPr>
        <w:t>Commission File Number:</w:t>
        <w:tab/>
        <w:t>1-10658</w:t>
      </w:r>
    </w:p>
    <w:p>
      <w:pPr>
        <w:spacing w:after="0" w:line="180"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354" w:lineRule="exact"/>
        <w:rPr>
          <w:sz w:val="24"/>
          <w:szCs w:val="24"/>
          <w:color w:val="auto"/>
        </w:rPr>
      </w:pPr>
    </w:p>
    <w:p>
      <w:pPr>
        <w:jc w:val="center"/>
        <w:ind w:right="3059"/>
        <w:spacing w:after="0"/>
        <w:tabs>
          <w:tab w:leader="none" w:pos="160" w:val="left"/>
        </w:tabs>
        <w:rPr>
          <w:sz w:val="20"/>
          <w:szCs w:val="20"/>
          <w:color w:val="auto"/>
        </w:rPr>
      </w:pPr>
      <w:r>
        <w:rPr>
          <w:rFonts w:ascii="Courier New" w:cs="Courier New" w:eastAsia="Courier New" w:hAnsi="Courier New"/>
          <w:sz w:val="15"/>
          <w:szCs w:val="15"/>
          <w:color w:val="auto"/>
        </w:rPr>
        <w:t>State or other jurisdiction of incorporation or organization:</w:t>
        <w:tab/>
        <w:t>Delaware</w:t>
      </w:r>
    </w:p>
    <w:p>
      <w:pPr>
        <w:spacing w:after="0" w:line="180"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_________</w:t>
      </w:r>
    </w:p>
    <w:p>
      <w:pPr>
        <w:spacing w:after="0" w:line="35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Internal Revenue Service - Employer Identification No. 75-1618004</w:t>
      </w:r>
    </w:p>
    <w:p>
      <w:pPr>
        <w:spacing w:after="0" w:line="354" w:lineRule="exact"/>
        <w:rPr>
          <w:sz w:val="24"/>
          <w:szCs w:val="24"/>
          <w:color w:val="auto"/>
        </w:rPr>
      </w:pPr>
    </w:p>
    <w:p>
      <w:pPr>
        <w:ind w:left="1540"/>
        <w:spacing w:after="0"/>
        <w:tabs>
          <w:tab w:leader="none" w:pos="4700" w:val="left"/>
        </w:tabs>
        <w:rPr>
          <w:sz w:val="20"/>
          <w:szCs w:val="20"/>
          <w:color w:val="auto"/>
        </w:rPr>
      </w:pPr>
      <w:r>
        <w:rPr>
          <w:rFonts w:ascii="Courier New" w:cs="Courier New" w:eastAsia="Courier New" w:hAnsi="Courier New"/>
          <w:sz w:val="15"/>
          <w:szCs w:val="15"/>
          <w:color w:val="auto"/>
        </w:rPr>
        <w:t>8000 S. Federal Way, Boise, Idaho</w:t>
      </w:r>
      <w:r>
        <w:rPr>
          <w:sz w:val="20"/>
          <w:szCs w:val="20"/>
          <w:color w:val="auto"/>
        </w:rPr>
        <w:tab/>
      </w:r>
      <w:r>
        <w:rPr>
          <w:rFonts w:ascii="Courier New" w:cs="Courier New" w:eastAsia="Courier New" w:hAnsi="Courier New"/>
          <w:sz w:val="14"/>
          <w:szCs w:val="14"/>
          <w:color w:val="auto"/>
        </w:rPr>
        <w:t>83716-9632</w:t>
      </w:r>
    </w:p>
    <w:p>
      <w:pPr>
        <w:spacing w:after="0" w:line="33" w:lineRule="exact"/>
        <w:rPr>
          <w:sz w:val="24"/>
          <w:szCs w:val="24"/>
          <w:color w:val="auto"/>
        </w:rPr>
      </w:pPr>
    </w:p>
    <w:p>
      <w:pPr>
        <w:ind w:left="3440" w:hanging="539"/>
        <w:spacing w:after="0"/>
        <w:tabs>
          <w:tab w:leader="none" w:pos="3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368-4000</w:t>
      </w:r>
    </w:p>
    <w:p>
      <w:pPr>
        <w:spacing w:after="0" w:line="151" w:lineRule="exact"/>
        <w:rPr>
          <w:rFonts w:ascii="Courier New" w:cs="Courier New" w:eastAsia="Courier New" w:hAnsi="Courier New"/>
          <w:sz w:val="15"/>
          <w:szCs w:val="15"/>
          <w:color w:val="auto"/>
        </w:rPr>
      </w:pP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w:t>
      </w:r>
    </w:p>
    <w:p>
      <w:pPr>
        <w:spacing w:after="0" w:line="180" w:lineRule="exact"/>
        <w:rPr>
          <w:sz w:val="24"/>
          <w:szCs w:val="24"/>
          <w:color w:val="auto"/>
        </w:rPr>
      </w:pPr>
    </w:p>
    <w:p>
      <w:pPr>
        <w:ind w:right="3039" w:firstLine="454"/>
        <w:spacing w:after="0" w:line="25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 w:lineRule="exact"/>
        <w:rPr>
          <w:sz w:val="24"/>
          <w:szCs w:val="24"/>
          <w:color w:val="auto"/>
        </w:rPr>
      </w:pPr>
    </w:p>
    <w:p>
      <w:pPr>
        <w:spacing w:after="0"/>
        <w:tabs>
          <w:tab w:leader="none" w:pos="4240" w:val="left"/>
          <w:tab w:leader="none" w:pos="4700" w:val="left"/>
        </w:tabs>
        <w:rPr>
          <w:sz w:val="20"/>
          <w:szCs w:val="20"/>
          <w:color w:val="auto"/>
        </w:rPr>
      </w:pPr>
      <w:r>
        <w:rPr>
          <w:rFonts w:ascii="Courier New" w:cs="Courier New" w:eastAsia="Courier New" w:hAnsi="Courier New"/>
          <w:sz w:val="15"/>
          <w:szCs w:val="15"/>
          <w:color w:val="auto"/>
        </w:rPr>
        <w:t>filing requirements for the past 90 days. Yes</w:t>
        <w:tab/>
        <w:t>X</w:t>
      </w:r>
      <w:r>
        <w:rPr>
          <w:sz w:val="20"/>
          <w:szCs w:val="20"/>
          <w:color w:val="auto"/>
        </w:rPr>
        <w:tab/>
      </w:r>
      <w:r>
        <w:rPr>
          <w:rFonts w:ascii="Courier New" w:cs="Courier New" w:eastAsia="Courier New" w:hAnsi="Courier New"/>
          <w:sz w:val="14"/>
          <w:szCs w:val="14"/>
          <w:color w:val="auto"/>
        </w:rPr>
        <w:t>No ___</w:t>
      </w:r>
    </w:p>
    <w:p>
      <w:pPr>
        <w:spacing w:after="0" w:line="5" w:lineRule="exact"/>
        <w:rPr>
          <w:sz w:val="24"/>
          <w:szCs w:val="24"/>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4"/>
          <w:szCs w:val="24"/>
          <w:color w:val="auto"/>
        </w:rPr>
      </w:pPr>
    </w:p>
    <w:p>
      <w:pPr>
        <w:jc w:val="both"/>
        <w:ind w:right="3039" w:firstLine="273"/>
        <w:spacing w:after="0" w:line="307" w:lineRule="auto"/>
        <w:rPr>
          <w:sz w:val="20"/>
          <w:szCs w:val="20"/>
          <w:color w:val="auto"/>
        </w:rPr>
      </w:pPr>
      <w:r>
        <w:rPr>
          <w:rFonts w:ascii="Courier New" w:cs="Courier New" w:eastAsia="Courier New" w:hAnsi="Courier New"/>
          <w:sz w:val="15"/>
          <w:szCs w:val="15"/>
          <w:color w:val="auto"/>
        </w:rPr>
        <w:t>The number of outstanding shares of the registrant's Common Stock as of July 8, 1999 was 250,777,049 shares of Common Stock and 15,810,277 shares of Class A Common Stock.</w:t>
      </w:r>
    </w:p>
    <w:p>
      <w:pPr>
        <w:sectPr>
          <w:pgSz w:w="11900" w:h="16838" w:orient="portrait"/>
          <w:cols w:equalWidth="0" w:num="1">
            <w:col w:w="10219"/>
          </w:cols>
          <w:pgMar w:left="240" w:top="556" w:right="1440" w:bottom="1440" w:gutter="0" w:footer="0" w:header="0"/>
        </w:sectPr>
      </w:pPr>
    </w:p>
    <w:bookmarkStart w:id="1" w:name="page2"/>
    <w:bookmarkEnd w:id="1"/>
    <w:tbl>
      <w:tblPr>
        <w:tblLayout w:type="fixed"/>
        <w:tblInd w:w="7" w:type="dxa"/>
        <w:tblCellMar>
          <w:top w:w="0" w:type="dxa"/>
          <w:left w:w="0" w:type="dxa"/>
          <w:bottom w:w="0" w:type="dxa"/>
          <w:right w:w="0" w:type="dxa"/>
        </w:tblCellMar>
      </w:tblPr>
      <w:tr>
        <w:trPr>
          <w:trHeight w:val="256"/>
        </w:trPr>
        <w:tc>
          <w:tcPr>
            <w:tcW w:w="744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Part I.  FINANCIAL INFORMATION</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220" w:type="dxa"/>
            <w:vAlign w:val="bottom"/>
          </w:tcPr>
          <w:p>
            <w:pPr>
              <w:spacing w:after="0"/>
              <w:rPr>
                <w:sz w:val="20"/>
                <w:szCs w:val="20"/>
                <w:color w:val="auto"/>
              </w:rPr>
            </w:pPr>
            <w:r>
              <w:rPr>
                <w:rFonts w:ascii="Courier New" w:cs="Courier New" w:eastAsia="Courier New" w:hAnsi="Courier New"/>
                <w:sz w:val="15"/>
                <w:szCs w:val="15"/>
                <w:color w:val="auto"/>
              </w:rPr>
              <w:t>Item 1.  Financial Statements</w:t>
            </w:r>
          </w:p>
        </w:tc>
        <w:tc>
          <w:tcPr>
            <w:tcW w:w="3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MICRON TECHNOLOGY,</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Consolidated Balance</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Sheets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(Dollars in millions, except</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for par value)</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As of</w:t>
            </w:r>
          </w:p>
        </w:tc>
        <w:tc>
          <w:tcPr>
            <w:tcW w:w="3220" w:type="dxa"/>
            <w:vAlign w:val="bottom"/>
          </w:tcPr>
          <w:p>
            <w:pPr>
              <w:ind w:left="2320"/>
              <w:spacing w:after="0"/>
              <w:rPr>
                <w:sz w:val="20"/>
                <w:szCs w:val="20"/>
                <w:color w:val="auto"/>
              </w:rPr>
            </w:pPr>
            <w:r>
              <w:rPr>
                <w:rFonts w:ascii="Courier New" w:cs="Courier New" w:eastAsia="Courier New" w:hAnsi="Courier New"/>
                <w:sz w:val="15"/>
                <w:szCs w:val="15"/>
                <w:color w:val="auto"/>
              </w:rPr>
              <w:t>June 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September 3,</w:t>
            </w: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3220" w:type="dxa"/>
            <w:vAlign w:val="bottom"/>
          </w:tcPr>
          <w:p>
            <w:pPr>
              <w:ind w:left="2400"/>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bl>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350.6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558.8</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and equivalents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Liquid investments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1,309.9</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90.8</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561.5</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489.5</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441.5</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291.6</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18.5</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72.8</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61.7</w:t>
            </w:r>
          </w:p>
        </w:tc>
        <w:tc>
          <w:tcPr>
            <w:tcW w:w="0" w:type="dxa"/>
            <w:vAlign w:val="bottom"/>
          </w:tcPr>
          <w:p>
            <w:pPr>
              <w:spacing w:after="0"/>
              <w:rPr>
                <w:sz w:val="1"/>
                <w:szCs w:val="1"/>
                <w:color w:val="auto"/>
              </w:rPr>
            </w:pPr>
          </w:p>
        </w:tc>
      </w:tr>
      <w:tr>
        <w:trPr>
          <w:trHeight w:val="175"/>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6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2,754.8</w:t>
            </w:r>
          </w:p>
        </w:tc>
        <w:tc>
          <w:tcPr>
            <w:tcW w:w="3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1,500.9</w:t>
            </w:r>
          </w:p>
        </w:tc>
        <w:tc>
          <w:tcPr>
            <w:tcW w:w="0" w:type="dxa"/>
            <w:vAlign w:val="bottom"/>
          </w:tcPr>
          <w:p>
            <w:pPr>
              <w:spacing w:after="0"/>
              <w:rPr>
                <w:sz w:val="1"/>
                <w:szCs w:val="1"/>
                <w:color w:val="auto"/>
              </w:rPr>
            </w:pPr>
          </w:p>
        </w:tc>
      </w:tr>
      <w:tr>
        <w:trPr>
          <w:trHeight w:val="268"/>
        </w:trPr>
        <w:tc>
          <w:tcPr>
            <w:tcW w:w="626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net</w:t>
            </w:r>
          </w:p>
        </w:tc>
        <w:tc>
          <w:tcPr>
            <w:tcW w:w="180" w:type="dxa"/>
            <w:vAlign w:val="bottom"/>
          </w:tcPr>
          <w:p>
            <w:pPr>
              <w:spacing w:after="0"/>
              <w:rPr>
                <w:sz w:val="23"/>
                <w:szCs w:val="23"/>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213.8</w:t>
            </w:r>
          </w:p>
        </w:tc>
        <w:tc>
          <w:tcPr>
            <w:tcW w:w="36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84.9</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3,644.5</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3,035.3</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172.5</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82.4</w:t>
            </w:r>
          </w:p>
        </w:tc>
        <w:tc>
          <w:tcPr>
            <w:tcW w:w="0" w:type="dxa"/>
            <w:vAlign w:val="bottom"/>
          </w:tcPr>
          <w:p>
            <w:pPr>
              <w:spacing w:after="0"/>
              <w:rPr>
                <w:sz w:val="1"/>
                <w:szCs w:val="1"/>
                <w:color w:val="auto"/>
              </w:rPr>
            </w:pPr>
          </w:p>
        </w:tc>
      </w:tr>
      <w:tr>
        <w:trPr>
          <w:trHeight w:val="175"/>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260" w:type="dxa"/>
            <w:vAlign w:val="bottom"/>
            <w:vMerge w:val="continue"/>
          </w:tcPr>
          <w:p>
            <w:pPr>
              <w:spacing w:after="0"/>
              <w:rPr>
                <w:sz w:val="15"/>
                <w:szCs w:val="15"/>
                <w:color w:val="auto"/>
              </w:rPr>
            </w:pP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$6,785.6</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$4,703.5</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2"/>
                <w:szCs w:val="22"/>
                <w:color w:val="auto"/>
              </w:rPr>
            </w:pP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2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597.3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460.7</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Equipment purchase contracts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81.8</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168.8</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105.2</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98.6</w:t>
            </w:r>
          </w:p>
        </w:tc>
        <w:tc>
          <w:tcPr>
            <w:tcW w:w="0" w:type="dxa"/>
            <w:vAlign w:val="bottom"/>
          </w:tcPr>
          <w:p>
            <w:pPr>
              <w:spacing w:after="0"/>
              <w:rPr>
                <w:sz w:val="1"/>
                <w:szCs w:val="1"/>
                <w:color w:val="auto"/>
              </w:rPr>
            </w:pPr>
          </w:p>
        </w:tc>
      </w:tr>
      <w:tr>
        <w:trPr>
          <w:trHeight w:val="175"/>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6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797.3</w:t>
            </w:r>
          </w:p>
        </w:tc>
        <w:tc>
          <w:tcPr>
            <w:tcW w:w="3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745.7</w:t>
            </w:r>
          </w:p>
        </w:tc>
        <w:tc>
          <w:tcPr>
            <w:tcW w:w="0" w:type="dxa"/>
            <w:vAlign w:val="bottom"/>
          </w:tcPr>
          <w:p>
            <w:pPr>
              <w:spacing w:after="0"/>
              <w:rPr>
                <w:sz w:val="1"/>
                <w:szCs w:val="1"/>
                <w:color w:val="auto"/>
              </w:rPr>
            </w:pPr>
          </w:p>
        </w:tc>
      </w:tr>
      <w:tr>
        <w:trPr>
          <w:trHeight w:val="268"/>
        </w:trPr>
        <w:tc>
          <w:tcPr>
            <w:tcW w:w="62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23"/>
                <w:szCs w:val="23"/>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1,553.6</w:t>
            </w:r>
          </w:p>
        </w:tc>
        <w:tc>
          <w:tcPr>
            <w:tcW w:w="36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758.8</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264.3</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284.2</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82.0</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61.4</w:t>
            </w:r>
          </w:p>
        </w:tc>
        <w:tc>
          <w:tcPr>
            <w:tcW w:w="0" w:type="dxa"/>
            <w:vAlign w:val="bottom"/>
          </w:tcPr>
          <w:p>
            <w:pPr>
              <w:spacing w:after="0"/>
              <w:rPr>
                <w:sz w:val="1"/>
                <w:szCs w:val="1"/>
                <w:color w:val="auto"/>
              </w:rPr>
            </w:pPr>
          </w:p>
        </w:tc>
      </w:tr>
      <w:tr>
        <w:trPr>
          <w:trHeight w:val="175"/>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2,697.2</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1,850.1</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2"/>
                <w:szCs w:val="22"/>
                <w:color w:val="auto"/>
              </w:rPr>
            </w:pP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8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162.9</w:t>
            </w:r>
          </w:p>
        </w:tc>
        <w:tc>
          <w:tcPr>
            <w:tcW w:w="36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152.1</w:t>
            </w:r>
          </w:p>
        </w:tc>
        <w:tc>
          <w:tcPr>
            <w:tcW w:w="0" w:type="dxa"/>
            <w:vAlign w:val="bottom"/>
          </w:tcPr>
          <w:p>
            <w:pPr>
              <w:spacing w:after="0"/>
              <w:rPr>
                <w:sz w:val="1"/>
                <w:szCs w:val="1"/>
                <w:color w:val="auto"/>
              </w:rPr>
            </w:pP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 1.0 billion shares, issued</w:t>
            </w:r>
          </w:p>
        </w:tc>
        <w:tc>
          <w:tcPr>
            <w:tcW w:w="180" w:type="dxa"/>
            <w:vAlign w:val="bottom"/>
          </w:tcPr>
          <w:p>
            <w:pPr>
              <w:spacing w:after="0"/>
              <w:rPr>
                <w:sz w:val="23"/>
                <w:szCs w:val="23"/>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spacing w:after="0"/>
              <w:rPr>
                <w:sz w:val="23"/>
                <w:szCs w:val="23"/>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175"/>
        </w:trPr>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250.6 million and 217.1 million shares respectively</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Class A Common Stock, $0.10 par value, authorized 32 million shares,</w:t>
            </w:r>
          </w:p>
        </w:tc>
        <w:tc>
          <w:tcPr>
            <w:tcW w:w="180" w:type="dxa"/>
            <w:vAlign w:val="bottom"/>
          </w:tcPr>
          <w:p>
            <w:pPr>
              <w:spacing w:after="0"/>
              <w:rPr>
                <w:sz w:val="15"/>
                <w:szCs w:val="15"/>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issued and outstanding 15.8 million shares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1,837.4</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565.4</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2,062.9</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2,114.3</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5"/>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shareholders' equity</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3,925.5</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2,701.3</w:t>
            </w:r>
          </w:p>
        </w:tc>
        <w:tc>
          <w:tcPr>
            <w:tcW w:w="0" w:type="dxa"/>
            <w:vAlign w:val="bottom"/>
          </w:tcPr>
          <w:p>
            <w:pPr>
              <w:spacing w:after="0"/>
              <w:rPr>
                <w:sz w:val="1"/>
                <w:szCs w:val="1"/>
                <w:color w:val="auto"/>
              </w:rPr>
            </w:pPr>
          </w:p>
        </w:tc>
      </w:tr>
      <w:tr>
        <w:trPr>
          <w:trHeight w:val="175"/>
        </w:trPr>
        <w:tc>
          <w:tcPr>
            <w:tcW w:w="6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260" w:type="dxa"/>
            <w:vAlign w:val="bottom"/>
            <w:vMerge w:val="continue"/>
          </w:tcPr>
          <w:p>
            <w:pPr>
              <w:spacing w:after="0"/>
              <w:rPr>
                <w:sz w:val="15"/>
                <w:szCs w:val="15"/>
                <w:color w:val="auto"/>
              </w:rPr>
            </w:pP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$6,785.6</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$4,703.5</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2"/>
                <w:szCs w:val="22"/>
                <w:color w:val="auto"/>
              </w:rPr>
            </w:pP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3419"/>
        <w:spacing w:after="0" w:line="266"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614"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(Amounts in millions, except for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00" w:type="dxa"/>
            <w:vAlign w:val="bottom"/>
          </w:tcPr>
          <w:p>
            <w:pPr>
              <w:spacing w:after="0"/>
              <w:rPr>
                <w:sz w:val="22"/>
                <w:szCs w:val="22"/>
                <w:color w:val="auto"/>
              </w:rPr>
            </w:pPr>
          </w:p>
        </w:tc>
        <w:tc>
          <w:tcPr>
            <w:tcW w:w="4860" w:type="dxa"/>
            <w:vAlign w:val="bottom"/>
          </w:tcPr>
          <w:p>
            <w:pPr>
              <w:jc w:val="right"/>
              <w:ind w:right="3204"/>
              <w:spacing w:after="0"/>
              <w:rPr>
                <w:sz w:val="20"/>
                <w:szCs w:val="20"/>
                <w:color w:val="auto"/>
              </w:rPr>
            </w:pPr>
            <w:r>
              <w:rPr>
                <w:rFonts w:ascii="Courier New" w:cs="Courier New" w:eastAsia="Courier New" w:hAnsi="Courier New"/>
                <w:sz w:val="15"/>
                <w:szCs w:val="15"/>
                <w:color w:val="auto"/>
              </w:rPr>
              <w:t>(Unaudited)</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For the quarter ended</w:t>
            </w:r>
          </w:p>
        </w:tc>
        <w:tc>
          <w:tcPr>
            <w:tcW w:w="4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May 28,</w:t>
            </w:r>
          </w:p>
        </w:tc>
        <w:tc>
          <w:tcPr>
            <w:tcW w:w="0" w:type="dxa"/>
            <w:vAlign w:val="bottom"/>
          </w:tcPr>
          <w:p>
            <w:pPr>
              <w:spacing w:after="0"/>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48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$ 863.8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612.7</w:t>
            </w:r>
          </w:p>
        </w:tc>
        <w:tc>
          <w:tcPr>
            <w:tcW w:w="0" w:type="dxa"/>
            <w:vAlign w:val="bottom"/>
          </w:tcPr>
          <w:p>
            <w:pPr>
              <w:spacing w:after="0"/>
              <w:rPr>
                <w:sz w:val="1"/>
                <w:szCs w:val="1"/>
                <w:color w:val="auto"/>
              </w:rPr>
            </w:pPr>
          </w:p>
        </w:tc>
      </w:tr>
      <w:tr>
        <w:trPr>
          <w:trHeight w:val="25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Costs and expenses:</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360" w:type="dxa"/>
            <w:vAlign w:val="bottom"/>
            <w:vMerge w:val="continue"/>
          </w:tcPr>
          <w:p>
            <w:pPr>
              <w:spacing w:after="0"/>
              <w:rPr>
                <w:sz w:val="8"/>
                <w:szCs w:val="8"/>
                <w:color w:val="auto"/>
              </w:rPr>
            </w:pPr>
          </w:p>
        </w:tc>
        <w:tc>
          <w:tcPr>
            <w:tcW w:w="20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674.8</w:t>
            </w:r>
          </w:p>
        </w:tc>
        <w:tc>
          <w:tcPr>
            <w:tcW w:w="460" w:type="dxa"/>
            <w:vAlign w:val="bottom"/>
          </w:tcPr>
          <w:p>
            <w:pPr>
              <w:spacing w:after="0"/>
              <w:rPr>
                <w:sz w:val="8"/>
                <w:szCs w:val="8"/>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606.0</w:t>
            </w:r>
          </w:p>
        </w:tc>
        <w:tc>
          <w:tcPr>
            <w:tcW w:w="0" w:type="dxa"/>
            <w:vAlign w:val="bottom"/>
          </w:tcPr>
          <w:p>
            <w:pPr>
              <w:spacing w:after="0"/>
              <w:rPr>
                <w:sz w:val="1"/>
                <w:szCs w:val="1"/>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Cost of goods sold</w:t>
            </w:r>
          </w:p>
        </w:tc>
        <w:tc>
          <w:tcPr>
            <w:tcW w:w="2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124.1</w:t>
            </w:r>
          </w:p>
        </w:tc>
        <w:tc>
          <w:tcPr>
            <w:tcW w:w="4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111.4</w:t>
            </w:r>
          </w:p>
        </w:tc>
        <w:tc>
          <w:tcPr>
            <w:tcW w:w="0" w:type="dxa"/>
            <w:vAlign w:val="bottom"/>
          </w:tcPr>
          <w:p>
            <w:pPr>
              <w:spacing w:after="0"/>
              <w:rPr>
                <w:sz w:val="1"/>
                <w:szCs w:val="1"/>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81.6</w:t>
            </w:r>
          </w:p>
        </w:tc>
        <w:tc>
          <w:tcPr>
            <w:tcW w:w="4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70.7</w:t>
            </w:r>
          </w:p>
        </w:tc>
        <w:tc>
          <w:tcPr>
            <w:tcW w:w="0" w:type="dxa"/>
            <w:vAlign w:val="bottom"/>
          </w:tcPr>
          <w:p>
            <w:pPr>
              <w:spacing w:after="0"/>
              <w:rPr>
                <w:sz w:val="1"/>
                <w:szCs w:val="1"/>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expense, net</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11.1</w:t>
            </w:r>
          </w:p>
        </w:tc>
        <w:tc>
          <w:tcPr>
            <w:tcW w:w="4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53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costs and expenses</w:t>
            </w:r>
          </w:p>
        </w:tc>
        <w:tc>
          <w:tcPr>
            <w:tcW w:w="20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bscript"/>
              </w:rPr>
              <w:t>891.6</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6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791.5</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(27.8)</w:t>
            </w:r>
          </w:p>
        </w:tc>
        <w:tc>
          <w:tcPr>
            <w:tcW w:w="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(178.8)</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Gain on issuance of subsidiary stock, net</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w:t>
            </w:r>
          </w:p>
        </w:tc>
        <w:tc>
          <w:tcPr>
            <w:tcW w:w="4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5"/>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income taxes and minority interests</w:t>
            </w:r>
          </w:p>
        </w:tc>
        <w:tc>
          <w:tcPr>
            <w:tcW w:w="2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bscript"/>
              </w:rPr>
              <w:t>(42.2)</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360" w:type="dxa"/>
            <w:vAlign w:val="bottom"/>
            <w:vMerge w:val="continue"/>
          </w:tcPr>
          <w:p>
            <w:pPr>
              <w:spacing w:after="0"/>
              <w:rPr>
                <w:sz w:val="23"/>
                <w:szCs w:val="23"/>
                <w:color w:val="auto"/>
              </w:rPr>
            </w:pPr>
          </w:p>
        </w:tc>
        <w:tc>
          <w:tcPr>
            <w:tcW w:w="204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(178.1)</w:t>
            </w:r>
          </w:p>
        </w:tc>
        <w:tc>
          <w:tcPr>
            <w:tcW w:w="0" w:type="dxa"/>
            <w:vAlign w:val="bottom"/>
          </w:tcPr>
          <w:p>
            <w:pPr>
              <w:spacing w:after="0"/>
              <w:rPr>
                <w:sz w:val="1"/>
                <w:szCs w:val="1"/>
                <w:color w:val="auto"/>
              </w:rPr>
            </w:pPr>
          </w:p>
        </w:tc>
      </w:tr>
      <w:tr>
        <w:trPr>
          <w:trHeight w:val="335"/>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17.1</w:t>
            </w:r>
          </w:p>
        </w:tc>
        <w:tc>
          <w:tcPr>
            <w:tcW w:w="46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70.8</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w:t>
            </w:r>
          </w:p>
        </w:tc>
        <w:tc>
          <w:tcPr>
            <w:tcW w:w="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2040" w:type="dxa"/>
            <w:vAlign w:val="bottom"/>
            <w:vMerge w:val="restart"/>
          </w:tcPr>
          <w:p>
            <w:pPr>
              <w:jc w:val="right"/>
              <w:ind w:right="244"/>
              <w:spacing w:after="0"/>
              <w:rPr>
                <w:sz w:val="20"/>
                <w:szCs w:val="20"/>
                <w:color w:val="auto"/>
              </w:rPr>
            </w:pPr>
            <w:r>
              <w:rPr>
                <w:rFonts w:ascii="Courier New" w:cs="Courier New" w:eastAsia="Courier New" w:hAnsi="Courier New"/>
                <w:sz w:val="30"/>
                <w:szCs w:val="30"/>
                <w:color w:val="auto"/>
                <w:vertAlign w:val="subscript"/>
              </w:rPr>
              <w:t>$</w:t>
            </w: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bscript"/>
              </w:rPr>
              <w:t>(27.7)</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6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(109.4)</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2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(0.10)</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(0.51)</w:t>
            </w:r>
          </w:p>
        </w:tc>
        <w:tc>
          <w:tcPr>
            <w:tcW w:w="0" w:type="dxa"/>
            <w:vAlign w:val="bottom"/>
          </w:tcPr>
          <w:p>
            <w:pPr>
              <w:spacing w:after="0"/>
              <w:rPr>
                <w:sz w:val="1"/>
                <w:szCs w:val="1"/>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0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(0.10)</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20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266.3</w:t>
            </w:r>
          </w:p>
        </w:tc>
        <w:tc>
          <w:tcPr>
            <w:tcW w:w="460" w:type="dxa"/>
            <w:vAlign w:val="bottom"/>
          </w:tcPr>
          <w:p>
            <w:pPr>
              <w:spacing w:after="0"/>
              <w:rPr>
                <w:sz w:val="23"/>
                <w:szCs w:val="23"/>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215.8</w:t>
            </w:r>
          </w:p>
        </w:tc>
        <w:tc>
          <w:tcPr>
            <w:tcW w:w="0" w:type="dxa"/>
            <w:vAlign w:val="bottom"/>
          </w:tcPr>
          <w:p>
            <w:pPr>
              <w:spacing w:after="0"/>
              <w:rPr>
                <w:sz w:val="1"/>
                <w:szCs w:val="1"/>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266.3</w:t>
            </w:r>
          </w:p>
        </w:tc>
        <w:tc>
          <w:tcPr>
            <w:tcW w:w="460" w:type="dxa"/>
            <w:vAlign w:val="bottom"/>
          </w:tcPr>
          <w:p>
            <w:pPr>
              <w:spacing w:after="0"/>
              <w:rPr>
                <w:sz w:val="22"/>
                <w:szCs w:val="22"/>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215.8</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5" w:right="1440" w:bottom="144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(Amounts in millions, except for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80" w:type="dxa"/>
            <w:vAlign w:val="bottom"/>
          </w:tcPr>
          <w:p>
            <w:pPr>
              <w:spacing w:after="0"/>
              <w:rPr>
                <w:sz w:val="22"/>
                <w:szCs w:val="22"/>
                <w:color w:val="auto"/>
              </w:rPr>
            </w:pPr>
          </w:p>
        </w:tc>
        <w:tc>
          <w:tcPr>
            <w:tcW w:w="4720" w:type="dxa"/>
            <w:vAlign w:val="bottom"/>
          </w:tcPr>
          <w:p>
            <w:pPr>
              <w:jc w:val="right"/>
              <w:ind w:right="3244"/>
              <w:spacing w:after="0"/>
              <w:rPr>
                <w:sz w:val="20"/>
                <w:szCs w:val="20"/>
                <w:color w:val="auto"/>
              </w:rPr>
            </w:pPr>
            <w:r>
              <w:rPr>
                <w:rFonts w:ascii="Courier New" w:cs="Courier New" w:eastAsia="Courier New" w:hAnsi="Courier New"/>
                <w:sz w:val="15"/>
                <w:szCs w:val="15"/>
                <w:color w:val="auto"/>
              </w:rPr>
              <w:t>(Unaudited)</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nine months ended</w:t>
            </w:r>
          </w:p>
        </w:tc>
        <w:tc>
          <w:tcPr>
            <w:tcW w:w="47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June 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May 28,</w:t>
            </w:r>
          </w:p>
        </w:tc>
        <w:tc>
          <w:tcPr>
            <w:tcW w:w="0" w:type="dxa"/>
            <w:vAlign w:val="bottom"/>
          </w:tcPr>
          <w:p>
            <w:pPr>
              <w:spacing w:after="0"/>
              <w:rPr>
                <w:sz w:val="1"/>
                <w:szCs w:val="1"/>
                <w:color w:val="auto"/>
              </w:rPr>
            </w:pPr>
          </w:p>
        </w:tc>
      </w:tr>
      <w:tr>
        <w:trPr>
          <w:trHeight w:val="203"/>
        </w:trPr>
        <w:tc>
          <w:tcPr>
            <w:tcW w:w="2680" w:type="dxa"/>
            <w:vAlign w:val="bottom"/>
            <w:vMerge w:val="continue"/>
          </w:tcPr>
          <w:p>
            <w:pPr>
              <w:spacing w:after="0"/>
              <w:rPr>
                <w:sz w:val="17"/>
                <w:szCs w:val="17"/>
                <w:color w:val="auto"/>
              </w:rPr>
            </w:pPr>
          </w:p>
        </w:tc>
        <w:tc>
          <w:tcPr>
            <w:tcW w:w="4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$2,683.2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$2,333.2</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5"/>
                <w:szCs w:val="15"/>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2,097.6</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2,093.6</w:t>
            </w:r>
          </w:p>
        </w:tc>
        <w:tc>
          <w:tcPr>
            <w:tcW w:w="0" w:type="dxa"/>
            <w:vAlign w:val="bottom"/>
          </w:tcPr>
          <w:p>
            <w:pPr>
              <w:spacing w:after="0"/>
              <w:rPr>
                <w:sz w:val="1"/>
                <w:szCs w:val="1"/>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5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376.0</w:t>
            </w:r>
          </w:p>
        </w:tc>
        <w:tc>
          <w:tcPr>
            <w:tcW w:w="0" w:type="dxa"/>
            <w:vAlign w:val="bottom"/>
          </w:tcPr>
          <w:p>
            <w:pPr>
              <w:spacing w:after="0"/>
              <w:rPr>
                <w:sz w:val="1"/>
                <w:szCs w:val="1"/>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5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234.7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209.9</w:t>
            </w:r>
          </w:p>
        </w:tc>
        <w:tc>
          <w:tcPr>
            <w:tcW w:w="0" w:type="dxa"/>
            <w:vAlign w:val="bottom"/>
          </w:tcPr>
          <w:p>
            <w:pPr>
              <w:spacing w:after="0"/>
              <w:rPr>
                <w:sz w:val="1"/>
                <w:szCs w:val="1"/>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expense, net</w:t>
            </w:r>
          </w:p>
        </w:tc>
        <w:tc>
          <w:tcPr>
            <w:tcW w:w="5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32.1</w:t>
            </w:r>
          </w:p>
        </w:tc>
        <w:tc>
          <w:tcPr>
            <w:tcW w:w="0" w:type="dxa"/>
            <w:vAlign w:val="bottom"/>
          </w:tcPr>
          <w:p>
            <w:pPr>
              <w:spacing w:after="0"/>
              <w:rPr>
                <w:sz w:val="1"/>
                <w:szCs w:val="1"/>
                <w:color w:val="auto"/>
              </w:rPr>
            </w:pPr>
          </w:p>
        </w:tc>
      </w:tr>
      <w:tr>
        <w:trPr>
          <w:trHeight w:val="175"/>
        </w:trPr>
        <w:tc>
          <w:tcPr>
            <w:tcW w:w="59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costs and expenses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72"/>
              </w:rPr>
              <w:t>--------</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2,722.3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2,711.6</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9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540" w:type="dxa"/>
            <w:vAlign w:val="bottom"/>
          </w:tcPr>
          <w:p>
            <w:pPr>
              <w:spacing w:after="0"/>
              <w:rPr>
                <w:sz w:val="23"/>
                <w:szCs w:val="23"/>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(378.4)</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Gain (loss) on sale of investments and subsidiary stock, net</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157.1</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Gain on issuance of subsidiary stock, net</w:t>
            </w:r>
          </w:p>
        </w:tc>
        <w:tc>
          <w:tcPr>
            <w:tcW w:w="5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590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income taxes and minority interests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72"/>
              </w:rPr>
              <w:t>--------</w:t>
            </w: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(71.6)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90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(219.5)</w:t>
            </w:r>
          </w:p>
        </w:tc>
        <w:tc>
          <w:tcPr>
            <w:tcW w:w="0" w:type="dxa"/>
            <w:vAlign w:val="bottom"/>
          </w:tcPr>
          <w:p>
            <w:pPr>
              <w:spacing w:after="0"/>
              <w:rPr>
                <w:sz w:val="1"/>
                <w:szCs w:val="1"/>
                <w:color w:val="auto"/>
              </w:rPr>
            </w:pP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54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77.1</w:t>
            </w:r>
          </w:p>
        </w:tc>
        <w:tc>
          <w:tcPr>
            <w:tcW w:w="0" w:type="dxa"/>
            <w:vAlign w:val="bottom"/>
          </w:tcPr>
          <w:p>
            <w:pPr>
              <w:spacing w:after="0"/>
              <w:rPr>
                <w:sz w:val="1"/>
                <w:szCs w:val="1"/>
                <w:color w:val="auto"/>
              </w:rPr>
            </w:pPr>
          </w:p>
        </w:tc>
      </w:tr>
      <w:tr>
        <w:trPr>
          <w:trHeight w:val="268"/>
        </w:trPr>
        <w:tc>
          <w:tcPr>
            <w:tcW w:w="590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540" w:type="dxa"/>
            <w:vAlign w:val="bottom"/>
          </w:tcPr>
          <w:p>
            <w:pPr>
              <w:spacing w:after="0"/>
              <w:rPr>
                <w:sz w:val="23"/>
                <w:szCs w:val="23"/>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75"/>
        </w:trPr>
        <w:tc>
          <w:tcPr>
            <w:tcW w:w="5900" w:type="dxa"/>
            <w:vAlign w:val="bottom"/>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540" w:type="dxa"/>
            <w:vAlign w:val="bottom"/>
            <w:vMerge w:val="restart"/>
          </w:tcPr>
          <w:p>
            <w:pPr>
              <w:jc w:val="right"/>
              <w:spacing w:after="0"/>
              <w:rPr>
                <w:sz w:val="20"/>
                <w:szCs w:val="20"/>
                <w:color w:val="auto"/>
              </w:rPr>
            </w:pPr>
            <w:r>
              <w:rPr>
                <w:rFonts w:ascii="Courier New" w:cs="Courier New" w:eastAsia="Courier New" w:hAnsi="Courier New"/>
                <w:sz w:val="25"/>
                <w:szCs w:val="25"/>
                <w:color w:val="auto"/>
                <w:w w:val="71"/>
                <w:vertAlign w:val="subscript"/>
              </w:rPr>
              <w:t>$</w:t>
            </w:r>
            <w:r>
              <w:rPr>
                <w:rFonts w:ascii="Courier New" w:cs="Courier New" w:eastAsia="Courier New" w:hAnsi="Courier New"/>
                <w:sz w:val="13"/>
                <w:szCs w:val="13"/>
                <w:color w:val="auto"/>
                <w:w w:val="71"/>
              </w:rPr>
              <w:t>--------</w:t>
            </w: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(51.4)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(153.8)</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90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(0.20)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(0.72)</w:t>
            </w:r>
          </w:p>
        </w:tc>
        <w:tc>
          <w:tcPr>
            <w:tcW w:w="0" w:type="dxa"/>
            <w:vAlign w:val="bottom"/>
          </w:tcPr>
          <w:p>
            <w:pPr>
              <w:spacing w:after="0"/>
              <w:rPr>
                <w:sz w:val="1"/>
                <w:szCs w:val="1"/>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5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540" w:type="dxa"/>
            <w:vAlign w:val="bottom"/>
          </w:tcPr>
          <w:p>
            <w:pPr>
              <w:spacing w:after="0"/>
              <w:rPr>
                <w:sz w:val="22"/>
                <w:szCs w:val="22"/>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c>
          <w:tcPr>
            <w:tcW w:w="0" w:type="dxa"/>
            <w:vAlign w:val="bottom"/>
          </w:tcPr>
          <w:p>
            <w:pPr>
              <w:spacing w:after="0"/>
              <w:rPr>
                <w:sz w:val="1"/>
                <w:szCs w:val="1"/>
                <w:color w:val="auto"/>
              </w:rPr>
            </w:pPr>
          </w:p>
        </w:tc>
      </w:tr>
      <w:tr>
        <w:trPr>
          <w:trHeight w:val="268"/>
        </w:trPr>
        <w:tc>
          <w:tcPr>
            <w:tcW w:w="590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540" w:type="dxa"/>
            <w:vAlign w:val="bottom"/>
          </w:tcPr>
          <w:p>
            <w:pPr>
              <w:spacing w:after="0"/>
              <w:rPr>
                <w:sz w:val="23"/>
                <w:szCs w:val="23"/>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258.8</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215.2</w:t>
            </w:r>
          </w:p>
        </w:tc>
        <w:tc>
          <w:tcPr>
            <w:tcW w:w="0" w:type="dxa"/>
            <w:vAlign w:val="bottom"/>
          </w:tcPr>
          <w:p>
            <w:pPr>
              <w:spacing w:after="0"/>
              <w:rPr>
                <w:sz w:val="1"/>
                <w:szCs w:val="1"/>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5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540" w:type="dxa"/>
            <w:vAlign w:val="bottom"/>
          </w:tcPr>
          <w:p>
            <w:pPr>
              <w:spacing w:after="0"/>
              <w:rPr>
                <w:sz w:val="22"/>
                <w:szCs w:val="22"/>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258.8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215.2</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4" w:name="page5"/>
    <w:bookmarkEnd w:id="4"/>
    <w:p>
      <w:pPr>
        <w:jc w:val="center"/>
        <w:ind w:right="3180"/>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3"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(Dollars in millions)</w:t>
      </w:r>
    </w:p>
    <w:p>
      <w:pPr>
        <w:spacing w:after="0" w:line="5"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For the nine months ended</w:t>
            </w:r>
          </w:p>
        </w:tc>
        <w:tc>
          <w:tcPr>
            <w:tcW w:w="38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June 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May 28,</w:t>
            </w:r>
          </w:p>
        </w:tc>
        <w:tc>
          <w:tcPr>
            <w:tcW w:w="0" w:type="dxa"/>
            <w:vAlign w:val="bottom"/>
          </w:tcPr>
          <w:p>
            <w:pPr>
              <w:spacing w:after="0"/>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38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(51.4)</w:t>
            </w:r>
          </w:p>
        </w:tc>
        <w:tc>
          <w:tcPr>
            <w:tcW w:w="14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(153.8)</w:t>
            </w: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0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7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5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500" w:type="dxa"/>
            <w:vAlign w:val="bottom"/>
          </w:tcPr>
          <w:p>
            <w:pPr>
              <w:spacing w:after="0"/>
              <w:rPr>
                <w:sz w:val="15"/>
                <w:szCs w:val="15"/>
                <w:color w:val="auto"/>
              </w:rPr>
            </w:pP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612.9</w:t>
            </w:r>
          </w:p>
        </w:tc>
        <w:tc>
          <w:tcPr>
            <w:tcW w:w="780" w:type="dxa"/>
            <w:vAlign w:val="bottom"/>
          </w:tcPr>
          <w:p>
            <w:pPr>
              <w:spacing w:after="0"/>
              <w:rPr>
                <w:sz w:val="15"/>
                <w:szCs w:val="15"/>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434.7</w:t>
            </w:r>
          </w:p>
        </w:tc>
        <w:tc>
          <w:tcPr>
            <w:tcW w:w="0" w:type="dxa"/>
            <w:vAlign w:val="bottom"/>
          </w:tcPr>
          <w:p>
            <w:pPr>
              <w:spacing w:after="0"/>
              <w:rPr>
                <w:sz w:val="1"/>
                <w:szCs w:val="1"/>
                <w:color w:val="auto"/>
              </w:rPr>
            </w:pP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Change in assets and liabilities, net of effects of acquisition and</w:t>
            </w: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820"/>
              <w:spacing w:after="0"/>
              <w:rPr>
                <w:sz w:val="20"/>
                <w:szCs w:val="20"/>
                <w:color w:val="auto"/>
              </w:rPr>
            </w:pPr>
            <w:r>
              <w:rPr>
                <w:rFonts w:ascii="Courier New" w:cs="Courier New" w:eastAsia="Courier New" w:hAnsi="Courier New"/>
                <w:sz w:val="15"/>
                <w:szCs w:val="15"/>
                <w:color w:val="auto"/>
              </w:rPr>
              <w:t>sale of MCMS</w:t>
            </w:r>
          </w:p>
        </w:tc>
        <w:tc>
          <w:tcPr>
            <w:tcW w:w="500" w:type="dxa"/>
            <w:vAlign w:val="bottom"/>
          </w:tcPr>
          <w:p>
            <w:pPr>
              <w:spacing w:after="0"/>
              <w:rPr>
                <w:sz w:val="15"/>
                <w:szCs w:val="15"/>
                <w:color w:val="auto"/>
              </w:rPr>
            </w:pP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32.4</w:t>
            </w:r>
          </w:p>
        </w:tc>
        <w:tc>
          <w:tcPr>
            <w:tcW w:w="780" w:type="dxa"/>
            <w:vAlign w:val="bottom"/>
          </w:tcPr>
          <w:p>
            <w:pPr>
              <w:spacing w:after="0"/>
              <w:rPr>
                <w:sz w:val="15"/>
                <w:szCs w:val="15"/>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175"/>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Decrease in receivables</w:t>
            </w: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Decrease (increase) in inventories</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(117.7)</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52.4</w:t>
            </w:r>
          </w:p>
        </w:tc>
        <w:tc>
          <w:tcPr>
            <w:tcW w:w="0" w:type="dxa"/>
            <w:vAlign w:val="bottom"/>
          </w:tcPr>
          <w:p>
            <w:pPr>
              <w:spacing w:after="0"/>
              <w:rPr>
                <w:sz w:val="1"/>
                <w:szCs w:val="1"/>
                <w:color w:val="auto"/>
              </w:rPr>
            </w:pPr>
          </w:p>
        </w:tc>
      </w:tr>
      <w:tr>
        <w:trPr>
          <w:trHeight w:val="175"/>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Increase (decrease) in accounts payable and accrued</w:t>
            </w:r>
          </w:p>
        </w:tc>
        <w:tc>
          <w:tcPr>
            <w:tcW w:w="500" w:type="dxa"/>
            <w:vAlign w:val="bottom"/>
          </w:tcPr>
          <w:p>
            <w:pPr>
              <w:spacing w:after="0"/>
              <w:rPr>
                <w:sz w:val="15"/>
                <w:szCs w:val="15"/>
                <w:color w:val="auto"/>
              </w:rPr>
            </w:pP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41.9</w:t>
            </w:r>
          </w:p>
        </w:tc>
        <w:tc>
          <w:tcPr>
            <w:tcW w:w="7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(45.0)</w:t>
            </w:r>
          </w:p>
        </w:tc>
        <w:tc>
          <w:tcPr>
            <w:tcW w:w="0" w:type="dxa"/>
            <w:vAlign w:val="bottom"/>
          </w:tcPr>
          <w:p>
            <w:pPr>
              <w:spacing w:after="0"/>
              <w:rPr>
                <w:sz w:val="1"/>
                <w:szCs w:val="1"/>
                <w:color w:val="auto"/>
              </w:rPr>
            </w:pPr>
          </w:p>
        </w:tc>
      </w:tr>
      <w:tr>
        <w:trPr>
          <w:trHeight w:val="175"/>
        </w:trPr>
        <w:tc>
          <w:tcPr>
            <w:tcW w:w="6760" w:type="dxa"/>
            <w:vAlign w:val="bottom"/>
          </w:tcPr>
          <w:p>
            <w:pPr>
              <w:ind w:left="720"/>
              <w:spacing w:after="0"/>
              <w:rPr>
                <w:sz w:val="20"/>
                <w:szCs w:val="20"/>
                <w:color w:val="auto"/>
              </w:rPr>
            </w:pPr>
            <w:r>
              <w:rPr>
                <w:rFonts w:ascii="Courier New" w:cs="Courier New" w:eastAsia="Courier New" w:hAnsi="Courier New"/>
                <w:sz w:val="15"/>
                <w:szCs w:val="15"/>
                <w:color w:val="auto"/>
              </w:rPr>
              <w:t>expenses, net of plant and equipment payables</w:t>
            </w: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Tax effect of stock options in additional paid in capital</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36.9</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5"/>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Increase (decrease) in long-term product and process</w:t>
            </w:r>
          </w:p>
        </w:tc>
        <w:tc>
          <w:tcPr>
            <w:tcW w:w="500" w:type="dxa"/>
            <w:vAlign w:val="bottom"/>
          </w:tcPr>
          <w:p>
            <w:pPr>
              <w:spacing w:after="0"/>
              <w:rPr>
                <w:sz w:val="15"/>
                <w:szCs w:val="15"/>
                <w:color w:val="auto"/>
              </w:rPr>
            </w:pP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(33.4)</w:t>
            </w:r>
          </w:p>
        </w:tc>
        <w:tc>
          <w:tcPr>
            <w:tcW w:w="0" w:type="dxa"/>
            <w:vAlign w:val="bottom"/>
          </w:tcPr>
          <w:p>
            <w:pPr>
              <w:spacing w:after="0"/>
              <w:rPr>
                <w:sz w:val="1"/>
                <w:szCs w:val="1"/>
                <w:color w:val="auto"/>
              </w:rPr>
            </w:pPr>
          </w:p>
        </w:tc>
      </w:tr>
      <w:tr>
        <w:trPr>
          <w:trHeight w:val="175"/>
        </w:trPr>
        <w:tc>
          <w:tcPr>
            <w:tcW w:w="6760" w:type="dxa"/>
            <w:vAlign w:val="bottom"/>
          </w:tcPr>
          <w:p>
            <w:pPr>
              <w:ind w:left="720"/>
              <w:spacing w:after="0"/>
              <w:rPr>
                <w:sz w:val="20"/>
                <w:szCs w:val="20"/>
                <w:color w:val="auto"/>
              </w:rPr>
            </w:pPr>
            <w:r>
              <w:rPr>
                <w:rFonts w:ascii="Courier New" w:cs="Courier New" w:eastAsia="Courier New" w:hAnsi="Courier New"/>
                <w:sz w:val="15"/>
                <w:szCs w:val="15"/>
                <w:color w:val="auto"/>
              </w:rPr>
              <w:t>rights liability</w:t>
            </w: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Gain on sale and issuance of subsidiary stock</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(157.9)</w:t>
            </w:r>
          </w:p>
        </w:tc>
        <w:tc>
          <w:tcPr>
            <w:tcW w:w="0" w:type="dxa"/>
            <w:vAlign w:val="bottom"/>
          </w:tcPr>
          <w:p>
            <w:pPr>
              <w:spacing w:after="0"/>
              <w:rPr>
                <w:sz w:val="1"/>
                <w:szCs w:val="1"/>
                <w:color w:val="auto"/>
              </w:rPr>
            </w:pPr>
          </w:p>
        </w:tc>
      </w:tr>
      <w:tr>
        <w:trPr>
          <w:trHeight w:val="175"/>
        </w:trPr>
        <w:tc>
          <w:tcPr>
            <w:tcW w:w="67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175"/>
        </w:trPr>
        <w:tc>
          <w:tcPr>
            <w:tcW w:w="67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500" w:type="dxa"/>
            <w:vAlign w:val="bottom"/>
          </w:tcPr>
          <w:p>
            <w:pPr>
              <w:ind w:left="320"/>
              <w:spacing w:after="0"/>
              <w:rPr>
                <w:sz w:val="20"/>
                <w:szCs w:val="20"/>
                <w:color w:val="auto"/>
              </w:rPr>
            </w:pPr>
            <w:r>
              <w:rPr>
                <w:rFonts w:ascii="Courier New" w:cs="Courier New" w:eastAsia="Courier New" w:hAnsi="Courier New"/>
                <w:sz w:val="3"/>
                <w:szCs w:val="3"/>
                <w:color w:val="auto"/>
                <w:w w:val="88"/>
              </w:rPr>
              <w:t>----------</w:t>
            </w: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564.0</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105.3</w:t>
            </w:r>
          </w:p>
        </w:tc>
        <w:tc>
          <w:tcPr>
            <w:tcW w:w="0" w:type="dxa"/>
            <w:vAlign w:val="bottom"/>
          </w:tcPr>
          <w:p>
            <w:pPr>
              <w:spacing w:after="0"/>
              <w:rPr>
                <w:sz w:val="1"/>
                <w:szCs w:val="1"/>
                <w:color w:val="auto"/>
              </w:rPr>
            </w:pPr>
          </w:p>
        </w:tc>
      </w:tr>
      <w:tr>
        <w:trPr>
          <w:trHeight w:val="256"/>
        </w:trPr>
        <w:tc>
          <w:tcPr>
            <w:tcW w:w="676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9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7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4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(513.8)</w:t>
            </w:r>
          </w:p>
        </w:tc>
        <w:tc>
          <w:tcPr>
            <w:tcW w:w="7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(564.2)</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Expenditures for property, plant and equipment</w:t>
            </w: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Proceeds from sale of subsidiary stock, net of MCMS cash</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235.9</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Purchase of available-for-sale and held-to-maturity securities</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8"/>
              </w:rPr>
              <w:t>(2,368.4)</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(611.3)</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Proceeds from sales and maturities of securities</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1,116.1</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796.6</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3.6</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5"/>
        </w:trPr>
        <w:tc>
          <w:tcPr>
            <w:tcW w:w="67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for investing activities</w:t>
            </w:r>
          </w:p>
        </w:tc>
        <w:tc>
          <w:tcPr>
            <w:tcW w:w="500" w:type="dxa"/>
            <w:vAlign w:val="bottom"/>
          </w:tcPr>
          <w:p>
            <w:pPr>
              <w:ind w:left="320"/>
              <w:spacing w:after="0"/>
              <w:rPr>
                <w:sz w:val="20"/>
                <w:szCs w:val="20"/>
                <w:color w:val="auto"/>
              </w:rPr>
            </w:pPr>
            <w:r>
              <w:rPr>
                <w:rFonts w:ascii="Courier New" w:cs="Courier New" w:eastAsia="Courier New" w:hAnsi="Courier New"/>
                <w:sz w:val="3"/>
                <w:szCs w:val="3"/>
                <w:color w:val="auto"/>
                <w:w w:val="88"/>
              </w:rPr>
              <w:t>----------</w:t>
            </w:r>
          </w:p>
        </w:tc>
        <w:tc>
          <w:tcPr>
            <w:tcW w:w="14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w w:val="98"/>
              </w:rPr>
              <w:t>(1,762.5)</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(133.8)</w:t>
            </w:r>
          </w:p>
        </w:tc>
        <w:tc>
          <w:tcPr>
            <w:tcW w:w="0" w:type="dxa"/>
            <w:vAlign w:val="bottom"/>
          </w:tcPr>
          <w:p>
            <w:pPr>
              <w:spacing w:after="0"/>
              <w:rPr>
                <w:sz w:val="1"/>
                <w:szCs w:val="1"/>
                <w:color w:val="auto"/>
              </w:rPr>
            </w:pPr>
          </w:p>
        </w:tc>
      </w:tr>
      <w:tr>
        <w:trPr>
          <w:trHeight w:val="256"/>
        </w:trPr>
        <w:tc>
          <w:tcPr>
            <w:tcW w:w="676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9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7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681.1</w:t>
            </w:r>
          </w:p>
        </w:tc>
        <w:tc>
          <w:tcPr>
            <w:tcW w:w="780" w:type="dxa"/>
            <w:vAlign w:val="bottom"/>
          </w:tcPr>
          <w:p>
            <w:pPr>
              <w:spacing w:after="0"/>
              <w:rPr>
                <w:sz w:val="8"/>
                <w:szCs w:val="8"/>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received in conjunction with acquisition</w:t>
            </w: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Proceeds from issuance of common stock</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583.7</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Proceeds from issuance of debt</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34.0</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Repayments of debt</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(93.4)</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(99.4)</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Payments on equipment purchase contracts</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(218.6)</w:t>
            </w: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3.5</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67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500" w:type="dxa"/>
            <w:vAlign w:val="bottom"/>
          </w:tcPr>
          <w:p>
            <w:pPr>
              <w:ind w:left="320"/>
              <w:spacing w:after="0"/>
              <w:rPr>
                <w:sz w:val="20"/>
                <w:szCs w:val="20"/>
                <w:color w:val="auto"/>
              </w:rPr>
            </w:pPr>
            <w:r>
              <w:rPr>
                <w:rFonts w:ascii="Courier New" w:cs="Courier New" w:eastAsia="Courier New" w:hAnsi="Courier New"/>
                <w:sz w:val="3"/>
                <w:szCs w:val="3"/>
                <w:color w:val="auto"/>
                <w:w w:val="88"/>
              </w:rPr>
              <w:t>----------</w:t>
            </w: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990.3</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(84.2)</w:t>
            </w: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2"/>
                <w:szCs w:val="22"/>
                <w:color w:val="auto"/>
              </w:rPr>
            </w:pPr>
          </w:p>
        </w:tc>
        <w:tc>
          <w:tcPr>
            <w:tcW w:w="19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760" w:type="dxa"/>
            <w:vAlign w:val="bottom"/>
          </w:tcPr>
          <w:p>
            <w:pPr>
              <w:spacing w:after="0"/>
              <w:rPr>
                <w:sz w:val="20"/>
                <w:szCs w:val="20"/>
                <w:color w:val="auto"/>
              </w:rPr>
            </w:pPr>
            <w:r>
              <w:rPr>
                <w:rFonts w:ascii="Courier New" w:cs="Courier New" w:eastAsia="Courier New" w:hAnsi="Courier New"/>
                <w:sz w:val="15"/>
                <w:szCs w:val="15"/>
                <w:color w:val="auto"/>
              </w:rPr>
              <w:t>Net decrease in cash and equivalents</w:t>
            </w:r>
          </w:p>
        </w:tc>
        <w:tc>
          <w:tcPr>
            <w:tcW w:w="500" w:type="dxa"/>
            <w:vAlign w:val="bottom"/>
          </w:tcPr>
          <w:p>
            <w:pPr>
              <w:spacing w:after="0"/>
              <w:rPr>
                <w:sz w:val="23"/>
                <w:szCs w:val="23"/>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(208.2)</w:t>
            </w:r>
          </w:p>
        </w:tc>
        <w:tc>
          <w:tcPr>
            <w:tcW w:w="7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(112.7)</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and equivalents at beginning of period</w:t>
            </w:r>
          </w:p>
        </w:tc>
        <w:tc>
          <w:tcPr>
            <w:tcW w:w="5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558.8</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621.5</w:t>
            </w:r>
          </w:p>
        </w:tc>
        <w:tc>
          <w:tcPr>
            <w:tcW w:w="0" w:type="dxa"/>
            <w:vAlign w:val="bottom"/>
          </w:tcPr>
          <w:p>
            <w:pPr>
              <w:spacing w:after="0"/>
              <w:rPr>
                <w:sz w:val="1"/>
                <w:szCs w:val="1"/>
                <w:color w:val="auto"/>
              </w:rPr>
            </w:pPr>
          </w:p>
        </w:tc>
      </w:tr>
      <w:tr>
        <w:trPr>
          <w:trHeight w:val="175"/>
        </w:trPr>
        <w:tc>
          <w:tcPr>
            <w:tcW w:w="676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equivalents at end of period</w:t>
            </w:r>
          </w:p>
        </w:tc>
        <w:tc>
          <w:tcPr>
            <w:tcW w:w="500" w:type="dxa"/>
            <w:vAlign w:val="bottom"/>
            <w:vMerge w:val="restart"/>
          </w:tcPr>
          <w:p>
            <w:pPr>
              <w:ind w:left="32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350.6</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508.8</w:t>
            </w:r>
          </w:p>
        </w:tc>
        <w:tc>
          <w:tcPr>
            <w:tcW w:w="0" w:type="dxa"/>
            <w:vAlign w:val="bottom"/>
          </w:tcPr>
          <w:p>
            <w:pPr>
              <w:spacing w:after="0"/>
              <w:rPr>
                <w:sz w:val="1"/>
                <w:szCs w:val="1"/>
                <w:color w:val="auto"/>
              </w:rPr>
            </w:pPr>
          </w:p>
        </w:tc>
      </w:tr>
      <w:tr>
        <w:trPr>
          <w:trHeight w:val="256"/>
        </w:trPr>
        <w:tc>
          <w:tcPr>
            <w:tcW w:w="676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DISCLOSURES</w:t>
            </w:r>
          </w:p>
        </w:tc>
        <w:tc>
          <w:tcPr>
            <w:tcW w:w="19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760" w:type="dxa"/>
            <w:vAlign w:val="bottom"/>
            <w:vMerge w:val="continue"/>
          </w:tcPr>
          <w:p>
            <w:pPr>
              <w:spacing w:after="0"/>
              <w:rPr>
                <w:sz w:val="8"/>
                <w:szCs w:val="8"/>
                <w:color w:val="auto"/>
              </w:rPr>
            </w:pPr>
          </w:p>
        </w:tc>
        <w:tc>
          <w:tcPr>
            <w:tcW w:w="5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(67.4)</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(36.1)</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5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Income taxes refunded (paid), net</w:t>
            </w:r>
          </w:p>
        </w:tc>
        <w:tc>
          <w:tcPr>
            <w:tcW w:w="500" w:type="dxa"/>
            <w:vAlign w:val="bottom"/>
          </w:tcPr>
          <w:p>
            <w:pPr>
              <w:spacing w:after="0"/>
              <w:rPr>
                <w:sz w:val="22"/>
                <w:szCs w:val="22"/>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185.5</w:t>
            </w:r>
          </w:p>
        </w:tc>
        <w:tc>
          <w:tcPr>
            <w:tcW w:w="7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c>
          <w:tcPr>
            <w:tcW w:w="0" w:type="dxa"/>
            <w:vAlign w:val="bottom"/>
          </w:tcPr>
          <w:p>
            <w:pPr>
              <w:spacing w:after="0"/>
              <w:rPr>
                <w:sz w:val="1"/>
                <w:szCs w:val="1"/>
                <w:color w:val="auto"/>
              </w:rPr>
            </w:pPr>
          </w:p>
        </w:tc>
      </w:tr>
      <w:tr>
        <w:trPr>
          <w:trHeight w:val="268"/>
        </w:trPr>
        <w:tc>
          <w:tcPr>
            <w:tcW w:w="676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500" w:type="dxa"/>
            <w:vAlign w:val="bottom"/>
          </w:tcPr>
          <w:p>
            <w:pPr>
              <w:spacing w:after="0"/>
              <w:rPr>
                <w:sz w:val="23"/>
                <w:szCs w:val="23"/>
                <w:color w:val="auto"/>
              </w:rPr>
            </w:pP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135.3</w:t>
            </w:r>
          </w:p>
        </w:tc>
        <w:tc>
          <w:tcPr>
            <w:tcW w:w="780" w:type="dxa"/>
            <w:vAlign w:val="bottom"/>
          </w:tcPr>
          <w:p>
            <w:pPr>
              <w:spacing w:after="0"/>
              <w:rPr>
                <w:sz w:val="23"/>
                <w:szCs w:val="23"/>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130.2</w:t>
            </w:r>
          </w:p>
        </w:tc>
        <w:tc>
          <w:tcPr>
            <w:tcW w:w="0" w:type="dxa"/>
            <w:vAlign w:val="bottom"/>
          </w:tcPr>
          <w:p>
            <w:pPr>
              <w:spacing w:after="0"/>
              <w:rPr>
                <w:sz w:val="1"/>
                <w:szCs w:val="1"/>
                <w:color w:val="auto"/>
              </w:rPr>
            </w:pPr>
          </w:p>
        </w:tc>
      </w:tr>
      <w:tr>
        <w:trPr>
          <w:trHeight w:val="256"/>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Equipment acquisitions on contracts payable and capital leases</w:t>
            </w:r>
          </w:p>
        </w:tc>
        <w:tc>
          <w:tcPr>
            <w:tcW w:w="50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received in conjunction with acquisition:</w:t>
            </w:r>
          </w:p>
        </w:tc>
        <w:tc>
          <w:tcPr>
            <w:tcW w:w="5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949.3</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Fair value of assets acquired</w:t>
            </w:r>
          </w:p>
        </w:tc>
        <w:tc>
          <w:tcPr>
            <w:tcW w:w="5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Liabilities assumed</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(138.0)</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Debt issued</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(836.0)</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Stock issued</w:t>
            </w:r>
          </w:p>
        </w:tc>
        <w:tc>
          <w:tcPr>
            <w:tcW w:w="50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(656.4)</w:t>
            </w:r>
          </w:p>
        </w:tc>
        <w:tc>
          <w:tcPr>
            <w:tcW w:w="7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500" w:type="dxa"/>
            <w:vAlign w:val="bottom"/>
            <w:vMerge w:val="restart"/>
          </w:tcPr>
          <w:p>
            <w:pPr>
              <w:ind w:left="32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4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(681.1)</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2"/>
                <w:szCs w:val="22"/>
                <w:color w:val="auto"/>
              </w:rPr>
            </w:pPr>
          </w:p>
        </w:tc>
        <w:tc>
          <w:tcPr>
            <w:tcW w:w="19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560"/>
        <w:spacing w:after="0" w:line="368" w:lineRule="auto"/>
        <w:rPr>
          <w:sz w:val="20"/>
          <w:szCs w:val="20"/>
          <w:color w:val="auto"/>
        </w:rPr>
      </w:pPr>
      <w:r>
        <w:rPr>
          <w:rFonts w:ascii="Courier New" w:cs="Courier New" w:eastAsia="Courier New" w:hAnsi="Courier New"/>
          <w:sz w:val="15"/>
          <w:szCs w:val="15"/>
          <w:color w:val="auto"/>
        </w:rPr>
        <w:t>Certain fiscal 1998 amounts have been restated as a result of a pooling-of-interests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360"/>
          </w:cols>
          <w:pgMar w:left="240" w:top="615" w:right="1299" w:bottom="1440" w:gutter="0" w:footer="0" w:header="0"/>
        </w:sectPr>
      </w:pPr>
    </w:p>
    <w:bookmarkStart w:id="5" w:name="page6"/>
    <w:bookmarkEnd w:id="5"/>
    <w:p>
      <w:pPr>
        <w:ind w:left="162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(All tabular dollar amounts are stated in millions)</w:t>
      </w:r>
    </w:p>
    <w:p>
      <w:pPr>
        <w:spacing w:after="0" w:line="326" w:lineRule="exact"/>
        <w:rPr>
          <w:sz w:val="20"/>
          <w:szCs w:val="20"/>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interim financial statements</w:t>
      </w:r>
    </w:p>
    <w:p>
      <w:pPr>
        <w:spacing w:after="0" w:line="180" w:lineRule="exact"/>
        <w:rPr>
          <w:sz w:val="20"/>
          <w:szCs w:val="20"/>
          <w:color w:val="auto"/>
        </w:rPr>
      </w:pPr>
    </w:p>
    <w:p>
      <w:pPr>
        <w:ind w:left="7" w:right="3039" w:firstLine="454"/>
        <w:spacing w:after="0" w:line="264" w:lineRule="auto"/>
        <w:rPr>
          <w:sz w:val="20"/>
          <w:szCs w:val="20"/>
          <w:color w:val="auto"/>
        </w:rPr>
      </w:pPr>
      <w:r>
        <w:rPr>
          <w:rFonts w:ascii="Courier New" w:cs="Courier New" w:eastAsia="Courier New" w:hAnsi="Courier New"/>
          <w:sz w:val="15"/>
          <w:szCs w:val="15"/>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The Company has restated its prior period financial statements, as a result of the merger with Rendition, Inc. ("Rendition") which was accounted for as a business combination using the pooling-of-interests method.</w:t>
      </w:r>
    </w:p>
    <w:p>
      <w:pPr>
        <w:spacing w:after="0" w:line="78"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These unaudited interim financial statements should be read in conjunction with the consolidated financial statements and accompanying notes included in the Company's Form 10-K for the year ended September 3, 1998.</w:t>
      </w:r>
    </w:p>
    <w:p>
      <w:pPr>
        <w:spacing w:after="0" w:line="397"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2.</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Supplemental balance sheet information</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June 3,</w:t>
            </w:r>
          </w:p>
        </w:tc>
        <w:tc>
          <w:tcPr>
            <w:tcW w:w="144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September 3,</w:t>
            </w:r>
          </w:p>
        </w:tc>
      </w:tr>
      <w:tr>
        <w:trPr>
          <w:trHeight w:val="203"/>
        </w:trPr>
        <w:tc>
          <w:tcPr>
            <w:tcW w:w="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5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Receivables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7" w:type="dxa"/>
        <w:tblCellMar>
          <w:top w:w="0" w:type="dxa"/>
          <w:left w:w="0" w:type="dxa"/>
          <w:bottom w:w="0" w:type="dxa"/>
          <w:right w:w="0" w:type="dxa"/>
        </w:tblCellMar>
      </w:tblP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Trade receivables</w:t>
            </w:r>
          </w:p>
        </w:tc>
        <w:tc>
          <w:tcPr>
            <w:tcW w:w="100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3"/>
              </w:rPr>
              <w:t>409.1</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294.4</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taxes receivable</w:t>
            </w:r>
          </w:p>
        </w:tc>
        <w:tc>
          <w:tcPr>
            <w:tcW w:w="1000" w:type="dxa"/>
            <w:vAlign w:val="bottom"/>
          </w:tcPr>
          <w:p>
            <w:pPr>
              <w:spacing w:after="0"/>
              <w:rPr>
                <w:sz w:val="15"/>
                <w:szCs w:val="15"/>
                <w:color w:val="auto"/>
              </w:rPr>
            </w:pPr>
          </w:p>
        </w:tc>
        <w:tc>
          <w:tcPr>
            <w:tcW w:w="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87.7</w:t>
            </w:r>
          </w:p>
        </w:tc>
        <w:tc>
          <w:tcPr>
            <w:tcW w:w="6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191.9</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Allowance for returns and discounts</w:t>
            </w:r>
          </w:p>
        </w:tc>
        <w:tc>
          <w:tcPr>
            <w:tcW w:w="100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6"/>
              </w:rPr>
              <w:t>(23.9)</w:t>
            </w:r>
          </w:p>
        </w:tc>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00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(7.9)</w:t>
            </w:r>
          </w:p>
        </w:tc>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receivables</w:t>
            </w:r>
          </w:p>
        </w:tc>
        <w:tc>
          <w:tcPr>
            <w:tcW w:w="1000" w:type="dxa"/>
            <w:vAlign w:val="bottom"/>
          </w:tcPr>
          <w:p>
            <w:pPr>
              <w:spacing w:after="0"/>
              <w:rPr>
                <w:sz w:val="15"/>
                <w:szCs w:val="15"/>
                <w:color w:val="auto"/>
              </w:rPr>
            </w:pPr>
          </w:p>
        </w:tc>
        <w:tc>
          <w:tcPr>
            <w:tcW w:w="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96.5</w:t>
            </w:r>
          </w:p>
        </w:tc>
        <w:tc>
          <w:tcPr>
            <w:tcW w:w="6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000" w:type="dxa"/>
            <w:vAlign w:val="bottom"/>
            <w:vMerge w:val="restart"/>
          </w:tcPr>
          <w:p>
            <w:pPr>
              <w:ind w:left="82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9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3"/>
              </w:rPr>
              <w:t>561.5</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489.5</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9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Inventories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tbl>
      <w:tblPr>
        <w:tblLayout w:type="fixed"/>
        <w:tblInd w:w="187" w:type="dxa"/>
        <w:tblCellMar>
          <w:top w:w="0" w:type="dxa"/>
          <w:left w:w="0" w:type="dxa"/>
          <w:bottom w:w="0" w:type="dxa"/>
          <w:right w:w="0" w:type="dxa"/>
        </w:tblCellMar>
      </w:tblPr>
      <w:tr>
        <w:trPr>
          <w:trHeight w:val="152"/>
        </w:trPr>
        <w:tc>
          <w:tcPr>
            <w:tcW w:w="3580" w:type="dxa"/>
            <w:vAlign w:val="bottom"/>
          </w:tcPr>
          <w:p>
            <w:pPr>
              <w:spacing w:after="0" w:line="152" w:lineRule="exact"/>
              <w:rPr>
                <w:sz w:val="20"/>
                <w:szCs w:val="20"/>
                <w:color w:val="auto"/>
              </w:rPr>
            </w:pPr>
            <w:r>
              <w:rPr>
                <w:rFonts w:ascii="Courier New" w:cs="Courier New" w:eastAsia="Courier New" w:hAnsi="Courier New"/>
                <w:sz w:val="15"/>
                <w:szCs w:val="15"/>
                <w:color w:val="auto"/>
              </w:rPr>
              <w:t>Finished goods</w:t>
            </w:r>
          </w:p>
        </w:tc>
        <w:tc>
          <w:tcPr>
            <w:tcW w:w="1420" w:type="dxa"/>
            <w:vAlign w:val="bottom"/>
          </w:tcPr>
          <w:p>
            <w:pPr>
              <w:ind w:left="1240"/>
              <w:spacing w:after="0" w:line="152"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84"/>
              <w:spacing w:after="0" w:line="152" w:lineRule="exact"/>
              <w:rPr>
                <w:sz w:val="20"/>
                <w:szCs w:val="20"/>
                <w:color w:val="auto"/>
              </w:rPr>
            </w:pPr>
            <w:r>
              <w:rPr>
                <w:rFonts w:ascii="Courier New" w:cs="Courier New" w:eastAsia="Courier New" w:hAnsi="Courier New"/>
                <w:sz w:val="15"/>
                <w:szCs w:val="15"/>
                <w:color w:val="auto"/>
                <w:w w:val="93"/>
              </w:rPr>
              <w:t>238.6</w:t>
            </w:r>
          </w:p>
        </w:tc>
        <w:tc>
          <w:tcPr>
            <w:tcW w:w="720" w:type="dxa"/>
            <w:vAlign w:val="bottom"/>
          </w:tcPr>
          <w:p>
            <w:pPr>
              <w:jc w:val="right"/>
              <w:ind w:right="104"/>
              <w:spacing w:after="0" w:line="152"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93.3</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142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3"/>
              </w:rPr>
              <w:t>146.6</w:t>
            </w: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139.6</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42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56.3</w:t>
            </w: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420" w:type="dxa"/>
            <w:vAlign w:val="bottom"/>
            <w:vMerge w:val="restart"/>
          </w:tcPr>
          <w:p>
            <w:pPr>
              <w:ind w:left="124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9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3"/>
              </w:rPr>
              <w:t>441.5</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291.6</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23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 and process technology</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tbl>
      <w:tblPr>
        <w:tblLayout w:type="fixed"/>
        <w:tblInd w:w="187" w:type="dxa"/>
        <w:tblCellMar>
          <w:top w:w="0" w:type="dxa"/>
          <w:left w:w="0" w:type="dxa"/>
          <w:bottom w:w="0" w:type="dxa"/>
          <w:right w:w="0" w:type="dxa"/>
        </w:tblCellMar>
      </w:tblPr>
      <w:tr>
        <w:trPr>
          <w:trHeight w:val="152"/>
        </w:trPr>
        <w:tc>
          <w:tcPr>
            <w:tcW w:w="4180" w:type="dxa"/>
            <w:vAlign w:val="bottom"/>
          </w:tcPr>
          <w:p>
            <w:pPr>
              <w:spacing w:after="0" w:line="152" w:lineRule="exact"/>
              <w:rPr>
                <w:sz w:val="20"/>
                <w:szCs w:val="20"/>
                <w:color w:val="auto"/>
              </w:rPr>
            </w:pPr>
            <w:r>
              <w:rPr>
                <w:rFonts w:ascii="Courier New" w:cs="Courier New" w:eastAsia="Courier New" w:hAnsi="Courier New"/>
                <w:sz w:val="15"/>
                <w:szCs w:val="15"/>
                <w:color w:val="auto"/>
              </w:rPr>
              <w:t>Product and process technology, at cost</w:t>
            </w:r>
          </w:p>
        </w:tc>
        <w:tc>
          <w:tcPr>
            <w:tcW w:w="820" w:type="dxa"/>
            <w:vAlign w:val="bottom"/>
          </w:tcPr>
          <w:p>
            <w:pPr>
              <w:ind w:left="640"/>
              <w:spacing w:after="0" w:line="152"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line="152" w:lineRule="exact"/>
              <w:rPr>
                <w:sz w:val="20"/>
                <w:szCs w:val="20"/>
                <w:color w:val="auto"/>
              </w:rPr>
            </w:pPr>
            <w:r>
              <w:rPr>
                <w:rFonts w:ascii="Courier New" w:cs="Courier New" w:eastAsia="Courier New" w:hAnsi="Courier New"/>
                <w:sz w:val="15"/>
                <w:szCs w:val="15"/>
                <w:color w:val="auto"/>
              </w:rPr>
              <w:t>315.7</w:t>
            </w:r>
          </w:p>
        </w:tc>
        <w:tc>
          <w:tcPr>
            <w:tcW w:w="620" w:type="dxa"/>
            <w:vAlign w:val="bottom"/>
          </w:tcPr>
          <w:p>
            <w:pPr>
              <w:jc w:val="right"/>
              <w:ind w:right="104"/>
              <w:spacing w:after="0" w:line="152"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line="152" w:lineRule="exact"/>
              <w:rPr>
                <w:sz w:val="20"/>
                <w:szCs w:val="20"/>
                <w:color w:val="auto"/>
              </w:rPr>
            </w:pPr>
            <w:r>
              <w:rPr>
                <w:rFonts w:ascii="Courier New" w:cs="Courier New" w:eastAsia="Courier New" w:hAnsi="Courier New"/>
                <w:sz w:val="15"/>
                <w:szCs w:val="15"/>
                <w:color w:val="auto"/>
              </w:rPr>
              <w:t>161.7</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82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5"/>
              </w:rPr>
              <w:t>(101.9)</w:t>
            </w:r>
          </w:p>
        </w:tc>
        <w:tc>
          <w:tcPr>
            <w:tcW w:w="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820" w:type="dxa"/>
            <w:vAlign w:val="bottom"/>
            <w:vMerge w:val="restart"/>
          </w:tcPr>
          <w:p>
            <w:pPr>
              <w:ind w:left="64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213.8</w:t>
            </w:r>
          </w:p>
        </w:tc>
        <w:tc>
          <w:tcPr>
            <w:tcW w:w="1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84.9</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8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Property, plant and equipment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tbl>
      <w:tblPr>
        <w:tblLayout w:type="fixed"/>
        <w:tblInd w:w="187" w:type="dxa"/>
        <w:tblCellMar>
          <w:top w:w="0" w:type="dxa"/>
          <w:left w:w="0" w:type="dxa"/>
          <w:bottom w:w="0" w:type="dxa"/>
          <w:right w:w="0" w:type="dxa"/>
        </w:tblCellMar>
      </w:tblPr>
      <w:tr>
        <w:trPr>
          <w:trHeight w:val="152"/>
        </w:trPr>
        <w:tc>
          <w:tcPr>
            <w:tcW w:w="4500" w:type="dxa"/>
            <w:vAlign w:val="bottom"/>
          </w:tcPr>
          <w:p>
            <w:pPr>
              <w:spacing w:after="0" w:line="152" w:lineRule="exact"/>
              <w:rPr>
                <w:sz w:val="20"/>
                <w:szCs w:val="20"/>
                <w:color w:val="auto"/>
              </w:rPr>
            </w:pPr>
            <w:r>
              <w:rPr>
                <w:rFonts w:ascii="Courier New" w:cs="Courier New" w:eastAsia="Courier New" w:hAnsi="Courier New"/>
                <w:sz w:val="15"/>
                <w:szCs w:val="15"/>
                <w:color w:val="auto"/>
              </w:rPr>
              <w:t>Land</w:t>
            </w:r>
          </w:p>
        </w:tc>
        <w:tc>
          <w:tcPr>
            <w:tcW w:w="40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line="152" w:lineRule="exact"/>
              <w:rPr>
                <w:sz w:val="20"/>
                <w:szCs w:val="20"/>
                <w:color w:val="auto"/>
              </w:rPr>
            </w:pPr>
            <w:r>
              <w:rPr>
                <w:rFonts w:ascii="Courier New" w:cs="Courier New" w:eastAsia="Courier New" w:hAnsi="Courier New"/>
                <w:sz w:val="15"/>
                <w:szCs w:val="15"/>
                <w:color w:val="auto"/>
              </w:rPr>
              <w:t>42.2</w:t>
            </w:r>
          </w:p>
        </w:tc>
        <w:tc>
          <w:tcPr>
            <w:tcW w:w="50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line="152" w:lineRule="exact"/>
              <w:rPr>
                <w:sz w:val="20"/>
                <w:szCs w:val="20"/>
                <w:color w:val="auto"/>
              </w:rPr>
            </w:pPr>
            <w:r>
              <w:rPr>
                <w:rFonts w:ascii="Courier New" w:cs="Courier New" w:eastAsia="Courier New" w:hAnsi="Courier New"/>
                <w:sz w:val="15"/>
                <w:szCs w:val="15"/>
                <w:color w:val="auto"/>
              </w:rPr>
              <w:t>34.8</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1,130.6</w:t>
            </w:r>
          </w:p>
        </w:tc>
        <w:tc>
          <w:tcPr>
            <w:tcW w:w="5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915.5</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3,840.8</w:t>
            </w:r>
          </w:p>
        </w:tc>
        <w:tc>
          <w:tcPr>
            <w:tcW w:w="5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3,025.7</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734.7</w:t>
            </w:r>
          </w:p>
        </w:tc>
        <w:tc>
          <w:tcPr>
            <w:tcW w:w="5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704.6</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8"/>
              </w:rPr>
              <w:t>5,748.3</w:t>
            </w:r>
          </w:p>
        </w:tc>
        <w:tc>
          <w:tcPr>
            <w:tcW w:w="1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0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4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4,680.6</w:t>
            </w:r>
          </w:p>
        </w:tc>
        <w:tc>
          <w:tcPr>
            <w:tcW w:w="0" w:type="dxa"/>
            <w:vAlign w:val="bottom"/>
          </w:tcPr>
          <w:p>
            <w:pPr>
              <w:spacing w:after="0"/>
              <w:rPr>
                <w:sz w:val="1"/>
                <w:szCs w:val="1"/>
                <w:color w:val="auto"/>
              </w:rPr>
            </w:pPr>
          </w:p>
        </w:tc>
      </w:tr>
      <w:tr>
        <w:trPr>
          <w:trHeight w:val="175"/>
        </w:trPr>
        <w:tc>
          <w:tcPr>
            <w:tcW w:w="4500" w:type="dxa"/>
            <w:vAlign w:val="bottom"/>
            <w:vMerge w:val="continue"/>
          </w:tcPr>
          <w:p>
            <w:pPr>
              <w:spacing w:after="0"/>
              <w:rPr>
                <w:sz w:val="15"/>
                <w:szCs w:val="15"/>
                <w:color w:val="auto"/>
              </w:rPr>
            </w:pPr>
          </w:p>
        </w:tc>
        <w:tc>
          <w:tcPr>
            <w:tcW w:w="15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(2,103.8)</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(1,645.3)</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00" w:type="dxa"/>
            <w:vAlign w:val="bottom"/>
            <w:gridSpan w:val="2"/>
            <w:vMerge w:val="restart"/>
          </w:tcPr>
          <w:p>
            <w:pPr>
              <w:jc w:val="right"/>
              <w:ind w:right="384"/>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3"/>
                <w:szCs w:val="13"/>
                <w:color w:val="auto"/>
                <w:w w:val="71"/>
              </w:rPr>
              <w:t>3,644.5</w:t>
            </w:r>
          </w:p>
        </w:tc>
        <w:tc>
          <w:tcPr>
            <w:tcW w:w="1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3,035.3</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15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492"/>
        <w:spacing w:after="0" w:line="307" w:lineRule="auto"/>
        <w:rPr>
          <w:sz w:val="20"/>
          <w:szCs w:val="20"/>
          <w:color w:val="auto"/>
        </w:rPr>
      </w:pPr>
      <w:r>
        <w:rPr>
          <w:rFonts w:ascii="Courier New" w:cs="Courier New" w:eastAsia="Courier New" w:hAnsi="Courier New"/>
          <w:sz w:val="15"/>
          <w:szCs w:val="15"/>
          <w:color w:val="auto"/>
        </w:rPr>
        <w:t>As of June 3, 1999, property, plant and equipment included total unamortized costs of $709.5 million for the Company's semiconductor memory manufacturing facility in Lehi, Utah, of which $649.1 million has not been</w:t>
      </w: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placed in service and is not being depreciated. Timing of the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 Company continues to evaluate the carrying value of the facility and as of June 3, 1999, it was determined to have no impairment.</w:t>
      </w:r>
    </w:p>
    <w:p>
      <w:pPr>
        <w:spacing w:after="0" w:line="75"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Depreciation expense was $196.9 million and $569.1 million, respectively, for the third quarter and first nine months of 1999, and $139.0 million and $406.9 million for the third quarter and first nine months of 1998.</w:t>
      </w:r>
    </w:p>
    <w:p>
      <w:pPr>
        <w:spacing w:after="0" w:line="200" w:lineRule="exact"/>
        <w:rPr>
          <w:sz w:val="20"/>
          <w:szCs w:val="20"/>
          <w:color w:val="auto"/>
        </w:rPr>
      </w:pPr>
    </w:p>
    <w:p>
      <w:pPr>
        <w:spacing w:after="0" w:line="371" w:lineRule="exact"/>
        <w:rPr>
          <w:sz w:val="20"/>
          <w:szCs w:val="20"/>
          <w:color w:val="auto"/>
        </w:rPr>
      </w:pPr>
    </w:p>
    <w:p>
      <w:pPr>
        <w:ind w:left="6360"/>
        <w:spacing w:after="0"/>
        <w:tabs>
          <w:tab w:leader="none" w:pos="7700" w:val="left"/>
        </w:tabs>
        <w:rPr>
          <w:sz w:val="20"/>
          <w:szCs w:val="20"/>
          <w:color w:val="auto"/>
        </w:rPr>
      </w:pPr>
      <w:r>
        <w:rPr>
          <w:rFonts w:ascii="Courier New" w:cs="Courier New" w:eastAsia="Courier New" w:hAnsi="Courier New"/>
          <w:sz w:val="15"/>
          <w:szCs w:val="15"/>
          <w:color w:val="auto"/>
        </w:rPr>
        <w:t>June 3,</w:t>
      </w:r>
      <w:r>
        <w:rPr>
          <w:sz w:val="20"/>
          <w:szCs w:val="20"/>
          <w:color w:val="auto"/>
        </w:rPr>
        <w:tab/>
      </w:r>
      <w:r>
        <w:rPr>
          <w:rFonts w:ascii="Courier New" w:cs="Courier New" w:eastAsia="Courier New" w:hAnsi="Courier New"/>
          <w:sz w:val="14"/>
          <w:szCs w:val="14"/>
          <w:color w:val="auto"/>
        </w:rPr>
        <w:t>September 3,</w:t>
      </w:r>
    </w:p>
    <w:p>
      <w:pPr>
        <w:spacing w:after="0" w:line="33" w:lineRule="exact"/>
        <w:rPr>
          <w:sz w:val="20"/>
          <w:szCs w:val="20"/>
          <w:color w:val="auto"/>
        </w:rPr>
      </w:pPr>
    </w:p>
    <w:p>
      <w:pPr>
        <w:ind w:left="6440"/>
        <w:spacing w:after="0"/>
        <w:tabs>
          <w:tab w:leader="none" w:pos="80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353.4</w:t>
            </w:r>
          </w:p>
        </w:tc>
        <w:tc>
          <w:tcPr>
            <w:tcW w:w="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235.6</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Salaries, wages and benefits</w:t>
            </w:r>
          </w:p>
        </w:tc>
        <w:tc>
          <w:tcPr>
            <w:tcW w:w="180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86.9</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85.6</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payable</w:t>
            </w:r>
          </w:p>
        </w:tc>
        <w:tc>
          <w:tcPr>
            <w:tcW w:w="180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27.1</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Taxes payable other than income</w:t>
            </w:r>
          </w:p>
        </w:tc>
        <w:tc>
          <w:tcPr>
            <w:tcW w:w="180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23.6</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payable</w:t>
            </w:r>
          </w:p>
        </w:tc>
        <w:tc>
          <w:tcPr>
            <w:tcW w:w="180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40.2</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66.1</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800" w:type="dxa"/>
            <w:vAlign w:val="bottom"/>
            <w:vMerge w:val="restart"/>
          </w:tcPr>
          <w:p>
            <w:pPr>
              <w:ind w:left="136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7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7"/>
              </w:rPr>
              <w:t>597.3</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460.7</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2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payable, due October 2005, with</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an effective yield to maturity of 8.4%, net of unamortized</w:t>
            </w:r>
          </w:p>
        </w:tc>
        <w:tc>
          <w:tcPr>
            <w:tcW w:w="50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673.2</w:t>
            </w:r>
          </w:p>
        </w:tc>
        <w:tc>
          <w:tcPr>
            <w:tcW w:w="4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discount of $66.8 million</w:t>
            </w: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payable, due July 2004,</w:t>
            </w:r>
          </w:p>
        </w:tc>
        <w:tc>
          <w:tcPr>
            <w:tcW w:w="5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500.0</w:t>
            </w:r>
          </w:p>
        </w:tc>
        <w:tc>
          <w:tcPr>
            <w:tcW w:w="46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500.0</w:t>
            </w: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interest rate of 7%</w:t>
            </w:r>
          </w:p>
        </w:tc>
        <w:tc>
          <w:tcPr>
            <w:tcW w:w="5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Subordinated Notes payable, due October 2005, with an effective</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yield to maturity of 10.7%, net of unamortized discount of</w:t>
            </w:r>
          </w:p>
        </w:tc>
        <w:tc>
          <w:tcPr>
            <w:tcW w:w="5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170.8</w:t>
            </w:r>
          </w:p>
        </w:tc>
        <w:tc>
          <w:tcPr>
            <w:tcW w:w="46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$39.2 million</w:t>
            </w:r>
          </w:p>
        </w:tc>
        <w:tc>
          <w:tcPr>
            <w:tcW w:w="5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Notes payable in periodic installments through July 2015,</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interest rate of 7.37% and 7.38%,</w:t>
            </w:r>
          </w:p>
        </w:tc>
        <w:tc>
          <w:tcPr>
            <w:tcW w:w="5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279.9</w:t>
            </w:r>
          </w:p>
        </w:tc>
        <w:tc>
          <w:tcPr>
            <w:tcW w:w="46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315.2</w:t>
            </w: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respectively</w:t>
            </w:r>
          </w:p>
        </w:tc>
        <w:tc>
          <w:tcPr>
            <w:tcW w:w="5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payable in monthly installments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through August 2004, weighted average interest rate of</w:t>
            </w:r>
          </w:p>
        </w:tc>
        <w:tc>
          <w:tcPr>
            <w:tcW w:w="5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34.9</w:t>
            </w:r>
          </w:p>
        </w:tc>
        <w:tc>
          <w:tcPr>
            <w:tcW w:w="46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42.2</w:t>
            </w: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7.55% and 7.61%, respectively</w:t>
            </w:r>
          </w:p>
        </w:tc>
        <w:tc>
          <w:tcPr>
            <w:tcW w:w="5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500" w:type="dxa"/>
            <w:vAlign w:val="bottom"/>
          </w:tcPr>
          <w:p>
            <w:pPr>
              <w:ind w:left="240"/>
              <w:spacing w:after="0"/>
              <w:rPr>
                <w:sz w:val="20"/>
                <w:szCs w:val="20"/>
                <w:color w:val="auto"/>
              </w:rPr>
            </w:pPr>
            <w:r>
              <w:rPr>
                <w:rFonts w:ascii="Courier New" w:cs="Courier New" w:eastAsia="Courier New" w:hAnsi="Courier New"/>
                <w:sz w:val="5"/>
                <w:szCs w:val="5"/>
                <w:color w:val="auto"/>
                <w:w w:val="79"/>
              </w:rPr>
              <w:t>----------</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8"/>
              </w:rPr>
              <w:t>1,658.8</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Less current portion</w:t>
            </w:r>
          </w:p>
        </w:tc>
        <w:tc>
          <w:tcPr>
            <w:tcW w:w="5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857.4</w:t>
            </w:r>
          </w:p>
        </w:tc>
        <w:tc>
          <w:tcPr>
            <w:tcW w:w="0" w:type="dxa"/>
            <w:vAlign w:val="bottom"/>
          </w:tcPr>
          <w:p>
            <w:pPr>
              <w:spacing w:after="0"/>
              <w:rPr>
                <w:sz w:val="1"/>
                <w:szCs w:val="1"/>
                <w:color w:val="auto"/>
              </w:rPr>
            </w:pPr>
          </w:p>
        </w:tc>
      </w:tr>
      <w:tr>
        <w:trPr>
          <w:trHeight w:val="175"/>
        </w:trPr>
        <w:tc>
          <w:tcPr>
            <w:tcW w:w="59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(105.2)</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(98.6)</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500" w:type="dxa"/>
            <w:vAlign w:val="bottom"/>
            <w:vMerge w:val="restart"/>
          </w:tcPr>
          <w:p>
            <w:pPr>
              <w:ind w:left="24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8"/>
              </w:rPr>
              <w:t>1,553.6</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758.8</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The convertible subordinated notes due October 2005 (the "Convertible Notes") with an effective yield-to-maturity of 8.4% have a face value of $740 million, a stated interest rate of 6.5% and are convertible into shares of the Company's common stock at $60 per share. The Convertible Notes are not subject to redemption prior to October 2000 and are redeemable from that date through October 2002 only if the common stock price is at least $78.00 for a specified trading period. The Convertible Notes have not been registered with the Securities and Exchange Commission, however the holder has registration rights. (See note 7 - "Acquisition")</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4" w:right="1440" w:bottom="1440" w:gutter="0" w:footer="0" w:header="0"/>
        </w:sectPr>
      </w:pPr>
    </w:p>
    <w:bookmarkStart w:id="7" w:name="page8"/>
    <w:bookmarkEnd w:id="7"/>
    <w:p>
      <w:pPr>
        <w:ind w:left="7"/>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ind w:left="7" w:right="2959" w:firstLine="454"/>
        <w:spacing w:after="0" w:line="264" w:lineRule="auto"/>
        <w:rPr>
          <w:sz w:val="20"/>
          <w:szCs w:val="20"/>
          <w:color w:val="auto"/>
        </w:rPr>
      </w:pPr>
      <w:r>
        <w:rPr>
          <w:rFonts w:ascii="Courier New" w:cs="Courier New" w:eastAsia="Courier New" w:hAnsi="Courier New"/>
          <w:sz w:val="15"/>
          <w:szCs w:val="15"/>
          <w:color w:val="auto"/>
        </w:rPr>
        <w:t>The 7% convertible subordinated notes due July 2004 are convertible into shares of the Company's common stock at $67.44 per share. The notes are redeemable through July 2001 if the common stock price is at least $87.67 for a specified trading period. The notes were offered under a $1 billion shelf registration statement pursuant to which the Company may issue from time to time up to $500 million of additional debt or equity securities. The subordinated notes due October 2005 with a yield to maturity of 10.7% have a face value of $210 million and a stated interest rate of 6.5%.</w:t>
      </w:r>
    </w:p>
    <w:p>
      <w:pPr>
        <w:spacing w:after="0" w:line="78" w:lineRule="exact"/>
        <w:rPr>
          <w:sz w:val="20"/>
          <w:szCs w:val="20"/>
          <w:color w:val="auto"/>
        </w:rPr>
      </w:pPr>
    </w:p>
    <w:p>
      <w:pPr>
        <w:ind w:left="7" w:right="3319" w:firstLine="454"/>
        <w:spacing w:after="0" w:line="271" w:lineRule="auto"/>
        <w:rPr>
          <w:sz w:val="20"/>
          <w:szCs w:val="20"/>
          <w:color w:val="auto"/>
        </w:rPr>
      </w:pPr>
      <w:r>
        <w:rPr>
          <w:rFonts w:ascii="Courier New" w:cs="Courier New" w:eastAsia="Courier New" w:hAnsi="Courier New"/>
          <w:sz w:val="15"/>
          <w:szCs w:val="15"/>
          <w:color w:val="auto"/>
        </w:rPr>
        <w:t>The Company has a $400 million secured revolving credit agreement which expires May 2000. The interest rate on borrowed funds is based on various pricing options at the time of borrowing. The agreement contains certain restrictive covenants pertaining to the Company's semiconductor operations, including a maximum debt to equity covenant. As of June 3, 1999, MTI had no borrowings outstanding under the agreement.</w:t>
      </w:r>
    </w:p>
    <w:p>
      <w:pPr>
        <w:spacing w:after="0" w:line="72" w:lineRule="exact"/>
        <w:rPr>
          <w:sz w:val="20"/>
          <w:szCs w:val="20"/>
          <w:color w:val="auto"/>
        </w:rPr>
      </w:pPr>
    </w:p>
    <w:p>
      <w:pPr>
        <w:ind w:left="7" w:right="3039" w:firstLine="454"/>
        <w:spacing w:after="0" w:line="271" w:lineRule="auto"/>
        <w:rPr>
          <w:sz w:val="20"/>
          <w:szCs w:val="20"/>
          <w:color w:val="auto"/>
        </w:rPr>
      </w:pPr>
      <w:r>
        <w:rPr>
          <w:rFonts w:ascii="Courier New" w:cs="Courier New" w:eastAsia="Courier New" w:hAnsi="Courier New"/>
          <w:sz w:val="15"/>
          <w:szCs w:val="15"/>
          <w:color w:val="auto"/>
        </w:rPr>
        <w:t>Micron Electronics, Inc. ("MEI"), an approximately 63% owned subsidiary of the Company, has a $100 million unsecured credit agreement expiring in June 2001. Under the credit agreement, MEI is subject to certain financial and other covenants including certain financial ratios and limitations on the amount of dividends paid by MEI. As of June 3, 1999, MEI was eligible to borrow the full amount under its credit agreement but had no borrowings outstanding.</w:t>
      </w:r>
    </w:p>
    <w:p>
      <w:pPr>
        <w:spacing w:after="0" w:line="72" w:lineRule="exact"/>
        <w:rPr>
          <w:sz w:val="20"/>
          <w:szCs w:val="20"/>
          <w:color w:val="auto"/>
        </w:rPr>
      </w:pPr>
    </w:p>
    <w:p>
      <w:pPr>
        <w:ind w:left="447" w:hanging="447"/>
        <w:spacing w:after="0"/>
        <w:tabs>
          <w:tab w:leader="none" w:pos="4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operating expense, net</w:t>
      </w:r>
    </w:p>
    <w:p>
      <w:pPr>
        <w:spacing w:after="0" w:line="180"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Other operating expense for the third quarter of 1999 includes a net $13.4 million loss from the write down and disposal of semiconductor memory operations equipment. Other operating expense for the first nine months of 1999 includes a $15.0 million second quarter charge to write down certain flat panel display assets, partially offset by a $5.1 million reduction in employee benefit accruals in the third quarter and $5.2 million from cancellation of a compensation program in the second quarter.</w:t>
      </w:r>
    </w:p>
    <w:p>
      <w:pPr>
        <w:spacing w:after="0" w:line="75" w:lineRule="exact"/>
        <w:rPr>
          <w:sz w:val="20"/>
          <w:szCs w:val="20"/>
          <w:color w:val="auto"/>
        </w:rPr>
      </w:pPr>
    </w:p>
    <w:p>
      <w:pPr>
        <w:ind w:left="7" w:right="3039" w:firstLine="454"/>
        <w:spacing w:after="0" w:line="271" w:lineRule="auto"/>
        <w:rPr>
          <w:sz w:val="20"/>
          <w:szCs w:val="20"/>
          <w:color w:val="auto"/>
        </w:rPr>
      </w:pPr>
      <w:r>
        <w:rPr>
          <w:rFonts w:ascii="Courier New" w:cs="Courier New" w:eastAsia="Courier New" w:hAnsi="Courier New"/>
          <w:sz w:val="15"/>
          <w:szCs w:val="15"/>
          <w:color w:val="auto"/>
        </w:rPr>
        <w:t>Other operating expense for the first nine months of 1998 includes charges associated with PC operations of $13.0 million resulting from employee termination benefits and consolidation of domestic and international operations and $5.2 million from the write off of software development costs, as well as $9.3 million related to the disposal and write down of semiconductor memory operations equipment.</w:t>
      </w:r>
    </w:p>
    <w:p>
      <w:pPr>
        <w:spacing w:after="0" w:line="72" w:lineRule="exact"/>
        <w:rPr>
          <w:sz w:val="20"/>
          <w:szCs w:val="20"/>
          <w:color w:val="auto"/>
        </w:rPr>
      </w:pPr>
    </w:p>
    <w:p>
      <w:pPr>
        <w:ind w:left="447" w:hanging="447"/>
        <w:spacing w:after="0"/>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7" w:right="3039" w:firstLine="454"/>
        <w:spacing w:after="0" w:line="264" w:lineRule="auto"/>
        <w:rPr>
          <w:sz w:val="20"/>
          <w:szCs w:val="20"/>
          <w:color w:val="auto"/>
        </w:rPr>
      </w:pPr>
      <w:r>
        <w:rPr>
          <w:rFonts w:ascii="Courier New" w:cs="Courier New" w:eastAsia="Courier New" w:hAnsi="Courier New"/>
          <w:sz w:val="15"/>
          <w:szCs w:val="15"/>
          <w:color w:val="auto"/>
        </w:rPr>
        <w:t>The effective tax rate for the third quarter and first nine months of 1999 was approximately 40%, primarily reflecting the U.S. corporate income tax rate and the net effect of state taxation. The Company is currently evaluating permanent reinvestment of foreign earnings associated with certain of the Company's international operations which have been granted favorable tax treatment. Taxes on earnings of domestic subsidiaries not consolidated for tax purposes may cause the effective tax rate to vary significantly from period to period.</w:t>
      </w:r>
    </w:p>
    <w:p>
      <w:pPr>
        <w:spacing w:after="0" w:line="78" w:lineRule="exact"/>
        <w:rPr>
          <w:sz w:val="20"/>
          <w:szCs w:val="20"/>
          <w:color w:val="auto"/>
        </w:rPr>
      </w:pPr>
    </w:p>
    <w:p>
      <w:pPr>
        <w:ind w:left="7" w:right="3039" w:firstLine="454"/>
        <w:spacing w:after="0" w:line="277" w:lineRule="auto"/>
        <w:rPr>
          <w:sz w:val="20"/>
          <w:szCs w:val="20"/>
          <w:color w:val="auto"/>
        </w:rPr>
      </w:pPr>
      <w:r>
        <w:rPr>
          <w:rFonts w:ascii="Courier New" w:cs="Courier New" w:eastAsia="Courier New" w:hAnsi="Courier New"/>
          <w:sz w:val="15"/>
          <w:szCs w:val="15"/>
          <w:color w:val="auto"/>
        </w:rPr>
        <w:t>The effective tax rate for the third quarter and first nine months of 1998 was 40% and 35%, respectively. The income tax rate for the third quarter and first nine months of 1998 reflects the write off in the second quarter of 1998 of a $4 million deferred tax asset relating to the Company's consolidation of its NetFRAME enterprise server operations.</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14" w:right="1440" w:bottom="1440" w:gutter="0" w:footer="0" w:header="0"/>
        </w:sectPr>
      </w:pPr>
    </w:p>
    <w:bookmarkStart w:id="8" w:name="page9"/>
    <w:bookmarkEnd w:id="8"/>
    <w:p>
      <w:pPr>
        <w:ind w:left="7"/>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left="447" w:hanging="447"/>
        <w:spacing w:after="0"/>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share</w:t>
      </w:r>
    </w:p>
    <w:p>
      <w:pPr>
        <w:spacing w:after="0" w:line="180" w:lineRule="exact"/>
        <w:rPr>
          <w:sz w:val="20"/>
          <w:szCs w:val="20"/>
          <w:color w:val="auto"/>
        </w:rPr>
      </w:pPr>
    </w:p>
    <w:p>
      <w:pPr>
        <w:ind w:left="7" w:right="3000" w:firstLine="454"/>
        <w:spacing w:after="0" w:line="267" w:lineRule="auto"/>
        <w:rPr>
          <w:sz w:val="20"/>
          <w:szCs w:val="20"/>
          <w:color w:val="auto"/>
        </w:rPr>
      </w:pPr>
      <w:r>
        <w:rPr>
          <w:rFonts w:ascii="Courier New" w:cs="Courier New" w:eastAsia="Courier New" w:hAnsi="Courier New"/>
          <w:sz w:val="15"/>
          <w:szCs w:val="15"/>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 Earnings per share computations exclude stock options and potential shares for convertible debentures to the extent that their effect would have been antidilutive.</w:t>
      </w:r>
    </w:p>
    <w:p>
      <w:pPr>
        <w:spacing w:after="0" w:line="200" w:lineRule="exact"/>
        <w:rPr>
          <w:sz w:val="20"/>
          <w:szCs w:val="20"/>
          <w:color w:val="auto"/>
        </w:rPr>
      </w:pPr>
    </w:p>
    <w:p>
      <w:pPr>
        <w:spacing w:after="0" w:line="224" w:lineRule="exact"/>
        <w:rPr>
          <w:sz w:val="20"/>
          <w:szCs w:val="20"/>
          <w:color w:val="auto"/>
        </w:rPr>
      </w:pPr>
    </w:p>
    <w:p>
      <w:pPr>
        <w:ind w:left="5727"/>
        <w:spacing w:after="0"/>
        <w:tabs>
          <w:tab w:leader="none" w:pos="7986" w:val="left"/>
        </w:tabs>
        <w:rPr>
          <w:sz w:val="20"/>
          <w:szCs w:val="20"/>
          <w:color w:val="auto"/>
        </w:rPr>
      </w:pPr>
      <w:r>
        <w:rPr>
          <w:rFonts w:ascii="Courier New" w:cs="Courier New" w:eastAsia="Courier New" w:hAnsi="Courier New"/>
          <w:sz w:val="15"/>
          <w:szCs w:val="15"/>
          <w:color w:val="auto"/>
        </w:rPr>
        <w:t>Quarter ended</w:t>
      </w:r>
      <w:r>
        <w:rPr>
          <w:sz w:val="20"/>
          <w:szCs w:val="20"/>
          <w:color w:val="auto"/>
        </w:rPr>
        <w:tab/>
      </w:r>
      <w:r>
        <w:rPr>
          <w:rFonts w:ascii="Courier New" w:cs="Courier New" w:eastAsia="Courier New" w:hAnsi="Courier New"/>
          <w:sz w:val="15"/>
          <w:szCs w:val="15"/>
          <w:color w:val="auto"/>
        </w:rPr>
        <w:t>Nine months ended</w:t>
      </w:r>
    </w:p>
    <w:p>
      <w:pPr>
        <w:spacing w:after="0" w:line="33" w:lineRule="exact"/>
        <w:rPr>
          <w:sz w:val="20"/>
          <w:szCs w:val="20"/>
          <w:color w:val="auto"/>
        </w:rPr>
      </w:pPr>
    </w:p>
    <w:p>
      <w:pPr>
        <w:ind w:left="5447"/>
        <w:spacing w:after="0"/>
        <w:tabs>
          <w:tab w:leader="none" w:pos="6606" w:val="left"/>
          <w:tab w:leader="none" w:pos="7886" w:val="left"/>
          <w:tab w:leader="none" w:pos="9066" w:val="left"/>
        </w:tabs>
        <w:rPr>
          <w:sz w:val="20"/>
          <w:szCs w:val="20"/>
          <w:color w:val="auto"/>
        </w:rPr>
      </w:pPr>
      <w:r>
        <w:rPr>
          <w:rFonts w:ascii="Courier New" w:cs="Courier New" w:eastAsia="Courier New" w:hAnsi="Courier New"/>
          <w:sz w:val="15"/>
          <w:szCs w:val="15"/>
          <w:color w:val="auto"/>
        </w:rPr>
        <w:t>June 3,</w:t>
      </w:r>
      <w:r>
        <w:rPr>
          <w:sz w:val="20"/>
          <w:szCs w:val="20"/>
          <w:color w:val="auto"/>
        </w:rPr>
        <w:tab/>
      </w:r>
      <w:r>
        <w:rPr>
          <w:rFonts w:ascii="Courier New" w:cs="Courier New" w:eastAsia="Courier New" w:hAnsi="Courier New"/>
          <w:sz w:val="15"/>
          <w:szCs w:val="15"/>
          <w:color w:val="auto"/>
        </w:rPr>
        <w:t>May 28,</w:t>
      </w:r>
      <w:r>
        <w:rPr>
          <w:sz w:val="20"/>
          <w:szCs w:val="20"/>
          <w:color w:val="auto"/>
        </w:rPr>
        <w:tab/>
      </w:r>
      <w:r>
        <w:rPr>
          <w:rFonts w:ascii="Courier New" w:cs="Courier New" w:eastAsia="Courier New" w:hAnsi="Courier New"/>
          <w:sz w:val="15"/>
          <w:szCs w:val="15"/>
          <w:color w:val="auto"/>
        </w:rPr>
        <w:t>June 3,</w:t>
      </w:r>
      <w:r>
        <w:rPr>
          <w:sz w:val="20"/>
          <w:szCs w:val="20"/>
          <w:color w:val="auto"/>
        </w:rPr>
        <w:tab/>
      </w:r>
      <w:r>
        <w:rPr>
          <w:rFonts w:ascii="Courier New" w:cs="Courier New" w:eastAsia="Courier New" w:hAnsi="Courier New"/>
          <w:sz w:val="15"/>
          <w:szCs w:val="15"/>
          <w:color w:val="auto"/>
        </w:rPr>
        <w:t>May 28,</w:t>
      </w:r>
    </w:p>
    <w:p>
      <w:pPr>
        <w:spacing w:after="0" w:line="5" w:lineRule="exact"/>
        <w:rPr>
          <w:sz w:val="20"/>
          <w:szCs w:val="20"/>
          <w:color w:val="auto"/>
        </w:rPr>
      </w:pPr>
    </w:p>
    <w:p>
      <w:pPr>
        <w:ind w:left="5547"/>
        <w:spacing w:after="0"/>
        <w:tabs>
          <w:tab w:leader="none" w:pos="6706" w:val="left"/>
          <w:tab w:leader="none" w:pos="7986" w:val="left"/>
          <w:tab w:leader="none" w:pos="91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Net loss available for common shareholders,</w:t>
            </w:r>
          </w:p>
        </w:tc>
        <w:tc>
          <w:tcPr>
            <w:tcW w:w="7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6"/>
              </w:rPr>
              <w:t>(27.7)</w:t>
            </w:r>
          </w:p>
        </w:tc>
        <w:tc>
          <w:tcPr>
            <w:tcW w:w="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(109.4)</w:t>
            </w:r>
          </w:p>
        </w:tc>
        <w:tc>
          <w:tcPr>
            <w:tcW w:w="4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(51.4)</w:t>
            </w:r>
          </w:p>
        </w:tc>
        <w:tc>
          <w:tcPr>
            <w:tcW w:w="3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(153.8)</w:t>
            </w:r>
          </w:p>
        </w:tc>
        <w:tc>
          <w:tcPr>
            <w:tcW w:w="0" w:type="dxa"/>
            <w:vAlign w:val="bottom"/>
          </w:tcPr>
          <w:p>
            <w:pPr>
              <w:spacing w:after="0"/>
              <w:rPr>
                <w:sz w:val="1"/>
                <w:szCs w:val="1"/>
                <w:color w:val="auto"/>
              </w:rPr>
            </w:pPr>
          </w:p>
        </w:tc>
      </w:tr>
      <w:tr>
        <w:trPr>
          <w:trHeight w:val="175"/>
        </w:trPr>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Basic and Diluted</w:t>
            </w: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940" w:type="dxa"/>
            <w:vAlign w:val="bottom"/>
          </w:tcPr>
          <w:p>
            <w:pPr>
              <w:spacing w:after="0"/>
              <w:rPr>
                <w:sz w:val="20"/>
                <w:szCs w:val="20"/>
                <w:color w:val="auto"/>
              </w:rPr>
            </w:pPr>
            <w:r>
              <w:rPr>
                <w:rFonts w:ascii="Courier New" w:cs="Courier New" w:eastAsia="Courier New" w:hAnsi="Courier New"/>
                <w:sz w:val="15"/>
                <w:szCs w:val="15"/>
                <w:color w:val="auto"/>
              </w:rPr>
              <w:t>Weighted average common stock outstanding - Basic</w:t>
            </w:r>
          </w:p>
        </w:tc>
        <w:tc>
          <w:tcPr>
            <w:tcW w:w="780" w:type="dxa"/>
            <w:vAlign w:val="bottom"/>
          </w:tcPr>
          <w:p>
            <w:pPr>
              <w:spacing w:after="0"/>
              <w:rPr>
                <w:sz w:val="23"/>
                <w:szCs w:val="23"/>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266.3</w:t>
            </w:r>
          </w:p>
        </w:tc>
        <w:tc>
          <w:tcPr>
            <w:tcW w:w="360" w:type="dxa"/>
            <w:vAlign w:val="bottom"/>
          </w:tcPr>
          <w:p>
            <w:pPr>
              <w:spacing w:after="0"/>
              <w:rPr>
                <w:sz w:val="23"/>
                <w:szCs w:val="23"/>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215.8</w:t>
            </w:r>
          </w:p>
        </w:tc>
        <w:tc>
          <w:tcPr>
            <w:tcW w:w="400" w:type="dxa"/>
            <w:vAlign w:val="bottom"/>
          </w:tcPr>
          <w:p>
            <w:pPr>
              <w:spacing w:after="0"/>
              <w:rPr>
                <w:sz w:val="23"/>
                <w:szCs w:val="23"/>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258.8</w:t>
            </w:r>
          </w:p>
        </w:tc>
        <w:tc>
          <w:tcPr>
            <w:tcW w:w="360" w:type="dxa"/>
            <w:vAlign w:val="bottom"/>
          </w:tcPr>
          <w:p>
            <w:pPr>
              <w:spacing w:after="0"/>
              <w:rPr>
                <w:sz w:val="23"/>
                <w:szCs w:val="23"/>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215.2</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Net effect of dilutive stock options</w:t>
            </w:r>
          </w:p>
        </w:tc>
        <w:tc>
          <w:tcPr>
            <w:tcW w:w="78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940" w:type="dxa"/>
            <w:vAlign w:val="bottom"/>
          </w:tcPr>
          <w:p>
            <w:pPr>
              <w:spacing w:after="0"/>
              <w:rPr>
                <w:sz w:val="20"/>
                <w:szCs w:val="20"/>
                <w:color w:val="auto"/>
              </w:rPr>
            </w:pPr>
            <w:r>
              <w:rPr>
                <w:rFonts w:ascii="Courier New" w:cs="Courier New" w:eastAsia="Courier New" w:hAnsi="Courier New"/>
                <w:sz w:val="15"/>
                <w:szCs w:val="15"/>
                <w:color w:val="auto"/>
              </w:rPr>
              <w:t>Weighted average common stock and common stock</w:t>
            </w:r>
          </w:p>
        </w:tc>
        <w:tc>
          <w:tcPr>
            <w:tcW w:w="780" w:type="dxa"/>
            <w:vAlign w:val="bottom"/>
          </w:tcPr>
          <w:p>
            <w:pPr>
              <w:spacing w:after="0"/>
              <w:rPr>
                <w:sz w:val="23"/>
                <w:szCs w:val="23"/>
                <w:color w:val="auto"/>
              </w:rPr>
            </w:pPr>
          </w:p>
        </w:tc>
        <w:tc>
          <w:tcPr>
            <w:tcW w:w="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7"/>
              </w:rPr>
              <w:t>266.3</w:t>
            </w:r>
          </w:p>
        </w:tc>
        <w:tc>
          <w:tcPr>
            <w:tcW w:w="360" w:type="dxa"/>
            <w:vAlign w:val="bottom"/>
          </w:tcPr>
          <w:p>
            <w:pPr>
              <w:spacing w:after="0"/>
              <w:rPr>
                <w:sz w:val="23"/>
                <w:szCs w:val="23"/>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215.8</w:t>
            </w:r>
          </w:p>
        </w:tc>
        <w:tc>
          <w:tcPr>
            <w:tcW w:w="400" w:type="dxa"/>
            <w:vAlign w:val="bottom"/>
          </w:tcPr>
          <w:p>
            <w:pPr>
              <w:spacing w:after="0"/>
              <w:rPr>
                <w:sz w:val="23"/>
                <w:szCs w:val="23"/>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258.8</w:t>
            </w:r>
          </w:p>
        </w:tc>
        <w:tc>
          <w:tcPr>
            <w:tcW w:w="360" w:type="dxa"/>
            <w:vAlign w:val="bottom"/>
          </w:tcPr>
          <w:p>
            <w:pPr>
              <w:spacing w:after="0"/>
              <w:rPr>
                <w:sz w:val="23"/>
                <w:szCs w:val="23"/>
                <w:color w:val="auto"/>
              </w:rPr>
            </w:pPr>
          </w:p>
        </w:tc>
        <w:tc>
          <w:tcPr>
            <w:tcW w:w="7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215.2</w:t>
            </w:r>
          </w:p>
        </w:tc>
        <w:tc>
          <w:tcPr>
            <w:tcW w:w="0" w:type="dxa"/>
            <w:vAlign w:val="bottom"/>
          </w:tcPr>
          <w:p>
            <w:pPr>
              <w:spacing w:after="0"/>
              <w:rPr>
                <w:sz w:val="1"/>
                <w:szCs w:val="1"/>
                <w:color w:val="auto"/>
              </w:rPr>
            </w:pPr>
          </w:p>
        </w:tc>
      </w:tr>
      <w:tr>
        <w:trPr>
          <w:trHeight w:val="175"/>
        </w:trPr>
        <w:tc>
          <w:tcPr>
            <w:tcW w:w="4940" w:type="dxa"/>
            <w:vAlign w:val="bottom"/>
          </w:tcPr>
          <w:p>
            <w:pPr>
              <w:ind w:left="80"/>
              <w:spacing w:after="0"/>
              <w:rPr>
                <w:sz w:val="20"/>
                <w:szCs w:val="20"/>
                <w:color w:val="auto"/>
              </w:rPr>
            </w:pPr>
            <w:r>
              <w:rPr>
                <w:rFonts w:ascii="Courier New" w:cs="Courier New" w:eastAsia="Courier New" w:hAnsi="Courier New"/>
                <w:sz w:val="15"/>
                <w:szCs w:val="15"/>
                <w:color w:val="auto"/>
              </w:rPr>
              <w:t>equivalents - Diluted</w:t>
            </w:r>
          </w:p>
        </w:tc>
        <w:tc>
          <w:tcPr>
            <w:tcW w:w="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94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(0.10)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(0.51)</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(0.20)</w:t>
            </w:r>
          </w:p>
        </w:tc>
        <w:tc>
          <w:tcPr>
            <w:tcW w:w="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940" w:type="dxa"/>
            <w:vAlign w:val="bottom"/>
          </w:tcPr>
          <w:p>
            <w:pPr>
              <w:spacing w:after="0"/>
              <w:rPr>
                <w:sz w:val="20"/>
                <w:szCs w:val="20"/>
                <w:color w:val="auto"/>
              </w:rPr>
            </w:pPr>
            <w:r>
              <w:rPr>
                <w:rFonts w:ascii="Courier New" w:cs="Courier New" w:eastAsia="Courier New" w:hAnsi="Courier New"/>
                <w:sz w:val="15"/>
                <w:szCs w:val="15"/>
                <w:color w:val="auto"/>
              </w:rPr>
              <w:t>Diluted loss per share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(0.10)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(0.51)</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(0.20)</w:t>
            </w:r>
          </w:p>
        </w:tc>
        <w:tc>
          <w:tcPr>
            <w:tcW w:w="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940" w:type="dxa"/>
            <w:vAlign w:val="bottom"/>
          </w:tcPr>
          <w:p>
            <w:pPr>
              <w:spacing w:after="0"/>
              <w:rPr>
                <w:sz w:val="20"/>
                <w:szCs w:val="20"/>
                <w:color w:val="auto"/>
              </w:rPr>
            </w:pPr>
            <w:r>
              <w:rPr>
                <w:rFonts w:ascii="Courier New" w:cs="Courier New" w:eastAsia="Courier New" w:hAnsi="Courier New"/>
                <w:sz w:val="15"/>
                <w:szCs w:val="15"/>
                <w:color w:val="auto"/>
              </w:rPr>
              <w:t>Antidilutive shares excluded from computation</w:t>
            </w:r>
          </w:p>
        </w:tc>
        <w:tc>
          <w:tcPr>
            <w:tcW w:w="780" w:type="dxa"/>
            <w:vAlign w:val="bottom"/>
          </w:tcPr>
          <w:p>
            <w:pPr>
              <w:spacing w:after="0"/>
              <w:rPr>
                <w:sz w:val="23"/>
                <w:szCs w:val="23"/>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w:t>
            </w:r>
          </w:p>
        </w:tc>
        <w:tc>
          <w:tcPr>
            <w:tcW w:w="360" w:type="dxa"/>
            <w:vAlign w:val="bottom"/>
          </w:tcPr>
          <w:p>
            <w:pPr>
              <w:spacing w:after="0"/>
              <w:rPr>
                <w:sz w:val="23"/>
                <w:szCs w:val="23"/>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w:t>
            </w:r>
          </w:p>
        </w:tc>
        <w:tc>
          <w:tcPr>
            <w:tcW w:w="400" w:type="dxa"/>
            <w:vAlign w:val="bottom"/>
          </w:tcPr>
          <w:p>
            <w:pPr>
              <w:spacing w:after="0"/>
              <w:rPr>
                <w:sz w:val="23"/>
                <w:szCs w:val="23"/>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23"/>
                <w:szCs w:val="23"/>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47" w:hanging="447"/>
        <w:spacing w:after="0"/>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0" w:lineRule="exact"/>
        <w:rPr>
          <w:sz w:val="20"/>
          <w:szCs w:val="20"/>
          <w:color w:val="auto"/>
        </w:rPr>
      </w:pPr>
    </w:p>
    <w:p>
      <w:pPr>
        <w:ind w:left="7" w:right="3000" w:firstLine="454"/>
        <w:spacing w:after="0" w:line="287" w:lineRule="auto"/>
        <w:rPr>
          <w:sz w:val="20"/>
          <w:szCs w:val="20"/>
          <w:color w:val="auto"/>
        </w:rPr>
      </w:pPr>
      <w:r>
        <w:rPr>
          <w:rFonts w:ascii="Courier New" w:cs="Courier New" w:eastAsia="Courier New" w:hAnsi="Courier New"/>
          <w:sz w:val="15"/>
          <w:szCs w:val="15"/>
          <w:color w:val="auto"/>
        </w:rPr>
        <w:t>The Company adopted Statement of Financial Accounting Standards ("SFAS") No. 130, "Reporting Comprehensive Income," as of the first quarter of 1999. SFAS No. 130 establishes rules for the reporting and display of comprehensive income and its components.</w:t>
      </w:r>
    </w:p>
    <w:p>
      <w:pPr>
        <w:spacing w:after="0" w:line="61"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components of comprehensive income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rPr>
              <w:t>For the quarter ended</w:t>
            </w:r>
          </w:p>
        </w:tc>
        <w:tc>
          <w:tcPr>
            <w:tcW w:w="2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May 28,</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2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(27.7)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(109.4)</w:t>
            </w: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 investments</w:t>
            </w:r>
          </w:p>
        </w:tc>
        <w:tc>
          <w:tcPr>
            <w:tcW w:w="1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comprehensive loss</w:t>
            </w:r>
          </w:p>
        </w:tc>
        <w:tc>
          <w:tcPr>
            <w:tcW w:w="1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bscript"/>
              </w:rPr>
              <w:t>(27.8)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(109.4)</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For the nine months ended</w:t>
            </w:r>
          </w:p>
        </w:tc>
        <w:tc>
          <w:tcPr>
            <w:tcW w:w="1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June 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May 28,</w:t>
            </w:r>
          </w:p>
        </w:tc>
        <w:tc>
          <w:tcPr>
            <w:tcW w:w="0" w:type="dxa"/>
            <w:vAlign w:val="bottom"/>
          </w:tcPr>
          <w:p>
            <w:pPr>
              <w:spacing w:after="0"/>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190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7" w:type="dxa"/>
        <w:tblCellMar>
          <w:top w:w="0" w:type="dxa"/>
          <w:left w:w="0" w:type="dxa"/>
          <w:bottom w:w="0" w:type="dxa"/>
          <w:right w:w="0" w:type="dxa"/>
        </w:tblCellMar>
      </w:tblP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6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(51.4)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(153.8)</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6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Unrealized loss on investments</w:t>
            </w:r>
          </w:p>
        </w:tc>
        <w:tc>
          <w:tcPr>
            <w:tcW w:w="6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Total comprehensive loss</w:t>
            </w:r>
          </w:p>
        </w:tc>
        <w:tc>
          <w:tcPr>
            <w:tcW w:w="680" w:type="dxa"/>
            <w:vAlign w:val="bottom"/>
            <w:vMerge w:val="restart"/>
          </w:tcPr>
          <w:p>
            <w:pPr>
              <w:ind w:left="4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9"/>
              </w:rPr>
              <w:t>(52.8)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9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(154.3)</w:t>
            </w: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3940" w:type="dxa"/>
            <w:vAlign w:val="bottom"/>
          </w:tcPr>
          <w:p>
            <w:pPr>
              <w:ind w:left="3360"/>
              <w:spacing w:after="0"/>
              <w:rPr>
                <w:sz w:val="20"/>
                <w:szCs w:val="20"/>
                <w:color w:val="auto"/>
              </w:rPr>
            </w:pPr>
            <w:r>
              <w:rPr>
                <w:rFonts w:ascii="Courier New" w:cs="Courier New" w:eastAsia="Courier New" w:hAnsi="Courier New"/>
                <w:sz w:val="15"/>
                <w:szCs w:val="15"/>
                <w:color w:val="auto"/>
              </w:rPr>
              <w:t>8</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7"/>
          </w:cols>
          <w:pgMar w:left="233" w:top="615" w:right="1399" w:bottom="1440" w:gutter="0" w:footer="0" w:header="0"/>
        </w:sectPr>
      </w:pPr>
    </w:p>
    <w:bookmarkStart w:id="9" w:name="page10"/>
    <w:bookmarkEnd w:id="9"/>
    <w:p>
      <w:pPr>
        <w:ind w:left="7"/>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ind w:left="447" w:hanging="447"/>
        <w:spacing w:after="0"/>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80" w:lineRule="exact"/>
        <w:rPr>
          <w:sz w:val="20"/>
          <w:szCs w:val="20"/>
          <w:color w:val="auto"/>
        </w:rPr>
      </w:pPr>
    </w:p>
    <w:p>
      <w:pPr>
        <w:ind w:left="7" w:right="2959" w:firstLine="454"/>
        <w:spacing w:after="0" w:line="256" w:lineRule="auto"/>
        <w:rPr>
          <w:sz w:val="20"/>
          <w:szCs w:val="20"/>
          <w:color w:val="auto"/>
        </w:rPr>
      </w:pPr>
      <w:r>
        <w:rPr>
          <w:rFonts w:ascii="Courier New" w:cs="Courier New" w:eastAsia="Courier New" w:hAnsi="Courier New"/>
          <w:sz w:val="15"/>
          <w:szCs w:val="15"/>
          <w:color w:val="auto"/>
        </w:rPr>
        <w:t>On September 30, 1998, the Company completed its acquisition (the "Acquisition") of substantially all of the memory operations of Texas Instruments Incorporated ("TI") for a net purchase price of approximately $832.8 million. The Acquisition was consummated through the issuance of debt and equity securities. In connection with the transaction, the Company issued 28.9 million shares of MTI common stock, $740 million principal amount of Convertible Notes and $210 million principal amount of subordinated notes. In addition to TI's net memory assets, the Company received $681.1 million in cash. The Acquisition was accounted for as a business combination using the purchase method of accounting. The purchase price was allocated to the assets acquired and liabilities assumed based on their estimated fair values. The Company and TI also entered into a ten-year, royalty-free, life-of-patents, patent cross license that commenced on January 1, 1999. The Company made royalty payments to TI under a prior cross license agreement for operations through December 31, 1998.</w:t>
      </w:r>
    </w:p>
    <w:p>
      <w:pPr>
        <w:spacing w:after="0" w:line="84" w:lineRule="exact"/>
        <w:rPr>
          <w:sz w:val="20"/>
          <w:szCs w:val="20"/>
          <w:color w:val="auto"/>
        </w:rPr>
      </w:pPr>
    </w:p>
    <w:p>
      <w:pPr>
        <w:jc w:val="both"/>
        <w:ind w:left="7" w:right="3219" w:firstLine="454"/>
        <w:spacing w:after="0" w:line="307" w:lineRule="auto"/>
        <w:rPr>
          <w:sz w:val="20"/>
          <w:szCs w:val="20"/>
          <w:color w:val="auto"/>
        </w:rPr>
      </w:pPr>
      <w:r>
        <w:rPr>
          <w:rFonts w:ascii="Courier New" w:cs="Courier New" w:eastAsia="Courier New" w:hAnsi="Courier New"/>
          <w:sz w:val="15"/>
          <w:szCs w:val="15"/>
          <w:color w:val="auto"/>
        </w:rPr>
        <w:t>The following unaudited pro forma information presents the consolidated results of operations of the Company as if the Acquisition had taken place at the beginning of each period presented.</w:t>
      </w:r>
    </w:p>
    <w:p>
      <w:pPr>
        <w:spacing w:after="0" w:line="397"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400" w:type="dxa"/>
            <w:vAlign w:val="bottom"/>
            <w:vMerge w:val="restart"/>
          </w:tcPr>
          <w:p>
            <w:pPr>
              <w:spacing w:after="0"/>
              <w:rPr>
                <w:sz w:val="20"/>
                <w:szCs w:val="20"/>
                <w:color w:val="auto"/>
              </w:rPr>
            </w:pPr>
            <w:r>
              <w:rPr>
                <w:rFonts w:ascii="Courier New" w:cs="Courier New" w:eastAsia="Courier New" w:hAnsi="Courier New"/>
                <w:sz w:val="15"/>
                <w:szCs w:val="15"/>
                <w:color w:val="auto"/>
              </w:rPr>
              <w:t>For the nine months ended</w:t>
            </w:r>
          </w:p>
        </w:tc>
        <w:tc>
          <w:tcPr>
            <w:tcW w:w="2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May 28,</w:t>
            </w:r>
          </w:p>
        </w:tc>
        <w:tc>
          <w:tcPr>
            <w:tcW w:w="0" w:type="dxa"/>
            <w:vAlign w:val="bottom"/>
          </w:tcPr>
          <w:p>
            <w:pPr>
              <w:spacing w:after="0"/>
              <w:rPr>
                <w:sz w:val="1"/>
                <w:szCs w:val="1"/>
                <w:color w:val="auto"/>
              </w:rPr>
            </w:pPr>
          </w:p>
        </w:tc>
      </w:tr>
      <w:tr>
        <w:trPr>
          <w:trHeight w:val="203"/>
        </w:trPr>
        <w:tc>
          <w:tcPr>
            <w:tcW w:w="3400" w:type="dxa"/>
            <w:vAlign w:val="bottom"/>
            <w:vMerge w:val="continue"/>
          </w:tcPr>
          <w:p>
            <w:pPr>
              <w:spacing w:after="0"/>
              <w:rPr>
                <w:sz w:val="17"/>
                <w:szCs w:val="17"/>
                <w:color w:val="auto"/>
              </w:rPr>
            </w:pPr>
          </w:p>
        </w:tc>
        <w:tc>
          <w:tcPr>
            <w:tcW w:w="2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7" w:type="dxa"/>
        <w:tblCellMar>
          <w:top w:w="0" w:type="dxa"/>
          <w:left w:w="0" w:type="dxa"/>
          <w:bottom w:w="0" w:type="dxa"/>
          <w:right w:w="0" w:type="dxa"/>
        </w:tblCellMar>
      </w:tblP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$2,738.5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$2,958.9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2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256"/>
        </w:trPr>
        <w:tc>
          <w:tcPr>
            <w:tcW w:w="3180" w:type="dxa"/>
            <w:vAlign w:val="bottom"/>
          </w:tcPr>
          <w:p>
            <w:pPr>
              <w:spacing w:after="0"/>
              <w:rPr>
                <w:sz w:val="20"/>
                <w:szCs w:val="20"/>
                <w:color w:val="auto"/>
              </w:rPr>
            </w:pPr>
            <w:r>
              <w:rPr>
                <w:rFonts w:ascii="Courier New" w:cs="Courier New" w:eastAsia="Courier New" w:hAnsi="Courier New"/>
                <w:sz w:val="15"/>
                <w:szCs w:val="15"/>
                <w:color w:val="auto"/>
              </w:rPr>
              <w:t>Diluted loss per share</w:t>
            </w:r>
          </w:p>
        </w:tc>
        <w:tc>
          <w:tcPr>
            <w:tcW w:w="2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bl>
    <w:p>
      <w:pPr>
        <w:spacing w:after="0" w:line="268" w:lineRule="exact"/>
        <w:rPr>
          <w:sz w:val="20"/>
          <w:szCs w:val="20"/>
          <w:color w:val="auto"/>
        </w:rPr>
      </w:pPr>
    </w:p>
    <w:p>
      <w:pPr>
        <w:ind w:left="7" w:right="3139" w:firstLine="454"/>
        <w:spacing w:after="0" w:line="287" w:lineRule="auto"/>
        <w:rPr>
          <w:sz w:val="20"/>
          <w:szCs w:val="20"/>
          <w:color w:val="auto"/>
        </w:rPr>
      </w:pPr>
      <w:r>
        <w:rPr>
          <w:rFonts w:ascii="Courier New" w:cs="Courier New" w:eastAsia="Courier New" w:hAnsi="Courier New"/>
          <w:sz w:val="15"/>
          <w:szCs w:val="15"/>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61" w:lineRule="exact"/>
        <w:rPr>
          <w:sz w:val="20"/>
          <w:szCs w:val="20"/>
          <w:color w:val="auto"/>
        </w:rPr>
      </w:pPr>
    </w:p>
    <w:p>
      <w:pPr>
        <w:ind w:left="447" w:hanging="447"/>
        <w:spacing w:after="0"/>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80" w:lineRule="exact"/>
        <w:rPr>
          <w:sz w:val="20"/>
          <w:szCs w:val="20"/>
          <w:color w:val="auto"/>
        </w:rPr>
      </w:pPr>
    </w:p>
    <w:p>
      <w:pPr>
        <w:ind w:left="7" w:right="2959" w:firstLine="454"/>
        <w:spacing w:after="0" w:line="262" w:lineRule="auto"/>
        <w:rPr>
          <w:sz w:val="20"/>
          <w:szCs w:val="20"/>
          <w:color w:val="auto"/>
        </w:rPr>
      </w:pPr>
      <w:r>
        <w:rPr>
          <w:rFonts w:ascii="Courier New" w:cs="Courier New" w:eastAsia="Courier New" w:hAnsi="Courier New"/>
          <w:sz w:val="15"/>
          <w:szCs w:val="15"/>
          <w:color w:val="auto"/>
        </w:rPr>
        <w:t>On September 14, 1998, the Company completed its merger with Rendition. The Company issued approximately 3.6 million shares of Common Stock in exchange for all of the outstanding stock of Rendition. The merger qualified as a tax-free exchange and was accounted for as a business combination using the "pooling-of-interests" method. Accordingly, the Company's financial statements have been restated to include the results of Rendition for all periods presented. The following table presents a reconciliation of net sales and net income (loss) as previously reported by the Company for the quarter and nine months ended May 28, 1998, to those presented in the accompanying consolidated financial statements.</w:t>
      </w:r>
    </w:p>
    <w:p>
      <w:pPr>
        <w:spacing w:after="0" w:line="200" w:lineRule="exact"/>
        <w:rPr>
          <w:sz w:val="20"/>
          <w:szCs w:val="20"/>
          <w:color w:val="auto"/>
        </w:rPr>
      </w:pPr>
    </w:p>
    <w:p>
      <w:pPr>
        <w:spacing w:after="0" w:line="228" w:lineRule="exact"/>
        <w:rPr>
          <w:sz w:val="20"/>
          <w:szCs w:val="20"/>
          <w:color w:val="auto"/>
        </w:rPr>
      </w:pPr>
    </w:p>
    <w:p>
      <w:pPr>
        <w:ind w:left="7"/>
        <w:spacing w:after="0"/>
        <w:tabs>
          <w:tab w:leader="none" w:pos="3606" w:val="left"/>
          <w:tab w:leader="none" w:pos="4986" w:val="left"/>
          <w:tab w:leader="none" w:pos="6346"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5"/>
          <w:szCs w:val="15"/>
          <w:color w:val="auto"/>
        </w:rPr>
        <w:t>MTI</w:t>
      </w:r>
      <w:r>
        <w:rPr>
          <w:sz w:val="20"/>
          <w:szCs w:val="20"/>
          <w:color w:val="auto"/>
        </w:rPr>
        <w:tab/>
      </w:r>
      <w:r>
        <w:rPr>
          <w:rFonts w:ascii="Courier New" w:cs="Courier New" w:eastAsia="Courier New" w:hAnsi="Courier New"/>
          <w:sz w:val="15"/>
          <w:szCs w:val="15"/>
          <w:color w:val="auto"/>
        </w:rPr>
        <w:t>Rendition</w:t>
      </w:r>
      <w:r>
        <w:rPr>
          <w:sz w:val="20"/>
          <w:szCs w:val="20"/>
          <w:color w:val="auto"/>
        </w:rPr>
        <w:tab/>
      </w:r>
      <w:r>
        <w:rPr>
          <w:rFonts w:ascii="Courier New" w:cs="Courier New" w:eastAsia="Courier New" w:hAnsi="Courier New"/>
          <w:sz w:val="15"/>
          <w:szCs w:val="15"/>
          <w:color w:val="auto"/>
        </w:rPr>
        <w:t>Combined</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82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609.9</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612.7</w:t>
            </w:r>
          </w:p>
        </w:tc>
      </w:tr>
      <w:tr>
        <w:trPr>
          <w:trHeight w:val="350"/>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(106.1)</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(109.4)</w:t>
            </w:r>
          </w:p>
        </w:tc>
      </w:tr>
      <w:tr>
        <w:trPr>
          <w:trHeight w:val="471"/>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 the nine months ended</w:t>
            </w:r>
          </w:p>
        </w:tc>
        <w:tc>
          <w:tcPr>
            <w:tcW w:w="1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MTI</w:t>
            </w:r>
          </w:p>
        </w:tc>
        <w:tc>
          <w:tcPr>
            <w:tcW w:w="1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Rendition</w:t>
            </w:r>
          </w:p>
        </w:tc>
        <w:tc>
          <w:tcPr>
            <w:tcW w:w="1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Combined</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7" w:type="dxa"/>
        <w:tblCellMar>
          <w:top w:w="0" w:type="dxa"/>
          <w:left w:w="0" w:type="dxa"/>
          <w:bottom w:w="0" w:type="dxa"/>
          <w:right w:w="0" w:type="dxa"/>
        </w:tblCellMar>
      </w:tblPr>
      <w:tr>
        <w:trPr>
          <w:trHeight w:val="256"/>
        </w:trPr>
        <w:tc>
          <w:tcPr>
            <w:tcW w:w="2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2,320.0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13.2</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$2,333.2</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(9.1)</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w w:val="98"/>
              </w:rPr>
              <w:t>$ (153.8)</w:t>
            </w:r>
          </w:p>
        </w:tc>
      </w:tr>
      <w:tr>
        <w:trPr>
          <w:trHeight w:val="524"/>
        </w:trPr>
        <w:tc>
          <w:tcPr>
            <w:tcW w:w="2080" w:type="dxa"/>
            <w:vAlign w:val="bottom"/>
          </w:tcPr>
          <w:p>
            <w:pPr>
              <w:spacing w:after="0"/>
              <w:rPr>
                <w:sz w:val="24"/>
                <w:szCs w:val="24"/>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26"/>
          </w:cols>
          <w:pgMar w:left="233" w:top="615" w:right="1440" w:bottom="1440" w:gutter="0" w:footer="0" w:header="0"/>
        </w:sectPr>
      </w:pPr>
    </w:p>
    <w:bookmarkStart w:id="10" w:name="page11"/>
    <w:bookmarkEnd w:id="10"/>
    <w:p>
      <w:pPr>
        <w:ind w:left="7"/>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left="447" w:hanging="447"/>
        <w:spacing w:after="0"/>
        <w:tabs>
          <w:tab w:leader="none" w:pos="4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w:t>
      </w:r>
    </w:p>
    <w:p>
      <w:pPr>
        <w:spacing w:after="0" w:line="180" w:lineRule="exact"/>
        <w:rPr>
          <w:sz w:val="20"/>
          <w:szCs w:val="20"/>
          <w:color w:val="auto"/>
        </w:rPr>
      </w:pPr>
    </w:p>
    <w:p>
      <w:pPr>
        <w:ind w:left="7" w:right="2959" w:firstLine="454"/>
        <w:spacing w:after="0" w:line="255" w:lineRule="auto"/>
        <w:rPr>
          <w:sz w:val="20"/>
          <w:szCs w:val="20"/>
          <w:color w:val="auto"/>
        </w:rPr>
      </w:pPr>
      <w:r>
        <w:rPr>
          <w:rFonts w:ascii="Courier New" w:cs="Courier New" w:eastAsia="Courier New" w:hAnsi="Courier New"/>
          <w:sz w:val="15"/>
          <w:szCs w:val="15"/>
          <w:color w:val="auto"/>
        </w:rPr>
        <w:t>On October 19, 1998, the Company issued to Intel approximately 15.8 million stock rights (the "Rights") for a purchase price of $500 million. The Rights were converted into non-voting Class A Common Stock of the Company on January 14, 1999. The Class A Common Stock represented approximately 6% of the Company's outstanding common stock as of June 3, 1999. The Class A Common Stock will automatically be converted into the Company's common stock upon a transfer to a holder other than Intel or a 90% owned subsidiary of Intel. The Class A Common Stock issued to Intel has not been registered under the Securities Act of 1933, as amended, and is therefore subject to certain restrictions on resale. The Company and Intel entered into a securities rights and restrictions agreement which provides Intel with certain registration rights and places certain restrictions on Intel's voting rights and other activities with respect to the shares of MTI Class A Common Stock or common stock. Intel also has the right to designate a director nominee, acceptable to the Company, to the Company's Board of Directors.</w:t>
      </w:r>
    </w:p>
    <w:p>
      <w:pPr>
        <w:spacing w:after="0" w:line="88" w:lineRule="exact"/>
        <w:rPr>
          <w:sz w:val="20"/>
          <w:szCs w:val="20"/>
          <w:color w:val="auto"/>
        </w:rPr>
      </w:pPr>
    </w:p>
    <w:p>
      <w:pPr>
        <w:ind w:left="7" w:right="2959" w:firstLine="454"/>
        <w:spacing w:after="0" w:line="249" w:lineRule="auto"/>
        <w:rPr>
          <w:sz w:val="20"/>
          <w:szCs w:val="20"/>
          <w:color w:val="auto"/>
        </w:rPr>
      </w:pPr>
      <w:r>
        <w:rPr>
          <w:rFonts w:ascii="Courier New" w:cs="Courier New" w:eastAsia="Courier New" w:hAnsi="Courier New"/>
          <w:sz w:val="15"/>
          <w:szCs w:val="15"/>
          <w:color w:val="auto"/>
        </w:rPr>
        <w:t>In consideration for Intel's investment, the Company has agreed to commit to the development of direct Rambus DRAM ("RDRAM") and to certain production and capital expenditure milestones and to make available to Intel a certain percentage of its semiconductor memory output over a five-year period, subject to certain limitations. The conversion ratio of the Class A Common Stock is subject to adjustment under certain formulae at the election of Intel in the event MTI fails to meet the production or capital expenditure milestones. No adjustment will occur to the conversion ratio under such formulae (i) unless the price of the Company's common stock for a twenty day period ending two days prior to such milestone dates is lower than $31.625 (the market price of the Company's common stock at the time of investment), or (ii) if the Company achieves the production and capital expenditure milestones. In addition, if an adjustment occurs, in no event will the Company be obligated to issue more than:</w:t>
      </w:r>
    </w:p>
    <w:p>
      <w:pPr>
        <w:spacing w:after="0" w:line="8" w:lineRule="exact"/>
        <w:rPr>
          <w:sz w:val="20"/>
          <w:szCs w:val="20"/>
          <w:color w:val="auto"/>
        </w:rPr>
      </w:pPr>
    </w:p>
    <w:p>
      <w:pPr>
        <w:ind w:left="7" w:right="3039" w:hanging="7"/>
        <w:spacing w:after="0" w:line="329" w:lineRule="auto"/>
        <w:tabs>
          <w:tab w:leader="none" w:pos="3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of additional shares having a value exceeding $150 million, or (b) 15,810,277 shares.</w:t>
      </w:r>
    </w:p>
    <w:p>
      <w:pPr>
        <w:spacing w:after="0" w:line="30" w:lineRule="exact"/>
        <w:rPr>
          <w:sz w:val="20"/>
          <w:szCs w:val="20"/>
          <w:color w:val="auto"/>
        </w:rPr>
      </w:pPr>
    </w:p>
    <w:p>
      <w:pPr>
        <w:ind w:left="447" w:hanging="447"/>
        <w:spacing w:after="0"/>
        <w:tabs>
          <w:tab w:leader="none" w:pos="4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Ventures</w:t>
      </w:r>
    </w:p>
    <w:p>
      <w:pPr>
        <w:spacing w:after="0" w:line="180" w:lineRule="exact"/>
        <w:rPr>
          <w:sz w:val="20"/>
          <w:szCs w:val="20"/>
          <w:color w:val="auto"/>
        </w:rPr>
      </w:pPr>
    </w:p>
    <w:p>
      <w:pPr>
        <w:ind w:left="7" w:right="2959" w:firstLine="454"/>
        <w:spacing w:after="0" w:line="256" w:lineRule="auto"/>
        <w:rPr>
          <w:sz w:val="20"/>
          <w:szCs w:val="20"/>
          <w:color w:val="auto"/>
        </w:rPr>
      </w:pPr>
      <w:r>
        <w:rPr>
          <w:rFonts w:ascii="Courier New" w:cs="Courier New" w:eastAsia="Courier New" w:hAnsi="Courier New"/>
          <w:sz w:val="15"/>
          <w:szCs w:val="15"/>
          <w:color w:val="auto"/>
        </w:rPr>
        <w:t>In connection with the Acquisition, the Company acquired a 30% ownership interest in TECH Semiconductor Singapore Pte. Ltd. ("TECH") and a 25% ownership interest in KMT Semiconductor Limited ("KMT"). TECH and KMT operate wafer fabrication facilities for the manufacture of DRAM products. TECH, which operates in Singapore, is a joint venture between the Company, the Singapore Economic Development Board, Canon Inc., and Hewlett-Packard Company. KMT, which operates in Japan, is a joint venture between the Company and Kobe Steel, Ltd. TECH and KMT are collectively referred to herein as the "JVs." The Company has rights and obligations to purchase all of the production meeting its specifications from the JVs at prices determined quarterly. In addition, the Company is a party to various agreements whereby the Company receives fees for services performed on behalf of the JVs. All JV transactions are recognized as part of the net cost of JV output. The Company accounts for its investments in these JVs under the equity method.</w:t>
      </w:r>
    </w:p>
    <w:p>
      <w:pPr>
        <w:spacing w:after="0" w:line="84" w:lineRule="exact"/>
        <w:rPr>
          <w:sz w:val="20"/>
          <w:szCs w:val="20"/>
          <w:color w:val="auto"/>
        </w:rPr>
      </w:pPr>
    </w:p>
    <w:p>
      <w:pPr>
        <w:ind w:left="7" w:right="2959" w:firstLine="454"/>
        <w:spacing w:after="0" w:line="277" w:lineRule="auto"/>
        <w:rPr>
          <w:sz w:val="20"/>
          <w:szCs w:val="20"/>
          <w:color w:val="auto"/>
        </w:rPr>
      </w:pPr>
      <w:r>
        <w:rPr>
          <w:rFonts w:ascii="Courier New" w:cs="Courier New" w:eastAsia="Courier New" w:hAnsi="Courier New"/>
          <w:sz w:val="15"/>
          <w:szCs w:val="15"/>
          <w:color w:val="auto"/>
        </w:rPr>
        <w:t>The Company is amortizing the purchase price allocated to the JV supply arrangements on a straight-line basis over the remaining contractual life of the arrangements. Amortization expense from the JV supply arrangements was $0.7 million and $1.9 million, respectively, for the third quarter and first nine months of 1999.</w:t>
      </w:r>
    </w:p>
    <w:p>
      <w:pPr>
        <w:spacing w:after="0" w:line="68" w:lineRule="exact"/>
        <w:rPr>
          <w:sz w:val="20"/>
          <w:szCs w:val="20"/>
          <w:color w:val="auto"/>
        </w:rPr>
      </w:pPr>
    </w:p>
    <w:p>
      <w:pPr>
        <w:ind w:left="7" w:right="2959" w:firstLine="454"/>
        <w:spacing w:after="0" w:line="267" w:lineRule="auto"/>
        <w:rPr>
          <w:sz w:val="20"/>
          <w:szCs w:val="20"/>
          <w:color w:val="auto"/>
        </w:rPr>
      </w:pPr>
      <w:r>
        <w:rPr>
          <w:rFonts w:ascii="Courier New" w:cs="Courier New" w:eastAsia="Courier New" w:hAnsi="Courier New"/>
          <w:sz w:val="15"/>
          <w:szCs w:val="15"/>
          <w:color w:val="auto"/>
        </w:rPr>
        <w:t>The Company incurred net costs of $106.1 million and $221.3 million for product purchases from the JVs in the third quarter and first nine months of 1999, respectively. The Company sold semiconductor memory manufacturing equipment to the JVs totaling $2.1 million and $3.5 million in the third quarter and first nine months of 1999, respectively. Aggregate receivables from and payables to the JVs were $45.5 million and $42.8 million, respectively, as of June 3, 1999.</w:t>
      </w:r>
    </w:p>
    <w:p>
      <w:pPr>
        <w:spacing w:after="0" w:line="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614" w:right="1440" w:bottom="1440" w:gutter="0" w:footer="0" w:header="0"/>
        </w:sectPr>
      </w:pPr>
    </w:p>
    <w:bookmarkStart w:id="11" w:name="page12"/>
    <w:bookmarkEnd w:id="11"/>
    <w:p>
      <w:pPr>
        <w:ind w:left="7"/>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left="447" w:hanging="447"/>
        <w:spacing w:after="0"/>
        <w:tabs>
          <w:tab w:leader="none" w:pos="4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80" w:lineRule="exact"/>
        <w:rPr>
          <w:sz w:val="20"/>
          <w:szCs w:val="20"/>
          <w:color w:val="auto"/>
        </w:rPr>
      </w:pPr>
    </w:p>
    <w:p>
      <w:pPr>
        <w:ind w:left="7" w:right="3319" w:firstLine="454"/>
        <w:spacing w:after="0" w:line="307" w:lineRule="auto"/>
        <w:rPr>
          <w:sz w:val="20"/>
          <w:szCs w:val="20"/>
          <w:color w:val="auto"/>
        </w:rPr>
      </w:pPr>
      <w:r>
        <w:rPr>
          <w:rFonts w:ascii="Courier New" w:cs="Courier New" w:eastAsia="Courier New" w:hAnsi="Courier New"/>
          <w:sz w:val="15"/>
          <w:szCs w:val="15"/>
          <w:color w:val="auto"/>
        </w:rPr>
        <w:t>As of June 3, 1999, the Company had commitments of approximately $585.6 million for equipment purchases and $46.2 million for the construction of buildings.</w:t>
      </w:r>
    </w:p>
    <w:p>
      <w:pPr>
        <w:spacing w:after="0" w:line="47" w:lineRule="exact"/>
        <w:rPr>
          <w:sz w:val="20"/>
          <w:szCs w:val="20"/>
          <w:color w:val="auto"/>
        </w:rPr>
      </w:pPr>
    </w:p>
    <w:p>
      <w:pPr>
        <w:ind w:left="7" w:right="2959" w:firstLine="454"/>
        <w:spacing w:after="0" w:line="262" w:lineRule="auto"/>
        <w:rPr>
          <w:sz w:val="20"/>
          <w:szCs w:val="20"/>
          <w:color w:val="auto"/>
        </w:rPr>
      </w:pPr>
      <w:r>
        <w:rPr>
          <w:rFonts w:ascii="Courier New" w:cs="Courier New" w:eastAsia="Courier New" w:hAnsi="Courier New"/>
          <w:sz w:val="15"/>
          <w:szCs w:val="15"/>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78" w:lineRule="exact"/>
        <w:rPr>
          <w:sz w:val="20"/>
          <w:szCs w:val="20"/>
          <w:color w:val="auto"/>
        </w:rPr>
      </w:pPr>
    </w:p>
    <w:p>
      <w:pPr>
        <w:jc w:val="both"/>
        <w:ind w:left="7" w:right="2959" w:firstLine="454"/>
        <w:spacing w:after="0" w:line="307" w:lineRule="auto"/>
        <w:rPr>
          <w:sz w:val="20"/>
          <w:szCs w:val="20"/>
          <w:color w:val="auto"/>
        </w:rPr>
      </w:pPr>
      <w:r>
        <w:rPr>
          <w:rFonts w:ascii="Courier New" w:cs="Courier New" w:eastAsia="Courier New" w:hAnsi="Courier New"/>
          <w:sz w:val="15"/>
          <w:szCs w:val="15"/>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47" w:lineRule="exact"/>
        <w:rPr>
          <w:sz w:val="20"/>
          <w:szCs w:val="20"/>
          <w:color w:val="auto"/>
        </w:rPr>
      </w:pPr>
    </w:p>
    <w:p>
      <w:pPr>
        <w:ind w:left="447" w:hanging="447"/>
        <w:spacing w:after="0"/>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w:t>
      </w:r>
    </w:p>
    <w:p>
      <w:pPr>
        <w:spacing w:after="0" w:line="180" w:lineRule="exact"/>
        <w:rPr>
          <w:sz w:val="20"/>
          <w:szCs w:val="20"/>
          <w:color w:val="auto"/>
        </w:rPr>
      </w:pPr>
    </w:p>
    <w:p>
      <w:pPr>
        <w:ind w:left="7" w:right="3039" w:firstLine="454"/>
        <w:spacing w:after="0" w:line="264" w:lineRule="auto"/>
        <w:rPr>
          <w:sz w:val="20"/>
          <w:szCs w:val="20"/>
          <w:color w:val="auto"/>
        </w:rPr>
      </w:pPr>
      <w:r>
        <w:rPr>
          <w:rFonts w:ascii="Courier New" w:cs="Courier New" w:eastAsia="Courier New" w:hAnsi="Courier New"/>
          <w:sz w:val="15"/>
          <w:szCs w:val="15"/>
          <w:color w:val="auto"/>
        </w:rPr>
        <w:t>On May 19, 1999, the Company completed the sale of certain of its flat panel display assets to PixTech, Inc. ("PixTech"). Pursuant to the terms of the transaction, in exchange for the transfer of certain assets (including manufacturing equipment and $4.35 million in cash) and liabilities to PixTech, the Company received 7,133,562 shares of PixTech Common Stock and warrants to purchase an additional 310,000 shares of PixTech Common Stock at an exercise price of $2.25. The Company wrote down its flat panel display assets by $15 million during the second quarter of 1999 in anticipation of this transaction.</w:t>
      </w:r>
    </w:p>
    <w:p>
      <w:pPr>
        <w:spacing w:after="0" w:line="78" w:lineRule="exact"/>
        <w:rPr>
          <w:sz w:val="20"/>
          <w:szCs w:val="20"/>
          <w:color w:val="auto"/>
        </w:rPr>
      </w:pPr>
    </w:p>
    <w:p>
      <w:pPr>
        <w:ind w:left="447" w:hanging="447"/>
        <w:spacing w:after="0"/>
        <w:tabs>
          <w:tab w:leader="none" w:pos="44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80" w:lineRule="exact"/>
        <w:rPr>
          <w:sz w:val="20"/>
          <w:szCs w:val="20"/>
          <w:color w:val="auto"/>
        </w:rPr>
      </w:pPr>
    </w:p>
    <w:p>
      <w:pPr>
        <w:ind w:left="7" w:right="2959" w:firstLine="454"/>
        <w:spacing w:after="0" w:line="271" w:lineRule="auto"/>
        <w:rPr>
          <w:sz w:val="20"/>
          <w:szCs w:val="20"/>
          <w:color w:val="auto"/>
        </w:rPr>
      </w:pPr>
      <w:r>
        <w:rPr>
          <w:rFonts w:ascii="Courier New" w:cs="Courier New" w:eastAsia="Courier New" w:hAnsi="Courier New"/>
          <w:sz w:val="15"/>
          <w:szCs w:val="15"/>
          <w:color w:val="auto"/>
        </w:rPr>
        <w:t>Subsequent to the end of the third quarter, the Company decided to discontinue funding of its radio frequency identification development ("RFID") efforts as the Company continues to focus its resources on its core semiconductor efforts. It is anticipated that the Company's majority owned RFID subsidiary, Micron Communications, Inc., will cease operations in the fourth quarter of 1999 resulting in a consolidated pre-tax charge of $9 to $12 million.</w:t>
      </w:r>
    </w:p>
    <w:p>
      <w:pPr>
        <w:spacing w:after="0" w:line="7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15" w:right="1440" w:bottom="1440" w:gutter="0" w:footer="0" w:header="0"/>
        </w:sectPr>
      </w:pPr>
    </w:p>
    <w:bookmarkStart w:id="12" w:name="page13"/>
    <w:bookmarkEnd w:id="12"/>
    <w:p>
      <w:pPr>
        <w:ind w:left="7"/>
        <w:spacing w:after="0"/>
        <w:tabs>
          <w:tab w:leader="none" w:pos="806"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w:t>
      </w:r>
    </w:p>
    <w:p>
      <w:pPr>
        <w:spacing w:after="0" w:line="33" w:lineRule="exact"/>
        <w:rPr>
          <w:sz w:val="20"/>
          <w:szCs w:val="20"/>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Operations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 w:right="452" w:firstLine="454"/>
        <w:spacing w:after="0" w:line="277" w:lineRule="auto"/>
        <w:rPr>
          <w:sz w:val="20"/>
          <w:szCs w:val="20"/>
          <w:color w:val="auto"/>
        </w:rPr>
      </w:pPr>
      <w:r>
        <w:rPr>
          <w:rFonts w:ascii="Courier New" w:cs="Courier New" w:eastAsia="Courier New" w:hAnsi="Courier New"/>
          <w:sz w:val="15"/>
          <w:szCs w:val="15"/>
          <w:color w:val="auto"/>
        </w:rPr>
        <w:t>Micron Technology, Inc. and its subsidiaries are hereinafter referred to collectively as the "Company" or "MTI." The Company designs, develops, manufactures and markets semiconductor memory products, primarily DRAM, and through its approximately 63% owned subsidiary, Micron Electronics, Inc. ("MEI"), develops, markets, manufactures and supports PC systems.</w:t>
      </w:r>
    </w:p>
    <w:p>
      <w:pPr>
        <w:spacing w:after="0" w:line="68" w:lineRule="exact"/>
        <w:rPr>
          <w:sz w:val="20"/>
          <w:szCs w:val="20"/>
          <w:color w:val="auto"/>
        </w:rPr>
      </w:pPr>
    </w:p>
    <w:p>
      <w:pPr>
        <w:ind w:left="7" w:right="272" w:firstLine="454"/>
        <w:spacing w:after="0" w:line="277" w:lineRule="auto"/>
        <w:rPr>
          <w:sz w:val="20"/>
          <w:szCs w:val="20"/>
          <w:color w:val="auto"/>
        </w:rPr>
      </w:pPr>
      <w:r>
        <w:rPr>
          <w:rFonts w:ascii="Courier New" w:cs="Courier New" w:eastAsia="Courier New" w:hAnsi="Courier New"/>
          <w:sz w:val="15"/>
          <w:szCs w:val="15"/>
          <w:color w:val="auto"/>
        </w:rPr>
        <w:t>On September 30, 1998, the Company completed the acquisition (the "Acquisition") of substantially all of the semiconductor memory operations (the "Acquired Operations") of Texas Instruments Incorporated ("TI"). The Company's results of operations for the first nine months of 1999 reflect eight months' results of operations for the Acquired Operations.</w:t>
      </w:r>
    </w:p>
    <w:p>
      <w:pPr>
        <w:spacing w:after="0" w:line="68" w:lineRule="exact"/>
        <w:rPr>
          <w:sz w:val="20"/>
          <w:szCs w:val="20"/>
          <w:color w:val="auto"/>
        </w:rPr>
      </w:pPr>
    </w:p>
    <w:p>
      <w:pPr>
        <w:ind w:left="7" w:right="192" w:firstLine="454"/>
        <w:spacing w:after="0" w:line="254" w:lineRule="auto"/>
        <w:rPr>
          <w:sz w:val="20"/>
          <w:szCs w:val="20"/>
          <w:color w:val="auto"/>
        </w:rPr>
      </w:pPr>
      <w:r>
        <w:rPr>
          <w:rFonts w:ascii="Courier New" w:cs="Courier New" w:eastAsia="Courier New" w:hAnsi="Courier New"/>
          <w:sz w:val="15"/>
          <w:szCs w:val="15"/>
          <w:color w:val="auto"/>
        </w:rPr>
        <w:t>The following discussion contains trend information and other forward looking statements (including statements regarding future operating results, future capital expenditures and facility expansion, new product introductions, technological developments, acquisitions and the effect thereof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This discussion should be read in conjunction with the Company's Annual Report on Form 10-K for the year ended September 3, 1998. All period references are to the Company's fiscal periods ended June 3, 1999, September 3, 1998, or May 28, 1998, unless otherwise indicated. All per share amounts are presented on a diluted basis unless otherwise stated. All 1998 financial data of the Company has been restated to include the results of operations of Rendition, Inc., which was merged with the Company on September 11, 1998.</w:t>
      </w:r>
    </w:p>
    <w:p>
      <w:pPr>
        <w:spacing w:after="0" w:line="9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360" w:type="dxa"/>
            <w:vAlign w:val="bottom"/>
          </w:tcPr>
          <w:p>
            <w:pPr>
              <w:spacing w:after="0"/>
              <w:rPr>
                <w:sz w:val="15"/>
                <w:szCs w:val="15"/>
                <w:color w:val="auto"/>
              </w:rPr>
            </w:pPr>
          </w:p>
        </w:tc>
        <w:tc>
          <w:tcPr>
            <w:tcW w:w="23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Third Quarter</w:t>
            </w:r>
          </w:p>
        </w:tc>
        <w:tc>
          <w:tcPr>
            <w:tcW w:w="22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1999</w:t>
            </w:r>
          </w:p>
        </w:tc>
        <w:tc>
          <w:tcPr>
            <w:tcW w:w="10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2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2"/>
                <w:szCs w:val="22"/>
                <w:color w:val="auto"/>
              </w:rPr>
            </w:pPr>
          </w:p>
        </w:tc>
        <w:tc>
          <w:tcPr>
            <w:tcW w:w="2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$863.8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$ 612.7</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$2,683.2</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$2,333.2</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(27.7)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(109.4)</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3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(0.10)</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(0.51)</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192" w:firstLine="454"/>
        <w:spacing w:after="0" w:line="260" w:lineRule="auto"/>
        <w:rPr>
          <w:sz w:val="20"/>
          <w:szCs w:val="20"/>
          <w:color w:val="auto"/>
        </w:rPr>
      </w:pPr>
      <w:r>
        <w:rPr>
          <w:rFonts w:ascii="Courier New" w:cs="Courier New" w:eastAsia="Courier New" w:hAnsi="Courier New"/>
          <w:sz w:val="15"/>
          <w:szCs w:val="15"/>
          <w:color w:val="auto"/>
        </w:rPr>
        <w:t>Per megabit pricing for the Company's semiconductor memory products declined approximately 26% and 39%, respectively, for the third quarter and first nine months of 1999 as compared to the corresponding periods of 1998. Average selling prices per megabit for the Company's entire line of semiconductor memory products declined 21% comparing the third quarter of 1999 to the second quarter of 1999. Average selling prices for the Company's primary product, the 64 Meg Synchronous DRAM ("SDRAM") declined by 27% in the same period. This deterioration in average selling prices has had an adverse effect on the Company's results of operations. The Company is unable to predict pricing conditions for future periods.</w:t>
      </w:r>
    </w:p>
    <w:p>
      <w:pPr>
        <w:spacing w:after="0" w:line="82" w:lineRule="exact"/>
        <w:rPr>
          <w:sz w:val="20"/>
          <w:szCs w:val="20"/>
          <w:color w:val="auto"/>
        </w:rPr>
      </w:pPr>
    </w:p>
    <w:p>
      <w:pPr>
        <w:ind w:left="7" w:right="192" w:firstLine="454"/>
        <w:spacing w:after="0" w:line="287" w:lineRule="auto"/>
        <w:rPr>
          <w:sz w:val="20"/>
          <w:szCs w:val="20"/>
          <w:color w:val="auto"/>
        </w:rPr>
      </w:pPr>
      <w:r>
        <w:rPr>
          <w:rFonts w:ascii="Courier New" w:cs="Courier New" w:eastAsia="Courier New" w:hAnsi="Courier New"/>
          <w:sz w:val="15"/>
          <w:szCs w:val="15"/>
          <w:color w:val="auto"/>
        </w:rPr>
        <w:t>For the second quarter of 1999, net income was $22 million, or $0.08 per share, on net sales of $1,026 million. Results of operations for the first nine months of 1999 were adversely affected by a $15 million write down of certain of the Company's flat panel display assets in the second quarter.</w:t>
      </w:r>
    </w:p>
    <w:p>
      <w:pPr>
        <w:spacing w:after="0" w:line="61"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Net Sales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Third Quarter</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Sales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Semiconductor memory products</w:t>
            </w:r>
          </w:p>
        </w:tc>
        <w:tc>
          <w:tcPr>
            <w:tcW w:w="7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3"/>
              </w:rPr>
              <w:t>593.0</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68.7</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$ 290.2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PC systems</w:t>
            </w:r>
          </w:p>
        </w:tc>
        <w:tc>
          <w:tcPr>
            <w:tcW w:w="70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3"/>
              </w:rPr>
              <w:t>270.8</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31.3</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310.3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31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net sales</w:t>
            </w:r>
          </w:p>
        </w:tc>
        <w:tc>
          <w:tcPr>
            <w:tcW w:w="700" w:type="dxa"/>
            <w:vAlign w:val="bottom"/>
            <w:vMerge w:val="restart"/>
          </w:tcPr>
          <w:p>
            <w:pPr>
              <w:ind w:left="500"/>
              <w:spacing w:after="0"/>
              <w:rPr>
                <w:sz w:val="20"/>
                <w:szCs w:val="20"/>
                <w:color w:val="auto"/>
              </w:rPr>
            </w:pPr>
            <w:r>
              <w:rPr>
                <w:rFonts w:ascii="Courier New" w:cs="Courier New" w:eastAsia="Courier New" w:hAnsi="Courier New"/>
                <w:sz w:val="7"/>
                <w:szCs w:val="7"/>
                <w:color w:val="auto"/>
                <w:w w:val="91"/>
                <w:vertAlign w:val="subscript"/>
              </w:rPr>
              <w:t>$</w:t>
            </w:r>
            <w:r>
              <w:rPr>
                <w:rFonts w:ascii="Courier New" w:cs="Courier New" w:eastAsia="Courier New" w:hAnsi="Courier New"/>
                <w:sz w:val="4"/>
                <w:szCs w:val="4"/>
                <w:color w:val="auto"/>
                <w:w w:val="91"/>
              </w:rPr>
              <w:t>-------</w:t>
            </w:r>
          </w:p>
        </w:tc>
        <w:tc>
          <w:tcPr>
            <w:tcW w:w="7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3"/>
              </w:rPr>
              <w:t>863.8</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$ 612.7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7" w:right="372" w:firstLine="454"/>
        <w:spacing w:after="0" w:line="307" w:lineRule="auto"/>
        <w:rPr>
          <w:sz w:val="20"/>
          <w:szCs w:val="20"/>
          <w:color w:val="auto"/>
        </w:rPr>
      </w:pPr>
      <w:r>
        <w:rPr>
          <w:rFonts w:ascii="Courier New" w:cs="Courier New" w:eastAsia="Courier New" w:hAnsi="Courier New"/>
          <w:sz w:val="15"/>
          <w:szCs w:val="15"/>
          <w:color w:val="auto"/>
        </w:rPr>
        <w:t>Semiconductor memory products' net sales include MTI semiconductor memory products incorporated in MEI PC products. Such sales totaled $10.6 million and $5.8 million in the third quarters of 1999 and 1998, respectively,</w:t>
      </w:r>
    </w:p>
    <w:p>
      <w:pPr>
        <w:spacing w:after="0" w:line="4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8"/>
        <w:spacing w:after="0"/>
        <w:rPr>
          <w:sz w:val="20"/>
          <w:szCs w:val="20"/>
          <w:color w:val="auto"/>
        </w:rPr>
      </w:pPr>
      <w:r>
        <w:rPr>
          <w:rFonts w:ascii="Courier New" w:cs="Courier New" w:eastAsia="Courier New" w:hAnsi="Courier New"/>
          <w:sz w:val="15"/>
          <w:szCs w:val="15"/>
          <w:color w:val="auto"/>
        </w:rPr>
        <w:t>Third Quarter</w:t>
      </w:r>
    </w:p>
    <w:p>
      <w:pPr>
        <w:spacing w:after="0" w:line="3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8"/>
        <w:spacing w:after="0"/>
        <w:tabs>
          <w:tab w:leader="none" w:pos="2347"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
        <w:spacing w:after="0"/>
        <w:tabs>
          <w:tab w:leader="none" w:pos="1167" w:val="left"/>
          <w:tab w:leader="none" w:pos="1807" w:val="left"/>
          <w:tab w:leader="none" w:pos="2987" w:val="left"/>
        </w:tabs>
        <w:rPr>
          <w:sz w:val="20"/>
          <w:szCs w:val="20"/>
          <w:color w:val="auto"/>
        </w:rPr>
      </w:pPr>
      <w:r>
        <w:rPr>
          <w:rFonts w:ascii="Courier New" w:cs="Courier New" w:eastAsia="Courier New" w:hAnsi="Courier New"/>
          <w:sz w:val="15"/>
          <w:szCs w:val="15"/>
          <w:color w:val="auto"/>
        </w:rPr>
        <w:t>Net Sales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Net Sales</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$ 1,699.6</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63.3</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$ 1,013.8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5"/>
        </w:trPr>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932.4</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34.8</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1,151.9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r>
      <w:tr>
        <w:trPr>
          <w:trHeight w:val="175"/>
        </w:trPr>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51.2</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203"/>
        </w:trPr>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2,683.2   100.0   $ 2,333.2   100.0</w:t>
      </w:r>
    </w:p>
    <w:p>
      <w:pPr>
        <w:spacing w:after="0" w:line="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ectPr>
          <w:pgSz w:w="11900" w:h="16838" w:orient="portrait"/>
          <w:cols w:equalWidth="0" w:num="2">
            <w:col w:w="7459" w:space="720"/>
            <w:col w:w="3348"/>
          </w:cols>
          <w:pgMar w:left="233" w:top="615" w:right="139" w:bottom="284" w:gutter="0" w:footer="0" w:header="0"/>
        </w:sectPr>
      </w:pPr>
    </w:p>
    <w:bookmarkStart w:id="13" w:name="page14"/>
    <w:bookmarkEnd w:id="13"/>
    <w:p>
      <w:pPr>
        <w:ind w:right="3139"/>
        <w:spacing w:after="0" w:line="287" w:lineRule="auto"/>
        <w:rPr>
          <w:sz w:val="20"/>
          <w:szCs w:val="20"/>
          <w:color w:val="auto"/>
        </w:rPr>
      </w:pPr>
      <w:r>
        <w:rPr>
          <w:rFonts w:ascii="Courier New" w:cs="Courier New" w:eastAsia="Courier New" w:hAnsi="Courier New"/>
          <w:sz w:val="15"/>
          <w:szCs w:val="15"/>
          <w:color w:val="auto"/>
        </w:rPr>
        <w:t>and $35.7 million and $23.4 million in the first nine months of 1999 and 1998, respectively. "Other" net sales for the first nine months of 1998 include revenue of $123.6 million from MEI's contract manufacturing subsidiary, which was sold in February 1998.</w:t>
      </w:r>
    </w:p>
    <w:p>
      <w:pPr>
        <w:spacing w:after="0" w:line="61" w:lineRule="exact"/>
        <w:rPr>
          <w:sz w:val="20"/>
          <w:szCs w:val="20"/>
          <w:color w:val="auto"/>
        </w:rPr>
      </w:pPr>
    </w:p>
    <w:p>
      <w:pPr>
        <w:ind w:right="2959" w:firstLine="182"/>
        <w:spacing w:after="0" w:line="252" w:lineRule="auto"/>
        <w:rPr>
          <w:sz w:val="20"/>
          <w:szCs w:val="20"/>
          <w:color w:val="auto"/>
        </w:rPr>
      </w:pPr>
      <w:r>
        <w:rPr>
          <w:rFonts w:ascii="Courier New" w:cs="Courier New" w:eastAsia="Courier New" w:hAnsi="Courier New"/>
          <w:sz w:val="15"/>
          <w:szCs w:val="15"/>
          <w:color w:val="auto"/>
        </w:rPr>
        <w:t>Net sales of semiconductor memory products for the third quarter and first nine months of 1999 increased by 104% and 68%, respectively, as compared to the corresponding periods of 1998. The increase in net sales for these periods was primarily due to an increase in megabits of semiconductor memory sold and was partially offset by lower average selling prices. Total megabits sold increased by approximately 175% for both the third quarter and first nine months of 1999, as compared to the corresponding periods of 1998. Megabit sales increased as the Company increased its market share with major OEMs and expanded its customer base. The Company's ability to meet these increased shipments was the result of production gains principally due to shifts in the Company's mix of semiconductor memory products to higher average density products, ongoing transitions to successive reduced die size ("shrink") versions of existing memory products and, to a lesser extent, additional output from the Acquired Operations. Average selling prices per megabit of memory declined 26% comparing the third quarter of 1999 to the third quarter of 1998 and declined 39% comparing the first nine months of 1999 to the first nine months of 1998. The Company's principal memory product in the third quarter and first nine months of 1999 was the 64 Meg SDRAM, which comprised approximately 66% of the net sales of semiconductor memory for these periods. Net sales of semiconductor memory products decreased by 15% in the third quarter of 1999 as compared to the second quarter of 1999 principally due to a 21% decline in per megabit pricing, partially offset by an 8% increase in total megabits sold.</w:t>
      </w:r>
    </w:p>
    <w:p>
      <w:pPr>
        <w:spacing w:after="0" w:line="95" w:lineRule="exact"/>
        <w:rPr>
          <w:sz w:val="20"/>
          <w:szCs w:val="20"/>
          <w:color w:val="auto"/>
        </w:rPr>
      </w:pPr>
    </w:p>
    <w:p>
      <w:pPr>
        <w:ind w:right="3039" w:firstLine="182"/>
        <w:spacing w:after="0" w:line="259" w:lineRule="auto"/>
        <w:rPr>
          <w:sz w:val="20"/>
          <w:szCs w:val="20"/>
          <w:color w:val="auto"/>
        </w:rPr>
      </w:pPr>
      <w:r>
        <w:rPr>
          <w:rFonts w:ascii="Courier New" w:cs="Courier New" w:eastAsia="Courier New" w:hAnsi="Courier New"/>
          <w:sz w:val="15"/>
          <w:szCs w:val="15"/>
          <w:color w:val="auto"/>
        </w:rPr>
        <w:t>Net sales of PC systems were lower in the third quarter and first nine months of 1999 compared to the corresponding periods of 1998 primarily as a result of declines in overall average selling prices of 6% and 13%, respectively. Unit sales were relatively flat comparing the third quarter and first nine months of 1999 with the corresponding periods of 1998. Net sales of PC systems for the third quarter of 1999 were lower than for the second quarter of 1999 primarily as a result of a 13% decrease in unit sales. Declining sales in the consumer business, partially offset by an increase in commercial and government sales, was the primary reason for the overall decline in sales of the Company's PC systems. Average selling prices for PC systems were relatively flat comparing the third quarter of 1999 with the second quarter of 1999.</w:t>
      </w:r>
    </w:p>
    <w:p>
      <w:pPr>
        <w:spacing w:after="0" w:line="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Gross Margin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Third Quarter</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1999</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 Change</w:t>
            </w:r>
          </w:p>
        </w:tc>
        <w:tc>
          <w:tcPr>
            <w:tcW w:w="6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26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Change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2"/>
                <w:szCs w:val="22"/>
                <w:color w:val="auto"/>
              </w:rPr>
            </w:pPr>
          </w:p>
        </w:tc>
        <w:tc>
          <w:tcPr>
            <w:tcW w:w="26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2,720.9%</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$ 6.7</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$585.6</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144.4%</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$239.6</w:t>
            </w:r>
          </w:p>
        </w:tc>
        <w:tc>
          <w:tcPr>
            <w:tcW w:w="0" w:type="dxa"/>
            <w:vAlign w:val="bottom"/>
          </w:tcPr>
          <w:p>
            <w:pPr>
              <w:spacing w:after="0"/>
              <w:rPr>
                <w:sz w:val="1"/>
                <w:szCs w:val="1"/>
                <w:color w:val="auto"/>
              </w:rPr>
            </w:pPr>
          </w:p>
        </w:tc>
      </w:tr>
      <w:tr>
        <w:trPr>
          <w:trHeight w:val="256"/>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as a % of net sales</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c>
          <w:tcPr>
            <w:tcW w:w="1180" w:type="dxa"/>
            <w:vAlign w:val="bottom"/>
          </w:tcPr>
          <w:p>
            <w:pPr>
              <w:spacing w:after="0"/>
              <w:rPr>
                <w:sz w:val="22"/>
                <w:szCs w:val="22"/>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10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firstLine="182"/>
        <w:spacing w:after="0" w:line="257" w:lineRule="auto"/>
        <w:rPr>
          <w:sz w:val="20"/>
          <w:szCs w:val="20"/>
          <w:color w:val="auto"/>
        </w:rPr>
      </w:pPr>
      <w:r>
        <w:rPr>
          <w:rFonts w:ascii="Courier New" w:cs="Courier New" w:eastAsia="Courier New" w:hAnsi="Courier New"/>
          <w:sz w:val="15"/>
          <w:szCs w:val="15"/>
          <w:color w:val="auto"/>
        </w:rPr>
        <w:t>The Company's gross margin percentage on sales of semiconductor memory products was 23% for the third quarter and first nine months of 1999, compared to (20)% and 10%, respectively, for the corresponding periods of 1998. The increase in gross margin percentage on sales of semiconductor memory products for the third quarter and first nine months of 1999 compared to the corresponding periods in 1998 was primarily the result of decreases in per megabit manufacturing costs. Comparative decreases in per megabit manufacturing costs were achieved primarily through shifts in the Company's mix of semiconductor memory products to higher average density products and transitions to shrink versions of existing products. The effect of these factors was partially offset by decreases in average selling prices, and to a lesser extent, the inclusion of eight months of results for the Acquired Operations which have higher per-unit manufacturing costs.</w:t>
      </w:r>
    </w:p>
    <w:p>
      <w:pPr>
        <w:spacing w:after="0" w:line="81" w:lineRule="exact"/>
        <w:rPr>
          <w:sz w:val="20"/>
          <w:szCs w:val="20"/>
          <w:color w:val="auto"/>
        </w:rPr>
      </w:pPr>
    </w:p>
    <w:p>
      <w:pPr>
        <w:ind w:right="2959" w:firstLine="182"/>
        <w:spacing w:after="0" w:line="257" w:lineRule="auto"/>
        <w:rPr>
          <w:sz w:val="20"/>
          <w:szCs w:val="20"/>
          <w:color w:val="auto"/>
        </w:rPr>
      </w:pPr>
      <w:r>
        <w:rPr>
          <w:rFonts w:ascii="Courier New" w:cs="Courier New" w:eastAsia="Courier New" w:hAnsi="Courier New"/>
          <w:sz w:val="15"/>
          <w:szCs w:val="15"/>
          <w:color w:val="auto"/>
        </w:rPr>
        <w:t>The gross margin percentage on the Company's semiconductor memory products for the second quarter of 1999 was 32%. The decline in gross margin percentage for semiconductor memory products in the third quarter as compared to the second quarter of 1999 was primarily the result of the 21% decline in average selling prices per megabit of memory. The effect on gross margin of this decline in average selling prices was partially offset by decreases in per megabit manufacturing costs achieved through continued increases in production efficiencies, including ongoing transitions to shrink versions of existing memory products, shifts in the Company's mix of semiconductor memory products to higher average density products, and an increase in the number of wafers processed. In the third quarter of 1999, the Company produced approximately 17% more megabits of memory than in the second quarter.</w:t>
      </w:r>
    </w:p>
    <w:p>
      <w:pPr>
        <w:spacing w:after="0" w:line="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14" w:name="page15"/>
    <w:bookmarkEnd w:id="14"/>
    <w:p>
      <w:pPr>
        <w:ind w:right="2959" w:firstLine="182"/>
        <w:spacing w:after="0" w:line="257" w:lineRule="auto"/>
        <w:rPr>
          <w:sz w:val="20"/>
          <w:szCs w:val="20"/>
          <w:color w:val="auto"/>
        </w:rPr>
      </w:pPr>
      <w:r>
        <w:rPr>
          <w:rFonts w:ascii="Courier New" w:cs="Courier New" w:eastAsia="Courier New" w:hAnsi="Courier New"/>
          <w:sz w:val="15"/>
          <w:szCs w:val="15"/>
          <w:color w:val="auto"/>
        </w:rPr>
        <w:t>In connection with the Acquisition, the Company acquired the right and obligation to purchase all of the production meeting its specifications from two joint ventures, TECH Semiconductor Singapore Pte. Ltd. ("TECH") and KMT Semiconductor Limited ("KMT"). TECH and KMT are collectively referred to herein as the "JVs." The Company purchases assembled and tested components from the JVs at prices determined quarterly and which are based on the Company's average sales prices. Primarily as a result of the rate of decline in average selling prices, the Company essentially broke even on gross margins for JV products sold in the third quarter of 1999. In any future reporting period, gross margins resulting from the Company's sales of JV product may positively or negatively impact gross margins otherwise realized for semiconductor memory products manufactured in the Company's wholly-owned facilities.</w:t>
      </w:r>
    </w:p>
    <w:p>
      <w:pPr>
        <w:spacing w:after="0" w:line="89" w:lineRule="exact"/>
        <w:rPr>
          <w:sz w:val="20"/>
          <w:szCs w:val="20"/>
          <w:color w:val="auto"/>
        </w:rPr>
      </w:pPr>
    </w:p>
    <w:p>
      <w:pPr>
        <w:ind w:right="2959" w:firstLine="182"/>
        <w:spacing w:after="0" w:line="255" w:lineRule="auto"/>
        <w:rPr>
          <w:sz w:val="20"/>
          <w:szCs w:val="20"/>
          <w:color w:val="auto"/>
        </w:rPr>
      </w:pPr>
      <w:r>
        <w:rPr>
          <w:rFonts w:ascii="Courier New" w:cs="Courier New" w:eastAsia="Courier New" w:hAnsi="Courier New"/>
          <w:sz w:val="15"/>
          <w:szCs w:val="15"/>
          <w:color w:val="auto"/>
        </w:rPr>
        <w:t>The gross margin percentage for the Company's PC operations for the third quarter and first nine months of 1999 was 16% and 15%, respectively, compared to 19% and 10% for the corresponding periods of 1998. The gross margin for the Company's PC operations was 14% for the second quarter of 1999. The gross margin in the first nine months of 1998 was negatively impacted by a decline in average selling prices of the Company's notebook products. Absent the effects of sales of notebook systems in the third quarter of 1998 which were sold at prices higher than anticipated in the write down of such products in the preceding quarter, the Company's overall PC gross margin percentage would have been approximately 17% in the third quarter of 1998. PC gross margins in the third quarter of 1999 improved from the second quarter of 1999 primarily due to better product line management and reduced levels of product returns. The Company expects to continue to experience significant pressure on PC gross margins as a result of intense competition in the PC industry and consumer expectations of more powerful PC systems at lower prices.</w:t>
      </w:r>
    </w:p>
    <w:p>
      <w:pPr>
        <w:spacing w:after="0" w:line="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6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w w:val="99"/>
              </w:rPr>
              <w:t>Third Quarter</w:t>
            </w:r>
          </w:p>
        </w:tc>
        <w:tc>
          <w:tcPr>
            <w:tcW w:w="9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460" w:type="dxa"/>
            <w:vAlign w:val="bottom"/>
            <w:vMerge w:val="restart"/>
          </w:tcPr>
          <w:p>
            <w:pPr>
              <w:ind w:left="54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1999</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Change</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26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Change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246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70"/>
              </w:rPr>
              <w:t>------------------------------</w:t>
            </w:r>
          </w:p>
        </w:tc>
        <w:tc>
          <w:tcPr>
            <w:tcW w:w="860" w:type="dxa"/>
            <w:vAlign w:val="bottom"/>
          </w:tcPr>
          <w:p>
            <w:pPr>
              <w:spacing w:after="0"/>
              <w:rPr>
                <w:sz w:val="22"/>
                <w:szCs w:val="22"/>
                <w:color w:val="auto"/>
              </w:rPr>
            </w:pPr>
          </w:p>
        </w:tc>
        <w:tc>
          <w:tcPr>
            <w:tcW w:w="26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460" w:type="dxa"/>
            <w:vAlign w:val="bottom"/>
          </w:tcPr>
          <w:p>
            <w:pPr>
              <w:jc w:val="right"/>
              <w:ind w:right="119"/>
              <w:spacing w:after="0"/>
              <w:rPr>
                <w:sz w:val="20"/>
                <w:szCs w:val="20"/>
                <w:color w:val="auto"/>
              </w:rPr>
            </w:pPr>
            <w:r>
              <w:rPr>
                <w:rFonts w:ascii="Courier New" w:cs="Courier New" w:eastAsia="Courier New" w:hAnsi="Courier New"/>
                <w:sz w:val="15"/>
                <w:szCs w:val="15"/>
                <w:color w:val="auto"/>
              </w:rPr>
              <w:t>$124.1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$352.7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$376.0</w:t>
            </w:r>
          </w:p>
        </w:tc>
        <w:tc>
          <w:tcPr>
            <w:tcW w:w="0" w:type="dxa"/>
            <w:vAlign w:val="bottom"/>
          </w:tcPr>
          <w:p>
            <w:pPr>
              <w:spacing w:after="0"/>
              <w:rPr>
                <w:sz w:val="1"/>
                <w:szCs w:val="1"/>
                <w:color w:val="auto"/>
              </w:rPr>
            </w:pPr>
          </w:p>
        </w:tc>
      </w:tr>
      <w:tr>
        <w:trPr>
          <w:trHeight w:val="256"/>
        </w:trPr>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as a % of net sales</w:t>
            </w:r>
          </w:p>
        </w:tc>
        <w:tc>
          <w:tcPr>
            <w:tcW w:w="1460" w:type="dxa"/>
            <w:vAlign w:val="bottom"/>
          </w:tcPr>
          <w:p>
            <w:pPr>
              <w:jc w:val="right"/>
              <w:ind w:right="39"/>
              <w:spacing w:after="0"/>
              <w:rPr>
                <w:sz w:val="20"/>
                <w:szCs w:val="20"/>
                <w:color w:val="auto"/>
              </w:rPr>
            </w:pPr>
            <w:r>
              <w:rPr>
                <w:rFonts w:ascii="Courier New" w:cs="Courier New" w:eastAsia="Courier New" w:hAnsi="Courier New"/>
                <w:sz w:val="15"/>
                <w:szCs w:val="15"/>
                <w:color w:val="auto"/>
              </w:rPr>
              <w:t>14.4%</w:t>
            </w:r>
          </w:p>
        </w:tc>
        <w:tc>
          <w:tcPr>
            <w:tcW w:w="1000" w:type="dxa"/>
            <w:vAlign w:val="bottom"/>
          </w:tcPr>
          <w:p>
            <w:pPr>
              <w:spacing w:after="0"/>
              <w:rPr>
                <w:sz w:val="22"/>
                <w:szCs w:val="22"/>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1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firstLine="182"/>
        <w:spacing w:after="0" w:line="254" w:lineRule="auto"/>
        <w:rPr>
          <w:sz w:val="20"/>
          <w:szCs w:val="20"/>
          <w:color w:val="auto"/>
        </w:rPr>
      </w:pPr>
      <w:r>
        <w:rPr>
          <w:rFonts w:ascii="Courier New" w:cs="Courier New" w:eastAsia="Courier New" w:hAnsi="Courier New"/>
          <w:sz w:val="15"/>
          <w:szCs w:val="15"/>
          <w:color w:val="auto"/>
        </w:rPr>
        <w:t>Selling, general and administrative expenses were higher in the third quarter and lower in the first nine months of 1999 as compared to the corresponding periods of 1998. Selling, general and administrative expenses for the Company's PC operations decreased substantially for these comparative periods primarily as a result of enhanced operational efficiencies and cost reductions achieved by the Company's PC operations and the sale of 90% of MEI's interest in its contract manufacturing subsidiary in fiscal 1998. Selling, general and administrative expenses associated with the Company's semiconductor memory operations increased significantly for the third quarter and first nine months of 1999 as compared to the corresponding periods of 1998 and include approximately $11 million and $33 million, respectively, in expenses associated with the Acquired Operations. Selling, general and administrative expenses for the first nine months of 1998 reflect a $6 million contribution to a university in support of engineering education. Selling, general and administrative expenses were flat comparing the third quarter to the second quarter of 1999. Implementation of new business software systems within the Company's semiconductor memory operations may increase depreciation expense by up to $3 million per quarter by the end of fiscal 2000.</w:t>
      </w:r>
    </w:p>
    <w:p>
      <w:pPr>
        <w:spacing w:after="0" w:line="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Third Quarter</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Nine Months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780" w:type="dxa"/>
            <w:vAlign w:val="bottom"/>
            <w:vMerge w:val="restart"/>
          </w:tcPr>
          <w:p>
            <w:pPr>
              <w:ind w:left="1040"/>
              <w:spacing w:after="0"/>
              <w:rPr>
                <w:sz w:val="20"/>
                <w:szCs w:val="20"/>
                <w:color w:val="auto"/>
              </w:rPr>
            </w:pPr>
            <w:r>
              <w:rPr>
                <w:rFonts w:ascii="Courier New" w:cs="Courier New" w:eastAsia="Courier New" w:hAnsi="Courier New"/>
                <w:sz w:val="4"/>
                <w:szCs w:val="4"/>
                <w:color w:val="auto"/>
                <w:w w:val="94"/>
              </w:rPr>
              <w:t>---------------------------</w:t>
            </w:r>
            <w:r>
              <w:rPr>
                <w:rFonts w:ascii="Courier New" w:cs="Courier New" w:eastAsia="Courier New" w:hAnsi="Courier New"/>
                <w:sz w:val="7"/>
                <w:szCs w:val="7"/>
                <w:color w:val="auto"/>
                <w:w w:val="94"/>
                <w:vertAlign w:val="subscript"/>
              </w:rPr>
              <w:t>1999</w:t>
            </w:r>
          </w:p>
        </w:tc>
        <w:tc>
          <w:tcPr>
            <w:tcW w:w="11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 Change</w:t>
            </w:r>
          </w:p>
        </w:tc>
        <w:tc>
          <w:tcPr>
            <w:tcW w:w="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27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Change</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2960" w:type="dxa"/>
            <w:vAlign w:val="bottom"/>
            <w:gridSpan w:val="2"/>
          </w:tcPr>
          <w:p>
            <w:pPr>
              <w:ind w:left="1040"/>
              <w:spacing w:after="0"/>
              <w:rPr>
                <w:sz w:val="20"/>
                <w:szCs w:val="20"/>
                <w:color w:val="auto"/>
              </w:rPr>
            </w:pPr>
            <w:r>
              <w:rPr>
                <w:rFonts w:ascii="Courier New" w:cs="Courier New" w:eastAsia="Courier New" w:hAnsi="Courier New"/>
                <w:sz w:val="15"/>
                <w:szCs w:val="15"/>
                <w:color w:val="auto"/>
                <w:w w:val="78"/>
              </w:rPr>
              <w:t>---------------------------</w:t>
            </w:r>
          </w:p>
        </w:tc>
        <w:tc>
          <w:tcPr>
            <w:tcW w:w="620" w:type="dxa"/>
            <w:vAlign w:val="bottom"/>
          </w:tcPr>
          <w:p>
            <w:pPr>
              <w:spacing w:after="0"/>
              <w:rPr>
                <w:sz w:val="22"/>
                <w:szCs w:val="22"/>
                <w:color w:val="auto"/>
              </w:rPr>
            </w:pPr>
          </w:p>
        </w:tc>
        <w:tc>
          <w:tcPr>
            <w:tcW w:w="27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780" w:type="dxa"/>
            <w:vAlign w:val="bottom"/>
          </w:tcPr>
          <w:p>
            <w:pPr>
              <w:jc w:val="right"/>
              <w:ind w:right="39"/>
              <w:spacing w:after="0"/>
              <w:rPr>
                <w:sz w:val="20"/>
                <w:szCs w:val="20"/>
                <w:color w:val="auto"/>
              </w:rPr>
            </w:pPr>
            <w:r>
              <w:rPr>
                <w:rFonts w:ascii="Courier New" w:cs="Courier New" w:eastAsia="Courier New" w:hAnsi="Courier New"/>
                <w:sz w:val="15"/>
                <w:szCs w:val="15"/>
                <w:color w:val="auto"/>
              </w:rPr>
              <w:t>$81.6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$70.7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$209.9</w:t>
            </w:r>
          </w:p>
        </w:tc>
        <w:tc>
          <w:tcPr>
            <w:tcW w:w="0" w:type="dxa"/>
            <w:vAlign w:val="bottom"/>
          </w:tcPr>
          <w:p>
            <w:pPr>
              <w:spacing w:after="0"/>
              <w:rPr>
                <w:sz w:val="1"/>
                <w:szCs w:val="1"/>
                <w:color w:val="auto"/>
              </w:rPr>
            </w:pPr>
          </w:p>
        </w:tc>
      </w:tr>
      <w:tr>
        <w:trPr>
          <w:trHeight w:val="256"/>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as a % of net sales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1180" w:type="dxa"/>
            <w:vAlign w:val="bottom"/>
          </w:tcPr>
          <w:p>
            <w:pPr>
              <w:spacing w:after="0"/>
              <w:rPr>
                <w:sz w:val="22"/>
                <w:szCs w:val="22"/>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10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firstLine="182"/>
        <w:spacing w:after="0" w:line="259" w:lineRule="auto"/>
        <w:rPr>
          <w:sz w:val="20"/>
          <w:szCs w:val="20"/>
          <w:color w:val="auto"/>
        </w:rPr>
      </w:pPr>
      <w:r>
        <w:rPr>
          <w:rFonts w:ascii="Courier New" w:cs="Courier New" w:eastAsia="Courier New" w:hAnsi="Courier New"/>
          <w:sz w:val="15"/>
          <w:szCs w:val="15"/>
          <w:color w:val="auto"/>
        </w:rPr>
        <w:t>Research and development expenses relating to the Company's semiconductor memory operations, which constitute substantially all of the Company's 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design of shrink versions of the Company's 64 and 128 Meg SDRAMs and on design and development of the Company's 256 Meg SDRAM and direct Rambus DRAM ("RDRAM"), Double Data Rate ("DDR"), SyncLink DRAM ("SLDRAM"), Flash and SRAM memory products. Other research and development</w:t>
      </w:r>
    </w:p>
    <w:p>
      <w:pPr>
        <w:spacing w:after="0" w:line="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459" w:gutter="0" w:footer="0" w:header="0"/>
        </w:sectPr>
      </w:pPr>
    </w:p>
    <w:bookmarkStart w:id="15" w:name="page16"/>
    <w:bookmarkEnd w:id="15"/>
    <w:p>
      <w:pPr>
        <w:ind w:right="3779"/>
        <w:spacing w:after="0" w:line="368" w:lineRule="auto"/>
        <w:rPr>
          <w:sz w:val="20"/>
          <w:szCs w:val="20"/>
          <w:color w:val="auto"/>
        </w:rPr>
      </w:pPr>
      <w:r>
        <w:rPr>
          <w:rFonts w:ascii="Courier New" w:cs="Courier New" w:eastAsia="Courier New" w:hAnsi="Courier New"/>
          <w:sz w:val="15"/>
          <w:szCs w:val="15"/>
          <w:color w:val="auto"/>
        </w:rPr>
        <w:t>efforts are currently devoted to the design and development of graphics accelerator products, PC systems and PC core logic.</w:t>
      </w:r>
    </w:p>
    <w:p>
      <w:pPr>
        <w:spacing w:after="0" w:line="3" w:lineRule="exact"/>
        <w:rPr>
          <w:sz w:val="20"/>
          <w:szCs w:val="20"/>
          <w:color w:val="auto"/>
        </w:rPr>
      </w:pPr>
    </w:p>
    <w:p>
      <w:pPr>
        <w:ind w:right="2959" w:firstLine="182"/>
        <w:spacing w:after="0" w:line="277" w:lineRule="auto"/>
        <w:rPr>
          <w:sz w:val="20"/>
          <w:szCs w:val="20"/>
          <w:color w:val="auto"/>
        </w:rPr>
      </w:pPr>
      <w:r>
        <w:rPr>
          <w:rFonts w:ascii="Courier New" w:cs="Courier New" w:eastAsia="Courier New" w:hAnsi="Courier New"/>
          <w:sz w:val="15"/>
          <w:szCs w:val="15"/>
          <w:color w:val="auto"/>
        </w:rPr>
        <w:t>Research and development expenses in the third quarter and first nine months of 1999 include costs of resources obtained in the Acquisition being utilized to broaden the Company's range of DRAM product offerings. The expansion of product offerings is considered necessary to support the customer base required for sale of the Company's increased production.</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Company substantially transitioned all operations from .25 micron (u) to</w:t>
      </w:r>
    </w:p>
    <w:p>
      <w:pPr>
        <w:spacing w:after="0" w:line="33" w:lineRule="exact"/>
        <w:rPr>
          <w:sz w:val="20"/>
          <w:szCs w:val="20"/>
          <w:color w:val="auto"/>
        </w:rPr>
      </w:pPr>
    </w:p>
    <w:p>
      <w:pPr>
        <w:ind w:right="2959" w:firstLine="91"/>
        <w:spacing w:after="0" w:line="258" w:lineRule="auto"/>
        <w:rPr>
          <w:sz w:val="20"/>
          <w:szCs w:val="20"/>
          <w:color w:val="auto"/>
        </w:rPr>
      </w:pPr>
      <w:r>
        <w:rPr>
          <w:rFonts w:ascii="Courier New" w:cs="Courier New" w:eastAsia="Courier New" w:hAnsi="Courier New"/>
          <w:sz w:val="15"/>
          <w:szCs w:val="15"/>
          <w:color w:val="auto"/>
        </w:rPr>
        <w:t>.21u process technology at its Boise site early in the second quarter of 1999 and expects to further transition such operations to .18u in late calendar 1999. The Company anticipates that process technology will move to .15u line widths in the next few years as needed for the development of future generation semiconductor products. Transitions to smaller line widths at the Acquired Operations are expected to lag behind transitions at the Boise site by several months as process technology development and initial manufacturing is expected to be completed first at the Boise site.</w:t>
      </w:r>
    </w:p>
    <w:p>
      <w:pPr>
        <w:spacing w:after="0" w:line="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Operating Expense, net</w:t>
      </w:r>
    </w:p>
    <w:p>
      <w:pPr>
        <w:spacing w:after="0" w:line="180" w:lineRule="exact"/>
        <w:rPr>
          <w:sz w:val="20"/>
          <w:szCs w:val="20"/>
          <w:color w:val="auto"/>
        </w:rPr>
      </w:pPr>
    </w:p>
    <w:p>
      <w:pPr>
        <w:ind w:right="2959" w:firstLine="182"/>
        <w:spacing w:after="0" w:line="267" w:lineRule="auto"/>
        <w:rPr>
          <w:sz w:val="20"/>
          <w:szCs w:val="20"/>
          <w:color w:val="auto"/>
        </w:rPr>
      </w:pPr>
      <w:r>
        <w:rPr>
          <w:rFonts w:ascii="Courier New" w:cs="Courier New" w:eastAsia="Courier New" w:hAnsi="Courier New"/>
          <w:sz w:val="15"/>
          <w:szCs w:val="15"/>
          <w:color w:val="auto"/>
        </w:rPr>
        <w:t>Other operating expense for the third quarter of 1999 includes a net $13 million loss from the write down and disposal of semiconductor memory operations equipment. Other operating expense for the first nine months of 1999 includes a $15 million second quarter charge to write down flat panel display assets, partially offset by a $5 million reduction in employee benefit accruals in the third quarter and $5 million from the cancellation of a compensation program in the second quarter.</w:t>
      </w:r>
    </w:p>
    <w:p>
      <w:pPr>
        <w:spacing w:after="0" w:line="75" w:lineRule="exact"/>
        <w:rPr>
          <w:sz w:val="20"/>
          <w:szCs w:val="20"/>
          <w:color w:val="auto"/>
        </w:rPr>
      </w:pPr>
    </w:p>
    <w:p>
      <w:pPr>
        <w:ind w:right="3139" w:firstLine="182"/>
        <w:spacing w:after="0" w:line="271" w:lineRule="auto"/>
        <w:rPr>
          <w:sz w:val="20"/>
          <w:szCs w:val="20"/>
          <w:color w:val="auto"/>
        </w:rPr>
      </w:pPr>
      <w:r>
        <w:rPr>
          <w:rFonts w:ascii="Courier New" w:cs="Courier New" w:eastAsia="Courier New" w:hAnsi="Courier New"/>
          <w:sz w:val="15"/>
          <w:szCs w:val="15"/>
          <w:color w:val="auto"/>
        </w:rPr>
        <w:t>Other operating expense for the first nine months of 1998 includes charges associated with the Company's PC Operations of $13 million resulting from employee termination benefits and consolidation of domestic and international operations and $5 million from the write off of software development costs, as well as $9 million related to the disposal and write down of semiconductor memory operations equipment.</w:t>
      </w:r>
    </w:p>
    <w:p>
      <w:pPr>
        <w:spacing w:after="0" w:line="72" w:lineRule="exact"/>
        <w:rPr>
          <w:sz w:val="20"/>
          <w:szCs w:val="20"/>
          <w:color w:val="auto"/>
        </w:rPr>
      </w:pPr>
    </w:p>
    <w:p>
      <w:pPr>
        <w:ind w:right="2959" w:firstLine="182"/>
        <w:spacing w:after="0" w:line="287" w:lineRule="auto"/>
        <w:rPr>
          <w:sz w:val="20"/>
          <w:szCs w:val="20"/>
          <w:color w:val="auto"/>
        </w:rPr>
      </w:pPr>
      <w:r>
        <w:rPr>
          <w:rFonts w:ascii="Courier New" w:cs="Courier New" w:eastAsia="Courier New" w:hAnsi="Courier New"/>
          <w:sz w:val="15"/>
          <w:szCs w:val="15"/>
          <w:color w:val="auto"/>
        </w:rPr>
        <w:t>It is anticipated that the Company will record a consolidated pre-tax charge of $9 to $12 million to other expense in the fourth quarter as the result of the discontinuation of its radio frequency identification ("RFID") development efforts. (See "Subsequent Event")</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2959" w:firstLine="182"/>
        <w:spacing w:after="0" w:line="267" w:lineRule="auto"/>
        <w:rPr>
          <w:sz w:val="20"/>
          <w:szCs w:val="20"/>
          <w:color w:val="auto"/>
        </w:rPr>
      </w:pPr>
      <w:r>
        <w:rPr>
          <w:rFonts w:ascii="Courier New" w:cs="Courier New" w:eastAsia="Courier New" w:hAnsi="Courier New"/>
          <w:sz w:val="15"/>
          <w:szCs w:val="15"/>
          <w:color w:val="auto"/>
        </w:rPr>
        <w:t>The effective tax rate for the third quarter and first nine months of 1999 was approximately 40%, primarily reflecting the U.S. corporate income tax rate and the net effect of state taxation. The Company is currently evaluating permanent reinvestment of foreign earnings associated with certain of the Company's international operations which have been granted favorable tax treatment. Taxes on earnings of domestic subsidiaries not consolidated for tax purposes may cause the effective tax rate to vary significantly from period to period.</w:t>
      </w:r>
    </w:p>
    <w:p>
      <w:pPr>
        <w:spacing w:after="0" w:line="75" w:lineRule="exact"/>
        <w:rPr>
          <w:sz w:val="20"/>
          <w:szCs w:val="20"/>
          <w:color w:val="auto"/>
        </w:rPr>
      </w:pPr>
    </w:p>
    <w:p>
      <w:pPr>
        <w:ind w:right="2959" w:firstLine="182"/>
        <w:spacing w:after="0" w:line="277" w:lineRule="auto"/>
        <w:rPr>
          <w:sz w:val="20"/>
          <w:szCs w:val="20"/>
          <w:color w:val="auto"/>
        </w:rPr>
      </w:pPr>
      <w:r>
        <w:rPr>
          <w:rFonts w:ascii="Courier New" w:cs="Courier New" w:eastAsia="Courier New" w:hAnsi="Courier New"/>
          <w:sz w:val="15"/>
          <w:szCs w:val="15"/>
          <w:color w:val="auto"/>
        </w:rPr>
        <w:t>The effective tax rate for the third quarter and first nine months of 1998 was 40% and 35%, respectively. The income tax rate for the first nine months of 1998 reflects the write off in the second quarter of 1998 of a $4 million deferred tax asset relating to the Company's consolidation of its NetFRAME enterprise server operations.</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80" w:lineRule="exact"/>
        <w:rPr>
          <w:sz w:val="20"/>
          <w:szCs w:val="20"/>
          <w:color w:val="auto"/>
        </w:rPr>
      </w:pPr>
    </w:p>
    <w:p>
      <w:pPr>
        <w:ind w:right="2959" w:firstLine="182"/>
        <w:spacing w:after="0" w:line="267" w:lineRule="auto"/>
        <w:rPr>
          <w:sz w:val="20"/>
          <w:szCs w:val="20"/>
          <w:color w:val="auto"/>
        </w:rPr>
      </w:pPr>
      <w:r>
        <w:rPr>
          <w:rFonts w:ascii="Courier New" w:cs="Courier New" w:eastAsia="Courier New" w:hAnsi="Courier New"/>
          <w:sz w:val="15"/>
          <w:szCs w:val="15"/>
          <w:color w:val="auto"/>
        </w:rPr>
        <w:t>Recently issued accounting standards include Statement of Financial Accounting Standards ("SFAS") No. 131 "Disclosures about Segments of an Enterprise and Related Information," issued by the FASB in June 1997, Statement of Position ("SOP") 98-1 "Accounting for the Costs of Computer Software Developed or Obtained for Internal Use," issued by the AICPA in March 1998 and SFAS No. 133 "Accounting for Derivative Instruments and Hedging Activities," issued by the FASB in June 1998.</w:t>
      </w:r>
    </w:p>
    <w:p>
      <w:pPr>
        <w:spacing w:after="0" w:line="75" w:lineRule="exact"/>
        <w:rPr>
          <w:sz w:val="20"/>
          <w:szCs w:val="20"/>
          <w:color w:val="auto"/>
        </w:rPr>
      </w:pPr>
    </w:p>
    <w:p>
      <w:pPr>
        <w:ind w:right="2959" w:firstLine="182"/>
        <w:spacing w:after="0" w:line="287" w:lineRule="auto"/>
        <w:rPr>
          <w:sz w:val="20"/>
          <w:szCs w:val="20"/>
          <w:color w:val="auto"/>
        </w:rPr>
      </w:pPr>
      <w:r>
        <w:rPr>
          <w:rFonts w:ascii="Courier New" w:cs="Courier New" w:eastAsia="Courier New" w:hAnsi="Courier New"/>
          <w:sz w:val="15"/>
          <w:szCs w:val="15"/>
          <w:color w:val="auto"/>
        </w:rPr>
        <w:t>SFAS No. 131 requires public companies to report financial and other information about key revenue-producing segments of the entity for which such information is available and is utilized by the chief operating decision-makers. Implementation of SFAS No. 131 is required for the Company's year end 1999.</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16" w:name="page17"/>
    <w:bookmarkEnd w:id="16"/>
    <w:p>
      <w:pPr>
        <w:ind w:right="2959" w:firstLine="182"/>
        <w:spacing w:after="0" w:line="257" w:lineRule="auto"/>
        <w:rPr>
          <w:sz w:val="20"/>
          <w:szCs w:val="20"/>
          <w:color w:val="auto"/>
        </w:rPr>
      </w:pPr>
      <w:r>
        <w:rPr>
          <w:rFonts w:ascii="Courier New" w:cs="Courier New" w:eastAsia="Courier New" w:hAnsi="Courier New"/>
          <w:sz w:val="15"/>
          <w:szCs w:val="15"/>
          <w:color w:val="auto"/>
        </w:rPr>
        <w:t>SOP 98-1 requires companies to capitalize certain costs of computer software developed or obtained for internal use. The Company, which currently capitalizes costs of purchased internal-use computer software and expenses costs of internally developed internal-use software as incurred, expects to adopt the standard in the first quarter of 2000 for developmental costs incurred in that quarter and thereafter. The adoption is expected to result in an initial decrease in selling, general and administrative expense due to the capitalization of certain business system software costs that are not being capitalized under the Company's current practice. Subsequent period expenses are expected to reflect a higher level of depreciation expense resulting from the relatively higher carrying value of the Company's capitalized software accounted for under SOP 98-1.</w:t>
      </w:r>
    </w:p>
    <w:p>
      <w:pPr>
        <w:spacing w:after="0" w:line="89" w:lineRule="exact"/>
        <w:rPr>
          <w:sz w:val="20"/>
          <w:szCs w:val="20"/>
          <w:color w:val="auto"/>
        </w:rPr>
      </w:pPr>
    </w:p>
    <w:p>
      <w:pPr>
        <w:ind w:right="2959" w:firstLine="182"/>
        <w:spacing w:after="0" w:line="257" w:lineRule="auto"/>
        <w:rPr>
          <w:sz w:val="20"/>
          <w:szCs w:val="20"/>
          <w:color w:val="auto"/>
        </w:rPr>
      </w:pPr>
      <w:r>
        <w:rPr>
          <w:rFonts w:ascii="Courier New" w:cs="Courier New" w:eastAsia="Courier New" w:hAnsi="Courier New"/>
          <w:sz w:val="15"/>
          <w:szCs w:val="15"/>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The Company is currently evaluating the effect SFAS 133 will have on its future results of operations and financial position.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54" w:lineRule="exact"/>
        <w:rPr>
          <w:sz w:val="20"/>
          <w:szCs w:val="20"/>
          <w:color w:val="auto"/>
        </w:rPr>
      </w:pPr>
    </w:p>
    <w:p>
      <w:pPr>
        <w:ind w:right="2959" w:firstLine="182"/>
        <w:spacing w:after="0" w:line="260" w:lineRule="auto"/>
        <w:rPr>
          <w:sz w:val="20"/>
          <w:szCs w:val="20"/>
          <w:color w:val="auto"/>
        </w:rPr>
      </w:pPr>
      <w:r>
        <w:rPr>
          <w:rFonts w:ascii="Courier New" w:cs="Courier New" w:eastAsia="Courier New" w:hAnsi="Courier New"/>
          <w:sz w:val="15"/>
          <w:szCs w:val="15"/>
          <w:color w:val="auto"/>
        </w:rPr>
        <w:t>As of June 3, 1999, the Company had cash and liquid investments totaling $1.7 billion, representing an increase of $1.0 billion during the first nine months of 1999. In the first quarter of 1999, the Company received $681 million in conjunction with the Acquisition and $500 million from the sale of stock to Intel Corporation. The Company's other principal source of liquidity during the first nine months of 1999 was net cash flow from operations of $564 million. The principal uses of funds during the first nine months of 1999 were $514 million for property, plant and equipment expenditures, $312 million for repayments of equipment contracts and debt and a $118 million increase in inventory.</w:t>
      </w:r>
    </w:p>
    <w:p>
      <w:pPr>
        <w:spacing w:after="0" w:line="266" w:lineRule="exact"/>
        <w:rPr>
          <w:sz w:val="20"/>
          <w:szCs w:val="20"/>
          <w:color w:val="auto"/>
        </w:rPr>
      </w:pPr>
    </w:p>
    <w:p>
      <w:pPr>
        <w:ind w:right="2959" w:firstLine="182"/>
        <w:spacing w:after="0" w:line="259" w:lineRule="auto"/>
        <w:rPr>
          <w:sz w:val="20"/>
          <w:szCs w:val="20"/>
          <w:color w:val="auto"/>
        </w:rPr>
      </w:pPr>
      <w:r>
        <w:rPr>
          <w:rFonts w:ascii="Courier New" w:cs="Courier New" w:eastAsia="Courier New" w:hAnsi="Courier New"/>
          <w:sz w:val="15"/>
          <w:szCs w:val="15"/>
          <w:color w:val="auto"/>
        </w:rPr>
        <w:t>The Company believes that in order to transition the Acquired Operations to the Company's product and process technology,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1999 for purchases of equipment and for construction and improvement of buildings, of which it has spent approximately $649 million to date. As of June 3, 1999, the Company had entered into contracts extending into 2000 for approximately $586 million for equipment purchases and approximately $46 million for the construction of facilities.</w:t>
      </w:r>
    </w:p>
    <w:p>
      <w:pPr>
        <w:spacing w:after="0" w:line="80" w:lineRule="exact"/>
        <w:rPr>
          <w:sz w:val="20"/>
          <w:szCs w:val="20"/>
          <w:color w:val="auto"/>
        </w:rPr>
      </w:pPr>
    </w:p>
    <w:p>
      <w:pPr>
        <w:ind w:right="2959" w:firstLine="182"/>
        <w:spacing w:after="0" w:line="262" w:lineRule="auto"/>
        <w:rPr>
          <w:sz w:val="20"/>
          <w:szCs w:val="20"/>
          <w:color w:val="auto"/>
        </w:rPr>
      </w:pPr>
      <w:r>
        <w:rPr>
          <w:rFonts w:ascii="Courier New" w:cs="Courier New" w:eastAsia="Courier New" w:hAnsi="Courier New"/>
          <w:sz w:val="15"/>
          <w:szCs w:val="15"/>
          <w:color w:val="auto"/>
        </w:rPr>
        <w:t>The Company has an aggregate of $500 million in revolving credit agreements, including a $400 million secured agreement expiring in May 2000 which contains certain restrictive covenants pertaining to the Company's semiconductor memory operations, including a maximum total debt to equity ratio. As of June 3, 1999, the Company was in compliance with all covenants under the facilities and had no borrowings outstanding under the agreements. There can be no assurance that the Company will continue to be able to meet the terms of the covenants and conditions in the agreements, borrow under the agreements or negotiate satisfactory successor agreements.</w:t>
      </w:r>
    </w:p>
    <w:p>
      <w:pPr>
        <w:spacing w:after="0" w:line="78" w:lineRule="exact"/>
        <w:rPr>
          <w:sz w:val="20"/>
          <w:szCs w:val="20"/>
          <w:color w:val="auto"/>
        </w:rPr>
      </w:pPr>
    </w:p>
    <w:p>
      <w:pPr>
        <w:ind w:right="3139" w:firstLine="182"/>
        <w:spacing w:after="0" w:line="287" w:lineRule="auto"/>
        <w:rPr>
          <w:sz w:val="20"/>
          <w:szCs w:val="20"/>
          <w:color w:val="auto"/>
        </w:rPr>
      </w:pPr>
      <w:r>
        <w:rPr>
          <w:rFonts w:ascii="Courier New" w:cs="Courier New" w:eastAsia="Courier New" w:hAnsi="Courier New"/>
          <w:sz w:val="15"/>
          <w:szCs w:val="15"/>
          <w:color w:val="auto"/>
        </w:rPr>
        <w:t>As of June 3, 1999, approximately $363 million of the Company's consolidated cash and liquid investments were held by MEI. Cash generated by MEI is not readily available to finance operations or other expenditures of MTI's semiconductor memory operations</w:t>
      </w:r>
    </w:p>
    <w:p>
      <w:pPr>
        <w:spacing w:after="0" w:line="6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Significant Transactions - Acquisition</w:t>
      </w:r>
    </w:p>
    <w:p>
      <w:pPr>
        <w:spacing w:after="0" w:line="180" w:lineRule="exact"/>
        <w:rPr>
          <w:sz w:val="20"/>
          <w:szCs w:val="20"/>
          <w:color w:val="auto"/>
        </w:rPr>
      </w:pPr>
    </w:p>
    <w:p>
      <w:pPr>
        <w:ind w:right="2959" w:firstLine="182"/>
        <w:spacing w:after="0" w:line="262" w:lineRule="auto"/>
        <w:rPr>
          <w:sz w:val="20"/>
          <w:szCs w:val="20"/>
          <w:color w:val="auto"/>
        </w:rPr>
      </w:pPr>
      <w:r>
        <w:rPr>
          <w:rFonts w:ascii="Courier New" w:cs="Courier New" w:eastAsia="Courier New" w:hAnsi="Courier New"/>
          <w:sz w:val="15"/>
          <w:szCs w:val="15"/>
          <w:color w:val="auto"/>
        </w:rPr>
        <w:t>On September 30, 1998, the Company completed its acquisition of substantially all of TI's memory operations. The Acquisition was consummated through the issuance of debt and equity securities. TI received 28.9 million shares of MTI common stock, $740 million principal amount of convertible notes (the "Convertible Notes") and $210 million principal amount of subordinated notes (the "Subordinated Notes"). In addition to TI's net memory assets, the Company received $681 million in cash. The Company and TI also entered into a ten-year, royalty-free, life-of-patents, patent cross license that commenced on January 1, 1999.</w:t>
      </w:r>
    </w:p>
    <w:p>
      <w:pPr>
        <w:spacing w:after="0" w:line="78" w:lineRule="exact"/>
        <w:rPr>
          <w:sz w:val="20"/>
          <w:szCs w:val="20"/>
          <w:color w:val="auto"/>
        </w:rPr>
      </w:pPr>
    </w:p>
    <w:p>
      <w:pPr>
        <w:ind w:right="2959" w:firstLine="182"/>
        <w:spacing w:after="0" w:line="254" w:lineRule="auto"/>
        <w:rPr>
          <w:sz w:val="20"/>
          <w:szCs w:val="20"/>
          <w:color w:val="auto"/>
        </w:rPr>
      </w:pPr>
      <w:r>
        <w:rPr>
          <w:rFonts w:ascii="Courier New" w:cs="Courier New" w:eastAsia="Courier New" w:hAnsi="Courier New"/>
          <w:sz w:val="15"/>
          <w:szCs w:val="15"/>
          <w:color w:val="auto"/>
        </w:rPr>
        <w:t>The MTI common stock, Convertible Notes and Subordinated Notes issued in the transaction have not been registered under the Securities Act of 1933, as amended, and are, therefore, subject to certain restrictions on resale. The Company and TI entered into a securities rights and restrictions agreement as part of the transaction which provides TI with certain registration rights and places certain restrictions on TI's voting rights and other activities with respect to shares of MTI common stock. The Convertible Notes and the Subordinated Notes issued in the transaction bear interest at the rate of 6.5% and have a term of seven years. The Convertible Notes are convertible into 12.3 million shares of MTI common stock at a conversion price of $60 per share. The Convertible Notes are not subject to redemption prior to October 2000 and are redeemable from that date through October 2002 only if the common stock price is at least $78.00 for a specified trading period. The Subordinated Notes are subordinated to the Convertible Notes, the Company's outstanding 7% Convertible Subordinated Notes due July, 2004, and substantially all of the Company's other indebtedness.</w:t>
      </w:r>
    </w:p>
    <w:p>
      <w:pPr>
        <w:spacing w:after="0" w:line="94" w:lineRule="exact"/>
        <w:rPr>
          <w:sz w:val="20"/>
          <w:szCs w:val="20"/>
          <w:color w:val="auto"/>
        </w:rPr>
      </w:pPr>
    </w:p>
    <w:p>
      <w:pPr>
        <w:ind w:right="2959" w:firstLine="182"/>
        <w:spacing w:after="0" w:line="255" w:lineRule="auto"/>
        <w:rPr>
          <w:sz w:val="20"/>
          <w:szCs w:val="20"/>
          <w:color w:val="auto"/>
        </w:rPr>
      </w:pPr>
      <w:r>
        <w:rPr>
          <w:rFonts w:ascii="Courier New" w:cs="Courier New" w:eastAsia="Courier New" w:hAnsi="Courier New"/>
          <w:sz w:val="15"/>
          <w:szCs w:val="15"/>
          <w:color w:val="auto"/>
        </w:rPr>
        <w:t>The assets acquired by the Company in the Acquisition include a wafer fabrication operation in Avezzano, Italy, an assembly/test operation in Singapore, and an inactive wafer fabrication facility in Richardson, Texas. Also included in the Acquisition was TI's minority interest in two joint ventures, TECH and KMT, and TI's rights and obligations to purchase 100% of the joint venture production meeting the Company's specifications. TECH, which operates in Singapore, is now owned by the Company, Canon, Inc., Hewlett-Packard Singapore (Private) Limited, a subsidiary of Hewlett Packard Company, and EDB Investments Pte. Ltd., which is controlled by the Economic Development Board of the Singapore government; and KMT, which operates in Japan, is now owned by the Company and Kobe Steel, Ltd. MTI acquired a 30% interest in TECH and a 25% interest in KMT. The Company filed Form 8-K/A on October 16, 1998, which incorporates historical and pro forma financial information with respect to the Acquisition. Pro forma financial information is also included in the notes to the financial statements in this Form 10-Q.</w:t>
      </w:r>
    </w:p>
    <w:p>
      <w:pPr>
        <w:spacing w:after="0" w:line="88" w:lineRule="exact"/>
        <w:rPr>
          <w:sz w:val="20"/>
          <w:szCs w:val="20"/>
          <w:color w:val="auto"/>
        </w:rPr>
      </w:pPr>
    </w:p>
    <w:p>
      <w:pPr>
        <w:ind w:right="2959" w:firstLine="182"/>
        <w:spacing w:after="0" w:line="253" w:lineRule="auto"/>
        <w:rPr>
          <w:sz w:val="20"/>
          <w:szCs w:val="20"/>
          <w:color w:val="auto"/>
        </w:rPr>
      </w:pPr>
      <w:r>
        <w:rPr>
          <w:rFonts w:ascii="Courier New" w:cs="Courier New" w:eastAsia="Courier New" w:hAnsi="Courier New"/>
          <w:sz w:val="15"/>
          <w:szCs w:val="15"/>
          <w:color w:val="auto"/>
        </w:rPr>
        <w:t>Although the Company believes the Acquisition further leverages its technology, the Company anticipates that the Acquisition will continue to have a near term adverse impact upon the Company's results of operations and cash flows. The Company is in the process of transferring its .21u and .18u product and process technology into the Acquired Operations (primarily the wholly owned fabrication facilities in Avezzano, Italy and the joint-venture facilities) and expects the transfer to be substantially complete by 1999 calendar year end. Output of the Company's semiconductor memory products has increased directly as a result of the manufacturing capacity obtained in the Acquisition and should increase further as a result of the transfer of the Company's product and process technology to the Acquired Operations. Until the Company is able to complete the transfer of its product and process technology into the Acquired Operations, the Company expects that the per unit costs associated with products manufactured at the Acquired Operations will continue to significantly exceed the per unit costs of products manufactured at the Company's Boise, Idaho facility, resulting in a near-term adverse impact on the Company's gross margin percentage. The ten-year, royalty-free, life-of-patents, patent cross license entered into with TI resulted in a reduction in the Company's royalty expenses beginning January 1999.</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w:t>
      </w:r>
    </w:p>
    <w:p>
      <w:pPr>
        <w:spacing w:after="0" w:line="180" w:lineRule="exact"/>
        <w:rPr>
          <w:sz w:val="20"/>
          <w:szCs w:val="20"/>
          <w:color w:val="auto"/>
        </w:rPr>
      </w:pPr>
    </w:p>
    <w:p>
      <w:pPr>
        <w:ind w:right="2959" w:firstLine="182"/>
        <w:spacing w:after="0" w:line="271" w:lineRule="auto"/>
        <w:rPr>
          <w:sz w:val="20"/>
          <w:szCs w:val="20"/>
          <w:color w:val="auto"/>
        </w:rPr>
      </w:pPr>
      <w:r>
        <w:rPr>
          <w:rFonts w:ascii="Courier New" w:cs="Courier New" w:eastAsia="Courier New" w:hAnsi="Courier New"/>
          <w:sz w:val="15"/>
          <w:szCs w:val="15"/>
          <w:color w:val="auto"/>
        </w:rPr>
        <w:t>Subsequent to the end of the third quarter, the Company decided to discontinue funding of its RFID development efforts as the Company continues to focus its resources on its core semiconductor efforts. It is anticipated that the Company's majority owned RFID subsidiary, Micron Communications, Inc., will cease operations in the fourth quarter resulting in a consolidated pre-tax charge of $9 to $12 million.</w:t>
      </w:r>
    </w:p>
    <w:p>
      <w:pPr>
        <w:spacing w:after="0" w:line="7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Year 2000</w:t>
      </w:r>
    </w:p>
    <w:p>
      <w:pPr>
        <w:spacing w:after="0" w:line="180" w:lineRule="exact"/>
        <w:rPr>
          <w:sz w:val="20"/>
          <w:szCs w:val="20"/>
          <w:color w:val="auto"/>
        </w:rPr>
      </w:pPr>
    </w:p>
    <w:p>
      <w:pPr>
        <w:ind w:right="3039" w:firstLine="182"/>
        <w:spacing w:after="0" w:line="287" w:lineRule="auto"/>
        <w:rPr>
          <w:sz w:val="20"/>
          <w:szCs w:val="20"/>
          <w:color w:val="auto"/>
        </w:rPr>
      </w:pPr>
      <w:r>
        <w:rPr>
          <w:rFonts w:ascii="Courier New" w:cs="Courier New" w:eastAsia="Courier New" w:hAnsi="Courier New"/>
          <w:sz w:val="15"/>
          <w:szCs w:val="15"/>
          <w:color w:val="auto"/>
        </w:rPr>
        <w:t>Like many other companies, the Year 2000 computer issue creates risks for the Company. If internal systems do not correctly recognize and process date information beyond the year 1999, the Company's operations could be adversely impacted as a result of system failures and business process interruption.</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 Operations</w:t>
      </w:r>
    </w:p>
    <w:p>
      <w:pPr>
        <w:spacing w:after="0" w:line="180" w:lineRule="exact"/>
        <w:rPr>
          <w:sz w:val="20"/>
          <w:szCs w:val="20"/>
          <w:color w:val="auto"/>
        </w:rPr>
      </w:pPr>
    </w:p>
    <w:p>
      <w:pPr>
        <w:ind w:right="2959" w:firstLine="182"/>
        <w:spacing w:after="0" w:line="262" w:lineRule="auto"/>
        <w:rPr>
          <w:sz w:val="20"/>
          <w:szCs w:val="20"/>
          <w:color w:val="auto"/>
        </w:rPr>
      </w:pPr>
      <w:r>
        <w:rPr>
          <w:rFonts w:ascii="Courier New" w:cs="Courier New" w:eastAsia="Courier New" w:hAnsi="Courier New"/>
          <w:sz w:val="15"/>
          <w:szCs w:val="15"/>
          <w:color w:val="auto"/>
        </w:rPr>
        <w:t>The Company has been addressing the Year 2000 computer issue for its semiconductor operations with a plan that began in early 1996. To manage its Year 2000 program, the Company has divided its efforts into the primary program areas of: (i) information technology ("IT"), which includes computer and network hardware, operating systems, purchased development tools, third-party and internally developed software, files and databases, end-user extracts and electronic interfaces; (ii) embedded technology within manufacturing and facilitation equipment; and (iii) external dependencies, which include relationships with suppliers and customers.</w:t>
      </w:r>
    </w:p>
    <w:p>
      <w:pPr>
        <w:spacing w:after="0" w:line="78" w:lineRule="exact"/>
        <w:rPr>
          <w:sz w:val="20"/>
          <w:szCs w:val="20"/>
          <w:color w:val="auto"/>
        </w:rPr>
      </w:pPr>
    </w:p>
    <w:p>
      <w:pPr>
        <w:ind w:right="3039" w:firstLine="182"/>
        <w:spacing w:after="0" w:line="260" w:lineRule="auto"/>
        <w:rPr>
          <w:sz w:val="20"/>
          <w:szCs w:val="20"/>
          <w:color w:val="auto"/>
        </w:rPr>
      </w:pPr>
      <w:r>
        <w:rPr>
          <w:rFonts w:ascii="Courier New" w:cs="Courier New" w:eastAsia="Courier New" w:hAnsi="Courier New"/>
          <w:sz w:val="15"/>
          <w:szCs w:val="15"/>
          <w:color w:val="auto"/>
        </w:rPr>
        <w:t>The Company is following four general steps for each of these program areas: "Ownership," wherein each department manager is responsible for assigning ownership for the various Year 2000 issues to be tested; "Identification" of systems and equipment and the collection of Year 2000 data in a centralized place to track results of compliance testing and subsequent remediation; "Compliance Testing," which includes the determination of the specific test routine to be performed on the software or equipment and determination of year 2000 compliance for the item being tested; and "Remediation," which involves implementation of corrective action, verification of successful implementation, finalization of, and, if need be, execution of, contingency plans.</w:t>
      </w:r>
    </w:p>
    <w:p>
      <w:pPr>
        <w:spacing w:after="0" w:line="82" w:lineRule="exact"/>
        <w:rPr>
          <w:sz w:val="20"/>
          <w:szCs w:val="20"/>
          <w:color w:val="auto"/>
        </w:rPr>
      </w:pPr>
    </w:p>
    <w:p>
      <w:pPr>
        <w:ind w:right="2959" w:firstLine="182"/>
        <w:spacing w:after="0" w:line="256" w:lineRule="auto"/>
        <w:rPr>
          <w:sz w:val="20"/>
          <w:szCs w:val="20"/>
          <w:color w:val="auto"/>
        </w:rPr>
      </w:pPr>
      <w:r>
        <w:rPr>
          <w:rFonts w:ascii="Courier New" w:cs="Courier New" w:eastAsia="Courier New" w:hAnsi="Courier New"/>
          <w:sz w:val="15"/>
          <w:szCs w:val="15"/>
          <w:color w:val="auto"/>
        </w:rPr>
        <w:t>As of June 3, 1999, the Ownership and Identification steps were essentially complete for all three program areas: IT, manufacturing and facilitation equipment and external dependencies. The Compliance Testing and Remediation steps are substantially complete for the IT area at the Boise site. The Company is relying in part on TI computer networks, information technology services and licensed software with respect to certain of the recently acquired semiconductor operations, much of which is currently used by TI in its manufacturing processes. The Company is taking various steps to remove its dependence on the TI systems, including the implementation of new business systems beginning in September 1999. Nonetheless, dependency upon TI systems will span calendar years 1999 and 2000, and Year 2000 issues may arise. The Company is working with TI to identify and correct any Year 2000 issues, and at this time does not anticipate any material Year 2000 issues with respect to the TI systems. (See "Certain Factors")</w:t>
      </w:r>
    </w:p>
    <w:p>
      <w:pPr>
        <w:spacing w:after="0" w:line="84" w:lineRule="exact"/>
        <w:rPr>
          <w:sz w:val="20"/>
          <w:szCs w:val="20"/>
          <w:color w:val="auto"/>
        </w:rPr>
      </w:pPr>
    </w:p>
    <w:p>
      <w:pPr>
        <w:ind w:right="3039" w:firstLine="182"/>
        <w:spacing w:after="0" w:line="267" w:lineRule="auto"/>
        <w:rPr>
          <w:sz w:val="20"/>
          <w:szCs w:val="20"/>
          <w:color w:val="auto"/>
        </w:rPr>
      </w:pPr>
      <w:r>
        <w:rPr>
          <w:rFonts w:ascii="Courier New" w:cs="Courier New" w:eastAsia="Courier New" w:hAnsi="Courier New"/>
          <w:sz w:val="15"/>
          <w:szCs w:val="15"/>
          <w:color w:val="auto"/>
        </w:rPr>
        <w:t>Compliance Testing of semiconductor manufacturing and facilitation equipment is over 85% complete, and Remediation efforts for tested equipment is in excess of 90% complete. The Company is working with suppliers of products and services to determine and monitor their level of compliance and Compliance Testing. Year 2000 readiness of significant customers is also being assessed. The Company's evaluation of Year 2000 compliance as it relates to the Company's external dependencies is substantially complete.</w:t>
      </w:r>
    </w:p>
    <w:p>
      <w:pPr>
        <w:spacing w:after="0" w:line="75" w:lineRule="exact"/>
        <w:rPr>
          <w:sz w:val="20"/>
          <w:szCs w:val="20"/>
          <w:color w:val="auto"/>
        </w:rPr>
      </w:pPr>
    </w:p>
    <w:p>
      <w:pPr>
        <w:ind w:right="2959" w:firstLine="182"/>
        <w:spacing w:after="0" w:line="271" w:lineRule="auto"/>
        <w:rPr>
          <w:sz w:val="20"/>
          <w:szCs w:val="20"/>
          <w:color w:val="auto"/>
        </w:rPr>
      </w:pPr>
      <w:r>
        <w:rPr>
          <w:rFonts w:ascii="Courier New" w:cs="Courier New" w:eastAsia="Courier New" w:hAnsi="Courier New"/>
          <w:sz w:val="15"/>
          <w:szCs w:val="15"/>
          <w:color w:val="auto"/>
        </w:rPr>
        <w:t>As of June 3, 1999, the Company had incurred aggregate incremental costs of approximately $2.5 million and estimates it will spend an additional $1 million to address the Year 2000 issue with respect to its semiconductor operations. The Company is executing its Year 2000 readiness plan solely through its employees. Year 2000 Compliance Testing and reprogramming is being done in conjunction with other ongoing maintenance and reprogramming efforts.</w:t>
      </w:r>
    </w:p>
    <w:p>
      <w:pPr>
        <w:spacing w:after="0" w:line="72" w:lineRule="exact"/>
        <w:rPr>
          <w:sz w:val="20"/>
          <w:szCs w:val="20"/>
          <w:color w:val="auto"/>
        </w:rPr>
      </w:pPr>
    </w:p>
    <w:p>
      <w:pPr>
        <w:ind w:right="2959" w:firstLine="182"/>
        <w:spacing w:after="0" w:line="262" w:lineRule="auto"/>
        <w:rPr>
          <w:sz w:val="20"/>
          <w:szCs w:val="20"/>
          <w:color w:val="auto"/>
        </w:rPr>
      </w:pPr>
      <w:r>
        <w:rPr>
          <w:rFonts w:ascii="Courier New" w:cs="Courier New" w:eastAsia="Courier New" w:hAnsi="Courier New"/>
          <w:sz w:val="15"/>
          <w:szCs w:val="15"/>
          <w:color w:val="auto"/>
        </w:rPr>
        <w:t>With respect to Remediation, the Company has prepared various types of contingency plans to address potential problem areas with internal systems and with suppliers and other third parties. Internally, each software and hardware system has been assigned to on-call personnel who are responsible for bringing the system back on line in the event of a failure. Externally, the Company's Year 2000 plan includes identification of alternate sources for providers of goods and services. The Company has completed its internal contingency plans and expects its external contingency plans to be substantially complete by the third calendar quarter of 1999.</w:t>
      </w:r>
    </w:p>
    <w:p>
      <w:pPr>
        <w:spacing w:after="0" w:line="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PC operations</w:t>
      </w:r>
    </w:p>
    <w:p>
      <w:pPr>
        <w:spacing w:after="0" w:line="180" w:lineRule="exact"/>
        <w:rPr>
          <w:sz w:val="20"/>
          <w:szCs w:val="20"/>
          <w:color w:val="auto"/>
        </w:rPr>
      </w:pPr>
    </w:p>
    <w:p>
      <w:pPr>
        <w:ind w:right="2959" w:firstLine="182"/>
        <w:spacing w:after="0" w:line="368" w:lineRule="auto"/>
        <w:rPr>
          <w:sz w:val="20"/>
          <w:szCs w:val="20"/>
          <w:color w:val="auto"/>
        </w:rPr>
      </w:pPr>
      <w:r>
        <w:rPr>
          <w:rFonts w:ascii="Courier New" w:cs="Courier New" w:eastAsia="Courier New" w:hAnsi="Courier New"/>
          <w:sz w:val="15"/>
          <w:szCs w:val="15"/>
          <w:color w:val="auto"/>
        </w:rPr>
        <w:t>The Company's PC operations have been addressing the Year 2000 issue independently but in a manner similar to the Company's semiconductor operations.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With respect to IT systems for the Company's PC operations, MEI believes, as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June 3, 1999, that the inventory, assessment and remediation phases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essentially complete, and quality assurance testing is approximately 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 With respect to non-IT systems, the inventory and assessment phases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essentially complete and the remediation phase is approximately 90%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 MEI estimates August 1999 for completion of remediation of its mission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IT and non-IT systems, with the remainder of calendar 1999 to be used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resolution of any unforeseen difficulties and quality assurance testing.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June 3, 1999, MEI had incurred aggregate incremental costs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million and estimates it will spend an additional $1 to $2 million to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2000 issue with respect to its PC operations.</w:t>
      </w:r>
    </w:p>
    <w:p>
      <w:pPr>
        <w:spacing w:after="0" w:line="152" w:lineRule="exact"/>
        <w:rPr>
          <w:sz w:val="20"/>
          <w:szCs w:val="20"/>
          <w:color w:val="auto"/>
        </w:rPr>
      </w:pPr>
    </w:p>
    <w:p>
      <w:pPr>
        <w:ind w:right="2959" w:firstLine="182"/>
        <w:spacing w:after="0" w:line="287" w:lineRule="auto"/>
        <w:rPr>
          <w:sz w:val="20"/>
          <w:szCs w:val="20"/>
          <w:color w:val="auto"/>
        </w:rPr>
      </w:pPr>
      <w:r>
        <w:rPr>
          <w:rFonts w:ascii="Courier New" w:cs="Courier New" w:eastAsia="Courier New" w:hAnsi="Courier New"/>
          <w:sz w:val="15"/>
          <w:szCs w:val="15"/>
          <w:color w:val="auto"/>
        </w:rPr>
        <w:t>MEI's contingency plan generally contemplates replacement or alternative sources of those goods and services necessary to the Company's manufacturing and business operations. MEI expects that development of contingency plans for its PC operations will continue through calendar 1999.</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Factors</w:t>
      </w:r>
    </w:p>
    <w:p>
      <w:pPr>
        <w:spacing w:after="0" w:line="180" w:lineRule="exact"/>
        <w:rPr>
          <w:sz w:val="20"/>
          <w:szCs w:val="20"/>
          <w:color w:val="auto"/>
        </w:rPr>
      </w:pPr>
    </w:p>
    <w:p>
      <w:pPr>
        <w:ind w:right="3039" w:firstLine="182"/>
        <w:spacing w:after="0" w:line="277" w:lineRule="auto"/>
        <w:rPr>
          <w:sz w:val="20"/>
          <w:szCs w:val="20"/>
          <w:color w:val="auto"/>
        </w:rPr>
      </w:pPr>
      <w:r>
        <w:rPr>
          <w:rFonts w:ascii="Courier New" w:cs="Courier New" w:eastAsia="Courier New" w:hAnsi="Courier New"/>
          <w:sz w:val="15"/>
          <w:szCs w:val="15"/>
          <w:color w:val="auto"/>
        </w:rPr>
        <w:t>In addition to the factors discussed elsewhere in this Form 10-Q and in the Company's Form 10-K for the fiscal year ended September 3, 1998, the following are important factors which could cause actual results or events to differ materially from those contained in any forward looking statements made by or on behalf of the Company.</w:t>
      </w:r>
    </w:p>
    <w:p>
      <w:pPr>
        <w:spacing w:after="0" w:line="68" w:lineRule="exact"/>
        <w:rPr>
          <w:sz w:val="20"/>
          <w:szCs w:val="20"/>
          <w:color w:val="auto"/>
        </w:rPr>
      </w:pPr>
    </w:p>
    <w:p>
      <w:pPr>
        <w:ind w:right="2959" w:firstLine="182"/>
        <w:spacing w:after="0" w:line="260"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including in recent years.</w:t>
      </w:r>
    </w:p>
    <w:p>
      <w:pPr>
        <w:spacing w:after="0" w:line="82" w:lineRule="exact"/>
        <w:rPr>
          <w:sz w:val="20"/>
          <w:szCs w:val="20"/>
          <w:color w:val="auto"/>
        </w:rPr>
      </w:pPr>
    </w:p>
    <w:p>
      <w:pPr>
        <w:ind w:right="3039" w:firstLine="182"/>
        <w:spacing w:after="0" w:line="254" w:lineRule="auto"/>
        <w:rPr>
          <w:sz w:val="20"/>
          <w:szCs w:val="20"/>
          <w:color w:val="auto"/>
        </w:rPr>
      </w:pPr>
      <w:r>
        <w:rPr>
          <w:rFonts w:ascii="Courier New" w:cs="Courier New" w:eastAsia="Courier New" w:hAnsi="Courier New"/>
          <w:sz w:val="15"/>
          <w:szCs w:val="15"/>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years, resulting in a significant decrease in average selling prices for the Company's semiconductor memory products. The Company's finished goods inventory increased substantially during the third quarter due to the current market oversupply of semiconductor memory products and the expansion of the Company's mix of semiconductor memory product offerings. The semiconductor industry in general, and the DRAM market in particular, has experienced a severe downturn. Per megabit prices declined approximately 60% in 1998 following a 75% decline in 1997 and a 45% decline in 1996 and pricing is down approximately 39% for the first nine months of 1999 as compared to the first nine months of 1998. The Company is unable to predict pricing conditions for future periods. In the event that average selling prices continue to decline at a faster rate than the rate at which the Company is able to decrease per unit manufacturing costs, the Company's operations, cash flows and financial condition would be increasingly adversely affected.</w:t>
      </w:r>
    </w:p>
    <w:p>
      <w:pPr>
        <w:spacing w:after="0" w:line="89" w:lineRule="exact"/>
        <w:rPr>
          <w:sz w:val="20"/>
          <w:szCs w:val="20"/>
          <w:color w:val="auto"/>
        </w:rPr>
      </w:pPr>
    </w:p>
    <w:p>
      <w:pPr>
        <w:ind w:right="2959" w:firstLine="182"/>
        <w:spacing w:after="0" w:line="255" w:lineRule="auto"/>
        <w:rPr>
          <w:sz w:val="20"/>
          <w:szCs w:val="20"/>
          <w:color w:val="auto"/>
        </w:rPr>
      </w:pPr>
      <w:r>
        <w:rPr>
          <w:rFonts w:ascii="Courier New" w:cs="Courier New" w:eastAsia="Courier New" w:hAnsi="Courier New"/>
          <w:sz w:val="15"/>
          <w:szCs w:val="15"/>
          <w:color w:val="auto"/>
        </w:rPr>
        <w:t>The Company and its competitors are seeking improved yields, smaller die size and fewer mask levels in their product designs. These improvements could result in a significant increase in worldwide capacity leading to further downward pressures on prices. Consolidation by competitors in the semiconductor memory industry may place the Company at a disadvantage in competing with competitors that have greater capital resources and could create the potential for greater worldwide investment in semiconductor memory capacity which could further exert downward pressure on prices. In 1998, many of the Company's Korean and Japanese semiconductor memory competitors were impacted by deteriorating economic conditions in Southeast Asia, resulting in decreased capital investment by Korean and Japanese DRAM manufacturers. Recent evidence of economic improvement in the region, particularly Korea, could indicate increased sources of capital may be or may become available to finance technology advancements and expansion projects, and could result in a significant increase in worldwide supply leading to</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4" w:right="1440" w:bottom="1440" w:gutter="0" w:footer="0" w:header="0"/>
        </w:sectPr>
      </w:pPr>
    </w:p>
    <w:bookmarkStart w:id="20" w:name="page21"/>
    <w:bookmarkEnd w:id="20"/>
    <w:p>
      <w:pPr>
        <w:ind w:right="2959"/>
        <w:spacing w:after="0" w:line="277" w:lineRule="auto"/>
        <w:rPr>
          <w:sz w:val="20"/>
          <w:szCs w:val="20"/>
          <w:color w:val="auto"/>
        </w:rPr>
      </w:pPr>
      <w:r>
        <w:rPr>
          <w:rFonts w:ascii="Courier New" w:cs="Courier New" w:eastAsia="Courier New" w:hAnsi="Courier New"/>
          <w:sz w:val="15"/>
          <w:szCs w:val="15"/>
          <w:color w:val="auto"/>
        </w:rPr>
        <w:t>further downward pricing pressure. In addition, if the Company is successful in the transfer of its product and process technology into the acquired fabrication facilities, the amount of worldwide semiconductor memory capacity could increase, resulting in further downward pricing pressure on the Company's semiconductor memory products.</w:t>
      </w:r>
    </w:p>
    <w:p>
      <w:pPr>
        <w:spacing w:after="0" w:line="68" w:lineRule="exact"/>
        <w:rPr>
          <w:sz w:val="20"/>
          <w:szCs w:val="20"/>
          <w:color w:val="auto"/>
        </w:rPr>
      </w:pPr>
    </w:p>
    <w:p>
      <w:pPr>
        <w:ind w:right="2959" w:firstLine="182"/>
        <w:spacing w:after="0" w:line="260" w:lineRule="auto"/>
        <w:rPr>
          <w:sz w:val="20"/>
          <w:szCs w:val="20"/>
          <w:color w:val="auto"/>
        </w:rPr>
      </w:pPr>
      <w:r>
        <w:rPr>
          <w:rFonts w:ascii="Courier New" w:cs="Courier New" w:eastAsia="Courier New" w:hAnsi="Courier New"/>
          <w:sz w:val="15"/>
          <w:szCs w:val="15"/>
          <w:color w:val="auto"/>
        </w:rPr>
        <w:t>Approximately 85% of the Company's sales of semiconductor memory products during the third quarter of 1999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that influence prices for the Company's semiconductor memory products.</w:t>
      </w:r>
    </w:p>
    <w:p>
      <w:pPr>
        <w:spacing w:after="0" w:line="82" w:lineRule="exact"/>
        <w:rPr>
          <w:sz w:val="20"/>
          <w:szCs w:val="20"/>
          <w:color w:val="auto"/>
        </w:rPr>
      </w:pPr>
    </w:p>
    <w:p>
      <w:pPr>
        <w:ind w:right="2959" w:firstLine="182"/>
        <w:spacing w:after="0" w:line="253" w:lineRule="auto"/>
        <w:rPr>
          <w:sz w:val="20"/>
          <w:szCs w:val="20"/>
          <w:color w:val="auto"/>
        </w:rPr>
      </w:pPr>
      <w:r>
        <w:rPr>
          <w:rFonts w:ascii="Courier New" w:cs="Courier New" w:eastAsia="Courier New" w:hAnsi="Courier New"/>
          <w:sz w:val="15"/>
          <w:szCs w:val="15"/>
          <w:color w:val="auto"/>
        </w:rPr>
        <w:t>On September 30, 1998, the Company acquired substantially all of TI's memory operations. The integration and successful operation of the Acquired Operations is dependent upon a number of factors, including, but not limited to, the Company's ability to transfer its product and process technology in a timely and cost-effective manner into the wholly-owned acquired fabrication facility and joint venture facilities. The Company is in the process of transferring its</w:t>
      </w:r>
    </w:p>
    <w:p>
      <w:pPr>
        <w:spacing w:after="0" w:line="2" w:lineRule="exact"/>
        <w:rPr>
          <w:sz w:val="20"/>
          <w:szCs w:val="20"/>
          <w:color w:val="auto"/>
        </w:rPr>
      </w:pPr>
    </w:p>
    <w:p>
      <w:pPr>
        <w:ind w:right="3139" w:firstLine="91"/>
        <w:spacing w:after="0" w:line="255" w:lineRule="auto"/>
        <w:rPr>
          <w:sz w:val="20"/>
          <w:szCs w:val="20"/>
          <w:color w:val="auto"/>
        </w:rPr>
      </w:pPr>
      <w:r>
        <w:rPr>
          <w:rFonts w:ascii="Courier New" w:cs="Courier New" w:eastAsia="Courier New" w:hAnsi="Courier New"/>
          <w:sz w:val="15"/>
          <w:szCs w:val="15"/>
          <w:color w:val="auto"/>
        </w:rPr>
        <w:t>.21 (micron) and .18 (micron) product and process technology into these fabrication facilities and expects the transfer to be substantially complete by the end of calendar 1999. However, there can be no assurance that the Company will be able to meet this timeline. Until such time as the Company is able to complete the transfer of its product and process technology into the acquired fabrication facilities, it is expected that the per unit costs associated with the products manufactured at the acquired fabrication facilities will continue to significantly exceed the per unit costs of products manufactured at the Company's Boise, Idaho, facility. As a result, it is expected that the Acquisition will continue to have a near term adverse effect on the Company's results of operations and cash flows.</w:t>
      </w:r>
    </w:p>
    <w:p>
      <w:pPr>
        <w:spacing w:after="0" w:line="83" w:lineRule="exact"/>
        <w:rPr>
          <w:sz w:val="20"/>
          <w:szCs w:val="20"/>
          <w:color w:val="auto"/>
        </w:rPr>
      </w:pPr>
    </w:p>
    <w:p>
      <w:pPr>
        <w:ind w:right="3139" w:firstLine="182"/>
        <w:spacing w:after="0" w:line="260" w:lineRule="auto"/>
        <w:rPr>
          <w:sz w:val="20"/>
          <w:szCs w:val="20"/>
          <w:color w:val="auto"/>
        </w:rPr>
      </w:pPr>
      <w:r>
        <w:rPr>
          <w:rFonts w:ascii="Courier New" w:cs="Courier New" w:eastAsia="Courier New" w:hAnsi="Courier New"/>
          <w:sz w:val="15"/>
          <w:szCs w:val="15"/>
          <w:color w:val="auto"/>
        </w:rPr>
        <w:t>Over the past several years the Company's productivity gains have continued to increase its semiconductor memory output. In addition, as a result of the Acquisition the Company expects its production levels to increase further in the future. In recent periods, sales of additional output have been achieved by increasing market share with several of the Company's larger OEM customers, and through sales to a broader customer base including accounts of lesser size and potentially lesser financial stability. In the event the Company is unable to further increase its market share with OEM customers, broaden its customer base, or experiences reductions in the level of OEM orders, the Company's results of operations and cash flows could be adversely affected.</w:t>
      </w:r>
    </w:p>
    <w:p>
      <w:pPr>
        <w:spacing w:after="0" w:line="82" w:lineRule="exact"/>
        <w:rPr>
          <w:sz w:val="20"/>
          <w:szCs w:val="20"/>
          <w:color w:val="auto"/>
        </w:rPr>
      </w:pPr>
    </w:p>
    <w:p>
      <w:pPr>
        <w:ind w:right="2959" w:firstLine="182"/>
        <w:spacing w:after="0" w:line="255" w:lineRule="auto"/>
        <w:rPr>
          <w:sz w:val="20"/>
          <w:szCs w:val="20"/>
          <w:color w:val="auto"/>
        </w:rPr>
      </w:pPr>
      <w:r>
        <w:rPr>
          <w:rFonts w:ascii="Courier New" w:cs="Courier New" w:eastAsia="Courier New" w:hAnsi="Courier New"/>
          <w:sz w:val="15"/>
          <w:szCs w:val="15"/>
          <w:color w:val="auto"/>
        </w:rPr>
        <w:t>The semiconductor memory industry is characterized by frequent product introductions and enhancements.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 As the semiconductor industry transitions to higher bandwidth products including RDRAM, DDR and SLDRAM, the Company may encounter difficulties in achieving the semiconductor manufacturing efficiencies that it has historically achieved. The Company's productivity levels, die per wafer yields, and in particular, backend test and assembly equipment requirements are expected to be affected by a transition to higher bandwidth products, likely resulting in higher per megabit production costs. There can be no assurance that the Company will successfully transition to these products or that it will be able to achieve its historical rate of cost per megabit reductions.</w:t>
      </w:r>
    </w:p>
    <w:p>
      <w:pPr>
        <w:spacing w:after="0" w:line="88" w:lineRule="exact"/>
        <w:rPr>
          <w:sz w:val="20"/>
          <w:szCs w:val="20"/>
          <w:color w:val="auto"/>
        </w:rPr>
      </w:pPr>
    </w:p>
    <w:p>
      <w:pPr>
        <w:ind w:right="2959" w:firstLine="182"/>
        <w:spacing w:after="0" w:line="259" w:lineRule="auto"/>
        <w:rPr>
          <w:sz w:val="20"/>
          <w:szCs w:val="20"/>
          <w:color w:val="auto"/>
        </w:rPr>
      </w:pPr>
      <w:r>
        <w:rPr>
          <w:rFonts w:ascii="Courier New" w:cs="Courier New" w:eastAsia="Courier New" w:hAnsi="Courier New"/>
          <w:sz w:val="15"/>
          <w:szCs w:val="15"/>
          <w:color w:val="auto"/>
        </w:rPr>
        <w:t>The Company is engaged in ongoing efforts to enhance its production processes to reduce per unit costs by reducing the die size of existing products. The result of such efforts has generally led to significant increases in megabit production. There can be no assurance that the Company will be able to maintain or approximate increases in megabit production at a level approaching that experienced in recent years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w:t>
      </w:r>
    </w:p>
    <w:p>
      <w:pPr>
        <w:spacing w:after="0" w:line="80" w:lineRule="exact"/>
        <w:rPr>
          <w:sz w:val="20"/>
          <w:szCs w:val="20"/>
          <w:color w:val="auto"/>
        </w:rPr>
      </w:pPr>
    </w:p>
    <w:p>
      <w:pPr>
        <w:ind w:right="3219" w:firstLine="182"/>
        <w:spacing w:after="0" w:line="307" w:lineRule="auto"/>
        <w:rPr>
          <w:sz w:val="20"/>
          <w:szCs w:val="20"/>
          <w:color w:val="auto"/>
        </w:rPr>
      </w:pPr>
      <w:r>
        <w:rPr>
          <w:rFonts w:ascii="Courier New" w:cs="Courier New" w:eastAsia="Courier New" w:hAnsi="Courier New"/>
          <w:sz w:val="15"/>
          <w:szCs w:val="15"/>
          <w:color w:val="auto"/>
        </w:rPr>
        <w:t>The Acquisition is expected to continue to have a significant effect on the Company's future results of operations and cash flows, including, but not limited to: a negative impact on gross margin in the near term due in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4" w:right="1440" w:bottom="1440" w:gutter="0" w:footer="0" w:header="0"/>
        </w:sectPr>
      </w:pPr>
    </w:p>
    <w:bookmarkStart w:id="21" w:name="page22"/>
    <w:bookmarkEnd w:id="21"/>
    <w:p>
      <w:pPr>
        <w:ind w:right="2959"/>
        <w:spacing w:after="0" w:line="262" w:lineRule="auto"/>
        <w:rPr>
          <w:sz w:val="20"/>
          <w:szCs w:val="20"/>
          <w:color w:val="auto"/>
        </w:rPr>
      </w:pPr>
      <w:r>
        <w:rPr>
          <w:rFonts w:ascii="Courier New" w:cs="Courier New" w:eastAsia="Courier New" w:hAnsi="Courier New"/>
          <w:sz w:val="15"/>
          <w:szCs w:val="15"/>
          <w:color w:val="auto"/>
        </w:rPr>
        <w:t>part to significantly higher per unit manufacturing costs at the Acquired Operations; costs related to the assimilation of the Acquired Operations; increased selling, general and administrative expenses in support of the larger and more geographically dispersed operations; increased research and development expense associated with the Company's efforts to broaden its range of DRAM product offerings; increased interest expense associated with the Convertible Notes and Subordinated Notes issued in the transaction and increased capital spending relating to the wholly-owned Acquired Operations in Avezzano, Italy and Singapore.</w:t>
      </w:r>
    </w:p>
    <w:p>
      <w:pPr>
        <w:spacing w:after="0" w:line="78" w:lineRule="exact"/>
        <w:rPr>
          <w:sz w:val="20"/>
          <w:szCs w:val="20"/>
          <w:color w:val="auto"/>
        </w:rPr>
      </w:pPr>
    </w:p>
    <w:p>
      <w:pPr>
        <w:ind w:right="2959" w:firstLine="182"/>
        <w:spacing w:after="0" w:line="271" w:lineRule="auto"/>
        <w:rPr>
          <w:sz w:val="20"/>
          <w:szCs w:val="20"/>
          <w:color w:val="auto"/>
        </w:rPr>
      </w:pPr>
      <w:r>
        <w:rPr>
          <w:rFonts w:ascii="Courier New" w:cs="Courier New" w:eastAsia="Courier New" w:hAnsi="Courier New"/>
          <w:sz w:val="15"/>
          <w:szCs w:val="15"/>
          <w:color w:val="auto"/>
        </w:rPr>
        <w:t>The Company has limited experience in integrating or operating geographically dispersed manufacturing facilities. The integration and operation of the acquired facilities has placed, and continues to place, strains on the Company's management and information systems resources. Failure by the Company to effectively manage the integration of the acquired facilities could have a material adverse effect on the Company's results of operations.</w:t>
      </w:r>
    </w:p>
    <w:p>
      <w:pPr>
        <w:spacing w:after="0" w:line="72" w:lineRule="exact"/>
        <w:rPr>
          <w:sz w:val="20"/>
          <w:szCs w:val="20"/>
          <w:color w:val="auto"/>
        </w:rPr>
      </w:pPr>
    </w:p>
    <w:p>
      <w:pPr>
        <w:ind w:right="2959" w:firstLine="182"/>
        <w:spacing w:after="0" w:line="257" w:lineRule="auto"/>
        <w:rPr>
          <w:sz w:val="20"/>
          <w:szCs w:val="20"/>
          <w:color w:val="auto"/>
        </w:rPr>
      </w:pPr>
      <w:r>
        <w:rPr>
          <w:rFonts w:ascii="Courier New" w:cs="Courier New" w:eastAsia="Courier New" w:hAnsi="Courier New"/>
          <w:sz w:val="15"/>
          <w:szCs w:val="15"/>
          <w:color w:val="auto"/>
        </w:rPr>
        <w:t>In connection with the Acquisition, the Company and TI entered into a transition services agreement requiring TI to provide certain services and support to the Company for specified periods following the Acquisition. Among other items, TI is to provide information technology, finance and accounting, human resources, equipment maintenance, facilities and purchasing services under the services agreement. The successful integration and operation of the acquired facilities is partially dependent upon the continued successful provision of services by TI under the services agreement. There can be no assurance that the services and support called for under the services agreement will be provided in a manner sufficient to meet anticipated requirements. The failure to obtain sufficient services and support could impair the Company's ability to successfully integrate the acquired facilities and could have a material adverse affect on the Company's results of operations.</w:t>
      </w:r>
    </w:p>
    <w:p>
      <w:pPr>
        <w:spacing w:after="0" w:line="81" w:lineRule="exact"/>
        <w:rPr>
          <w:sz w:val="20"/>
          <w:szCs w:val="20"/>
          <w:color w:val="auto"/>
        </w:rPr>
      </w:pPr>
    </w:p>
    <w:p>
      <w:pPr>
        <w:ind w:right="2959" w:firstLine="182"/>
        <w:spacing w:after="0" w:line="256" w:lineRule="auto"/>
        <w:rPr>
          <w:sz w:val="20"/>
          <w:szCs w:val="20"/>
          <w:color w:val="auto"/>
        </w:rPr>
      </w:pPr>
      <w:r>
        <w:rPr>
          <w:rFonts w:ascii="Courier New" w:cs="Courier New" w:eastAsia="Courier New" w:hAnsi="Courier New"/>
          <w:sz w:val="15"/>
          <w:szCs w:val="15"/>
          <w:color w:val="auto"/>
        </w:rPr>
        <w:t>In accordance with the transition services agreement, the Company continues to rely in part on TI computer networks and information technology services with respect to certain of the Acquired Operations. During this period and beyond, the Company will also be utilizing software obtained or licensed from TI to conduct specific portions of the business. Dependency upon TI systems will span calendar years 1999 and 2000, during which period Year 2000 issues may arise. The Company is planning for the implementation of new business systems beginning in September 1999, which is expected to eliminate some of the Company's dependence on TI systems. Failure to successfully implement the first stages of these successor business systems would complicate the Company's dependence upon TI systems. If unforeseen difficulties are encountered in ending the Company's reliance upon TI's software, hardware or services or in segregating the companies' information technology operations or with Year 2000 issues, the Company's results of operations could be materially adversely affected.</w:t>
      </w:r>
    </w:p>
    <w:p>
      <w:pPr>
        <w:spacing w:after="0" w:line="84" w:lineRule="exact"/>
        <w:rPr>
          <w:sz w:val="20"/>
          <w:szCs w:val="20"/>
          <w:color w:val="auto"/>
        </w:rPr>
      </w:pPr>
    </w:p>
    <w:p>
      <w:pPr>
        <w:ind w:right="2959" w:firstLine="182"/>
        <w:spacing w:after="0" w:line="256" w:lineRule="auto"/>
        <w:rPr>
          <w:sz w:val="20"/>
          <w:szCs w:val="20"/>
          <w:color w:val="auto"/>
        </w:rPr>
      </w:pPr>
      <w:r>
        <w:rPr>
          <w:rFonts w:ascii="Courier New" w:cs="Courier New" w:eastAsia="Courier New" w:hAnsi="Courier New"/>
          <w:sz w:val="15"/>
          <w:szCs w:val="15"/>
          <w:color w:val="auto"/>
        </w:rPr>
        <w:t>In connection with the Acquisition, the Company acquired the right and obligation to purchase all of the production meeting its specifications from its JVs. The Company purchases assembled and tested components from the JVs at prices determined quarterly and which are based on the Company's average sales prices. Primarily as a result of the rate of decline in average selling prices, the Company essentially broke even on gross margins for JV products sold in the third quarter of 1999. In any future reporting period, gross margins resulting from the Company's sales of JV product may positively or negatively impact gross margins otherwise realized for semiconductor memory products manufactured in the Company's wholly-owned facilities. In an ongoing industry condition of relative over supply, both TECH and KMT may experience financial conditions requiring additional financing to sustain operations. There can be no assurance that TECH or KMT will be able to secure adequate financing, thereby potentially impacting the Company's supply of product from one or both of these JVs.</w:t>
      </w:r>
    </w:p>
    <w:p>
      <w:pPr>
        <w:spacing w:after="0" w:line="84" w:lineRule="exact"/>
        <w:rPr>
          <w:sz w:val="20"/>
          <w:szCs w:val="20"/>
          <w:color w:val="auto"/>
        </w:rPr>
      </w:pPr>
    </w:p>
    <w:p>
      <w:pPr>
        <w:ind w:right="3039" w:firstLine="182"/>
        <w:spacing w:after="0" w:line="257" w:lineRule="auto"/>
        <w:rPr>
          <w:sz w:val="20"/>
          <w:szCs w:val="20"/>
          <w:color w:val="auto"/>
        </w:rPr>
      </w:pPr>
      <w:r>
        <w:rPr>
          <w:rFonts w:ascii="Courier New" w:cs="Courier New" w:eastAsia="Courier New" w:hAnsi="Courier New"/>
          <w:sz w:val="15"/>
          <w:szCs w:val="15"/>
          <w:color w:val="auto"/>
        </w:rPr>
        <w:t>International sales comprised approximately 27% and 28%, respectively, of the Company's net sales in the third quarter and first nine months of 1999, as compared to 20% in 1998. The Company expects international sales to continue to increase as a result of the Acquisition. International sales and operations are subject to a variety of risks, including those arising from currency fluctuations, export duties, changes to import and export regulations, possible restrictions on the transfer of funds, employee turnover, labor unrest, longer payment cycles, greater difficulty in collecting accounts receivable, the burdens and costs of compliance with a variety of international laws and, in certain parts of the world, political instability. While to date these factors have not had a significant adverse impact on the Company's results of operations, there can be no assurance that there will not be such an impact in the future.</w:t>
      </w:r>
    </w:p>
    <w:p>
      <w:pPr>
        <w:spacing w:after="0" w:line="81" w:lineRule="exact"/>
        <w:rPr>
          <w:sz w:val="20"/>
          <w:szCs w:val="20"/>
          <w:color w:val="auto"/>
        </w:rPr>
      </w:pPr>
    </w:p>
    <w:p>
      <w:pPr>
        <w:ind w:right="2959" w:firstLine="182"/>
        <w:spacing w:after="0" w:line="307" w:lineRule="auto"/>
        <w:rPr>
          <w:sz w:val="20"/>
          <w:szCs w:val="20"/>
          <w:color w:val="auto"/>
        </w:rPr>
      </w:pPr>
      <w:r>
        <w:rPr>
          <w:rFonts w:ascii="Courier New" w:cs="Courier New" w:eastAsia="Courier New" w:hAnsi="Courier New"/>
          <w:sz w:val="15"/>
          <w:szCs w:val="15"/>
          <w:color w:val="auto"/>
        </w:rPr>
        <w:t>The Company's operating results are significantly impacted by the operating results of its consolidated subsidiaries, particularly MEI. MEI's past operating results have been, and its future operating results may be,</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4" w:right="1440" w:bottom="1440" w:gutter="0" w:footer="0" w:header="0"/>
        </w:sectPr>
      </w:pPr>
    </w:p>
    <w:bookmarkStart w:id="22" w:name="page23"/>
    <w:bookmarkEnd w:id="22"/>
    <w:p>
      <w:pPr>
        <w:ind w:right="2959"/>
        <w:spacing w:after="0" w:line="256" w:lineRule="auto"/>
        <w:rPr>
          <w:sz w:val="20"/>
          <w:szCs w:val="20"/>
          <w:color w:val="auto"/>
        </w:rPr>
      </w:pPr>
      <w:r>
        <w:rPr>
          <w:rFonts w:ascii="Courier New" w:cs="Courier New" w:eastAsia="Courier New" w:hAnsi="Courier New"/>
          <w:sz w:val="15"/>
          <w:szCs w:val="15"/>
          <w:color w:val="auto"/>
        </w:rPr>
        <w:t>subject to seasonality and other fluctuations, on a quarterly and an annual basis, as a result of a wide variety of factors, including, but not limited to, industry competition, MEI's ability to accurately forecast demand and selling prices for its PC products, fluctuating market pricing for 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the timing of new product introductions by MEI and its competitors and global market and economic conditions. Changing circumstances, including but not limited to, changes in the Company's core operations, uses of capital, strategic objectives and market conditions, could result in the Company changing its ownership interest in its subsidiaries.</w:t>
      </w:r>
    </w:p>
    <w:p>
      <w:pPr>
        <w:spacing w:after="0" w:line="84" w:lineRule="exact"/>
        <w:rPr>
          <w:sz w:val="20"/>
          <w:szCs w:val="20"/>
          <w:color w:val="auto"/>
        </w:rPr>
      </w:pPr>
    </w:p>
    <w:p>
      <w:pPr>
        <w:ind w:right="2959" w:firstLine="182"/>
        <w:spacing w:after="0" w:line="252" w:lineRule="auto"/>
        <w:rPr>
          <w:sz w:val="20"/>
          <w:szCs w:val="20"/>
          <w:color w:val="auto"/>
        </w:rPr>
      </w:pPr>
      <w:r>
        <w:rPr>
          <w:rFonts w:ascii="Courier New" w:cs="Courier New" w:eastAsia="Courier New" w:hAnsi="Courier New"/>
          <w:sz w:val="15"/>
          <w:szCs w:val="15"/>
          <w:color w:val="auto"/>
        </w:rPr>
        <w:t>The PC industry is highly competitive and has been characterized by intense pricing pressure, generally low gross margin percentages, rapid technological advances in hardware and software, frequent introduction of new products, and rapidly declining component costs. The Company's PC operations compete with a number of PC manufacturers, which sell their products primarily through direct channels, including Dell Computer Corp. and Gateway 2000, Inc. The Company also competes with PC manufacturers, such as Apple Computer, Inc., Compaq Computer Corporation, Hewlett-Packard Company, International Business Machines Corporation, NEC Corporation and Toshiba Corporation among others. Several of these manufacturers, which have traditionally sold their products through national and regional distributors, dealers and value added resellers, retail stores and direct sales forces, now sell their products through the direct channel. In addition, the Company expects to face increased competition in the U.S. direct sales market from foreign PC suppliers and from foreign and domestic suppliers of PC products that decide to implement, or devote additional resources to, a direct sales strategy. In order to gain an increased share of the United States PC direct sales market, these competitors may effect a pricing strategy that is more aggressive than the current pricing in the direct sales market or may have pricing strategies influenced by relative fluctuations in the U.S. dollar compared to other currencies. The Company continues to experience significant pressure on its PC operating results as a result of intense competition in the PC industry, consumer expectations of more powerful PC systems at lower prices and the relatively recent introduction and proliferation of products in the "sub-$1,000" PC markets.</w:t>
      </w:r>
    </w:p>
    <w:p>
      <w:pPr>
        <w:spacing w:after="0" w:line="87" w:lineRule="exact"/>
        <w:rPr>
          <w:sz w:val="20"/>
          <w:szCs w:val="20"/>
          <w:color w:val="auto"/>
        </w:rPr>
      </w:pPr>
    </w:p>
    <w:p>
      <w:pPr>
        <w:ind w:right="2959" w:firstLine="182"/>
        <w:spacing w:after="0" w:line="252" w:lineRule="auto"/>
        <w:rPr>
          <w:sz w:val="20"/>
          <w:szCs w:val="20"/>
          <w:color w:val="auto"/>
        </w:rPr>
      </w:pPr>
      <w:r>
        <w:rPr>
          <w:rFonts w:ascii="Courier New" w:cs="Courier New" w:eastAsia="Courier New" w:hAnsi="Courier New"/>
          <w:sz w:val="15"/>
          <w:szCs w:val="15"/>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to finance operations or other expenditures of MTI's semiconductor memory operations. The Company has an aggregate of $500 million in revolving credit agreements, $100 million of which is available to PC operations and $400 million of which is available to semiconductor memory operations. The $400 million facility expires in May 2000 and the $100 million facility expires in June 2001. There can be no assurance that either or both of the facilities will be renewed. Each of the respective facilities contains certain financial and other restrictive covenants pertaining to the Company's operations.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 enhancement programs. Failure to obtain financing could hinder the Company's ability to make continued investments in such programs, which could materially adversely affect the Company's business, results of operations and financial condition.</w:t>
      </w:r>
    </w:p>
    <w:p>
      <w:pPr>
        <w:spacing w:after="0" w:line="87" w:lineRule="exact"/>
        <w:rPr>
          <w:sz w:val="20"/>
          <w:szCs w:val="20"/>
          <w:color w:val="auto"/>
        </w:rPr>
      </w:pPr>
    </w:p>
    <w:p>
      <w:pPr>
        <w:ind w:right="2959" w:firstLine="182"/>
        <w:spacing w:after="0" w:line="257" w:lineRule="auto"/>
        <w:rPr>
          <w:sz w:val="20"/>
          <w:szCs w:val="20"/>
          <w:color w:val="auto"/>
        </w:rPr>
      </w:pPr>
      <w:r>
        <w:rPr>
          <w:rFonts w:ascii="Courier New" w:cs="Courier New" w:eastAsia="Courier New" w:hAnsi="Courier New"/>
          <w:sz w:val="15"/>
          <w:szCs w:val="15"/>
          <w:color w:val="auto"/>
        </w:rPr>
        <w:t>As of June 3, 1999, TI and Intel held an aggregate of 44,743,369 shares of common stock, representing 17% of the Company's total outstanding common stock. These shares have not been registered with the Securities and Exchange Commission ("SEC"), however TI and Intel each have registration rights. Until such time as TI and Intel substantially reduce their holdings of Company common stock, the Company may be hindered in obtaining new equity capital. As of June 3, 1999, the Company had convertible subordinated notes with a face value of $500 million outstanding which are registered with the SEC and are convertible into 7,413,997 shares of common stock. TI holds notes with a face value of $740 million which are convertible into 12,333,333 shares of common stock. TI's resale of these notes could limit the Company's ability to raise capital through the issuance of additional convertible debt instruments.</w:t>
      </w:r>
    </w:p>
    <w:p>
      <w:pPr>
        <w:spacing w:after="0" w:line="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14" w:right="1440" w:bottom="1440" w:gutter="0" w:footer="0" w:header="0"/>
        </w:sectPr>
      </w:pPr>
    </w:p>
    <w:bookmarkStart w:id="23" w:name="page24"/>
    <w:bookmarkEnd w:id="23"/>
    <w:p>
      <w:pPr>
        <w:ind w:right="2959" w:firstLine="182"/>
        <w:spacing w:after="0" w:line="254" w:lineRule="auto"/>
        <w:rPr>
          <w:sz w:val="20"/>
          <w:szCs w:val="20"/>
          <w:color w:val="auto"/>
        </w:rPr>
      </w:pPr>
      <w:r>
        <w:rPr>
          <w:rFonts w:ascii="Courier New" w:cs="Courier New" w:eastAsia="Courier New" w:hAnsi="Courier New"/>
          <w:sz w:val="15"/>
          <w:szCs w:val="15"/>
          <w:color w:val="auto"/>
        </w:rPr>
        <w:t>Completion of the Company's semiconductor manufacturing facility in Lehi, Utah was suspended in February 1996, as a result of the decline in average selling prices for semiconductor memory products. As of June 3, 1999, the Company had invested approximately $710 million in the Lehi facility. Timing of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94" w:lineRule="exact"/>
        <w:rPr>
          <w:sz w:val="20"/>
          <w:szCs w:val="20"/>
          <w:color w:val="auto"/>
        </w:rPr>
      </w:pPr>
    </w:p>
    <w:p>
      <w:pPr>
        <w:ind w:right="2959" w:firstLine="182"/>
        <w:spacing w:after="0" w:line="254" w:lineRule="auto"/>
        <w:rPr>
          <w:sz w:val="20"/>
          <w:szCs w:val="20"/>
          <w:color w:val="auto"/>
        </w:rPr>
      </w:pPr>
      <w:r>
        <w:rPr>
          <w:rFonts w:ascii="Courier New" w:cs="Courier New" w:eastAsia="Courier New" w:hAnsi="Courier New"/>
          <w:sz w:val="15"/>
          <w:szCs w:val="15"/>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84" w:lineRule="exact"/>
        <w:rPr>
          <w:sz w:val="20"/>
          <w:szCs w:val="20"/>
          <w:color w:val="auto"/>
        </w:rPr>
      </w:pPr>
    </w:p>
    <w:p>
      <w:pPr>
        <w:ind w:right="2959" w:firstLine="182"/>
        <w:spacing w:after="0" w:line="255" w:lineRule="auto"/>
        <w:rPr>
          <w:sz w:val="20"/>
          <w:szCs w:val="20"/>
          <w:color w:val="auto"/>
        </w:rPr>
      </w:pPr>
      <w:r>
        <w:rPr>
          <w:rFonts w:ascii="Courier New" w:cs="Courier New" w:eastAsia="Courier New" w:hAnsi="Courier New"/>
          <w:sz w:val="15"/>
          <w:szCs w:val="15"/>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The Company has experienced, and expects to continue to experience, increased recruitment of its existing personnel by other employers. The Company's ability to retain key acquired personnel will be a critical factor in the Company's ability to successfully integrate the Acquired Operations.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15" w:right="1440" w:bottom="1440" w:gutter="0" w:footer="0" w:header="0"/>
        </w:sectPr>
      </w:pPr>
    </w:p>
    <w:bookmarkStart w:id="24" w:name="page25"/>
    <w:bookmarkEnd w:id="24"/>
    <w:p>
      <w:pPr>
        <w:spacing w:after="0"/>
        <w:tabs>
          <w:tab w:leader="none" w:pos="800" w:val="left"/>
        </w:tabs>
        <w:rPr>
          <w:sz w:val="20"/>
          <w:szCs w:val="20"/>
          <w:color w:val="auto"/>
        </w:rPr>
      </w:pPr>
      <w:r>
        <w:rPr>
          <w:rFonts w:ascii="Courier New" w:cs="Courier New" w:eastAsia="Courier New" w:hAnsi="Courier New"/>
          <w:sz w:val="15"/>
          <w:szCs w:val="15"/>
          <w:color w:val="auto"/>
        </w:rPr>
        <w:t>Item 3.</w:t>
        <w:tab/>
        <w:t>Quantitative and Qualitative Disclosures about Market Risk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right="2959" w:firstLine="182"/>
        <w:spacing w:after="0" w:line="255" w:lineRule="auto"/>
        <w:rPr>
          <w:sz w:val="20"/>
          <w:szCs w:val="20"/>
          <w:color w:val="auto"/>
        </w:rPr>
      </w:pPr>
      <w:r>
        <w:rPr>
          <w:rFonts w:ascii="Courier New" w:cs="Courier New" w:eastAsia="Courier New" w:hAnsi="Courier New"/>
          <w:sz w:val="15"/>
          <w:szCs w:val="15"/>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The Company's results of operations and financial position for the first nine months of 1999 reflect a higher volume of foreign currency transactions and account balances than in previous periods related to the foreign operations obtained through the Acquisition. As of June 3, 1999, the Company held aggregate cash and receivables in foreign currency valued at approximately US $41 million and aggregate foreign currency payables valued at approximately US $87 million (including long-term liabilities denominated in Italian Lira valued at approximately US $17 million). Foreign currency receivables and payables are comprised primarily of Italian Lira, Singapore Dollars, Japanese Yen and British Pounds.</w:t>
      </w:r>
    </w:p>
    <w:p>
      <w:pPr>
        <w:spacing w:after="0" w:line="8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14" w:right="1440" w:bottom="1440" w:gutter="0" w:footer="0" w:header="0"/>
        </w:sectPr>
      </w:pPr>
    </w:p>
    <w:bookmarkStart w:id="25" w:name="page26"/>
    <w:bookmarkEnd w:id="25"/>
    <w:p>
      <w:pPr>
        <w:ind w:left="2360"/>
        <w:spacing w:after="0"/>
        <w:tabs>
          <w:tab w:leader="none" w:pos="324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Shareholders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right="3139" w:firstLine="182"/>
        <w:spacing w:after="0" w:line="307" w:lineRule="auto"/>
        <w:rPr>
          <w:sz w:val="20"/>
          <w:szCs w:val="20"/>
          <w:color w:val="auto"/>
        </w:rPr>
      </w:pPr>
      <w:r>
        <w:rPr>
          <w:rFonts w:ascii="Courier New" w:cs="Courier New" w:eastAsia="Courier New" w:hAnsi="Courier New"/>
          <w:sz w:val="15"/>
          <w:szCs w:val="15"/>
          <w:color w:val="auto"/>
        </w:rPr>
        <w:t>The registrant's 1998 Annual Meeting of Shareholders was held on January 14, 1999. At the meeting, the following items were submitted to a vote of the shareholders:</w:t>
      </w:r>
    </w:p>
    <w:p>
      <w:pPr>
        <w:spacing w:after="0" w:line="47" w:lineRule="exact"/>
        <w:rPr>
          <w:sz w:val="20"/>
          <w:szCs w:val="20"/>
          <w:color w:val="auto"/>
        </w:rPr>
      </w:pPr>
    </w:p>
    <w:p>
      <w:pPr>
        <w:ind w:right="3039" w:firstLine="175"/>
        <w:spacing w:after="0" w:line="307" w:lineRule="auto"/>
        <w:tabs>
          <w:tab w:leader="none" w:pos="63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nominees for Directors were elected. Each person elected as a Director will serve until the next annual meeting of shareholders or until such person's successor is elected and qualified.</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2080" w:type="dxa"/>
            <w:vAlign w:val="bottom"/>
            <w:vMerge w:val="restart"/>
          </w:tcPr>
          <w:p>
            <w:pPr>
              <w:spacing w:after="0"/>
              <w:rPr>
                <w:sz w:val="20"/>
                <w:szCs w:val="20"/>
                <w:color w:val="auto"/>
              </w:rPr>
            </w:pPr>
            <w:r>
              <w:rPr>
                <w:rFonts w:ascii="Courier New" w:cs="Courier New" w:eastAsia="Courier New" w:hAnsi="Courier New"/>
                <w:sz w:val="15"/>
                <w:szCs w:val="15"/>
                <w:color w:val="auto"/>
              </w:rPr>
              <w:t>Name of Nominee</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Votes</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Votes Cast</w:t>
            </w: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Cast For</w:t>
            </w:r>
          </w:p>
        </w:tc>
        <w:tc>
          <w:tcPr>
            <w:tcW w:w="1720" w:type="dxa"/>
            <w:vAlign w:val="bottom"/>
          </w:tcPr>
          <w:p>
            <w:pPr>
              <w:ind w:left="280"/>
              <w:spacing w:after="0"/>
              <w:rPr>
                <w:sz w:val="20"/>
                <w:szCs w:val="20"/>
                <w:color w:val="auto"/>
              </w:rPr>
            </w:pPr>
            <w:r>
              <w:rPr>
                <w:rFonts w:ascii="Courier New" w:cs="Courier New" w:eastAsia="Courier New" w:hAnsi="Courier New"/>
                <w:sz w:val="15"/>
                <w:szCs w:val="15"/>
                <w:color w:val="auto"/>
                <w:w w:val="98"/>
              </w:rPr>
              <w:t>Against/Withheld</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5"/>
                <w:szCs w:val="15"/>
                <w:color w:val="auto"/>
              </w:rPr>
              <w:t>Steven R. Appleton</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225,154,554</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2,618,813</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James W. Bagley</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225,343,551</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2,429,816</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Robert A. Lothrop</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225,138,478</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2,634,889</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Thomas T. Nicholson</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225,312,482</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2,460,885</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Don J. Simplot</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225,100,462</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2,672,905</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John R. Simplot</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225,274,734</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2,498,633</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Gordon C. Smith</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225,317,612</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2,455,755</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Courier New" w:cs="Courier New" w:eastAsia="Courier New" w:hAnsi="Courier New"/>
                <w:sz w:val="15"/>
                <w:szCs w:val="15"/>
                <w:color w:val="auto"/>
              </w:rPr>
              <w:t>William P. Weber</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225,346,282</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2,427,085</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firstLine="175"/>
        <w:spacing w:after="0" w:line="307" w:lineRule="auto"/>
        <w:tabs>
          <w:tab w:leader="none" w:pos="54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to the Company's Certificate of Incorporation was approved with 177,536,151 votes in favor, 16,854,355 votes against, 1,030,526 abstentions and 32,352,335 broker non-votes.</w:t>
      </w:r>
    </w:p>
    <w:p>
      <w:pPr>
        <w:spacing w:after="0" w:line="47" w:lineRule="exact"/>
        <w:rPr>
          <w:rFonts w:ascii="Courier New" w:cs="Courier New" w:eastAsia="Courier New" w:hAnsi="Courier New"/>
          <w:sz w:val="15"/>
          <w:szCs w:val="15"/>
          <w:color w:val="auto"/>
        </w:rPr>
      </w:pPr>
    </w:p>
    <w:p>
      <w:pPr>
        <w:ind w:right="2959" w:firstLine="175"/>
        <w:spacing w:after="0" w:line="307" w:lineRule="auto"/>
        <w:tabs>
          <w:tab w:leader="none" w:pos="54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to the 1989 Employee Stock Purchase Plan was approved with 222,791,913 votes in favor, 3,771,250 votes against, 1,210,204 abstentions and 0 broker non-votes.</w:t>
      </w:r>
    </w:p>
    <w:p>
      <w:pPr>
        <w:spacing w:after="0" w:line="47" w:lineRule="exact"/>
        <w:rPr>
          <w:rFonts w:ascii="Courier New" w:cs="Courier New" w:eastAsia="Courier New" w:hAnsi="Courier New"/>
          <w:sz w:val="15"/>
          <w:szCs w:val="15"/>
          <w:color w:val="auto"/>
        </w:rPr>
      </w:pPr>
    </w:p>
    <w:p>
      <w:pPr>
        <w:ind w:right="3039" w:firstLine="175"/>
        <w:spacing w:after="0" w:line="307" w:lineRule="auto"/>
        <w:tabs>
          <w:tab w:leader="none" w:pos="54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1998 Non-Employee Director Stock Incentive Plan was approved with 206,171,261 votes in favor, 20,189,950 votes against, 1,412,155 abstentions and 0 broker non-votes.</w:t>
      </w:r>
    </w:p>
    <w:p>
      <w:pPr>
        <w:spacing w:after="0" w:line="47" w:lineRule="exact"/>
        <w:rPr>
          <w:rFonts w:ascii="Courier New" w:cs="Courier New" w:eastAsia="Courier New" w:hAnsi="Courier New"/>
          <w:sz w:val="15"/>
          <w:szCs w:val="15"/>
          <w:color w:val="auto"/>
        </w:rPr>
      </w:pPr>
    </w:p>
    <w:p>
      <w:pPr>
        <w:jc w:val="both"/>
        <w:ind w:right="3219" w:firstLine="175"/>
        <w:spacing w:after="0" w:line="287" w:lineRule="auto"/>
        <w:tabs>
          <w:tab w:leader="none" w:pos="63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ratification and appointment of PricewaterhouseCoopers LLP as independent public accountants of the Company for the fiscal year ending September 2, 1999 was approved with 226,747,712 votes in favor, 360,382 votes against, 665,273 abstentions and 0 broker non-votes.</w:t>
      </w:r>
    </w:p>
    <w:p>
      <w:pPr>
        <w:spacing w:after="0" w:line="6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Other Matters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jc w:val="both"/>
        <w:ind w:right="3599" w:firstLine="182"/>
        <w:spacing w:after="0" w:line="368" w:lineRule="auto"/>
        <w:rPr>
          <w:sz w:val="20"/>
          <w:szCs w:val="20"/>
          <w:color w:val="auto"/>
        </w:rPr>
      </w:pPr>
      <w:r>
        <w:rPr>
          <w:rFonts w:ascii="Courier New" w:cs="Courier New" w:eastAsia="Courier New" w:hAnsi="Courier New"/>
          <w:sz w:val="15"/>
          <w:szCs w:val="15"/>
          <w:color w:val="auto"/>
        </w:rPr>
        <w:t>On July 7, 1999, the Company filed a report on Form 8-K relating to the resignation of Mr. John R. Simplot from the Company's Board of Directors.</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15" w:right="1440" w:bottom="1440" w:gutter="0" w:footer="0" w:header="0"/>
        </w:sectPr>
      </w:pPr>
    </w:p>
    <w:bookmarkStart w:id="26" w:name="page27"/>
    <w:bookmarkEnd w:id="26"/>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447" w:hanging="447"/>
        <w:spacing w:after="0"/>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filed as a part of this report:</w:t>
      </w:r>
    </w:p>
    <w:p>
      <w:pPr>
        <w:spacing w:after="0" w:line="180" w:lineRule="exact"/>
        <w:rPr>
          <w:sz w:val="20"/>
          <w:szCs w:val="20"/>
          <w:color w:val="auto"/>
        </w:rPr>
      </w:pPr>
    </w:p>
    <w:tbl>
      <w:tblPr>
        <w:tblLayout w:type="fixed"/>
        <w:tblInd w:w="447" w:type="dxa"/>
        <w:tblCellMar>
          <w:top w:w="0" w:type="dxa"/>
          <w:left w:w="0" w:type="dxa"/>
          <w:bottom w:w="0" w:type="dxa"/>
          <w:right w:w="0" w:type="dxa"/>
        </w:tblCellMar>
      </w:tblP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4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Description of Exhibit</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7"/>
        <w:spacing w:after="0"/>
        <w:tabs>
          <w:tab w:leader="none" w:pos="1426"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By-laws of the Registrant, as amended</w:t>
      </w:r>
    </w:p>
    <w:p>
      <w:pPr>
        <w:spacing w:after="0" w:line="33" w:lineRule="exact"/>
        <w:rPr>
          <w:sz w:val="20"/>
          <w:szCs w:val="20"/>
          <w:color w:val="auto"/>
        </w:rPr>
      </w:pPr>
    </w:p>
    <w:p>
      <w:pPr>
        <w:ind w:left="447"/>
        <w:spacing w:after="0"/>
        <w:tabs>
          <w:tab w:leader="none" w:pos="1426" w:val="left"/>
        </w:tabs>
        <w:rPr>
          <w:sz w:val="20"/>
          <w:szCs w:val="20"/>
          <w:color w:val="auto"/>
        </w:rPr>
      </w:pPr>
      <w:r>
        <w:rPr>
          <w:rFonts w:ascii="Courier New" w:cs="Courier New" w:eastAsia="Courier New" w:hAnsi="Courier New"/>
          <w:sz w:val="15"/>
          <w:szCs w:val="15"/>
          <w:color w:val="auto"/>
        </w:rPr>
        <w:t>10.110</w:t>
      </w:r>
      <w:r>
        <w:rPr>
          <w:sz w:val="20"/>
          <w:szCs w:val="20"/>
          <w:color w:val="auto"/>
        </w:rPr>
        <w:tab/>
      </w:r>
      <w:r>
        <w:rPr>
          <w:rFonts w:ascii="Courier New" w:cs="Courier New" w:eastAsia="Courier New" w:hAnsi="Courier New"/>
          <w:sz w:val="15"/>
          <w:szCs w:val="15"/>
          <w:color w:val="auto"/>
        </w:rPr>
        <w:t>1994 Stock Option Plan</w:t>
      </w:r>
    </w:p>
    <w:p>
      <w:pPr>
        <w:spacing w:after="0" w:line="5" w:lineRule="exact"/>
        <w:rPr>
          <w:sz w:val="20"/>
          <w:szCs w:val="20"/>
          <w:color w:val="auto"/>
        </w:rPr>
      </w:pPr>
    </w:p>
    <w:p>
      <w:pPr>
        <w:ind w:left="447"/>
        <w:spacing w:after="0"/>
        <w:tabs>
          <w:tab w:leader="none" w:pos="1426" w:val="left"/>
        </w:tabs>
        <w:rPr>
          <w:sz w:val="20"/>
          <w:szCs w:val="20"/>
          <w:color w:val="auto"/>
        </w:rPr>
      </w:pPr>
      <w:r>
        <w:rPr>
          <w:rFonts w:ascii="Courier New" w:cs="Courier New" w:eastAsia="Courier New" w:hAnsi="Courier New"/>
          <w:sz w:val="15"/>
          <w:szCs w:val="15"/>
          <w:color w:val="auto"/>
        </w:rPr>
        <w:t>10.128</w:t>
      </w:r>
      <w:r>
        <w:rPr>
          <w:sz w:val="20"/>
          <w:szCs w:val="20"/>
          <w:color w:val="auto"/>
        </w:rPr>
        <w:tab/>
      </w:r>
      <w:r>
        <w:rPr>
          <w:rFonts w:ascii="Courier New" w:cs="Courier New" w:eastAsia="Courier New" w:hAnsi="Courier New"/>
          <w:sz w:val="15"/>
          <w:szCs w:val="15"/>
          <w:color w:val="auto"/>
        </w:rPr>
        <w:t>Nonstatutory Stock Option Plan</w:t>
      </w:r>
    </w:p>
    <w:p>
      <w:pPr>
        <w:spacing w:after="0" w:line="5" w:lineRule="exact"/>
        <w:rPr>
          <w:sz w:val="20"/>
          <w:szCs w:val="20"/>
          <w:color w:val="auto"/>
        </w:rPr>
      </w:pPr>
    </w:p>
    <w:p>
      <w:pPr>
        <w:ind w:left="447"/>
        <w:spacing w:after="0"/>
        <w:tabs>
          <w:tab w:leader="none" w:pos="1426" w:val="left"/>
        </w:tabs>
        <w:rPr>
          <w:sz w:val="20"/>
          <w:szCs w:val="20"/>
          <w:color w:val="auto"/>
        </w:rPr>
      </w:pPr>
      <w:r>
        <w:rPr>
          <w:rFonts w:ascii="Courier New" w:cs="Courier New" w:eastAsia="Courier New" w:hAnsi="Courier New"/>
          <w:sz w:val="15"/>
          <w:szCs w:val="15"/>
          <w:color w:val="auto"/>
        </w:rPr>
        <w:t>10.132</w:t>
      </w:r>
      <w:r>
        <w:rPr>
          <w:sz w:val="20"/>
          <w:szCs w:val="20"/>
          <w:color w:val="auto"/>
        </w:rPr>
        <w:tab/>
      </w:r>
      <w:r>
        <w:rPr>
          <w:rFonts w:ascii="Courier New" w:cs="Courier New" w:eastAsia="Courier New" w:hAnsi="Courier New"/>
          <w:sz w:val="15"/>
          <w:szCs w:val="15"/>
          <w:color w:val="auto"/>
        </w:rPr>
        <w:t>1998 Nonstatutory Stock Option Plan</w:t>
      </w:r>
    </w:p>
    <w:p>
      <w:pPr>
        <w:spacing w:after="0" w:line="5" w:lineRule="exact"/>
        <w:rPr>
          <w:sz w:val="20"/>
          <w:szCs w:val="20"/>
          <w:color w:val="auto"/>
        </w:rPr>
      </w:pPr>
    </w:p>
    <w:p>
      <w:pPr>
        <w:ind w:left="447"/>
        <w:spacing w:after="0"/>
        <w:tabs>
          <w:tab w:leader="none" w:pos="1426" w:val="left"/>
        </w:tabs>
        <w:rPr>
          <w:sz w:val="20"/>
          <w:szCs w:val="20"/>
          <w:color w:val="auto"/>
        </w:rPr>
      </w:pPr>
      <w:r>
        <w:rPr>
          <w:rFonts w:ascii="Courier New" w:cs="Courier New" w:eastAsia="Courier New" w:hAnsi="Courier New"/>
          <w:sz w:val="15"/>
          <w:szCs w:val="15"/>
          <w:color w:val="auto"/>
        </w:rPr>
        <w:t>10.139</w:t>
      </w:r>
      <w:r>
        <w:rPr>
          <w:sz w:val="20"/>
          <w:szCs w:val="20"/>
          <w:color w:val="auto"/>
        </w:rPr>
        <w:tab/>
      </w:r>
      <w:r>
        <w:rPr>
          <w:rFonts w:ascii="Courier New" w:cs="Courier New" w:eastAsia="Courier New" w:hAnsi="Courier New"/>
          <w:sz w:val="15"/>
          <w:szCs w:val="15"/>
          <w:color w:val="auto"/>
        </w:rPr>
        <w:t>1989 Employee Stock Purchase Plan</w:t>
      </w:r>
    </w:p>
    <w:p>
      <w:pPr>
        <w:spacing w:after="0" w:line="5" w:lineRule="exact"/>
        <w:rPr>
          <w:sz w:val="20"/>
          <w:szCs w:val="20"/>
          <w:color w:val="auto"/>
        </w:rPr>
      </w:pPr>
    </w:p>
    <w:p>
      <w:pPr>
        <w:ind w:left="447"/>
        <w:spacing w:after="0"/>
        <w:tabs>
          <w:tab w:leader="none" w:pos="1426" w:val="left"/>
        </w:tabs>
        <w:rPr>
          <w:sz w:val="20"/>
          <w:szCs w:val="20"/>
          <w:color w:val="auto"/>
        </w:rPr>
      </w:pPr>
      <w:r>
        <w:rPr>
          <w:rFonts w:ascii="Courier New" w:cs="Courier New" w:eastAsia="Courier New" w:hAnsi="Courier New"/>
          <w:sz w:val="15"/>
          <w:szCs w:val="15"/>
          <w:color w:val="auto"/>
        </w:rPr>
        <w:t>10.140</w:t>
      </w:r>
      <w:r>
        <w:rPr>
          <w:sz w:val="20"/>
          <w:szCs w:val="20"/>
          <w:color w:val="auto"/>
        </w:rPr>
        <w:tab/>
      </w:r>
      <w:r>
        <w:rPr>
          <w:rFonts w:ascii="Courier New" w:cs="Courier New" w:eastAsia="Courier New" w:hAnsi="Courier New"/>
          <w:sz w:val="15"/>
          <w:szCs w:val="15"/>
          <w:color w:val="auto"/>
        </w:rPr>
        <w:t>1998 Non-Employee Director Stock Incentive Plan</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27Financial Data Schedule</w:t>
      </w:r>
    </w:p>
    <w:p>
      <w:pPr>
        <w:spacing w:after="0" w:line="151" w:lineRule="exact"/>
        <w:rPr>
          <w:sz w:val="20"/>
          <w:szCs w:val="20"/>
          <w:color w:val="auto"/>
        </w:rPr>
      </w:pPr>
    </w:p>
    <w:p>
      <w:pPr>
        <w:ind w:left="447" w:right="3499" w:hanging="447"/>
        <w:spacing w:after="0" w:line="368" w:lineRule="auto"/>
        <w:tabs>
          <w:tab w:leader="none" w:pos="4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did not file any reports on Form 8-K during the fiscal quarter ended June 3, 1999.</w:t>
      </w:r>
    </w:p>
    <w:p>
      <w:pPr>
        <w:spacing w:after="0" w:line="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615" w:right="1440"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499" w:firstLine="182"/>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9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Micron Technology, Inc.</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14"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16,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/s/ Wilbur G. Stover, Jr. ------------------------------------------------- Wilbur G. Stover, Jr., Vice President of Finance and Chief Financial Officer (Principal Financial and Accounting Officer)</w:t>
      </w:r>
    </w:p>
    <w:p>
      <w:pPr>
        <w:spacing w:after="0" w:line="68" w:lineRule="exact"/>
        <w:rPr>
          <w:sz w:val="20"/>
          <w:szCs w:val="20"/>
          <w:color w:val="auto"/>
        </w:rPr>
      </w:pPr>
    </w:p>
    <w:p>
      <w:pPr>
        <w:sectPr>
          <w:pgSz w:w="11900" w:h="16838" w:orient="portrait"/>
          <w:cols w:equalWidth="0" w:num="3">
            <w:col w:w="540" w:space="360"/>
            <w:col w:w="1180" w:space="640"/>
            <w:col w:w="7499"/>
          </w:cols>
          <w:pgMar w:left="240" w:top="614" w:right="1440" w:bottom="1440" w:gutter="0" w:footer="0" w:header="0"/>
          <w:type w:val="continuous"/>
        </w:sect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14" w:right="1440" w:bottom="1440" w:gutter="0" w:footer="0" w:header="0"/>
          <w:type w:val="continuous"/>
        </w:sectPr>
      </w:pPr>
    </w:p>
    <w:bookmarkStart w:id="28" w:name="page29"/>
    <w:bookmarkEnd w:id="28"/>
    <w:p>
      <w:pPr>
        <w:jc w:val="right"/>
        <w:ind w:right="2959"/>
        <w:spacing w:after="0"/>
        <w:rPr>
          <w:sz w:val="20"/>
          <w:szCs w:val="20"/>
          <w:color w:val="auto"/>
        </w:rPr>
      </w:pPr>
      <w:r>
        <w:rPr>
          <w:rFonts w:ascii="Courier New" w:cs="Courier New" w:eastAsia="Courier New" w:hAnsi="Courier New"/>
          <w:sz w:val="15"/>
          <w:szCs w:val="15"/>
          <w:color w:val="auto"/>
        </w:rPr>
        <w:t>EXHIBIT 3.7</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BYLAWS</w:t>
      </w:r>
    </w:p>
    <w:p>
      <w:pPr>
        <w:spacing w:after="0" w:line="3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OFFICES</w:t>
      </w:r>
    </w:p>
    <w:p>
      <w:pPr>
        <w:spacing w:after="0" w:line="180"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SECTION 1. The registered office shall be 100 West Tenth Street, in the City of Wilmington, County of New Castle, State of Delaware.</w:t>
      </w:r>
    </w:p>
    <w:p>
      <w:pPr>
        <w:spacing w:after="0" w:line="3" w:lineRule="exact"/>
        <w:rPr>
          <w:sz w:val="20"/>
          <w:szCs w:val="20"/>
          <w:color w:val="auto"/>
        </w:rPr>
      </w:pPr>
    </w:p>
    <w:p>
      <w:pPr>
        <w:jc w:val="both"/>
        <w:ind w:right="2959" w:firstLine="454"/>
        <w:spacing w:after="0" w:line="307" w:lineRule="auto"/>
        <w:rPr>
          <w:sz w:val="20"/>
          <w:szCs w:val="20"/>
          <w:color w:val="auto"/>
        </w:rPr>
      </w:pPr>
      <w:r>
        <w:rPr>
          <w:rFonts w:ascii="Courier New" w:cs="Courier New" w:eastAsia="Courier New" w:hAnsi="Courier New"/>
          <w:sz w:val="15"/>
          <w:szCs w:val="15"/>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STOCKHOLDERS</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61"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68" w:lineRule="exact"/>
        <w:rPr>
          <w:sz w:val="20"/>
          <w:szCs w:val="20"/>
          <w:color w:val="auto"/>
        </w:rPr>
      </w:pPr>
    </w:p>
    <w:p>
      <w:pPr>
        <w:jc w:val="both"/>
        <w:ind w:right="3139" w:firstLine="454"/>
        <w:spacing w:after="0" w:line="287" w:lineRule="auto"/>
        <w:rPr>
          <w:sz w:val="20"/>
          <w:szCs w:val="20"/>
          <w:color w:val="auto"/>
        </w:rPr>
      </w:pPr>
      <w:r>
        <w:rPr>
          <w:rFonts w:ascii="Courier New" w:cs="Courier New" w:eastAsia="Courier New" w:hAnsi="Courier New"/>
          <w:sz w:val="15"/>
          <w:szCs w:val="15"/>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61"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81"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72"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ectPr>
          <w:pgSz w:w="11900" w:h="16838" w:orient="portrait"/>
          <w:cols w:equalWidth="0" w:num="1">
            <w:col w:w="10219"/>
          </w:cols>
          <w:pgMar w:left="240" w:top="463" w:right="1440" w:bottom="1440" w:gutter="0" w:footer="0" w:header="0"/>
        </w:sectPr>
      </w:pPr>
    </w:p>
    <w:bookmarkStart w:id="29" w:name="page30"/>
    <w:bookmarkEnd w:id="29"/>
    <w:p>
      <w:pPr>
        <w:ind w:right="3319" w:firstLine="454"/>
        <w:spacing w:after="0" w:line="368" w:lineRule="auto"/>
        <w:rPr>
          <w:sz w:val="20"/>
          <w:szCs w:val="20"/>
          <w:color w:val="auto"/>
        </w:rPr>
      </w:pPr>
      <w:r>
        <w:rPr>
          <w:rFonts w:ascii="Courier New" w:cs="Courier New" w:eastAsia="Courier New" w:hAnsi="Courier New"/>
          <w:sz w:val="15"/>
          <w:szCs w:val="15"/>
          <w:color w:val="auto"/>
        </w:rPr>
        <w:t>SECTION 7. Business transacted at any special meeting of stockholders shall be limited to the purposes stated in the notice.</w:t>
      </w:r>
    </w:p>
    <w:p>
      <w:pPr>
        <w:spacing w:after="0" w:line="3" w:lineRule="exact"/>
        <w:rPr>
          <w:sz w:val="20"/>
          <w:szCs w:val="20"/>
          <w:color w:val="auto"/>
        </w:rPr>
      </w:pPr>
    </w:p>
    <w:p>
      <w:pPr>
        <w:ind w:right="3039" w:firstLine="454"/>
        <w:spacing w:after="0" w:line="255" w:lineRule="auto"/>
        <w:rPr>
          <w:sz w:val="20"/>
          <w:szCs w:val="20"/>
          <w:color w:val="auto"/>
        </w:rPr>
      </w:pPr>
      <w:r>
        <w:rPr>
          <w:rFonts w:ascii="Courier New" w:cs="Courier New" w:eastAsia="Courier New" w:hAnsi="Courier New"/>
          <w:sz w:val="15"/>
          <w:szCs w:val="15"/>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88"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72"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82"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75"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ectPr>
          <w:pgSz w:w="11900" w:h="16838" w:orient="portrait"/>
          <w:cols w:equalWidth="0" w:num="1">
            <w:col w:w="10219"/>
          </w:cols>
          <w:pgMar w:left="240" w:top="614" w:right="1440" w:bottom="1440" w:gutter="0" w:footer="0" w:header="0"/>
        </w:sectPr>
      </w:pPr>
    </w:p>
    <w:bookmarkStart w:id="30" w:name="page31"/>
    <w:bookmarkEnd w:id="30"/>
    <w:p>
      <w:pPr>
        <w:jc w:val="both"/>
        <w:ind w:right="2959" w:firstLine="454"/>
        <w:spacing w:after="0" w:line="287" w:lineRule="auto"/>
        <w:rPr>
          <w:sz w:val="20"/>
          <w:szCs w:val="20"/>
          <w:color w:val="auto"/>
        </w:rPr>
      </w:pPr>
      <w:r>
        <w:rPr>
          <w:rFonts w:ascii="Courier New" w:cs="Courier New" w:eastAsia="Courier New" w:hAnsi="Courier New"/>
          <w:sz w:val="15"/>
          <w:szCs w:val="15"/>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61" w:lineRule="exact"/>
        <w:rPr>
          <w:sz w:val="20"/>
          <w:szCs w:val="20"/>
          <w:color w:val="auto"/>
        </w:rPr>
      </w:pPr>
    </w:p>
    <w:p>
      <w:pPr>
        <w:jc w:val="both"/>
        <w:ind w:right="2959" w:firstLine="454"/>
        <w:spacing w:after="0" w:line="368" w:lineRule="auto"/>
        <w:rPr>
          <w:sz w:val="20"/>
          <w:szCs w:val="20"/>
          <w:color w:val="auto"/>
        </w:rPr>
      </w:pPr>
      <w:r>
        <w:rPr>
          <w:rFonts w:ascii="Courier New" w:cs="Courier New" w:eastAsia="Courier New" w:hAnsi="Courier New"/>
          <w:sz w:val="15"/>
          <w:szCs w:val="15"/>
          <w:color w:val="auto"/>
        </w:rPr>
        <w:t>No reduction of the authorized number of directors shall have the effect of removing any director prior to the expiration of such director's term of office.</w:t>
      </w:r>
    </w:p>
    <w:p>
      <w:pPr>
        <w:spacing w:after="0" w:line="3"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72" w:lineRule="exact"/>
        <w:rPr>
          <w:sz w:val="20"/>
          <w:szCs w:val="20"/>
          <w:color w:val="auto"/>
        </w:rPr>
      </w:pPr>
    </w:p>
    <w:p>
      <w:pPr>
        <w:ind w:right="3419" w:firstLine="454"/>
        <w:spacing w:after="0" w:line="271" w:lineRule="auto"/>
        <w:rPr>
          <w:sz w:val="20"/>
          <w:szCs w:val="20"/>
          <w:color w:val="auto"/>
        </w:rPr>
      </w:pPr>
      <w:r>
        <w:rPr>
          <w:rFonts w:ascii="Courier New" w:cs="Courier New" w:eastAsia="Courier New" w:hAnsi="Courier New"/>
          <w:sz w:val="15"/>
          <w:szCs w:val="15"/>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72"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61"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w:t>
      </w:r>
    </w:p>
    <w:p>
      <w:pPr>
        <w:spacing w:after="0" w:line="180"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SECTION 7. The Board of Directors of the corporation may hold meetings, both regular and special, either within or without the State of Delaware.</w:t>
      </w:r>
    </w:p>
    <w:p>
      <w:pPr>
        <w:spacing w:after="0" w:line="3"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80"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SECTION 9. Regular meetings of the Board of Directors may be held without notice at such time and at such place as shall from time to time be determined by the Board.</w:t>
      </w:r>
    </w:p>
    <w:p>
      <w:pPr>
        <w:spacing w:after="0" w:line="47"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68"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ectPr>
          <w:pgSz w:w="11900" w:h="16838" w:orient="portrait"/>
          <w:cols w:equalWidth="0" w:num="1">
            <w:col w:w="10219"/>
          </w:cols>
          <w:pgMar w:left="240" w:top="615" w:right="1440" w:bottom="1440" w:gutter="0" w:footer="0" w:header="0"/>
        </w:sectPr>
      </w:pPr>
    </w:p>
    <w:bookmarkStart w:id="31" w:name="page32"/>
    <w:bookmarkEnd w:id="31"/>
    <w:p>
      <w:pPr>
        <w:ind w:right="2959" w:firstLine="454"/>
        <w:spacing w:after="0" w:line="271" w:lineRule="auto"/>
        <w:rPr>
          <w:sz w:val="20"/>
          <w:szCs w:val="20"/>
          <w:color w:val="auto"/>
        </w:rPr>
      </w:pPr>
      <w:r>
        <w:rPr>
          <w:rFonts w:ascii="Courier New" w:cs="Courier New" w:eastAsia="Courier New" w:hAnsi="Courier New"/>
          <w:sz w:val="15"/>
          <w:szCs w:val="15"/>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72"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DIRECTORS</w:t>
      </w:r>
    </w:p>
    <w:p>
      <w:pPr>
        <w:spacing w:after="0" w:line="180"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84"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80"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ectPr>
          <w:pgSz w:w="11900" w:h="16838" w:orient="portrait"/>
          <w:cols w:equalWidth="0" w:num="1">
            <w:col w:w="10219"/>
          </w:cols>
          <w:pgMar w:left="240" w:top="615" w:right="1440" w:bottom="1440" w:gutter="0" w:footer="0" w:header="0"/>
        </w:sectPr>
      </w:pPr>
    </w:p>
    <w:bookmarkStart w:id="32" w:name="page33"/>
    <w:bookmarkEnd w:id="32"/>
    <w:p>
      <w:pPr>
        <w:ind w:right="2959" w:firstLine="454"/>
        <w:spacing w:after="0" w:line="277" w:lineRule="auto"/>
        <w:rPr>
          <w:sz w:val="20"/>
          <w:szCs w:val="20"/>
          <w:color w:val="auto"/>
        </w:rPr>
      </w:pPr>
      <w:r>
        <w:rPr>
          <w:rFonts w:ascii="Courier New" w:cs="Courier New" w:eastAsia="Courier New" w:hAnsi="Courier New"/>
          <w:sz w:val="15"/>
          <w:szCs w:val="15"/>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7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SECTION 2. The Board of Directors at its first meeting after each annual meeting of stockholders shall choose a president, one or more vice-presidents, a secretary and a treasurer.</w:t>
      </w:r>
    </w:p>
    <w:p>
      <w:pPr>
        <w:spacing w:after="0" w:line="47"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61"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SECTION 4. The salaries of all officers and agents of the corporation shall be fixed by the Board of Directors.</w:t>
      </w:r>
    </w:p>
    <w:p>
      <w:pPr>
        <w:spacing w:after="0" w:line="3"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68"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CHAIRMAN OF THE BOARD</w:t>
      </w:r>
    </w:p>
    <w:p>
      <w:pPr>
        <w:spacing w:after="0" w:line="180" w:lineRule="exact"/>
        <w:rPr>
          <w:sz w:val="20"/>
          <w:szCs w:val="20"/>
          <w:color w:val="auto"/>
        </w:rPr>
      </w:pPr>
    </w:p>
    <w:p>
      <w:pPr>
        <w:ind w:right="3139" w:firstLine="454"/>
        <w:spacing w:after="0" w:line="287" w:lineRule="auto"/>
        <w:rPr>
          <w:sz w:val="20"/>
          <w:szCs w:val="20"/>
          <w:color w:val="auto"/>
        </w:rPr>
      </w:pPr>
      <w:r>
        <w:rPr>
          <w:rFonts w:ascii="Courier New" w:cs="Courier New" w:eastAsia="Courier New" w:hAnsi="Courier New"/>
          <w:sz w:val="15"/>
          <w:szCs w:val="15"/>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PRESIDENT</w:t>
      </w:r>
    </w:p>
    <w:p>
      <w:pPr>
        <w:spacing w:after="0" w:line="1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89"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ectPr>
          <w:pgSz w:w="11900" w:h="16838" w:orient="portrait"/>
          <w:cols w:equalWidth="0" w:num="1">
            <w:col w:w="10219"/>
          </w:cols>
          <w:pgMar w:left="240" w:top="61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THE VICE-PRESIDENTS</w:t>
      </w:r>
    </w:p>
    <w:p>
      <w:pPr>
        <w:spacing w:after="0" w:line="180" w:lineRule="exact"/>
        <w:rPr>
          <w:sz w:val="20"/>
          <w:szCs w:val="20"/>
          <w:color w:val="auto"/>
        </w:rPr>
      </w:pPr>
    </w:p>
    <w:p>
      <w:pPr>
        <w:ind w:right="3139" w:firstLine="454"/>
        <w:spacing w:after="0" w:line="264" w:lineRule="auto"/>
        <w:rPr>
          <w:sz w:val="20"/>
          <w:szCs w:val="20"/>
          <w:color w:val="auto"/>
        </w:rPr>
      </w:pPr>
      <w:r>
        <w:rPr>
          <w:rFonts w:ascii="Courier New" w:cs="Courier New" w:eastAsia="Courier New" w:hAnsi="Courier New"/>
          <w:sz w:val="15"/>
          <w:szCs w:val="15"/>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AND ASSISTANT SECRETARY</w:t>
      </w:r>
    </w:p>
    <w:p>
      <w:pPr>
        <w:spacing w:after="0" w:line="180"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84"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TREASURER AND ASSISTANT TREASURERS</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68"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72"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75"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ectPr>
          <w:pgSz w:w="11900" w:h="16838" w:orient="portrait"/>
          <w:cols w:equalWidth="0" w:num="1">
            <w:col w:w="10219"/>
          </w:cols>
          <w:pgMar w:left="240" w:top="61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STOCK</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72"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61"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88"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LOST CERTIFICATES</w:t>
      </w:r>
    </w:p>
    <w:p>
      <w:pPr>
        <w:spacing w:after="0" w:line="1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STOCK</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FIXING RECORD DATE</w:t>
      </w:r>
    </w:p>
    <w:p>
      <w:pPr>
        <w:spacing w:after="0" w:line="180"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ectPr>
          <w:pgSz w:w="11900" w:h="16838" w:orient="portrait"/>
          <w:cols w:equalWidth="0" w:num="1">
            <w:col w:w="10219"/>
          </w:cols>
          <w:pgMar w:left="240" w:top="615" w:right="1440" w:bottom="1440" w:gutter="0" w:footer="0" w:header="0"/>
        </w:sectPr>
      </w:pPr>
    </w:p>
    <w:bookmarkStart w:id="35" w:name="page36"/>
    <w:bookmarkEnd w:id="35"/>
    <w:p>
      <w:pPr>
        <w:ind w:right="2959"/>
        <w:spacing w:after="0" w:line="287" w:lineRule="auto"/>
        <w:rPr>
          <w:sz w:val="20"/>
          <w:szCs w:val="20"/>
          <w:color w:val="auto"/>
        </w:rPr>
      </w:pPr>
      <w:r>
        <w:rPr>
          <w:rFonts w:ascii="Courier New" w:cs="Courier New" w:eastAsia="Courier New" w:hAnsi="Courier New"/>
          <w:sz w:val="15"/>
          <w:szCs w:val="15"/>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STOCKHOLDERS</w:t>
      </w:r>
    </w:p>
    <w:p>
      <w:pPr>
        <w:spacing w:after="0" w:line="180" w:lineRule="exact"/>
        <w:rPr>
          <w:sz w:val="20"/>
          <w:szCs w:val="20"/>
          <w:color w:val="auto"/>
        </w:rPr>
      </w:pPr>
    </w:p>
    <w:p>
      <w:pPr>
        <w:ind w:right="3139" w:firstLine="454"/>
        <w:spacing w:after="0" w:line="264" w:lineRule="auto"/>
        <w:rPr>
          <w:sz w:val="20"/>
          <w:szCs w:val="20"/>
          <w:color w:val="auto"/>
        </w:rPr>
      </w:pPr>
      <w:r>
        <w:rPr>
          <w:rFonts w:ascii="Courier New" w:cs="Courier New" w:eastAsia="Courier New" w:hAnsi="Courier New"/>
          <w:sz w:val="15"/>
          <w:szCs w:val="15"/>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78"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PROVISIONS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68" w:lineRule="exact"/>
        <w:rPr>
          <w:sz w:val="20"/>
          <w:szCs w:val="20"/>
          <w:color w:val="auto"/>
        </w:rPr>
      </w:pPr>
    </w:p>
    <w:p>
      <w:pPr>
        <w:ind w:right="3139" w:firstLine="454"/>
        <w:spacing w:after="0" w:line="264" w:lineRule="auto"/>
        <w:rPr>
          <w:sz w:val="20"/>
          <w:szCs w:val="20"/>
          <w:color w:val="auto"/>
        </w:rPr>
      </w:pPr>
      <w:r>
        <w:rPr>
          <w:rFonts w:ascii="Courier New" w:cs="Courier New" w:eastAsia="Courier New" w:hAnsi="Courier New"/>
          <w:sz w:val="15"/>
          <w:szCs w:val="15"/>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CHECKS</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SECTION 3. All checks or demands for money and notes of the corporation shall be signed by such officer or officers or such other person or persons as the Board of Directors may from time to time designate.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80" w:lineRule="exact"/>
        <w:rPr>
          <w:sz w:val="20"/>
          <w:szCs w:val="20"/>
          <w:color w:val="auto"/>
        </w:rPr>
      </w:pPr>
    </w:p>
    <w:p>
      <w:pPr>
        <w:ind w:right="2959" w:firstLine="454"/>
        <w:spacing w:after="0" w:line="368" w:lineRule="auto"/>
        <w:rPr>
          <w:sz w:val="20"/>
          <w:szCs w:val="20"/>
          <w:color w:val="auto"/>
        </w:rPr>
      </w:pPr>
      <w:r>
        <w:rPr>
          <w:rFonts w:ascii="Courier New" w:cs="Courier New" w:eastAsia="Courier New" w:hAnsi="Courier New"/>
          <w:sz w:val="15"/>
          <w:szCs w:val="15"/>
          <w:color w:val="auto"/>
        </w:rPr>
        <w:t>SECTION 4. The fiscal year of the corporation shall be fixed by resolution of the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0219"/>
          </w:cols>
          <w:pgMar w:left="240" w:top="61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INDEMNIFICATION</w:t>
      </w:r>
    </w:p>
    <w:p>
      <w:pPr>
        <w:spacing w:after="0" w:line="180"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SECTION 6. The corporation shall indemnify its officers, directors, employees and agents to the extent permitted by the General Corporation Law of Delaware.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w:t>
      </w:r>
    </w:p>
    <w:p>
      <w:pPr>
        <w:spacing w:after="0" w:line="180" w:lineRule="exact"/>
        <w:rPr>
          <w:sz w:val="20"/>
          <w:szCs w:val="20"/>
          <w:color w:val="auto"/>
        </w:rPr>
      </w:pPr>
    </w:p>
    <w:p>
      <w:pPr>
        <w:ind w:right="3039" w:firstLine="454"/>
        <w:spacing w:after="0" w:line="262" w:lineRule="auto"/>
        <w:rPr>
          <w:sz w:val="20"/>
          <w:szCs w:val="20"/>
          <w:color w:val="auto"/>
        </w:rPr>
      </w:pPr>
      <w:r>
        <w:rPr>
          <w:rFonts w:ascii="Courier New" w:cs="Courier New" w:eastAsia="Courier New" w:hAnsi="Courier New"/>
          <w:sz w:val="15"/>
          <w:szCs w:val="15"/>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78"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 Nancy A. Stanger, the secretary of Micron Technology, Inc., a Delaware corporation, hereby certify:</w:t>
      </w:r>
    </w:p>
    <w:p>
      <w:pPr>
        <w:spacing w:after="0" w:line="3"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The foregoing bylaws, comprising 14 pages, were adopted as the bylaws of Micron Technology on May 21, 1984.</w:t>
      </w:r>
    </w:p>
    <w:p>
      <w:pPr>
        <w:spacing w:after="0" w:line="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May 25, 1984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Nancy A. Stanger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Nancy A. Stanger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CERTIFICATE OF FIRST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 adopted was pursuant to a Resolution reading as follows:</w:t>
      </w:r>
    </w:p>
    <w:p>
      <w:pPr>
        <w:spacing w:after="0" w:line="180"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RESOLVED: The Board hereby approves that the second paragraph of Article II Section 10 of the Bylaws of the Company be amended to read as follows:</w:t>
      </w:r>
    </w:p>
    <w:p>
      <w:pPr>
        <w:spacing w:after="0" w:line="3"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78"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IN WITNESS WHEREOF, we have hereunto set our hands and the seal of the Corporation this 5th day of July, 1985.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Joseph L. Parkinson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Parkinson, President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 Secretary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STATE OF IDAHO</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360" w:type="dxa"/>
            <w:vAlign w:val="bottom"/>
            <w:vMerge w:val="restart"/>
          </w:tcPr>
          <w:p>
            <w:pPr>
              <w:spacing w:after="0"/>
              <w:rPr>
                <w:sz w:val="20"/>
                <w:szCs w:val="20"/>
                <w:color w:val="auto"/>
              </w:rPr>
            </w:pPr>
            <w:r>
              <w:rPr>
                <w:rFonts w:ascii="Courier New" w:cs="Courier New" w:eastAsia="Courier New" w:hAnsi="Courier New"/>
                <w:sz w:val="15"/>
                <w:szCs w:val="15"/>
                <w:color w:val="auto"/>
              </w:rPr>
              <w:t>County of Ada</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 ss.</w:t>
            </w:r>
          </w:p>
        </w:tc>
        <w:tc>
          <w:tcPr>
            <w:tcW w:w="0" w:type="dxa"/>
            <w:vAlign w:val="bottom"/>
          </w:tcPr>
          <w:p>
            <w:pPr>
              <w:spacing w:after="0"/>
              <w:rPr>
                <w:sz w:val="1"/>
                <w:szCs w:val="1"/>
                <w:color w:val="auto"/>
              </w:rPr>
            </w:pPr>
          </w:p>
        </w:tc>
      </w:tr>
      <w:tr>
        <w:trPr>
          <w:trHeight w:val="256"/>
        </w:trPr>
        <w:tc>
          <w:tcPr>
            <w:tcW w:w="1360" w:type="dxa"/>
            <w:vAlign w:val="bottom"/>
            <w:vMerge w:val="continue"/>
          </w:tcPr>
          <w:p>
            <w:pPr>
              <w:spacing w:after="0"/>
              <w:rPr>
                <w:sz w:val="22"/>
                <w:szCs w:val="22"/>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72"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IN WITNESS WHEREOF, I have hereunto set my hand and affixed my official seal in said County the day and year first above written.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Jill L. Henson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Notary Public for Idaho Residing at Boise</w:t>
      </w:r>
    </w:p>
    <w:p>
      <w:pPr>
        <w:sectPr>
          <w:pgSz w:w="11900" w:h="16838" w:orient="portrait"/>
          <w:cols w:equalWidth="0" w:num="1">
            <w:col w:w="10219"/>
          </w:cols>
          <w:pgMar w:left="240" w:top="61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CERTIFICATE OF SECOND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March 3, 1986:</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have hereunto set my hand and affixed the corporate seal of said corporation effective as of the 3rd day of March, 1986.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CERTIFICATE THIRD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November 24, 1986:</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24th day of November, 1986.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CERTIFICATE OF FOURTH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28, 1987:</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of September, 1987.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4"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CERTIFICATE OF FIFTH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March 28, 1988:</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of March, 1988.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CERTIFICATE OF SIXTH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October 3, 1988:</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17th day of October, 1988.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CERTIFICATE OF SEVENTH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25, 1989:</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September, 1989.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CERTIFICATE OF EIGHTH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October 30, 1989:</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30th day of October, 1989.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CERTIFICATE OF NINTH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August 27, 1990:</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August, 1990.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CERTIFICATE OF TENTH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24, 1990:</w:t>
      </w:r>
    </w:p>
    <w:p>
      <w:pPr>
        <w:spacing w:after="0" w:line="47"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24th day of September, 1990.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CERTIFICATE OF ELEVENTH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July 27, 1992:</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July, 1992.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CERTIFICATE OF TWELFTH AMENDMENT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May 23, 1994:</w:t>
      </w:r>
    </w:p>
    <w:p>
      <w:pPr>
        <w:spacing w:after="0" w:line="47"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3"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5"/>
          <w:szCs w:val="15"/>
          <w:color w:val="auto"/>
        </w:rPr>
        <w:t>SECTION I.</w:t>
        <w:tab/>
        <w:t>The authorized number of directors of the Corporation shall be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w:t>
      </w:r>
    </w:p>
    <w:p>
      <w:pPr>
        <w:spacing w:after="0" w:line="152" w:lineRule="exact"/>
        <w:rPr>
          <w:sz w:val="20"/>
          <w:szCs w:val="20"/>
          <w:color w:val="auto"/>
        </w:rPr>
      </w:pPr>
    </w:p>
    <w:p>
      <w:pPr>
        <w:jc w:val="both"/>
        <w:ind w:left="440" w:right="2959" w:firstLine="454"/>
        <w:spacing w:after="0" w:line="307" w:lineRule="auto"/>
        <w:rPr>
          <w:sz w:val="20"/>
          <w:szCs w:val="20"/>
          <w:color w:val="auto"/>
        </w:rPr>
      </w:pPr>
      <w:r>
        <w:rPr>
          <w:rFonts w:ascii="Courier New" w:cs="Courier New" w:eastAsia="Courier New" w:hAnsi="Courier New"/>
          <w:sz w:val="15"/>
          <w:szCs w:val="15"/>
          <w:color w:val="auto"/>
        </w:rPr>
        <w:t>The number of directors provided in this Section I may be changed by a Bylaw duly adopted by the affirmative vote of a majority of the outstanding shares entitled to vote or by a resolution of the Board of Directors.</w:t>
      </w:r>
    </w:p>
    <w:p>
      <w:pPr>
        <w:spacing w:after="0" w:line="47"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23rd day of May,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CERTIFICATE OF THIRTEENTH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1, 1994:</w:t>
      </w:r>
    </w:p>
    <w:p>
      <w:pPr>
        <w:spacing w:after="0" w:line="47"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1st day of September,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CERTIFICATE OF FOURTEENTH AMENDMENT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October 27, 1994:</w:t>
      </w:r>
    </w:p>
    <w:p>
      <w:pPr>
        <w:spacing w:after="0" w:line="47"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October,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1" w:name="page52"/>
    <w:bookmarkEnd w:id="51"/>
    <w:p>
      <w:pPr>
        <w:ind w:left="2440"/>
        <w:spacing w:after="0"/>
        <w:rPr>
          <w:sz w:val="20"/>
          <w:szCs w:val="20"/>
          <w:color w:val="auto"/>
        </w:rPr>
      </w:pPr>
      <w:r>
        <w:rPr>
          <w:rFonts w:ascii="Courier New" w:cs="Courier New" w:eastAsia="Courier New" w:hAnsi="Courier New"/>
          <w:sz w:val="15"/>
          <w:szCs w:val="15"/>
          <w:color w:val="auto"/>
        </w:rPr>
        <w:t>CERTIFICATE OF FIFTEENTH</w:t>
      </w:r>
    </w:p>
    <w:p>
      <w:pPr>
        <w:spacing w:after="0" w:line="3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AMENDMENT TO THE BYLAWS OF</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 was adopted by the Board of Directors on February 5, 1996:</w:t>
      </w:r>
    </w:p>
    <w:p>
      <w:pPr>
        <w:spacing w:after="0" w:line="47" w:lineRule="exact"/>
        <w:rPr>
          <w:sz w:val="20"/>
          <w:szCs w:val="20"/>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RESOLVED, that pursuant to Article VIII, Section 1 of the Company's Bylaws, the Board hereby amends Article V, Section 1 of the Bylaws to read in its entirety as follows:</w:t>
      </w:r>
    </w:p>
    <w:p>
      <w:pPr>
        <w:spacing w:after="0" w:line="47"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72"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7th day of February,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 R. Reimer</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CERTIFICATE OF SIXTEENTH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TO THE BYLAWS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3499" w:firstLine="454"/>
        <w:spacing w:after="0" w:line="307"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September 30, 1996:</w:t>
      </w:r>
    </w:p>
    <w:p>
      <w:pPr>
        <w:spacing w:after="0" w:line="47"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RESOLVED, that Article II, Section 10 of the Bylaws of this Company be amended to read as follows:</w:t>
      </w:r>
    </w:p>
    <w:p>
      <w:pPr>
        <w:spacing w:after="0" w:line="3"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78"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RESOLVED FURTHER, that Article II of the Bylaws of this Company be amended to add Section 12, which will read in its entirety as follows:</w:t>
      </w:r>
    </w:p>
    <w:p>
      <w:pPr>
        <w:spacing w:after="0" w:line="3" w:lineRule="exact"/>
        <w:rPr>
          <w:sz w:val="20"/>
          <w:szCs w:val="20"/>
          <w:color w:val="auto"/>
        </w:rPr>
      </w:pPr>
    </w:p>
    <w:p>
      <w:pPr>
        <w:ind w:left="540" w:right="3499"/>
        <w:spacing w:after="0" w:line="368" w:lineRule="auto"/>
        <w:rPr>
          <w:sz w:val="20"/>
          <w:szCs w:val="20"/>
          <w:color w:val="auto"/>
        </w:rPr>
      </w:pPr>
      <w:r>
        <w:rPr>
          <w:rFonts w:ascii="Courier New" w:cs="Courier New" w:eastAsia="Courier New" w:hAnsi="Courier New"/>
          <w:sz w:val="15"/>
          <w:szCs w:val="15"/>
          <w:color w:val="auto"/>
        </w:rPr>
        <w:t>SECTION 12. Advance Notice of Stockholder Nominees and Stockholder Business</w:t>
      </w:r>
    </w:p>
    <w:p>
      <w:pPr>
        <w:spacing w:after="0" w:line="3" w:lineRule="exact"/>
        <w:rPr>
          <w:sz w:val="20"/>
          <w:szCs w:val="20"/>
          <w:color w:val="auto"/>
        </w:rPr>
      </w:pPr>
    </w:p>
    <w:p>
      <w:pPr>
        <w:ind w:left="540" w:right="2959" w:hanging="2"/>
        <w:spacing w:after="0" w:line="267" w:lineRule="auto"/>
        <w:tabs>
          <w:tab w:leader="none" w:pos="99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74" w:lineRule="exact"/>
        <w:rPr>
          <w:rFonts w:ascii="Courier New" w:cs="Courier New" w:eastAsia="Courier New" w:hAnsi="Courier New"/>
          <w:sz w:val="15"/>
          <w:szCs w:val="15"/>
          <w:color w:val="auto"/>
        </w:rPr>
      </w:pPr>
    </w:p>
    <w:p>
      <w:pPr>
        <w:ind w:left="540" w:right="2959" w:hanging="2"/>
        <w:spacing w:after="0" w:line="249" w:lineRule="auto"/>
        <w:tabs>
          <w:tab w:leader="none" w:pos="99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ind w:left="540" w:right="2959" w:hanging="2"/>
        <w:spacing w:after="0" w:line="251" w:lineRule="auto"/>
        <w:tabs>
          <w:tab w:leader="none" w:pos="108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ectPr>
          <w:pgSz w:w="11900" w:h="16838" w:orient="portrait"/>
          <w:cols w:equalWidth="0" w:num="1">
            <w:col w:w="10219"/>
          </w:cols>
          <w:pgMar w:left="240" w:top="615" w:right="1440" w:bottom="1440" w:gutter="0" w:footer="0" w:header="0"/>
        </w:sectPr>
      </w:pPr>
    </w:p>
    <w:bookmarkStart w:id="53" w:name="page54"/>
    <w:bookmarkEnd w:id="53"/>
    <w:p>
      <w:pPr>
        <w:ind w:left="540" w:right="2959" w:hanging="2"/>
        <w:spacing w:after="0" w:line="250" w:lineRule="auto"/>
        <w:tabs>
          <w:tab w:leader="none" w:pos="99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9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RESOLVED FURTHER, that Article III, Section 1 of the Bylaws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be amended to read as follows:</w:t>
      </w:r>
    </w:p>
    <w:p>
      <w:pPr>
        <w:spacing w:after="0" w:line="152"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61"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30th day of September,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 R. Reimer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4" w:name="page55"/>
    <w:bookmarkEnd w:id="54"/>
    <w:p>
      <w:pPr>
        <w:ind w:left="1900"/>
        <w:spacing w:after="0"/>
        <w:rPr>
          <w:sz w:val="20"/>
          <w:szCs w:val="20"/>
          <w:color w:val="auto"/>
        </w:rPr>
      </w:pPr>
      <w:r>
        <w:rPr>
          <w:rFonts w:ascii="Courier New" w:cs="Courier New" w:eastAsia="Courier New" w:hAnsi="Courier New"/>
          <w:sz w:val="15"/>
          <w:szCs w:val="15"/>
          <w:color w:val="auto"/>
        </w:rPr>
        <w:t>CERTIFICATE OF SEVENTEENTH AMENDMENT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June 30, 1997:</w:t>
      </w:r>
    </w:p>
    <w:p>
      <w:pPr>
        <w:spacing w:after="0" w:line="47" w:lineRule="exact"/>
        <w:rPr>
          <w:sz w:val="20"/>
          <w:szCs w:val="20"/>
          <w:color w:val="auto"/>
        </w:rPr>
      </w:pPr>
    </w:p>
    <w:p>
      <w:pPr>
        <w:ind w:left="440" w:right="3419"/>
        <w:spacing w:after="0" w:line="368" w:lineRule="auto"/>
        <w:rPr>
          <w:sz w:val="20"/>
          <w:szCs w:val="20"/>
          <w:color w:val="auto"/>
        </w:rPr>
      </w:pPr>
      <w:r>
        <w:rPr>
          <w:rFonts w:ascii="Courier New" w:cs="Courier New" w:eastAsia="Courier New" w:hAnsi="Courier New"/>
          <w:sz w:val="15"/>
          <w:szCs w:val="15"/>
          <w:color w:val="auto"/>
        </w:rPr>
        <w:t>RESOLVED, that Article III, Section 1 of the Bylaws of this Company be amended to read as follows:</w:t>
      </w:r>
    </w:p>
    <w:p>
      <w:pPr>
        <w:spacing w:after="0" w:line="3" w:lineRule="exact"/>
        <w:rPr>
          <w:sz w:val="20"/>
          <w:szCs w:val="20"/>
          <w:color w:val="auto"/>
        </w:rPr>
      </w:pPr>
    </w:p>
    <w:p>
      <w:pPr>
        <w:ind w:left="440" w:right="2959"/>
        <w:spacing w:after="0" w:line="277"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68" w:lineRule="exact"/>
        <w:rPr>
          <w:sz w:val="20"/>
          <w:szCs w:val="20"/>
          <w:color w:val="auto"/>
        </w:rPr>
      </w:pPr>
    </w:p>
    <w:p>
      <w:pPr>
        <w:ind w:left="440" w:right="3039"/>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 the corporate seal of said corporation effective as of the 30th day of June, 1997.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 R. Reimer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5" w:name="page56"/>
    <w:bookmarkEnd w:id="55"/>
    <w:p>
      <w:pPr>
        <w:ind w:left="2000"/>
        <w:spacing w:after="0"/>
        <w:rPr>
          <w:sz w:val="20"/>
          <w:szCs w:val="20"/>
          <w:color w:val="auto"/>
        </w:rPr>
      </w:pPr>
      <w:r>
        <w:rPr>
          <w:rFonts w:ascii="Courier New" w:cs="Courier New" w:eastAsia="Courier New" w:hAnsi="Courier New"/>
          <w:sz w:val="15"/>
          <w:szCs w:val="15"/>
          <w:color w:val="auto"/>
        </w:rPr>
        <w:t>CERTIFICATE OF EIGHTEENTH AMENDMENT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April 14, 1998:</w:t>
      </w:r>
    </w:p>
    <w:p>
      <w:pPr>
        <w:spacing w:after="0" w:line="47" w:lineRule="exact"/>
        <w:rPr>
          <w:sz w:val="20"/>
          <w:szCs w:val="20"/>
          <w:color w:val="auto"/>
        </w:rPr>
      </w:pPr>
    </w:p>
    <w:p>
      <w:pPr>
        <w:ind w:left="440" w:right="2959" w:firstLine="454"/>
        <w:spacing w:after="0" w:line="368" w:lineRule="auto"/>
        <w:rPr>
          <w:sz w:val="20"/>
          <w:szCs w:val="20"/>
          <w:color w:val="auto"/>
        </w:rPr>
      </w:pPr>
      <w:r>
        <w:rPr>
          <w:rFonts w:ascii="Courier New" w:cs="Courier New" w:eastAsia="Courier New" w:hAnsi="Courier New"/>
          <w:sz w:val="15"/>
          <w:szCs w:val="15"/>
          <w:color w:val="auto"/>
        </w:rPr>
        <w:t>RESOLVED, that Article III, Section 1 of the Bylaws of this Company be amended to read as follows:</w:t>
      </w:r>
    </w:p>
    <w:p>
      <w:pPr>
        <w:spacing w:after="0" w:line="3" w:lineRule="exact"/>
        <w:rPr>
          <w:sz w:val="20"/>
          <w:szCs w:val="20"/>
          <w:color w:val="auto"/>
        </w:rPr>
      </w:pPr>
    </w:p>
    <w:p>
      <w:pPr>
        <w:ind w:left="440" w:right="2959" w:firstLine="454"/>
        <w:spacing w:after="0" w:line="277"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68"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 the corporate seal of said corporation effective as of the 20th day of July, 1998.</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Jan R. Reimer</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Assistant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6" w:name="page57"/>
    <w:bookmarkEnd w:id="56"/>
    <w:p>
      <w:pPr>
        <w:ind w:left="2000"/>
        <w:spacing w:after="0"/>
        <w:rPr>
          <w:sz w:val="20"/>
          <w:szCs w:val="20"/>
          <w:color w:val="auto"/>
        </w:rPr>
      </w:pPr>
      <w:r>
        <w:rPr>
          <w:rFonts w:ascii="Courier New" w:cs="Courier New" w:eastAsia="Courier New" w:hAnsi="Courier New"/>
          <w:sz w:val="15"/>
          <w:szCs w:val="15"/>
          <w:color w:val="auto"/>
        </w:rPr>
        <w:t>CERTIFICATE OF NINETEENTH AMENDMENT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November 23, 1998:</w:t>
      </w:r>
    </w:p>
    <w:p>
      <w:pPr>
        <w:spacing w:after="0" w:line="47" w:lineRule="exact"/>
        <w:rPr>
          <w:sz w:val="20"/>
          <w:szCs w:val="20"/>
          <w:color w:val="auto"/>
        </w:rPr>
      </w:pPr>
    </w:p>
    <w:p>
      <w:pPr>
        <w:ind w:left="440" w:right="2959" w:firstLine="454"/>
        <w:spacing w:after="0" w:line="368" w:lineRule="auto"/>
        <w:rPr>
          <w:sz w:val="20"/>
          <w:szCs w:val="20"/>
          <w:color w:val="auto"/>
        </w:rPr>
      </w:pPr>
      <w:r>
        <w:rPr>
          <w:rFonts w:ascii="Courier New" w:cs="Courier New" w:eastAsia="Courier New" w:hAnsi="Courier New"/>
          <w:sz w:val="15"/>
          <w:szCs w:val="15"/>
          <w:color w:val="auto"/>
        </w:rPr>
        <w:t>RESOLVED, that Article III, Section 1 of the Bylaws of this Company be amended to read as follows:</w:t>
      </w:r>
    </w:p>
    <w:p>
      <w:pPr>
        <w:spacing w:after="0" w:line="3" w:lineRule="exact"/>
        <w:rPr>
          <w:sz w:val="20"/>
          <w:szCs w:val="20"/>
          <w:color w:val="auto"/>
        </w:rPr>
      </w:pPr>
    </w:p>
    <w:p>
      <w:pPr>
        <w:ind w:left="440" w:right="2959" w:firstLine="454"/>
        <w:spacing w:after="0" w:line="277"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68"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 the corporate seal of said corporation effective as of the 23rd day of November, 1998.</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Jan R. Reimer</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Assistant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7" w:name="page58"/>
    <w:bookmarkEnd w:id="57"/>
    <w:p>
      <w:pPr>
        <w:ind w:left="2000"/>
        <w:spacing w:after="0"/>
        <w:rPr>
          <w:sz w:val="20"/>
          <w:szCs w:val="20"/>
          <w:color w:val="auto"/>
        </w:rPr>
      </w:pPr>
      <w:r>
        <w:rPr>
          <w:rFonts w:ascii="Courier New" w:cs="Courier New" w:eastAsia="Courier New" w:hAnsi="Courier New"/>
          <w:sz w:val="15"/>
          <w:szCs w:val="15"/>
          <w:color w:val="auto"/>
        </w:rPr>
        <w:t>CERTIFICATE OF TWENTIETH AMENDMENT</w:t>
      </w:r>
    </w:p>
    <w:p>
      <w:pPr>
        <w:spacing w:after="0" w:line="3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TO THE BYLAWS OF</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152" w:lineRule="exact"/>
        <w:rPr>
          <w:sz w:val="20"/>
          <w:szCs w:val="20"/>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June 16, 1999:</w:t>
      </w:r>
    </w:p>
    <w:p>
      <w:pPr>
        <w:spacing w:after="0" w:line="47" w:lineRule="exact"/>
        <w:rPr>
          <w:sz w:val="20"/>
          <w:szCs w:val="20"/>
          <w:color w:val="auto"/>
        </w:rPr>
      </w:pPr>
    </w:p>
    <w:p>
      <w:pPr>
        <w:ind w:left="440" w:right="3219" w:firstLine="454"/>
        <w:spacing w:after="0" w:line="307" w:lineRule="auto"/>
        <w:rPr>
          <w:sz w:val="20"/>
          <w:szCs w:val="20"/>
          <w:color w:val="auto"/>
        </w:rPr>
      </w:pPr>
      <w:r>
        <w:rPr>
          <w:rFonts w:ascii="Courier New" w:cs="Courier New" w:eastAsia="Courier New" w:hAnsi="Courier New"/>
          <w:sz w:val="15"/>
          <w:szCs w:val="15"/>
          <w:color w:val="auto"/>
        </w:rPr>
        <w:t>RESOLVED, that pursuant to Article VIII, Section 1 of the Company's Bylaws, the Board hereby amends Article III, Sections 14 and 15 of the Bylaws to read in their entirety as follows:</w:t>
      </w:r>
    </w:p>
    <w:p>
      <w:pPr>
        <w:spacing w:after="0" w:line="47" w:lineRule="exact"/>
        <w:rPr>
          <w:sz w:val="20"/>
          <w:szCs w:val="20"/>
          <w:color w:val="auto"/>
        </w:rPr>
      </w:pPr>
    </w:p>
    <w:p>
      <w:pPr>
        <w:ind w:left="440" w:right="2959" w:firstLine="454"/>
        <w:spacing w:after="0" w:line="253" w:lineRule="auto"/>
        <w:rPr>
          <w:sz w:val="20"/>
          <w:szCs w:val="20"/>
          <w:color w:val="auto"/>
        </w:rPr>
      </w:pPr>
      <w:r>
        <w:rPr>
          <w:rFonts w:ascii="Courier New" w:cs="Courier New" w:eastAsia="Courier New" w:hAnsi="Courier New"/>
          <w:sz w:val="15"/>
          <w:szCs w:val="15"/>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88" w:lineRule="exact"/>
        <w:rPr>
          <w:sz w:val="20"/>
          <w:szCs w:val="20"/>
          <w:color w:val="auto"/>
        </w:rPr>
      </w:pPr>
    </w:p>
    <w:p>
      <w:pPr>
        <w:ind w:left="440" w:right="2959" w:firstLine="454"/>
        <w:spacing w:after="0" w:line="260" w:lineRule="auto"/>
        <w:rPr>
          <w:sz w:val="20"/>
          <w:szCs w:val="20"/>
          <w:color w:val="auto"/>
        </w:rPr>
      </w:pPr>
      <w:r>
        <w:rPr>
          <w:rFonts w:ascii="Courier New" w:cs="Courier New" w:eastAsia="Courier New" w:hAnsi="Courier New"/>
          <w:sz w:val="15"/>
          <w:szCs w:val="15"/>
          <w:color w:val="auto"/>
        </w:rPr>
        <w:t>SECTION 15. The Board of Directors may, by resolution adopted by a majority of the authorized number of directors, designate such other committees, each consisting of one or more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82" w:lineRule="exact"/>
        <w:rPr>
          <w:sz w:val="20"/>
          <w:szCs w:val="20"/>
          <w:color w:val="auto"/>
        </w:rPr>
      </w:pPr>
    </w:p>
    <w:p>
      <w:pPr>
        <w:ind w:left="440" w:right="2959" w:firstLine="454"/>
        <w:spacing w:after="0" w:line="287" w:lineRule="auto"/>
        <w:rPr>
          <w:sz w:val="20"/>
          <w:szCs w:val="20"/>
          <w:color w:val="auto"/>
        </w:rPr>
      </w:pPr>
      <w:r>
        <w:rPr>
          <w:rFonts w:ascii="Courier New" w:cs="Courier New" w:eastAsia="Courier New" w:hAnsi="Courier New"/>
          <w:sz w:val="15"/>
          <w:szCs w:val="15"/>
          <w:color w:val="auto"/>
        </w:rPr>
        <w:t>RESOLVED FURTHER, that any and all actions taken prior to the adoption of the foregoing resolution by the "Employee Option Committee" of the Board are hereby ratified, confirmed, approved and adopted as actions of the Company.</w:t>
      </w:r>
    </w:p>
    <w:p>
      <w:pPr>
        <w:spacing w:after="0" w:line="61" w:lineRule="exact"/>
        <w:rPr>
          <w:sz w:val="20"/>
          <w:szCs w:val="20"/>
          <w:color w:val="auto"/>
        </w:rPr>
      </w:pPr>
    </w:p>
    <w:p>
      <w:pPr>
        <w:ind w:left="440" w:right="3319" w:firstLine="454"/>
        <w:spacing w:after="0" w:line="368" w:lineRule="auto"/>
        <w:rPr>
          <w:sz w:val="20"/>
          <w:szCs w:val="20"/>
          <w:color w:val="auto"/>
        </w:rPr>
      </w:pPr>
      <w:r>
        <w:rPr>
          <w:rFonts w:ascii="Courier New" w:cs="Courier New" w:eastAsia="Courier New" w:hAnsi="Courier New"/>
          <w:sz w:val="15"/>
          <w:szCs w:val="15"/>
          <w:color w:val="auto"/>
        </w:rPr>
        <w:t>IN WITNESS WHEREOF, I hereunto set my hand and affix the corporate seal of said corporation effective as of the 16th day of June, 1999.</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 Jan R. Reimer</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Assistant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15" w:right="1440" w:bottom="1440" w:gutter="0" w:footer="0" w:header="0"/>
        </w:sectPr>
      </w:pPr>
    </w:p>
    <w:bookmarkStart w:id="58" w:name="page59"/>
    <w:bookmarkEnd w:id="58"/>
    <w:p>
      <w:pPr>
        <w:jc w:val="right"/>
        <w:ind w:right="2959"/>
        <w:spacing w:after="0"/>
        <w:rPr>
          <w:sz w:val="20"/>
          <w:szCs w:val="20"/>
          <w:color w:val="auto"/>
        </w:rPr>
      </w:pPr>
      <w:r>
        <w:rPr>
          <w:rFonts w:ascii="Courier New" w:cs="Courier New" w:eastAsia="Courier New" w:hAnsi="Courier New"/>
          <w:sz w:val="15"/>
          <w:szCs w:val="15"/>
          <w:color w:val="auto"/>
        </w:rPr>
        <w:t>Exhibit 10.110</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1994 STOCK OPTION PLAN</w:t>
      </w:r>
    </w:p>
    <w:p>
      <w:pPr>
        <w:spacing w:after="0" w:line="326" w:lineRule="exact"/>
        <w:rPr>
          <w:sz w:val="20"/>
          <w:szCs w:val="20"/>
          <w:color w:val="auto"/>
        </w:rPr>
      </w:pPr>
    </w:p>
    <w:p>
      <w:pPr>
        <w:ind w:left="900" w:hanging="452"/>
        <w:spacing w:after="0"/>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Stock Option Plan are:</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440" w:right="3219" w:firstLine="8"/>
        <w:spacing w:after="0" w:line="368" w:lineRule="auto"/>
        <w:tabs>
          <w:tab w:leader="none" w:pos="89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the best available personnel for positions of substantial responsibility,</w:t>
      </w:r>
    </w:p>
    <w:p>
      <w:pPr>
        <w:spacing w:after="0" w:line="3" w:lineRule="exact"/>
        <w:rPr>
          <w:sz w:val="20"/>
          <w:szCs w:val="20"/>
          <w:color w:val="auto"/>
        </w:rPr>
      </w:pPr>
    </w:p>
    <w:p>
      <w:pPr>
        <w:ind w:left="900" w:hanging="452"/>
        <w:spacing w:after="0"/>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additional incentive to Employees and Consultants, and</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success of the Company's business.</w:t>
      </w:r>
    </w:p>
    <w:p>
      <w:pPr>
        <w:spacing w:after="0" w:line="180"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Options granted under the Plan may be Incentive Stock Options or Nonstatutory Stock Options, as determined by the Administrator at the time of grant.</w:t>
      </w:r>
    </w:p>
    <w:p>
      <w:pPr>
        <w:spacing w:after="0" w:line="3" w:lineRule="exact"/>
        <w:rPr>
          <w:sz w:val="20"/>
          <w:szCs w:val="20"/>
          <w:color w:val="auto"/>
        </w:rPr>
      </w:pPr>
    </w:p>
    <w:p>
      <w:pPr>
        <w:ind w:left="900" w:hanging="452"/>
        <w:spacing w:after="0"/>
        <w:tabs>
          <w:tab w:leader="none" w:pos="9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administering the Plan, in accordance with Section 4 of the Plan.</w:t>
      </w:r>
    </w:p>
    <w:p>
      <w:pPr>
        <w:spacing w:after="0" w:line="152" w:lineRule="exact"/>
        <w:rPr>
          <w:sz w:val="20"/>
          <w:szCs w:val="20"/>
          <w:color w:val="auto"/>
        </w:rPr>
      </w:pPr>
    </w:p>
    <w:p>
      <w:pPr>
        <w:ind w:left="1260" w:hanging="358"/>
        <w:spacing w:after="0"/>
        <w:tabs>
          <w:tab w:leader="none" w:pos="12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administration of stock option plans under Delaware corporate and securities laws and the Code.</w:t>
      </w:r>
    </w:p>
    <w:p>
      <w:pPr>
        <w:spacing w:after="0" w:line="30" w:lineRule="exact"/>
        <w:rPr>
          <w:sz w:val="20"/>
          <w:szCs w:val="20"/>
          <w:color w:val="auto"/>
        </w:rPr>
      </w:pPr>
    </w:p>
    <w:p>
      <w:pPr>
        <w:ind w:left="1260" w:hanging="358"/>
        <w:spacing w:after="0"/>
        <w:tabs>
          <w:tab w:leader="none" w:pos="12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acquisition by any person or entity,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directly, indirectly or beneficially, acting alone or in concert, of more than thirty-five percent (35%) of the Common Stock of the Company outstanding at any time.</w:t>
      </w:r>
    </w:p>
    <w:p>
      <w:pPr>
        <w:spacing w:after="0" w:line="62" w:lineRule="exact"/>
        <w:rPr>
          <w:sz w:val="20"/>
          <w:szCs w:val="20"/>
          <w:color w:val="auto"/>
        </w:rPr>
      </w:pPr>
    </w:p>
    <w:p>
      <w:pPr>
        <w:ind w:left="1260" w:hanging="358"/>
        <w:spacing w:after="0"/>
        <w:tabs>
          <w:tab w:leader="none" w:pos="12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4 of the Plan.</w:t>
      </w:r>
    </w:p>
    <w:p>
      <w:pPr>
        <w:spacing w:after="0" w:line="152" w:lineRule="exact"/>
        <w:rPr>
          <w:sz w:val="20"/>
          <w:szCs w:val="20"/>
          <w:color w:val="auto"/>
        </w:rPr>
      </w:pPr>
    </w:p>
    <w:p>
      <w:pPr>
        <w:ind w:left="1260" w:hanging="358"/>
        <w:spacing w:after="0"/>
        <w:tabs>
          <w:tab w:leader="none" w:pos="1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Micron Technology, Inc., a Delaware corporation.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Company or a Parent or Subsidiary to render services and who is compensated for such services. The term "Consultant" shall also include Directors who are not Employees of the Company.</w:t>
      </w:r>
    </w:p>
    <w:p>
      <w:pPr>
        <w:sectPr>
          <w:pgSz w:w="11900" w:h="16838" w:orient="portrait"/>
          <w:cols w:equalWidth="0" w:num="1">
            <w:col w:w="10219"/>
          </w:cols>
          <w:pgMar w:left="240" w:top="463" w:right="1440" w:bottom="1440" w:gutter="0" w:footer="0" w:header="0"/>
        </w:sectPr>
      </w:pPr>
    </w:p>
    <w:bookmarkStart w:id="59" w:name="page60"/>
    <w:bookmarkEnd w:id="59"/>
    <w:p>
      <w:pPr>
        <w:ind w:left="1260" w:hanging="358"/>
        <w:spacing w:after="0"/>
        <w:tabs>
          <w:tab w:leader="none" w:pos="12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and Employee or Consultant" means that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86" w:lineRule="exact"/>
        <w:rPr>
          <w:sz w:val="20"/>
          <w:szCs w:val="20"/>
          <w:color w:val="auto"/>
        </w:rPr>
      </w:pPr>
    </w:p>
    <w:p>
      <w:pPr>
        <w:ind w:left="1260" w:hanging="358"/>
        <w:spacing w:after="0"/>
        <w:tabs>
          <w:tab w:leader="none" w:pos="12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22(e)(3) of the Code.</w:t>
      </w:r>
    </w:p>
    <w:p>
      <w:pPr>
        <w:spacing w:after="0" w:line="152" w:lineRule="exact"/>
        <w:rPr>
          <w:sz w:val="20"/>
          <w:szCs w:val="20"/>
          <w:color w:val="auto"/>
        </w:rPr>
      </w:pPr>
    </w:p>
    <w:p>
      <w:pPr>
        <w:ind w:left="1260" w:hanging="358"/>
        <w:spacing w:after="0"/>
        <w:tabs>
          <w:tab w:leader="none" w:pos="12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87" w:lineRule="auto"/>
        <w:rPr>
          <w:sz w:val="20"/>
          <w:szCs w:val="20"/>
          <w:color w:val="auto"/>
        </w:rPr>
      </w:pPr>
      <w:r>
        <w:rPr>
          <w:rFonts w:ascii="Courier New" w:cs="Courier New" w:eastAsia="Courier New" w:hAnsi="Courier New"/>
          <w:sz w:val="15"/>
          <w:szCs w:val="15"/>
          <w:color w:val="auto"/>
        </w:rPr>
        <w:t>employed by the Company or any Parent or Subsidiary of the Company. Neither service as a Director nor payment of a director's fee by the Company shall be sufficient to constitute "employment" by the Company.</w:t>
      </w:r>
    </w:p>
    <w:p>
      <w:pPr>
        <w:spacing w:after="0" w:line="62" w:lineRule="exact"/>
        <w:rPr>
          <w:sz w:val="20"/>
          <w:szCs w:val="20"/>
          <w:color w:val="auto"/>
        </w:rPr>
      </w:pPr>
    </w:p>
    <w:p>
      <w:pPr>
        <w:ind w:left="1260" w:hanging="358"/>
        <w:spacing w:after="0"/>
        <w:tabs>
          <w:tab w:leader="none" w:pos="12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 "Fair Market Value" means, as of any date, the value of Common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determined as follows:</w:t>
      </w:r>
    </w:p>
    <w:p>
      <w:pPr>
        <w:spacing w:after="0" w:line="152" w:lineRule="exact"/>
        <w:rPr>
          <w:sz w:val="20"/>
          <w:szCs w:val="20"/>
          <w:color w:val="auto"/>
        </w:rPr>
      </w:pPr>
    </w:p>
    <w:p>
      <w:pPr>
        <w:ind w:right="2959" w:firstLine="1266"/>
        <w:spacing w:after="0" w:line="264" w:lineRule="auto"/>
        <w:tabs>
          <w:tab w:leader="none" w:pos="181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including without limitation the New York Stock Exchange ("NYSE"), or a national market system, the Fair Market Value of a Share of Common Stock shall be the closing price for such stock (or the closing bid, if no sales were reported) as quoted on such exchange or system (or the exchange with the greatest volume of trading in Common Stock) on the day of determination, as reported by Bloomberg, L.P. or such other source as the Administrator deems reliable;</w:t>
      </w:r>
    </w:p>
    <w:p>
      <w:pPr>
        <w:spacing w:after="0" w:line="77" w:lineRule="exact"/>
        <w:rPr>
          <w:rFonts w:ascii="Courier New" w:cs="Courier New" w:eastAsia="Courier New" w:hAnsi="Courier New"/>
          <w:sz w:val="15"/>
          <w:szCs w:val="15"/>
          <w:color w:val="auto"/>
        </w:rPr>
      </w:pPr>
    </w:p>
    <w:p>
      <w:pPr>
        <w:ind w:right="2959" w:firstLine="1266"/>
        <w:spacing w:after="0" w:line="271" w:lineRule="auto"/>
        <w:tabs>
          <w:tab w:leader="none" w:pos="181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day of determination, as reported by Bloomberg, L.P. or such other source as the Administrator deems reliable;</w:t>
      </w:r>
    </w:p>
    <w:p>
      <w:pPr>
        <w:spacing w:after="0" w:line="72" w:lineRule="exact"/>
        <w:rPr>
          <w:rFonts w:ascii="Courier New" w:cs="Courier New" w:eastAsia="Courier New" w:hAnsi="Courier New"/>
          <w:sz w:val="15"/>
          <w:szCs w:val="15"/>
          <w:color w:val="auto"/>
        </w:rPr>
      </w:pPr>
    </w:p>
    <w:p>
      <w:pPr>
        <w:ind w:right="3499" w:firstLine="1266"/>
        <w:spacing w:after="0" w:line="307" w:lineRule="auto"/>
        <w:tabs>
          <w:tab w:leader="none" w:pos="181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shall be determined in good faith by the Administrator.</w:t>
      </w:r>
    </w:p>
    <w:p>
      <w:pPr>
        <w:sectPr>
          <w:pgSz w:w="11900" w:h="16838" w:orient="portrait"/>
          <w:cols w:equalWidth="0" w:num="1">
            <w:col w:w="10219"/>
          </w:cols>
          <w:pgMar w:left="240" w:top="614" w:right="1440" w:bottom="1440" w:gutter="0" w:footer="0" w:header="0"/>
        </w:sectPr>
      </w:pPr>
    </w:p>
    <w:bookmarkStart w:id="60" w:name="page61"/>
    <w:bookmarkEnd w:id="60"/>
    <w:p>
      <w:pPr>
        <w:ind w:left="1360" w:hanging="458"/>
        <w:spacing w:after="0"/>
        <w:tabs>
          <w:tab w:leader="none" w:pos="1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an incentive stock option within the meaning of Section 422 of the Code and the regulations promulgated thereunder.</w:t>
      </w:r>
    </w:p>
    <w:p>
      <w:pPr>
        <w:spacing w:after="0" w:line="30" w:lineRule="exact"/>
        <w:rPr>
          <w:sz w:val="20"/>
          <w:szCs w:val="20"/>
          <w:color w:val="auto"/>
        </w:rPr>
      </w:pPr>
    </w:p>
    <w:p>
      <w:pPr>
        <w:ind w:left="1360" w:hanging="458"/>
        <w:spacing w:after="0"/>
        <w:tabs>
          <w:tab w:leader="none" w:pos="1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qualify as an Incentive Stock Option.</w:t>
      </w:r>
    </w:p>
    <w:p>
      <w:pPr>
        <w:spacing w:after="0" w:line="152" w:lineRule="exact"/>
        <w:rPr>
          <w:sz w:val="20"/>
          <w:szCs w:val="20"/>
          <w:color w:val="auto"/>
        </w:rPr>
      </w:pPr>
    </w:p>
    <w:p>
      <w:pPr>
        <w:ind w:left="1360" w:hanging="458"/>
        <w:spacing w:after="0"/>
        <w:tabs>
          <w:tab w:leader="none" w:pos="1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and conditions of an individual Option grant. The Notice of Grant is subject to the terms and conditions of the Option Agreement.</w:t>
      </w:r>
    </w:p>
    <w:p>
      <w:pPr>
        <w:spacing w:after="0" w:line="30" w:lineRule="exact"/>
        <w:rPr>
          <w:sz w:val="20"/>
          <w:szCs w:val="20"/>
          <w:color w:val="auto"/>
        </w:rPr>
      </w:pPr>
    </w:p>
    <w:p>
      <w:pPr>
        <w:ind w:left="1360" w:hanging="458"/>
        <w:spacing w:after="0"/>
        <w:tabs>
          <w:tab w:leader="none" w:pos="1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the meaning of Section 16 of the Exchange Act and the rules and regulations promulgated thereunder.</w:t>
      </w:r>
    </w:p>
    <w:p>
      <w:pPr>
        <w:spacing w:after="0" w:line="30" w:lineRule="exact"/>
        <w:rPr>
          <w:sz w:val="20"/>
          <w:szCs w:val="20"/>
          <w:color w:val="auto"/>
        </w:rPr>
      </w:pPr>
    </w:p>
    <w:p>
      <w:pPr>
        <w:ind w:left="1360" w:hanging="458"/>
        <w:spacing w:after="0"/>
        <w:tabs>
          <w:tab w:leader="none" w:pos="1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 Plan.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and an Optionee evidencing the terms and conditions of an individual Option grant. The Option Agreement is subject to the terms and conditions of the Plan.</w:t>
      </w:r>
    </w:p>
    <w:p>
      <w:pPr>
        <w:spacing w:after="0" w:line="30" w:lineRule="exact"/>
        <w:rPr>
          <w:sz w:val="20"/>
          <w:szCs w:val="20"/>
          <w:color w:val="auto"/>
        </w:rPr>
      </w:pPr>
    </w:p>
    <w:p>
      <w:pPr>
        <w:ind w:left="1360" w:hanging="458"/>
        <w:spacing w:after="0"/>
        <w:tabs>
          <w:tab w:leader="none" w:pos="1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Exchange Program" means a program whereby outstanding</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are surrendered in exchange for options with a lower exercise price.</w:t>
      </w:r>
    </w:p>
    <w:p>
      <w:pPr>
        <w:spacing w:after="0" w:line="152" w:lineRule="exact"/>
        <w:rPr>
          <w:sz w:val="20"/>
          <w:szCs w:val="20"/>
          <w:color w:val="auto"/>
        </w:rPr>
      </w:pPr>
    </w:p>
    <w:p>
      <w:pPr>
        <w:ind w:left="1360" w:hanging="458"/>
        <w:spacing w:after="0"/>
        <w:tabs>
          <w:tab w:leader="none" w:pos="1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Option.</w:t>
      </w:r>
    </w:p>
    <w:p>
      <w:pPr>
        <w:spacing w:after="0" w:line="152" w:lineRule="exact"/>
        <w:rPr>
          <w:sz w:val="20"/>
          <w:szCs w:val="20"/>
          <w:color w:val="auto"/>
        </w:rPr>
      </w:pPr>
    </w:p>
    <w:p>
      <w:pPr>
        <w:ind w:left="1360" w:hanging="458"/>
        <w:spacing w:after="0"/>
        <w:tabs>
          <w:tab w:leader="none" w:pos="1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 hereafter</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as defined in Section 424(e) of the Code.</w:t>
      </w:r>
    </w:p>
    <w:p>
      <w:pPr>
        <w:spacing w:after="0" w:line="152" w:lineRule="exact"/>
        <w:rPr>
          <w:sz w:val="20"/>
          <w:szCs w:val="20"/>
          <w:color w:val="auto"/>
        </w:rPr>
      </w:pPr>
    </w:p>
    <w:p>
      <w:pPr>
        <w:ind w:left="1360" w:hanging="458"/>
        <w:spacing w:after="0"/>
        <w:tabs>
          <w:tab w:leader="none" w:pos="1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1994 Option Plan.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0" w:hanging="458"/>
        <w:spacing w:after="0"/>
        <w:tabs>
          <w:tab w:leader="none" w:pos="1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of the Exchange Act or any</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successor to Rule 16b-3, as in effect when discretion is being exercised with respect to the Plan.</w:t>
      </w:r>
    </w:p>
    <w:p>
      <w:pPr>
        <w:spacing w:after="0" w:line="30" w:lineRule="exact"/>
        <w:rPr>
          <w:sz w:val="20"/>
          <w:szCs w:val="20"/>
          <w:color w:val="auto"/>
        </w:rPr>
      </w:pPr>
    </w:p>
    <w:p>
      <w:pPr>
        <w:ind w:left="1360" w:hanging="458"/>
        <w:spacing w:after="0"/>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w:t>
      </w:r>
    </w:p>
    <w:p>
      <w:pPr>
        <w:spacing w:after="0" w:line="32"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Section 12 of the Plan.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(cc) "Subsidiary" means a "subsidiary corporation", whether now</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0" w:type="dxa"/>
            <w:vAlign w:val="bottom"/>
          </w:tcPr>
          <w:p>
            <w:pPr>
              <w:spacing w:after="0"/>
              <w:rPr>
                <w:sz w:val="1"/>
                <w:szCs w:val="1"/>
                <w:color w:val="auto"/>
              </w:rPr>
            </w:pPr>
          </w:p>
        </w:tc>
      </w:tr>
      <w:tr>
        <w:trPr>
          <w:trHeight w:val="175"/>
        </w:trPr>
        <w:tc>
          <w:tcPr>
            <w:tcW w:w="3760" w:type="dxa"/>
            <w:vAlign w:val="bottom"/>
          </w:tcPr>
          <w:p>
            <w:pPr>
              <w:ind w:left="1440"/>
              <w:spacing w:after="0"/>
              <w:rPr>
                <w:sz w:val="20"/>
                <w:szCs w:val="20"/>
                <w:color w:val="auto"/>
              </w:rPr>
            </w:pPr>
            <w:r>
              <w:rPr>
                <w:rFonts w:ascii="Courier New" w:cs="Courier New" w:eastAsia="Courier New" w:hAnsi="Courier New"/>
                <w:sz w:val="15"/>
                <w:szCs w:val="15"/>
                <w:color w:val="auto"/>
              </w:rPr>
              <w:t>----------</w:t>
            </w:r>
          </w:p>
        </w:tc>
        <w:tc>
          <w:tcPr>
            <w:tcW w:w="2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424(f) of the Code. In the case</w:t>
            </w:r>
          </w:p>
        </w:tc>
        <w:tc>
          <w:tcPr>
            <w:tcW w:w="50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7"/>
              </w:rPr>
              <w:t>of an</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hereafter existing, as defined in Section</w:t>
            </w:r>
          </w:p>
        </w:tc>
        <w:tc>
          <w:tcPr>
            <w:tcW w:w="29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Option that is not intended to qualify as</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 Incentive Stock Option, the term</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"Subsidiary" shall also include any other</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entity in which the Company, or</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any</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Parent or Subsidiary of the Company has a</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significant ownership interest.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61" w:name="page62"/>
    <w:bookmarkEnd w:id="61"/>
    <w:p>
      <w:pPr>
        <w:ind w:left="900" w:hanging="452"/>
        <w:spacing w:after="0"/>
        <w:tabs>
          <w:tab w:leader="none" w:pos="9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the Plan, the maximum aggregate number of Shares which may be optioned and sold under the Plan is 32,000,000 Shares. The Shares may be authorized, but unissued, or reacquired Common Stock.</w:t>
      </w:r>
    </w:p>
    <w:p>
      <w:pPr>
        <w:spacing w:after="0" w:line="62" w:lineRule="exact"/>
        <w:rPr>
          <w:sz w:val="20"/>
          <w:szCs w:val="20"/>
          <w:color w:val="auto"/>
        </w:rPr>
      </w:pPr>
    </w:p>
    <w:p>
      <w:pPr>
        <w:ind w:right="2959" w:firstLine="454"/>
        <w:spacing w:after="0" w:line="256"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however, that Shares that have actually been issued under the Plan shall not be returned to the Plan and shall not become available for future distribution under the Plan.</w:t>
      </w:r>
    </w:p>
    <w:p>
      <w:pPr>
        <w:spacing w:after="0" w:line="62" w:lineRule="exact"/>
        <w:rPr>
          <w:sz w:val="20"/>
          <w:szCs w:val="20"/>
          <w:color w:val="auto"/>
        </w:rPr>
      </w:pPr>
    </w:p>
    <w:p>
      <w:pPr>
        <w:ind w:left="900" w:hanging="452"/>
        <w:spacing w:after="0"/>
        <w:tabs>
          <w:tab w:leader="none" w:pos="9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360" w:hanging="458"/>
        <w:spacing w:after="0"/>
        <w:tabs>
          <w:tab w:leader="none" w:pos="136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900" w:hanging="544"/>
        <w:spacing w:after="0"/>
        <w:tabs>
          <w:tab w:leader="none" w:pos="19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If permitted by Rule 16b-3,</w:t>
      </w:r>
    </w:p>
    <w:p>
      <w:pPr>
        <w:spacing w:after="0" w:line="32" w:lineRule="exact"/>
        <w:rPr>
          <w:rFonts w:ascii="Courier New" w:cs="Courier New" w:eastAsia="Courier New" w:hAnsi="Courier New"/>
          <w:sz w:val="15"/>
          <w:szCs w:val="15"/>
          <w:color w:val="auto"/>
        </w:rPr>
      </w:pPr>
    </w:p>
    <w:p>
      <w:pPr>
        <w:ind w:left="1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419"/>
        <w:spacing w:after="0" w:line="287" w:lineRule="auto"/>
        <w:rPr>
          <w:sz w:val="20"/>
          <w:szCs w:val="20"/>
          <w:color w:val="auto"/>
        </w:rPr>
      </w:pPr>
      <w:r>
        <w:rPr>
          <w:rFonts w:ascii="Courier New" w:cs="Courier New" w:eastAsia="Courier New" w:hAnsi="Courier New"/>
          <w:sz w:val="15"/>
          <w:szCs w:val="15"/>
          <w:color w:val="auto"/>
        </w:rPr>
        <w:t>the Plan may be administered by different bodies with respect to Directors, Officers who are not Directors, and Employees who are neither Directors nor Officers.</w:t>
      </w:r>
    </w:p>
    <w:p>
      <w:pPr>
        <w:spacing w:after="0" w:line="62" w:lineRule="exact"/>
        <w:rPr>
          <w:sz w:val="20"/>
          <w:szCs w:val="20"/>
          <w:color w:val="auto"/>
        </w:rPr>
      </w:pPr>
    </w:p>
    <w:p>
      <w:pPr>
        <w:ind w:left="1900" w:hanging="544"/>
        <w:spacing w:after="0"/>
        <w:tabs>
          <w:tab w:leader="none" w:pos="19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Directors and Officers</w:t>
      </w:r>
    </w:p>
    <w:p>
      <w:pPr>
        <w:spacing w:after="0" w:line="32" w:lineRule="exact"/>
        <w:rPr>
          <w:rFonts w:ascii="Courier New" w:cs="Courier New" w:eastAsia="Courier New" w:hAnsi="Courier New"/>
          <w:sz w:val="15"/>
          <w:szCs w:val="15"/>
          <w:color w:val="auto"/>
        </w:rPr>
      </w:pPr>
    </w:p>
    <w:p>
      <w:pPr>
        <w:ind w:left="1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Section 16(b). With respect to Option grants made to Employees who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w:t>
      </w:r>
    </w:p>
    <w:p>
      <w:pPr>
        <w:spacing w:after="0" w:line="4"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(iii) Administration With Respect to Other Persons. With respect</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84" w:lineRule="exact"/>
        <w:rPr>
          <w:sz w:val="20"/>
          <w:szCs w:val="20"/>
          <w:color w:val="auto"/>
        </w:rPr>
      </w:pPr>
    </w:p>
    <w:p>
      <w:pPr>
        <w:ind w:left="1360" w:hanging="458"/>
        <w:spacing w:after="0"/>
        <w:tabs>
          <w:tab w:leader="none" w:pos="1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Plan, and in the case of a Committee, subject to the specific duties delegated by the Board to such Committee, the Administrator shall have the authority, in its discretion:</w:t>
      </w:r>
    </w:p>
    <w:p>
      <w:pPr>
        <w:sectPr>
          <w:pgSz w:w="11900" w:h="16838" w:orient="portrait"/>
          <w:cols w:equalWidth="0" w:num="1">
            <w:col w:w="10219"/>
          </w:cols>
          <w:pgMar w:left="240" w:top="615" w:right="1440" w:bottom="1440" w:gutter="0" w:footer="0" w:header="0"/>
        </w:sectPr>
      </w:pPr>
    </w:p>
    <w:bookmarkStart w:id="62" w:name="page63"/>
    <w:bookmarkEnd w:id="62"/>
    <w:p>
      <w:pPr>
        <w:ind w:right="2959" w:firstLine="1356"/>
        <w:spacing w:after="0" w:line="368" w:lineRule="auto"/>
        <w:tabs>
          <w:tab w:leader="none" w:pos="19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 in accordance with Section 2(o) of the Plan;</w:t>
      </w:r>
    </w:p>
    <w:p>
      <w:pPr>
        <w:spacing w:after="0" w:line="178" w:lineRule="exact"/>
        <w:rPr>
          <w:rFonts w:ascii="Courier New" w:cs="Courier New" w:eastAsia="Courier New" w:hAnsi="Courier New"/>
          <w:sz w:val="15"/>
          <w:szCs w:val="15"/>
          <w:color w:val="auto"/>
        </w:rPr>
      </w:pPr>
    </w:p>
    <w:p>
      <w:pPr>
        <w:ind w:right="3219" w:firstLine="1356"/>
        <w:spacing w:after="0" w:line="368" w:lineRule="auto"/>
        <w:tabs>
          <w:tab w:leader="none" w:pos="19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may be granted hereunder;</w:t>
      </w:r>
    </w:p>
    <w:p>
      <w:pPr>
        <w:spacing w:after="0" w:line="3" w:lineRule="exact"/>
        <w:rPr>
          <w:rFonts w:ascii="Courier New" w:cs="Courier New" w:eastAsia="Courier New" w:hAnsi="Courier New"/>
          <w:sz w:val="15"/>
          <w:szCs w:val="15"/>
          <w:color w:val="auto"/>
        </w:rPr>
      </w:pPr>
    </w:p>
    <w:p>
      <w:pPr>
        <w:ind w:left="2000" w:hanging="644"/>
        <w:spacing w:after="0"/>
        <w:tabs>
          <w:tab w:leader="none" w:pos="20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hereunder;</w:t>
      </w:r>
    </w:p>
    <w:p>
      <w:pPr>
        <w:spacing w:after="0" w:line="151" w:lineRule="exact"/>
        <w:rPr>
          <w:rFonts w:ascii="Courier New" w:cs="Courier New" w:eastAsia="Courier New" w:hAnsi="Courier New"/>
          <w:sz w:val="15"/>
          <w:szCs w:val="15"/>
          <w:color w:val="auto"/>
        </w:rPr>
      </w:pPr>
    </w:p>
    <w:p>
      <w:pPr>
        <w:ind w:right="3219" w:firstLine="1356"/>
        <w:spacing w:after="0" w:line="368" w:lineRule="auto"/>
        <w:tabs>
          <w:tab w:leader="none" w:pos="19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3" w:lineRule="exact"/>
        <w:rPr>
          <w:rFonts w:ascii="Courier New" w:cs="Courier New" w:eastAsia="Courier New" w:hAnsi="Courier New"/>
          <w:sz w:val="15"/>
          <w:szCs w:val="15"/>
          <w:color w:val="auto"/>
        </w:rPr>
      </w:pPr>
    </w:p>
    <w:p>
      <w:pPr>
        <w:ind w:left="2000" w:hanging="644"/>
        <w:spacing w:after="0"/>
        <w:tabs>
          <w:tab w:leader="none" w:pos="20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9" w:lineRule="exact"/>
        <w:rPr>
          <w:rFonts w:ascii="Courier New" w:cs="Courier New" w:eastAsia="Courier New" w:hAnsi="Courier New"/>
          <w:sz w:val="15"/>
          <w:szCs w:val="15"/>
          <w:color w:val="auto"/>
        </w:rPr>
      </w:pPr>
    </w:p>
    <w:p>
      <w:pPr>
        <w:ind w:right="2959" w:firstLine="1356"/>
        <w:spacing w:after="0" w:line="264" w:lineRule="auto"/>
        <w:tabs>
          <w:tab w:leader="none" w:pos="19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77" w:lineRule="exact"/>
        <w:rPr>
          <w:rFonts w:ascii="Courier New" w:cs="Courier New" w:eastAsia="Courier New" w:hAnsi="Courier New"/>
          <w:sz w:val="15"/>
          <w:szCs w:val="15"/>
          <w:color w:val="auto"/>
        </w:rPr>
      </w:pPr>
    </w:p>
    <w:p>
      <w:pPr>
        <w:ind w:right="3139" w:firstLine="1356"/>
        <w:spacing w:after="0" w:line="307" w:lineRule="auto"/>
        <w:tabs>
          <w:tab w:leader="none" w:pos="199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 then current Fair Market Value if the Fair Market Value of the Common Stock covered by such Option shall have declined since the date the Option was granted;</w:t>
      </w:r>
    </w:p>
    <w:p>
      <w:pPr>
        <w:spacing w:after="0" w:line="47" w:lineRule="exact"/>
        <w:rPr>
          <w:rFonts w:ascii="Courier New" w:cs="Courier New" w:eastAsia="Courier New" w:hAnsi="Courier New"/>
          <w:sz w:val="15"/>
          <w:szCs w:val="15"/>
          <w:color w:val="auto"/>
        </w:rPr>
      </w:pPr>
    </w:p>
    <w:p>
      <w:pPr>
        <w:ind w:left="2000" w:hanging="644"/>
        <w:spacing w:after="0"/>
        <w:tabs>
          <w:tab w:leader="none" w:pos="20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awards granted pursuant to the Plan;</w:t>
      </w:r>
    </w:p>
    <w:p>
      <w:pPr>
        <w:spacing w:after="0" w:line="152" w:lineRule="exact"/>
        <w:rPr>
          <w:sz w:val="20"/>
          <w:szCs w:val="20"/>
          <w:color w:val="auto"/>
        </w:rPr>
      </w:pPr>
    </w:p>
    <w:p>
      <w:pPr>
        <w:ind w:right="3319" w:firstLine="1356"/>
        <w:spacing w:after="0" w:line="287" w:lineRule="auto"/>
        <w:tabs>
          <w:tab w:leader="none" w:pos="19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61" w:lineRule="exact"/>
        <w:rPr>
          <w:rFonts w:ascii="Courier New" w:cs="Courier New" w:eastAsia="Courier New" w:hAnsi="Courier New"/>
          <w:sz w:val="15"/>
          <w:szCs w:val="15"/>
          <w:color w:val="auto"/>
        </w:rPr>
      </w:pPr>
    </w:p>
    <w:p>
      <w:pPr>
        <w:ind w:right="3139" w:firstLine="1356"/>
        <w:spacing w:after="0" w:line="287" w:lineRule="auto"/>
        <w:tabs>
          <w:tab w:leader="none" w:pos="19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14(c) of the Plan), including the discretionary authority to extend the post-termination exercisability period of Options longer than is otherwise provided for in the Plan;</w:t>
      </w:r>
    </w:p>
    <w:p>
      <w:pPr>
        <w:spacing w:after="0" w:line="61" w:lineRule="exact"/>
        <w:rPr>
          <w:rFonts w:ascii="Courier New" w:cs="Courier New" w:eastAsia="Courier New" w:hAnsi="Courier New"/>
          <w:sz w:val="15"/>
          <w:szCs w:val="15"/>
          <w:color w:val="auto"/>
        </w:rPr>
      </w:pPr>
    </w:p>
    <w:p>
      <w:pPr>
        <w:ind w:right="3419" w:firstLine="1356"/>
        <w:spacing w:after="0" w:line="307" w:lineRule="auto"/>
        <w:tabs>
          <w:tab w:leader="none" w:pos="19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 Company any instrument required to effect the grant of an Option previously granted by the Administrator;</w:t>
      </w:r>
    </w:p>
    <w:p>
      <w:pPr>
        <w:spacing w:after="0" w:line="47" w:lineRule="exact"/>
        <w:rPr>
          <w:rFonts w:ascii="Courier New" w:cs="Courier New" w:eastAsia="Courier New" w:hAnsi="Courier New"/>
          <w:sz w:val="15"/>
          <w:szCs w:val="15"/>
          <w:color w:val="auto"/>
        </w:rPr>
      </w:pPr>
    </w:p>
    <w:p>
      <w:pPr>
        <w:ind w:left="2000" w:hanging="644"/>
        <w:spacing w:after="0"/>
        <w:tabs>
          <w:tab w:leader="none" w:pos="20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and Option Exchange Program; and</w:t>
      </w:r>
    </w:p>
    <w:p>
      <w:pPr>
        <w:spacing w:after="0" w:line="179" w:lineRule="exact"/>
        <w:rPr>
          <w:rFonts w:ascii="Courier New" w:cs="Courier New" w:eastAsia="Courier New" w:hAnsi="Courier New"/>
          <w:sz w:val="15"/>
          <w:szCs w:val="15"/>
          <w:color w:val="auto"/>
        </w:rPr>
      </w:pPr>
    </w:p>
    <w:p>
      <w:pPr>
        <w:ind w:right="3499" w:firstLine="1356"/>
        <w:spacing w:after="0" w:line="368" w:lineRule="auto"/>
        <w:tabs>
          <w:tab w:leader="none" w:pos="19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ectPr>
          <w:pgSz w:w="11900" w:h="16838" w:orient="portrait"/>
          <w:cols w:equalWidth="0" w:num="1">
            <w:col w:w="10219"/>
          </w:cols>
          <w:pgMar w:left="240" w:top="615" w:right="1440" w:bottom="1440" w:gutter="0" w:footer="0" w:header="0"/>
        </w:sectPr>
      </w:pPr>
    </w:p>
    <w:bookmarkStart w:id="63" w:name="page64"/>
    <w:bookmarkEnd w:id="63"/>
    <w:p>
      <w:pPr>
        <w:ind w:left="1260" w:hanging="358"/>
        <w:spacing w:after="0"/>
        <w:tabs>
          <w:tab w:leader="none" w:pos="12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329" w:lineRule="auto"/>
        <w:rPr>
          <w:sz w:val="20"/>
          <w:szCs w:val="20"/>
          <w:color w:val="auto"/>
        </w:rPr>
      </w:pPr>
      <w:r>
        <w:rPr>
          <w:rFonts w:ascii="Courier New" w:cs="Courier New" w:eastAsia="Courier New" w:hAnsi="Courier New"/>
          <w:sz w:val="15"/>
          <w:szCs w:val="15"/>
          <w:color w:val="auto"/>
        </w:rPr>
        <w:t>decisions, determinations, and interpretations shall be final and binding on all Optionees and any other holders of Options.</w:t>
      </w:r>
    </w:p>
    <w:p>
      <w:pPr>
        <w:spacing w:after="0" w:line="30" w:lineRule="exact"/>
        <w:rPr>
          <w:sz w:val="20"/>
          <w:szCs w:val="20"/>
          <w:color w:val="auto"/>
        </w:rPr>
      </w:pPr>
    </w:p>
    <w:p>
      <w:pPr>
        <w:ind w:left="900" w:hanging="452"/>
        <w:spacing w:after="0"/>
        <w:tabs>
          <w:tab w:leader="none" w:pos="9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Nonstatutory Stock Options may be granted to Employees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and Consultants. Incentive Stock Options may be granted only to Employees. If otherwise eligible, an Employee or Consultant who has been granted an Option may be granted additional Options.</w:t>
      </w:r>
    </w:p>
    <w:p>
      <w:pPr>
        <w:spacing w:after="0" w:line="62" w:lineRule="exact"/>
        <w:rPr>
          <w:sz w:val="20"/>
          <w:szCs w:val="20"/>
          <w:color w:val="auto"/>
        </w:rPr>
      </w:pPr>
    </w:p>
    <w:p>
      <w:pPr>
        <w:ind w:left="900" w:hanging="452"/>
        <w:spacing w:after="0"/>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3039" w:firstLine="902"/>
        <w:spacing w:after="0" w:line="287" w:lineRule="auto"/>
        <w:tabs>
          <w:tab w:leader="none" w:pos="127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designated in the Notice of Grant as either an Incentive Stock Option or a Nonstatutory Stock Option. However, notwithstanding such designations, to the extent that the aggregate Fair Market Value:</w:t>
      </w:r>
    </w:p>
    <w:p>
      <w:pPr>
        <w:spacing w:after="0" w:line="61" w:lineRule="exact"/>
        <w:rPr>
          <w:rFonts w:ascii="Courier New" w:cs="Courier New" w:eastAsia="Courier New" w:hAnsi="Courier New"/>
          <w:sz w:val="15"/>
          <w:szCs w:val="15"/>
          <w:color w:val="auto"/>
        </w:rPr>
      </w:pPr>
    </w:p>
    <w:p>
      <w:pPr>
        <w:ind w:right="3139" w:firstLine="1266"/>
        <w:spacing w:after="0" w:line="368" w:lineRule="auto"/>
        <w:tabs>
          <w:tab w:leader="none" w:pos="1818"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Shares subject to an Optionee's Incentive Stock Options granted by the Company or any Parent or Subsidiary, which</w:t>
      </w:r>
    </w:p>
    <w:p>
      <w:pPr>
        <w:spacing w:after="0" w:line="3" w:lineRule="exact"/>
        <w:rPr>
          <w:rFonts w:ascii="Courier New" w:cs="Courier New" w:eastAsia="Courier New" w:hAnsi="Courier New"/>
          <w:sz w:val="15"/>
          <w:szCs w:val="15"/>
          <w:color w:val="auto"/>
        </w:rPr>
      </w:pPr>
    </w:p>
    <w:p>
      <w:pPr>
        <w:ind w:right="3139" w:firstLine="1266"/>
        <w:spacing w:after="0" w:line="271" w:lineRule="auto"/>
        <w:tabs>
          <w:tab w:leader="none" w:pos="1818"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72" w:lineRule="exact"/>
        <w:rPr>
          <w:rFonts w:ascii="Courier New" w:cs="Courier New" w:eastAsia="Courier New" w:hAnsi="Courier New"/>
          <w:sz w:val="15"/>
          <w:szCs w:val="15"/>
          <w:color w:val="auto"/>
        </w:rPr>
      </w:pPr>
    </w:p>
    <w:p>
      <w:pPr>
        <w:ind w:right="3039" w:firstLine="902"/>
        <w:spacing w:after="0" w:line="277" w:lineRule="auto"/>
        <w:tabs>
          <w:tab w:leader="none" w:pos="127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68" w:lineRule="exact"/>
        <w:rPr>
          <w:rFonts w:ascii="Courier New" w:cs="Courier New" w:eastAsia="Courier New" w:hAnsi="Courier New"/>
          <w:sz w:val="15"/>
          <w:szCs w:val="15"/>
          <w:color w:val="auto"/>
        </w:rPr>
      </w:pPr>
    </w:p>
    <w:p>
      <w:pPr>
        <w:ind w:left="1260" w:hanging="358"/>
        <w:spacing w:after="0"/>
        <w:tabs>
          <w:tab w:leader="none" w:pos="12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limitations shall apply to grants of Options to</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51" w:lineRule="exact"/>
        <w:rPr>
          <w:rFonts w:ascii="Courier New" w:cs="Courier New" w:eastAsia="Courier New" w:hAnsi="Courier New"/>
          <w:sz w:val="15"/>
          <w:szCs w:val="15"/>
          <w:color w:val="auto"/>
        </w:rPr>
      </w:pPr>
    </w:p>
    <w:p>
      <w:pPr>
        <w:ind w:right="3419" w:firstLine="1266"/>
        <w:spacing w:after="0" w:line="368" w:lineRule="auto"/>
        <w:tabs>
          <w:tab w:leader="none" w:pos="1818"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shall be granted, in any fiscal year of the Company, Options to purchase more than 500,000 Shares.</w:t>
      </w:r>
    </w:p>
    <w:p>
      <w:pPr>
        <w:spacing w:after="0" w:line="3" w:lineRule="exact"/>
        <w:rPr>
          <w:rFonts w:ascii="Courier New" w:cs="Courier New" w:eastAsia="Courier New" w:hAnsi="Courier New"/>
          <w:sz w:val="15"/>
          <w:szCs w:val="15"/>
          <w:color w:val="auto"/>
        </w:rPr>
      </w:pPr>
    </w:p>
    <w:p>
      <w:pPr>
        <w:ind w:right="3039" w:firstLine="1266"/>
        <w:spacing w:after="0" w:line="307" w:lineRule="auto"/>
        <w:tabs>
          <w:tab w:leader="none" w:pos="1818"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limitations shall be adjusted proportionately in connection with any change in the Company's capitalization as described in Section 12.</w:t>
      </w:r>
    </w:p>
    <w:p>
      <w:pPr>
        <w:spacing w:after="0" w:line="47" w:lineRule="exact"/>
        <w:rPr>
          <w:rFonts w:ascii="Courier New" w:cs="Courier New" w:eastAsia="Courier New" w:hAnsi="Courier New"/>
          <w:sz w:val="15"/>
          <w:szCs w:val="15"/>
          <w:color w:val="auto"/>
        </w:rPr>
      </w:pPr>
    </w:p>
    <w:p>
      <w:pPr>
        <w:ind w:right="3039" w:firstLine="1266"/>
        <w:spacing w:after="0" w:line="271" w:lineRule="auto"/>
        <w:tabs>
          <w:tab w:leader="none" w:pos="1818"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72"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Subject to Section 18 of the Plan, the Plan shall become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ectPr>
          <w:pgSz w:w="11900" w:h="16838" w:orient="portrait"/>
          <w:cols w:equalWidth="0" w:num="1">
            <w:col w:w="10219"/>
          </w:cols>
          <w:pgMar w:left="240" w:top="615" w:right="1440" w:bottom="1440" w:gutter="0" w:footer="0" w:header="0"/>
        </w:sectPr>
      </w:pPr>
    </w:p>
    <w:bookmarkStart w:id="64" w:name="page65"/>
    <w:bookmarkEnd w:id="64"/>
    <w:p>
      <w:pPr>
        <w:ind w:left="900" w:hanging="452"/>
        <w:spacing w:after="0"/>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stated in the Notice</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84" w:lineRule="exact"/>
        <w:rPr>
          <w:sz w:val="20"/>
          <w:szCs w:val="20"/>
          <w:color w:val="auto"/>
        </w:rPr>
      </w:pPr>
    </w:p>
    <w:p>
      <w:pPr>
        <w:ind w:left="900" w:hanging="452"/>
        <w:spacing w:after="0"/>
        <w:tabs>
          <w:tab w:leader="none" w:pos="9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pursuant to exercise of an Option shall be determined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Administrator, subject to the following:</w:t>
      </w:r>
    </w:p>
    <w:p>
      <w:pPr>
        <w:spacing w:after="0" w:line="152" w:lineRule="exact"/>
        <w:rPr>
          <w:sz w:val="20"/>
          <w:szCs w:val="20"/>
          <w:color w:val="auto"/>
        </w:rPr>
      </w:pPr>
    </w:p>
    <w:p>
      <w:pPr>
        <w:ind w:left="1720" w:hanging="454"/>
        <w:spacing w:after="0"/>
        <w:tabs>
          <w:tab w:leader="none" w:pos="172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Incentive Stock Option</w:t>
      </w:r>
    </w:p>
    <w:p>
      <w:pPr>
        <w:spacing w:after="0" w:line="179" w:lineRule="exact"/>
        <w:rPr>
          <w:rFonts w:ascii="Courier New" w:cs="Courier New" w:eastAsia="Courier New" w:hAnsi="Courier New"/>
          <w:sz w:val="15"/>
          <w:szCs w:val="15"/>
          <w:color w:val="auto"/>
        </w:rPr>
      </w:pPr>
    </w:p>
    <w:p>
      <w:pPr>
        <w:ind w:right="2959" w:firstLine="1720"/>
        <w:spacing w:after="0" w:line="277" w:lineRule="auto"/>
        <w:tabs>
          <w:tab w:leader="none" w:pos="209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68" w:lineRule="exact"/>
        <w:rPr>
          <w:rFonts w:ascii="Courier New" w:cs="Courier New" w:eastAsia="Courier New" w:hAnsi="Courier New"/>
          <w:sz w:val="15"/>
          <w:szCs w:val="15"/>
          <w:color w:val="auto"/>
        </w:rPr>
      </w:pPr>
    </w:p>
    <w:p>
      <w:pPr>
        <w:ind w:right="3039" w:firstLine="1720"/>
        <w:spacing w:after="0" w:line="307" w:lineRule="auto"/>
        <w:tabs>
          <w:tab w:leader="none" w:pos="209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Employee other than an Employee described in paragraph (A) immediately above, the per Share exercise price shall be no less than 100% of the Fair Market Value per Share on the date of grant.</w:t>
      </w:r>
    </w:p>
    <w:p>
      <w:pPr>
        <w:spacing w:after="0" w:line="47" w:lineRule="exact"/>
        <w:rPr>
          <w:rFonts w:ascii="Courier New" w:cs="Courier New" w:eastAsia="Courier New" w:hAnsi="Courier New"/>
          <w:sz w:val="15"/>
          <w:szCs w:val="15"/>
          <w:color w:val="auto"/>
        </w:rPr>
      </w:pPr>
    </w:p>
    <w:p>
      <w:pPr>
        <w:ind w:right="3319" w:firstLine="1266"/>
        <w:spacing w:after="0" w:line="368" w:lineRule="auto"/>
        <w:tabs>
          <w:tab w:leader="none" w:pos="1727"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Nonstatutory Stock Option, the per Share exercise price shall be determined by the Administrator.</w:t>
      </w:r>
    </w:p>
    <w:p>
      <w:pPr>
        <w:spacing w:after="0" w:line="3"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70" w:lineRule="exact"/>
        <w:rPr>
          <w:sz w:val="20"/>
          <w:szCs w:val="20"/>
          <w:color w:val="auto"/>
        </w:rPr>
      </w:pPr>
    </w:p>
    <w:p>
      <w:pPr>
        <w:ind w:left="1260" w:hanging="358"/>
        <w:spacing w:after="0"/>
        <w:tabs>
          <w:tab w:leader="none" w:pos="12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Consideration. The Administrator shall determine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70" w:lineRule="exact"/>
        <w:rPr>
          <w:sz w:val="20"/>
          <w:szCs w:val="20"/>
          <w:color w:val="auto"/>
        </w:rPr>
      </w:pPr>
    </w:p>
    <w:p>
      <w:pPr>
        <w:ind w:left="1900" w:hanging="634"/>
        <w:spacing w:after="0"/>
        <w:tabs>
          <w:tab w:leader="none" w:pos="19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1900" w:hanging="634"/>
        <w:spacing w:after="0"/>
        <w:tabs>
          <w:tab w:leader="none" w:pos="19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left="1900" w:hanging="634"/>
        <w:spacing w:after="0"/>
        <w:tabs>
          <w:tab w:leader="none" w:pos="19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615" w:right="1440" w:bottom="1440" w:gutter="0" w:footer="0" w:header="0"/>
        </w:sectPr>
      </w:pPr>
    </w:p>
    <w:bookmarkStart w:id="65" w:name="page66"/>
    <w:bookmarkEnd w:id="65"/>
    <w:p>
      <w:pPr>
        <w:ind w:left="7" w:right="2959" w:firstLine="1356"/>
        <w:spacing w:after="0" w:line="277" w:lineRule="auto"/>
        <w:tabs>
          <w:tab w:leader="none" w:pos="2006"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68" w:lineRule="exact"/>
        <w:rPr>
          <w:rFonts w:ascii="Courier New" w:cs="Courier New" w:eastAsia="Courier New" w:hAnsi="Courier New"/>
          <w:sz w:val="15"/>
          <w:szCs w:val="15"/>
          <w:color w:val="auto"/>
        </w:rPr>
      </w:pPr>
    </w:p>
    <w:p>
      <w:pPr>
        <w:ind w:left="7" w:right="3139" w:firstLine="1356"/>
        <w:spacing w:after="0" w:line="287" w:lineRule="auto"/>
        <w:tabs>
          <w:tab w:leader="none" w:pos="2006"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61" w:lineRule="exact"/>
        <w:rPr>
          <w:rFonts w:ascii="Courier New" w:cs="Courier New" w:eastAsia="Courier New" w:hAnsi="Courier New"/>
          <w:sz w:val="15"/>
          <w:szCs w:val="15"/>
          <w:color w:val="auto"/>
        </w:rPr>
      </w:pPr>
    </w:p>
    <w:p>
      <w:pPr>
        <w:ind w:left="7" w:right="3039" w:firstLine="1356"/>
        <w:spacing w:after="0" w:line="307" w:lineRule="auto"/>
        <w:tabs>
          <w:tab w:leader="none" w:pos="2006"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amount of any Company liability to the Optionee, including any liability attributable to the Optionee's participation in any Company-sponsored deferred compensation program or arrangement;</w:t>
      </w:r>
    </w:p>
    <w:p>
      <w:pPr>
        <w:spacing w:after="0" w:line="47"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9"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Shares to the extent permitted by Applicable Laws.</w:t>
      </w:r>
    </w:p>
    <w:p>
      <w:pPr>
        <w:spacing w:after="0" w:line="151"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367" w:hanging="458"/>
        <w:spacing w:after="0"/>
        <w:tabs>
          <w:tab w:leader="none" w:pos="136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w:t>
      </w:r>
    </w:p>
    <w:p>
      <w:pPr>
        <w:spacing w:after="0" w:line="32"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139"/>
        <w:spacing w:after="0" w:line="287" w:lineRule="auto"/>
        <w:rPr>
          <w:sz w:val="20"/>
          <w:szCs w:val="20"/>
          <w:color w:val="auto"/>
        </w:rPr>
      </w:pPr>
      <w:r>
        <w:rPr>
          <w:rFonts w:ascii="Courier New" w:cs="Courier New" w:eastAsia="Courier New" w:hAnsi="Courier New"/>
          <w:sz w:val="15"/>
          <w:szCs w:val="15"/>
          <w:color w:val="auto"/>
        </w:rPr>
        <w:t>granted thereunder shall be exercisable according to the terms of the Plan and at such times and under such conditions as determined by the Administrator and set forth in the Option Agreement.</w:t>
      </w:r>
    </w:p>
    <w:p>
      <w:pPr>
        <w:spacing w:after="0" w:line="62"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An Option shall be deemed exercised when the Company receives:</w:t>
      </w:r>
    </w:p>
    <w:p>
      <w:pPr>
        <w:spacing w:after="0" w:line="33" w:lineRule="exact"/>
        <w:rPr>
          <w:sz w:val="20"/>
          <w:szCs w:val="20"/>
          <w:color w:val="auto"/>
        </w:rPr>
      </w:pPr>
    </w:p>
    <w:p>
      <w:pPr>
        <w:ind w:left="7" w:right="2959" w:hanging="7"/>
        <w:spacing w:after="0" w:line="252" w:lineRule="auto"/>
        <w:tabs>
          <w:tab w:leader="none" w:pos="37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88" w:lineRule="exact"/>
        <w:rPr>
          <w:sz w:val="20"/>
          <w:szCs w:val="20"/>
          <w:color w:val="auto"/>
        </w:rPr>
      </w:pPr>
    </w:p>
    <w:p>
      <w:pPr>
        <w:jc w:val="both"/>
        <w:ind w:left="7" w:right="3139" w:firstLine="1363"/>
        <w:spacing w:after="0" w:line="307"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ectPr>
          <w:pgSz w:w="11900" w:h="16838" w:orient="portrait"/>
          <w:cols w:equalWidth="0" w:num="1">
            <w:col w:w="10226"/>
          </w:cols>
          <w:pgMar w:left="233" w:top="615" w:right="1440" w:bottom="1440" w:gutter="0" w:footer="0" w:header="0"/>
        </w:sectPr>
      </w:pPr>
    </w:p>
    <w:bookmarkStart w:id="66" w:name="page67"/>
    <w:bookmarkEnd w:id="66"/>
    <w:p>
      <w:pPr>
        <w:ind w:left="1260" w:hanging="358"/>
        <w:spacing w:after="0"/>
        <w:tabs>
          <w:tab w:leader="none" w:pos="12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 Upon</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5"/>
          <w:szCs w:val="15"/>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88" w:lineRule="exact"/>
        <w:rPr>
          <w:sz w:val="20"/>
          <w:szCs w:val="20"/>
          <w:color w:val="auto"/>
        </w:rPr>
      </w:pPr>
    </w:p>
    <w:p>
      <w:pPr>
        <w:ind w:left="1260" w:hanging="358"/>
        <w:spacing w:after="0"/>
        <w:tabs>
          <w:tab w:leader="none" w:pos="12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In the event that an Optionee's</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8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 Death of Optionee. In the event of the death of an Optionee, the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8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 Rule 16b-3. Options granted to individuals subject to Section 16</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74" w:lineRule="auto"/>
        <w:rPr>
          <w:sz w:val="20"/>
          <w:szCs w:val="20"/>
          <w:color w:val="auto"/>
        </w:rPr>
      </w:pPr>
      <w:r>
        <w:rPr>
          <w:rFonts w:ascii="Courier New" w:cs="Courier New" w:eastAsia="Courier New" w:hAnsi="Courier New"/>
          <w:sz w:val="15"/>
          <w:szCs w:val="15"/>
          <w:color w:val="auto"/>
        </w:rPr>
        <w:t>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70" w:lineRule="exact"/>
        <w:rPr>
          <w:sz w:val="20"/>
          <w:szCs w:val="20"/>
          <w:color w:val="auto"/>
        </w:rPr>
      </w:pPr>
    </w:p>
    <w:p>
      <w:pPr>
        <w:ind w:left="1260" w:hanging="358"/>
        <w:spacing w:after="0"/>
        <w:tabs>
          <w:tab w:leader="none" w:pos="12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Any Optionee who is also a participant in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Retirement at Micron ("RAM") Section 401(k) Plan and who requests and receives a hardship distribution from the RAM Plan, is prohibited from making, and must suspend, his or her employee elective</w:t>
      </w:r>
    </w:p>
    <w:p>
      <w:pPr>
        <w:sectPr>
          <w:pgSz w:w="11900" w:h="16838" w:orient="portrait"/>
          <w:cols w:equalWidth="0" w:num="1">
            <w:col w:w="10219"/>
          </w:cols>
          <w:pgMar w:left="240" w:top="615" w:right="1440" w:bottom="1440" w:gutter="0" w:footer="0" w:header="0"/>
        </w:sectPr>
      </w:pPr>
    </w:p>
    <w:bookmarkStart w:id="67" w:name="page68"/>
    <w:bookmarkEnd w:id="67"/>
    <w:p>
      <w:pPr>
        <w:jc w:val="both"/>
        <w:ind w:left="7" w:right="3139"/>
        <w:spacing w:after="0" w:line="307" w:lineRule="auto"/>
        <w:rPr>
          <w:sz w:val="20"/>
          <w:szCs w:val="20"/>
          <w:color w:val="auto"/>
        </w:rPr>
      </w:pPr>
      <w:r>
        <w:rPr>
          <w:rFonts w:ascii="Courier New" w:cs="Courier New" w:eastAsia="Courier New" w:hAnsi="Courier New"/>
          <w:sz w:val="15"/>
          <w:szCs w:val="15"/>
          <w:color w:val="auto"/>
        </w:rPr>
        <w:t>contributions and employee contributions including, without limitation on the foregoing, the exercise of any Option granted from the date of receipt by that employee of the RAM hardship distribution.</w:t>
      </w:r>
    </w:p>
    <w:p>
      <w:pPr>
        <w:spacing w:after="0" w:line="47" w:lineRule="exact"/>
        <w:rPr>
          <w:sz w:val="20"/>
          <w:szCs w:val="20"/>
          <w:color w:val="auto"/>
        </w:rPr>
      </w:pPr>
    </w:p>
    <w:p>
      <w:pPr>
        <w:ind w:left="907" w:hanging="452"/>
        <w:spacing w:after="0"/>
        <w:tabs>
          <w:tab w:leader="none" w:pos="90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An Option may not be sold, pledged,</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assigned, hypothecated, transferred, or disposed of in any manner other than by will or by laws of descent or distribution and may be exercised, during the lifetime of the Optionee, only by the Optionee.</w:t>
      </w:r>
    </w:p>
    <w:p>
      <w:pPr>
        <w:spacing w:after="0" w:line="62" w:lineRule="exact"/>
        <w:rPr>
          <w:sz w:val="20"/>
          <w:szCs w:val="20"/>
          <w:color w:val="auto"/>
        </w:rPr>
      </w:pPr>
    </w:p>
    <w:p>
      <w:pPr>
        <w:ind w:left="907" w:hanging="452"/>
        <w:spacing w:after="0"/>
        <w:tabs>
          <w:tab w:leader="none" w:pos="90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87" w:hanging="187"/>
        <w:spacing w:after="0"/>
        <w:tabs>
          <w:tab w:leader="none" w:pos="18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1" w:lineRule="auto"/>
        <w:rPr>
          <w:sz w:val="20"/>
          <w:szCs w:val="20"/>
          <w:color w:val="auto"/>
        </w:rPr>
      </w:pPr>
      <w:r>
        <w:rPr>
          <w:rFonts w:ascii="Courier New" w:cs="Courier New" w:eastAsia="Courier New" w:hAnsi="Courier New"/>
          <w:sz w:val="15"/>
          <w:szCs w:val="15"/>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94" w:lineRule="exact"/>
        <w:rPr>
          <w:sz w:val="20"/>
          <w:szCs w:val="20"/>
          <w:color w:val="auto"/>
        </w:rPr>
      </w:pPr>
    </w:p>
    <w:p>
      <w:pPr>
        <w:ind w:left="1267" w:hanging="358"/>
        <w:spacing w:after="0"/>
        <w:tabs>
          <w:tab w:leader="none" w:pos="126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82" w:lineRule="exact"/>
        <w:rPr>
          <w:sz w:val="20"/>
          <w:szCs w:val="20"/>
          <w:color w:val="auto"/>
        </w:rPr>
      </w:pPr>
    </w:p>
    <w:p>
      <w:pPr>
        <w:ind w:left="1267" w:hanging="358"/>
        <w:spacing w:after="0"/>
        <w:tabs>
          <w:tab w:leader="none" w:pos="126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4" w:lineRule="auto"/>
        <w:rPr>
          <w:sz w:val="20"/>
          <w:szCs w:val="20"/>
          <w:color w:val="auto"/>
        </w:rPr>
      </w:pPr>
      <w:r>
        <w:rPr>
          <w:rFonts w:ascii="Courier New" w:cs="Courier New" w:eastAsia="Courier New" w:hAnsi="Courier New"/>
          <w:sz w:val="15"/>
          <w:szCs w:val="15"/>
          <w:color w:val="auto"/>
        </w:rPr>
        <w:t>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w:t>
      </w:r>
    </w:p>
    <w:p>
      <w:pPr>
        <w:sectPr>
          <w:pgSz w:w="11900" w:h="16838" w:orient="portrait"/>
          <w:cols w:equalWidth="0" w:num="1">
            <w:col w:w="10226"/>
          </w:cols>
          <w:pgMar w:left="233" w:top="615" w:right="1440" w:bottom="1440" w:gutter="0" w:footer="0" w:header="0"/>
        </w:sectPr>
      </w:pPr>
    </w:p>
    <w:bookmarkStart w:id="68" w:name="page69"/>
    <w:bookmarkEnd w:id="68"/>
    <w:p>
      <w:pPr>
        <w:ind w:right="2959"/>
        <w:spacing w:after="0" w:line="254" w:lineRule="auto"/>
        <w:rPr>
          <w:sz w:val="20"/>
          <w:szCs w:val="20"/>
          <w:color w:val="auto"/>
        </w:rPr>
      </w:pPr>
      <w:r>
        <w:rPr>
          <w:rFonts w:ascii="Courier New" w:cs="Courier New" w:eastAsia="Courier New" w:hAnsi="Courier New"/>
          <w:sz w:val="15"/>
          <w:szCs w:val="15"/>
          <w:color w:val="auto"/>
        </w:rPr>
        <w:t>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94" w:lineRule="exact"/>
        <w:rPr>
          <w:sz w:val="20"/>
          <w:szCs w:val="20"/>
          <w:color w:val="auto"/>
        </w:rPr>
      </w:pPr>
    </w:p>
    <w:p>
      <w:pPr>
        <w:ind w:left="1260" w:hanging="358"/>
        <w:spacing w:after="0"/>
        <w:tabs>
          <w:tab w:leader="none" w:pos="12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of a Change in Control,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70" w:lineRule="exact"/>
        <w:rPr>
          <w:sz w:val="20"/>
          <w:szCs w:val="20"/>
          <w:color w:val="auto"/>
        </w:rPr>
      </w:pPr>
    </w:p>
    <w:p>
      <w:pPr>
        <w:ind w:left="900" w:hanging="452"/>
        <w:spacing w:after="0"/>
        <w:tabs>
          <w:tab w:leader="none" w:pos="9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70" w:lineRule="exact"/>
        <w:rPr>
          <w:sz w:val="20"/>
          <w:szCs w:val="20"/>
          <w:color w:val="auto"/>
        </w:rPr>
      </w:pPr>
    </w:p>
    <w:p>
      <w:pPr>
        <w:ind w:left="900" w:hanging="452"/>
        <w:spacing w:after="0"/>
        <w:tabs>
          <w:tab w:leader="none" w:pos="9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 suspend, or terminate the Plan.</w:t>
      </w:r>
    </w:p>
    <w:p>
      <w:pPr>
        <w:spacing w:after="0" w:line="15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 Shareholder Approval. The Company shall obtain shareholder</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8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 Effect of Amendment or Termination. No amendment, alteration,</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62" w:lineRule="exact"/>
        <w:rPr>
          <w:sz w:val="20"/>
          <w:szCs w:val="20"/>
          <w:color w:val="auto"/>
        </w:rPr>
      </w:pPr>
    </w:p>
    <w:p>
      <w:pPr>
        <w:ind w:left="900" w:hanging="452"/>
        <w:spacing w:after="0"/>
        <w:tabs>
          <w:tab w:leader="none" w:pos="9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exercise of an Option unless the exercise of such Option and the issuance and delivery of such Shares shall comply with all relevant provisions of law, including, without limitation, the Securities Act of</w:t>
      </w:r>
    </w:p>
    <w:p>
      <w:pPr>
        <w:sectPr>
          <w:pgSz w:w="11900" w:h="16838" w:orient="portrait"/>
          <w:cols w:equalWidth="0" w:num="1">
            <w:col w:w="10219"/>
          </w:cols>
          <w:pgMar w:left="240" w:top="615" w:right="1440" w:bottom="1440" w:gutter="0" w:footer="0" w:header="0"/>
        </w:sectPr>
      </w:pPr>
    </w:p>
    <w:bookmarkStart w:id="69" w:name="page70"/>
    <w:bookmarkEnd w:id="69"/>
    <w:p>
      <w:pPr>
        <w:ind w:right="3139"/>
        <w:spacing w:after="0" w:line="277" w:lineRule="auto"/>
        <w:rPr>
          <w:sz w:val="20"/>
          <w:szCs w:val="20"/>
          <w:color w:val="auto"/>
        </w:rPr>
      </w:pPr>
      <w:r>
        <w:rPr>
          <w:rFonts w:ascii="Courier New" w:cs="Courier New" w:eastAsia="Courier New" w:hAnsi="Courier New"/>
          <w:sz w:val="15"/>
          <w:szCs w:val="15"/>
          <w:color w:val="auto"/>
        </w:rPr>
        <w:t>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68" w:lineRule="exact"/>
        <w:rPr>
          <w:sz w:val="20"/>
          <w:szCs w:val="20"/>
          <w:color w:val="auto"/>
        </w:rPr>
      </w:pPr>
    </w:p>
    <w:p>
      <w:pPr>
        <w:ind w:left="1260" w:hanging="358"/>
        <w:spacing w:after="0"/>
        <w:tabs>
          <w:tab w:leader="none" w:pos="126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75" w:lineRule="exact"/>
        <w:rPr>
          <w:sz w:val="20"/>
          <w:szCs w:val="20"/>
          <w:color w:val="auto"/>
        </w:rPr>
      </w:pPr>
    </w:p>
    <w:p>
      <w:pPr>
        <w:ind w:left="900" w:hanging="452"/>
        <w:spacing w:after="0"/>
        <w:tabs>
          <w:tab w:leader="none" w:pos="9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Obtain Authority. The inability of the Company to</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75" w:lineRule="exact"/>
        <w:rPr>
          <w:sz w:val="20"/>
          <w:szCs w:val="20"/>
          <w:color w:val="auto"/>
        </w:rPr>
      </w:pPr>
    </w:p>
    <w:p>
      <w:pPr>
        <w:ind w:left="1260" w:hanging="358"/>
        <w:spacing w:after="0"/>
        <w:tabs>
          <w:tab w:leader="none" w:pos="12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Exceeding Allotted Shares. If the Optioned Stock covered</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67" w:lineRule="auto"/>
        <w:rPr>
          <w:sz w:val="20"/>
          <w:szCs w:val="20"/>
          <w:color w:val="auto"/>
        </w:rPr>
      </w:pPr>
      <w:r>
        <w:rPr>
          <w:rFonts w:ascii="Courier New" w:cs="Courier New" w:eastAsia="Courier New" w:hAnsi="Courier New"/>
          <w:sz w:val="15"/>
          <w:szCs w:val="15"/>
          <w:color w:val="auto"/>
        </w:rPr>
        <w:t>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75" w:lineRule="exact"/>
        <w:rPr>
          <w:sz w:val="20"/>
          <w:szCs w:val="20"/>
          <w:color w:val="auto"/>
        </w:rPr>
      </w:pPr>
    </w:p>
    <w:p>
      <w:pPr>
        <w:ind w:left="900" w:hanging="452"/>
        <w:spacing w:after="0"/>
        <w:tabs>
          <w:tab w:leader="none" w:pos="9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will at all times reserve and keep available such number of Shares as shall be sufficient to satisfy the requirements of the Plan.</w:t>
      </w:r>
    </w:p>
    <w:p>
      <w:pPr>
        <w:spacing w:after="0" w:line="30" w:lineRule="exact"/>
        <w:rPr>
          <w:sz w:val="20"/>
          <w:szCs w:val="20"/>
          <w:color w:val="auto"/>
        </w:rPr>
      </w:pPr>
    </w:p>
    <w:p>
      <w:pPr>
        <w:ind w:left="900" w:hanging="452"/>
        <w:spacing w:after="0"/>
        <w:tabs>
          <w:tab w:leader="none" w:pos="9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approval by the shareholders of the Company within twelve (12) months before or after the date the Plan is adopted. Such shareholder approval shall be obtained in the manner and to the degree required under applicable federal and Delaware law.</w:t>
      </w:r>
    </w:p>
    <w:p>
      <w:pPr>
        <w:sectPr>
          <w:pgSz w:w="11900" w:h="16838" w:orient="portrait"/>
          <w:cols w:equalWidth="0" w:num="1">
            <w:col w:w="10219"/>
          </w:cols>
          <w:pgMar w:left="240" w:top="615" w:right="1440" w:bottom="1440" w:gutter="0" w:footer="0" w:header="0"/>
        </w:sectPr>
      </w:pPr>
    </w:p>
    <w:bookmarkStart w:id="70" w:name="page71"/>
    <w:bookmarkEnd w:id="70"/>
    <w:p>
      <w:pPr>
        <w:jc w:val="right"/>
        <w:ind w:right="2959"/>
        <w:spacing w:after="0"/>
        <w:rPr>
          <w:sz w:val="20"/>
          <w:szCs w:val="20"/>
          <w:color w:val="auto"/>
        </w:rPr>
      </w:pPr>
      <w:r>
        <w:rPr>
          <w:rFonts w:ascii="Courier New" w:cs="Courier New" w:eastAsia="Courier New" w:hAnsi="Courier New"/>
          <w:sz w:val="15"/>
          <w:szCs w:val="15"/>
          <w:color w:val="auto"/>
        </w:rPr>
        <w:t>EXHIBIT 10.128</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NONSTATUTORY STOCK OPTION PLAN</w:t>
      </w:r>
    </w:p>
    <w:p>
      <w:pPr>
        <w:spacing w:after="0" w:line="326" w:lineRule="exact"/>
        <w:rPr>
          <w:sz w:val="20"/>
          <w:szCs w:val="20"/>
          <w:color w:val="auto"/>
        </w:rPr>
      </w:pPr>
    </w:p>
    <w:p>
      <w:pPr>
        <w:ind w:left="900" w:hanging="452"/>
        <w:spacing w:after="0"/>
        <w:tabs>
          <w:tab w:leader="none" w:pos="9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Plan are:</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900" w:right="3219" w:hanging="452"/>
        <w:spacing w:after="0" w:line="368" w:lineRule="auto"/>
        <w:tabs>
          <w:tab w:leader="none" w:pos="9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the best available personnel for positions of substantial responsibility,</w:t>
      </w:r>
    </w:p>
    <w:p>
      <w:pPr>
        <w:spacing w:after="0" w:line="3" w:lineRule="exact"/>
        <w:rPr>
          <w:sz w:val="20"/>
          <w:szCs w:val="20"/>
          <w:color w:val="auto"/>
        </w:rPr>
      </w:pPr>
    </w:p>
    <w:p>
      <w:pPr>
        <w:ind w:left="900" w:hanging="452"/>
        <w:spacing w:after="0"/>
        <w:tabs>
          <w:tab w:leader="none" w:pos="9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additional incentive to Employees and Consultants, and</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success of the Company's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Nonstatutory stock options may be granted under the Plan.</w:t>
      </w:r>
    </w:p>
    <w:p>
      <w:pPr>
        <w:spacing w:after="0" w:line="180" w:lineRule="exact"/>
        <w:rPr>
          <w:sz w:val="20"/>
          <w:szCs w:val="20"/>
          <w:color w:val="auto"/>
        </w:rPr>
      </w:pPr>
    </w:p>
    <w:p>
      <w:pPr>
        <w:ind w:left="900" w:hanging="452"/>
        <w:spacing w:after="0"/>
        <w:tabs>
          <w:tab w:leader="none" w:pos="9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administering the Plan, in accordance with Section 4 of the Plan.</w:t>
      </w:r>
    </w:p>
    <w:p>
      <w:pPr>
        <w:spacing w:after="0" w:line="152" w:lineRule="exact"/>
        <w:rPr>
          <w:sz w:val="20"/>
          <w:szCs w:val="20"/>
          <w:color w:val="auto"/>
        </w:rPr>
      </w:pPr>
    </w:p>
    <w:p>
      <w:pPr>
        <w:ind w:left="1260" w:hanging="358"/>
        <w:spacing w:after="0"/>
        <w:tabs>
          <w:tab w:leader="none" w:pos="12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70" w:lineRule="exact"/>
        <w:rPr>
          <w:sz w:val="20"/>
          <w:szCs w:val="20"/>
          <w:color w:val="auto"/>
        </w:rPr>
      </w:pPr>
    </w:p>
    <w:p>
      <w:pPr>
        <w:ind w:left="1260" w:hanging="358"/>
        <w:spacing w:after="0"/>
        <w:tabs>
          <w:tab w:leader="none" w:pos="12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acquisition by any person or entity,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directly, indirectly or beneficially, acting alone or in concert, of more than thirty-five percent (35%) of the Common Stock of the Company outstanding at any time.</w:t>
      </w:r>
    </w:p>
    <w:p>
      <w:pPr>
        <w:spacing w:after="0" w:line="62" w:lineRule="exact"/>
        <w:rPr>
          <w:sz w:val="20"/>
          <w:szCs w:val="20"/>
          <w:color w:val="auto"/>
        </w:rPr>
      </w:pPr>
    </w:p>
    <w:p>
      <w:pPr>
        <w:ind w:left="1260" w:hanging="358"/>
        <w:spacing w:after="0"/>
        <w:tabs>
          <w:tab w:leader="none" w:pos="12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4 of the Plan.</w:t>
      </w:r>
    </w:p>
    <w:p>
      <w:pPr>
        <w:spacing w:after="0" w:line="152" w:lineRule="exact"/>
        <w:rPr>
          <w:sz w:val="20"/>
          <w:szCs w:val="20"/>
          <w:color w:val="auto"/>
        </w:rPr>
      </w:pPr>
    </w:p>
    <w:p>
      <w:pPr>
        <w:ind w:left="1260" w:hanging="358"/>
        <w:spacing w:after="0"/>
        <w:tabs>
          <w:tab w:leader="none" w:pos="12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Micron Technology, Inc., a Delaware corporation.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Company or a parent, subsidiary or affiliate to render services. The term "Consultant" shall not include any person who is also an Officer or Director of the Company.</w:t>
      </w:r>
    </w:p>
    <w:p>
      <w:pPr>
        <w:sectPr>
          <w:pgSz w:w="11900" w:h="16838" w:orient="portrait"/>
          <w:cols w:equalWidth="0" w:num="1">
            <w:col w:w="10219"/>
          </w:cols>
          <w:pgMar w:left="240" w:top="463" w:right="1440" w:bottom="1440" w:gutter="0" w:footer="0" w:header="0"/>
        </w:sectPr>
      </w:pPr>
    </w:p>
    <w:bookmarkStart w:id="71" w:name="page72"/>
    <w:bookmarkEnd w:id="71"/>
    <w:p>
      <w:pPr>
        <w:ind w:left="1260" w:hanging="358"/>
        <w:spacing w:after="0"/>
        <w:tabs>
          <w:tab w:leader="none" w:pos="12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or Consultant" means that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82" w:lineRule="exact"/>
        <w:rPr>
          <w:sz w:val="20"/>
          <w:szCs w:val="20"/>
          <w:color w:val="auto"/>
        </w:rPr>
      </w:pPr>
    </w:p>
    <w:p>
      <w:pPr>
        <w:ind w:left="1260" w:hanging="358"/>
        <w:spacing w:after="0"/>
        <w:tabs>
          <w:tab w:leader="none" w:pos="12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22(e)(3) of the Code.</w:t>
      </w:r>
    </w:p>
    <w:p>
      <w:pPr>
        <w:spacing w:after="0" w:line="152" w:lineRule="exact"/>
        <w:rPr>
          <w:sz w:val="20"/>
          <w:szCs w:val="20"/>
          <w:color w:val="auto"/>
        </w:rPr>
      </w:pPr>
    </w:p>
    <w:p>
      <w:pPr>
        <w:ind w:left="1260" w:hanging="358"/>
        <w:spacing w:after="0"/>
        <w:tabs>
          <w:tab w:leader="none" w:pos="12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except Officers and Directors,</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employed by the Company or any parent, subsidiary or affiliate of the Company.</w:t>
      </w:r>
    </w:p>
    <w:p>
      <w:pPr>
        <w:spacing w:after="0" w:line="152" w:lineRule="exact"/>
        <w:rPr>
          <w:sz w:val="20"/>
          <w:szCs w:val="20"/>
          <w:color w:val="auto"/>
        </w:rPr>
      </w:pPr>
    </w:p>
    <w:p>
      <w:pPr>
        <w:ind w:left="1260" w:hanging="358"/>
        <w:spacing w:after="0"/>
        <w:tabs>
          <w:tab w:leader="none" w:pos="12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closing price for</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(o)</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"Notice of Grant"</w:t>
            </w:r>
          </w:p>
        </w:tc>
        <w:tc>
          <w:tcPr>
            <w:tcW w:w="3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means a written notice evidencing</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certain terms</w:t>
            </w:r>
          </w:p>
        </w:tc>
        <w:tc>
          <w:tcPr>
            <w:tcW w:w="0" w:type="dxa"/>
            <w:vAlign w:val="bottom"/>
          </w:tcPr>
          <w:p>
            <w:pPr>
              <w:spacing w:after="0"/>
              <w:rPr>
                <w:sz w:val="1"/>
                <w:szCs w:val="1"/>
                <w:color w:val="auto"/>
              </w:rPr>
            </w:pPr>
          </w:p>
        </w:tc>
      </w:tr>
      <w:tr>
        <w:trPr>
          <w:trHeight w:val="175"/>
        </w:trPr>
        <w:tc>
          <w:tcPr>
            <w:tcW w:w="320" w:type="dxa"/>
            <w:vAlign w:val="bottom"/>
            <w:vMerge w:val="restart"/>
          </w:tcPr>
          <w:p>
            <w:pPr>
              <w:spacing w:after="0"/>
              <w:rPr>
                <w:sz w:val="20"/>
                <w:szCs w:val="20"/>
                <w:color w:val="auto"/>
              </w:rPr>
            </w:pPr>
            <w:r>
              <w:rPr>
                <w:rFonts w:ascii="Courier New" w:cs="Courier New" w:eastAsia="Courier New" w:hAnsi="Courier New"/>
                <w:sz w:val="15"/>
                <w:szCs w:val="15"/>
                <w:color w:val="auto"/>
              </w:rPr>
              <w:t>and</w:t>
            </w:r>
          </w:p>
        </w:tc>
        <w:tc>
          <w:tcPr>
            <w:tcW w:w="900" w:type="dxa"/>
            <w:vAlign w:val="bottom"/>
          </w:tcPr>
          <w:p>
            <w:pPr>
              <w:spacing w:after="0"/>
              <w:rPr>
                <w:sz w:val="15"/>
                <w:szCs w:val="15"/>
                <w:color w:val="auto"/>
              </w:rPr>
            </w:pP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Option</w:t>
            </w:r>
          </w:p>
        </w:tc>
        <w:tc>
          <w:tcPr>
            <w:tcW w:w="24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grant. The Notice of Grant</w:t>
            </w:r>
          </w:p>
        </w:tc>
        <w:tc>
          <w:tcPr>
            <w:tcW w:w="1240" w:type="dxa"/>
            <w:vAlign w:val="bottom"/>
            <w:vMerge w:val="restart"/>
          </w:tcPr>
          <w:p>
            <w:pPr>
              <w:ind w:left="60"/>
              <w:spacing w:after="0"/>
              <w:rPr>
                <w:sz w:val="20"/>
                <w:szCs w:val="20"/>
                <w:color w:val="auto"/>
              </w:rPr>
            </w:pPr>
            <w:r>
              <w:rPr>
                <w:rFonts w:ascii="Courier New" w:cs="Courier New" w:eastAsia="Courier New" w:hAnsi="Courier New"/>
                <w:sz w:val="15"/>
                <w:szCs w:val="15"/>
                <w:color w:val="auto"/>
                <w:w w:val="99"/>
              </w:rPr>
              <w:t>is subject to</w:t>
            </w:r>
          </w:p>
        </w:tc>
        <w:tc>
          <w:tcPr>
            <w:tcW w:w="0" w:type="dxa"/>
            <w:vAlign w:val="bottom"/>
          </w:tcPr>
          <w:p>
            <w:pPr>
              <w:spacing w:after="0"/>
              <w:rPr>
                <w:sz w:val="1"/>
                <w:szCs w:val="1"/>
                <w:color w:val="auto"/>
              </w:rPr>
            </w:pPr>
          </w:p>
        </w:tc>
      </w:tr>
      <w:tr>
        <w:trPr>
          <w:trHeight w:val="175"/>
        </w:trPr>
        <w:tc>
          <w:tcPr>
            <w:tcW w:w="320" w:type="dxa"/>
            <w:vAlign w:val="bottom"/>
            <w:vMerge w:val="continue"/>
          </w:tcPr>
          <w:p>
            <w:pPr>
              <w:spacing w:after="0"/>
              <w:rPr>
                <w:sz w:val="15"/>
                <w:szCs w:val="15"/>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conditions of an individual</w:t>
            </w:r>
          </w:p>
        </w:tc>
        <w:tc>
          <w:tcPr>
            <w:tcW w:w="64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terms and</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conditions of the</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Option</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260" w:hanging="358"/>
        <w:spacing w:after="0"/>
        <w:tabs>
          <w:tab w:leader="none" w:pos="12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329" w:lineRule="auto"/>
        <w:rPr>
          <w:sz w:val="20"/>
          <w:szCs w:val="20"/>
          <w:color w:val="auto"/>
        </w:rPr>
      </w:pPr>
      <w:r>
        <w:rPr>
          <w:rFonts w:ascii="Courier New" w:cs="Courier New" w:eastAsia="Courier New" w:hAnsi="Courier New"/>
          <w:sz w:val="15"/>
          <w:szCs w:val="15"/>
          <w:color w:val="auto"/>
        </w:rPr>
        <w:t>the meaning of Section 16 of the Securities Exchange Act of 1934, as amended, and the rules and regulations promulgated thereunder.</w:t>
      </w:r>
    </w:p>
    <w:p>
      <w:pPr>
        <w:spacing w:after="0" w:line="30" w:lineRule="exact"/>
        <w:rPr>
          <w:sz w:val="20"/>
          <w:szCs w:val="20"/>
          <w:color w:val="auto"/>
        </w:rPr>
      </w:pPr>
    </w:p>
    <w:p>
      <w:pPr>
        <w:ind w:left="1260" w:hanging="358"/>
        <w:spacing w:after="0"/>
        <w:tabs>
          <w:tab w:leader="none" w:pos="12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nonstatutory stock option granted pursuant to the</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Plan. Such option is not intended to qualify as an incentive stock option within the meaning of Section 422 of the Code and the regulations promulgated thereunder.</w:t>
      </w:r>
    </w:p>
    <w:p>
      <w:pPr>
        <w:spacing w:after="0" w:line="6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 "Option Agreement" means a written agreement between the Company</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and an Optionee evidencing the terms and conditions of an individual Option grant. The Option Agreement is subject to the terms and conditions of the Plan.</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 "Option Exchange Program" means a program whereby outstanding</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are surrendered in exchange for options with a lower exercise price.</w:t>
      </w:r>
    </w:p>
    <w:p>
      <w:pPr>
        <w:spacing w:after="0" w:line="152" w:lineRule="exact"/>
        <w:rPr>
          <w:sz w:val="20"/>
          <w:szCs w:val="20"/>
          <w:color w:val="auto"/>
        </w:rPr>
      </w:pPr>
    </w:p>
    <w:p>
      <w:pPr>
        <w:ind w:left="1260" w:hanging="358"/>
        <w:spacing w:after="0"/>
        <w:tabs>
          <w:tab w:leader="none" w:pos="12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Option.</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4" w:right="1440" w:bottom="1440" w:gutter="0" w:footer="0" w:header="0"/>
        </w:sectPr>
      </w:pPr>
    </w:p>
    <w:bookmarkStart w:id="72" w:name="page73"/>
    <w:bookmarkEnd w:id="72"/>
    <w:p>
      <w:pPr>
        <w:ind w:left="1260" w:hanging="358"/>
        <w:spacing w:after="0"/>
        <w:tabs>
          <w:tab w:leader="none" w:pos="12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Nonstatutory Stock Option Plan.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Section 12 of the Plan.</w:t>
      </w:r>
    </w:p>
    <w:p>
      <w:pPr>
        <w:spacing w:after="0" w:line="152" w:lineRule="exact"/>
        <w:rPr>
          <w:sz w:val="20"/>
          <w:szCs w:val="20"/>
          <w:color w:val="auto"/>
        </w:rPr>
      </w:pPr>
    </w:p>
    <w:p>
      <w:pPr>
        <w:ind w:left="900" w:hanging="452"/>
        <w:spacing w:after="0"/>
        <w:tabs>
          <w:tab w:leader="none" w:pos="9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Plan, the maximum aggregate number of Shares which may be optioned and sold under the Plan is 9,801,544. The Shares may be authorized, but, unissued, or reacquired Common Stock.</w:t>
      </w:r>
    </w:p>
    <w:p>
      <w:pPr>
        <w:spacing w:after="0" w:line="62" w:lineRule="exact"/>
        <w:rPr>
          <w:sz w:val="20"/>
          <w:szCs w:val="20"/>
          <w:color w:val="auto"/>
        </w:rPr>
      </w:pPr>
    </w:p>
    <w:p>
      <w:pPr>
        <w:ind w:right="2959" w:firstLine="909"/>
        <w:spacing w:after="0" w:line="287"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61" w:lineRule="exact"/>
        <w:rPr>
          <w:sz w:val="20"/>
          <w:szCs w:val="20"/>
          <w:color w:val="auto"/>
        </w:rPr>
      </w:pPr>
    </w:p>
    <w:p>
      <w:pPr>
        <w:ind w:left="900" w:hanging="452"/>
        <w:spacing w:after="0"/>
        <w:tabs>
          <w:tab w:leader="none" w:pos="9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The Plan shall be administered by (A) the Board or (B)</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78" w:lineRule="exact"/>
        <w:rPr>
          <w:sz w:val="20"/>
          <w:szCs w:val="20"/>
          <w:color w:val="auto"/>
        </w:rPr>
      </w:pPr>
    </w:p>
    <w:p>
      <w:pPr>
        <w:ind w:left="1260" w:hanging="358"/>
        <w:spacing w:after="0"/>
        <w:tabs>
          <w:tab w:leader="none" w:pos="126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Plan, and in the case of a Committee, subject to the specific duties delegated by the Board to such Committee, the Administrator shall have the authority, in its discretion:</w:t>
      </w:r>
    </w:p>
    <w:p>
      <w:pPr>
        <w:spacing w:after="0" w:line="62" w:lineRule="exact"/>
        <w:rPr>
          <w:sz w:val="20"/>
          <w:szCs w:val="20"/>
          <w:color w:val="auto"/>
        </w:rPr>
      </w:pPr>
    </w:p>
    <w:p>
      <w:pPr>
        <w:ind w:left="1820" w:hanging="554"/>
        <w:spacing w:after="0"/>
        <w:tabs>
          <w:tab w:leader="none" w:pos="18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w:t>
      </w:r>
    </w:p>
    <w:p>
      <w:pPr>
        <w:spacing w:after="0" w:line="179" w:lineRule="exact"/>
        <w:rPr>
          <w:rFonts w:ascii="Courier New" w:cs="Courier New" w:eastAsia="Courier New" w:hAnsi="Courier New"/>
          <w:sz w:val="15"/>
          <w:szCs w:val="15"/>
          <w:color w:val="auto"/>
        </w:rPr>
      </w:pPr>
    </w:p>
    <w:p>
      <w:pPr>
        <w:ind w:right="3039" w:firstLine="1266"/>
        <w:spacing w:after="0" w:line="368" w:lineRule="auto"/>
        <w:tabs>
          <w:tab w:leader="none" w:pos="181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may be granted hereunder;</w:t>
      </w:r>
    </w:p>
    <w:p>
      <w:pPr>
        <w:spacing w:after="0" w:line="3" w:lineRule="exact"/>
        <w:rPr>
          <w:rFonts w:ascii="Courier New" w:cs="Courier New" w:eastAsia="Courier New" w:hAnsi="Courier New"/>
          <w:sz w:val="15"/>
          <w:szCs w:val="15"/>
          <w:color w:val="auto"/>
        </w:rPr>
      </w:pPr>
    </w:p>
    <w:p>
      <w:pPr>
        <w:ind w:left="1820" w:hanging="554"/>
        <w:spacing w:after="0"/>
        <w:tabs>
          <w:tab w:leader="none" w:pos="18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 granted</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w:t>
      </w:r>
    </w:p>
    <w:p>
      <w:pPr>
        <w:spacing w:after="0" w:line="151" w:lineRule="exact"/>
        <w:rPr>
          <w:rFonts w:ascii="Courier New" w:cs="Courier New" w:eastAsia="Courier New" w:hAnsi="Courier New"/>
          <w:sz w:val="15"/>
          <w:szCs w:val="15"/>
          <w:color w:val="auto"/>
        </w:rPr>
      </w:pPr>
    </w:p>
    <w:p>
      <w:pPr>
        <w:ind w:right="3419" w:firstLine="1266"/>
        <w:spacing w:after="0" w:line="368" w:lineRule="auto"/>
        <w:tabs>
          <w:tab w:leader="none" w:pos="181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3" w:lineRule="exact"/>
        <w:rPr>
          <w:rFonts w:ascii="Courier New" w:cs="Courier New" w:eastAsia="Courier New" w:hAnsi="Courier New"/>
          <w:sz w:val="15"/>
          <w:szCs w:val="15"/>
          <w:color w:val="auto"/>
        </w:rPr>
      </w:pPr>
    </w:p>
    <w:p>
      <w:pPr>
        <w:ind w:left="1820" w:hanging="554"/>
        <w:spacing w:after="0"/>
        <w:tabs>
          <w:tab w:leader="none" w:pos="18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9" w:lineRule="exact"/>
        <w:rPr>
          <w:rFonts w:ascii="Courier New" w:cs="Courier New" w:eastAsia="Courier New" w:hAnsi="Courier New"/>
          <w:sz w:val="15"/>
          <w:szCs w:val="15"/>
          <w:color w:val="auto"/>
        </w:rPr>
      </w:pPr>
    </w:p>
    <w:p>
      <w:pPr>
        <w:ind w:right="2959" w:firstLine="1266"/>
        <w:spacing w:after="0" w:line="264" w:lineRule="auto"/>
        <w:tabs>
          <w:tab w:leader="none" w:pos="181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73" w:name="page74"/>
    <w:bookmarkEnd w:id="73"/>
    <w:p>
      <w:pPr>
        <w:ind w:right="3139" w:firstLine="1266"/>
        <w:spacing w:after="0" w:line="307" w:lineRule="auto"/>
        <w:tabs>
          <w:tab w:leader="none" w:pos="190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 then current Fair Market Value if the Fair Market Value of the Common Stock covered by such Option shall have declined since the date the Option was granted;</w:t>
      </w:r>
    </w:p>
    <w:p>
      <w:pPr>
        <w:spacing w:after="0" w:line="47" w:lineRule="exact"/>
        <w:rPr>
          <w:rFonts w:ascii="Courier New" w:cs="Courier New" w:eastAsia="Courier New" w:hAnsi="Courier New"/>
          <w:sz w:val="15"/>
          <w:szCs w:val="15"/>
          <w:color w:val="auto"/>
        </w:rPr>
      </w:pPr>
    </w:p>
    <w:p>
      <w:pPr>
        <w:ind w:right="3039" w:firstLine="1266"/>
        <w:spacing w:after="0" w:line="368" w:lineRule="auto"/>
        <w:tabs>
          <w:tab w:leader="none" w:pos="190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3" w:lineRule="exact"/>
        <w:rPr>
          <w:rFonts w:ascii="Courier New" w:cs="Courier New" w:eastAsia="Courier New" w:hAnsi="Courier New"/>
          <w:sz w:val="15"/>
          <w:szCs w:val="15"/>
          <w:color w:val="auto"/>
        </w:rPr>
      </w:pPr>
    </w:p>
    <w:p>
      <w:pPr>
        <w:jc w:val="both"/>
        <w:ind w:right="3419" w:firstLine="1266"/>
        <w:spacing w:after="0" w:line="287" w:lineRule="auto"/>
        <w:tabs>
          <w:tab w:leader="none" w:pos="190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61" w:lineRule="exact"/>
        <w:rPr>
          <w:rFonts w:ascii="Courier New" w:cs="Courier New" w:eastAsia="Courier New" w:hAnsi="Courier New"/>
          <w:sz w:val="15"/>
          <w:szCs w:val="15"/>
          <w:color w:val="auto"/>
        </w:rPr>
      </w:pPr>
    </w:p>
    <w:p>
      <w:pPr>
        <w:ind w:right="2959" w:firstLine="1266"/>
        <w:spacing w:after="0" w:line="287" w:lineRule="auto"/>
        <w:tabs>
          <w:tab w:leader="none" w:pos="190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14(b) of the Plan), including the discretionary authority to extend the post-termination exercisability period of Options longer than is otherwise provided for in the Plan;</w:t>
      </w:r>
    </w:p>
    <w:p>
      <w:pPr>
        <w:spacing w:after="0" w:line="61" w:lineRule="exact"/>
        <w:rPr>
          <w:rFonts w:ascii="Courier New" w:cs="Courier New" w:eastAsia="Courier New" w:hAnsi="Courier New"/>
          <w:sz w:val="15"/>
          <w:szCs w:val="15"/>
          <w:color w:val="auto"/>
        </w:rPr>
      </w:pPr>
    </w:p>
    <w:p>
      <w:pPr>
        <w:ind w:right="2959" w:firstLine="1266"/>
        <w:spacing w:after="0" w:line="307" w:lineRule="auto"/>
        <w:tabs>
          <w:tab w:leader="none" w:pos="190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 Company any instrument required to effect the grant of an Option previously granted by the Administrator;</w:t>
      </w:r>
    </w:p>
    <w:p>
      <w:pPr>
        <w:spacing w:after="0" w:line="47" w:lineRule="exact"/>
        <w:rPr>
          <w:rFonts w:ascii="Courier New" w:cs="Courier New" w:eastAsia="Courier New" w:hAnsi="Courier New"/>
          <w:sz w:val="15"/>
          <w:szCs w:val="15"/>
          <w:color w:val="auto"/>
        </w:rPr>
      </w:pPr>
    </w:p>
    <w:p>
      <w:pPr>
        <w:ind w:left="1900" w:hanging="634"/>
        <w:spacing w:after="0"/>
        <w:tabs>
          <w:tab w:leader="none" w:pos="19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and Option Exchange Program;</w:t>
      </w:r>
    </w:p>
    <w:p>
      <w:pPr>
        <w:spacing w:after="0" w:line="179" w:lineRule="exact"/>
        <w:rPr>
          <w:rFonts w:ascii="Courier New" w:cs="Courier New" w:eastAsia="Courier New" w:hAnsi="Courier New"/>
          <w:sz w:val="15"/>
          <w:szCs w:val="15"/>
          <w:color w:val="auto"/>
        </w:rPr>
      </w:pPr>
    </w:p>
    <w:p>
      <w:pPr>
        <w:ind w:right="3039" w:firstLine="1266"/>
        <w:spacing w:after="0" w:line="287" w:lineRule="auto"/>
        <w:tabs>
          <w:tab w:leader="none" w:pos="190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61" w:lineRule="exact"/>
        <w:rPr>
          <w:rFonts w:ascii="Courier New" w:cs="Courier New" w:eastAsia="Courier New" w:hAnsi="Courier New"/>
          <w:sz w:val="15"/>
          <w:szCs w:val="15"/>
          <w:color w:val="auto"/>
        </w:rPr>
      </w:pPr>
    </w:p>
    <w:p>
      <w:pPr>
        <w:ind w:right="3599" w:firstLine="1266"/>
        <w:spacing w:after="0" w:line="368" w:lineRule="auto"/>
        <w:tabs>
          <w:tab w:leader="none" w:pos="190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3" w:lineRule="exact"/>
        <w:rPr>
          <w:sz w:val="20"/>
          <w:szCs w:val="20"/>
          <w:color w:val="auto"/>
        </w:rPr>
      </w:pPr>
    </w:p>
    <w:p>
      <w:pPr>
        <w:ind w:left="1260" w:hanging="358"/>
        <w:spacing w:after="0"/>
        <w:tabs>
          <w:tab w:leader="none" w:pos="12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determinations, and interpretations shall be final and binding on all Optionees and any other holders of Options.</w:t>
      </w:r>
    </w:p>
    <w:p>
      <w:pPr>
        <w:spacing w:after="0" w:line="30" w:lineRule="exact"/>
        <w:rPr>
          <w:sz w:val="20"/>
          <w:szCs w:val="20"/>
          <w:color w:val="auto"/>
        </w:rPr>
      </w:pPr>
    </w:p>
    <w:p>
      <w:pPr>
        <w:ind w:left="900" w:hanging="452"/>
        <w:spacing w:after="0"/>
        <w:tabs>
          <w:tab w:leader="none" w:pos="9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to Employees and Consultants.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Neither the Plan nor any Option shall confer upon an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70" w:lineRule="exact"/>
        <w:rPr>
          <w:sz w:val="20"/>
          <w:szCs w:val="20"/>
          <w:color w:val="auto"/>
        </w:rPr>
      </w:pPr>
    </w:p>
    <w:p>
      <w:pPr>
        <w:ind w:left="900" w:hanging="452"/>
        <w:spacing w:after="0"/>
        <w:tabs>
          <w:tab w:leader="none" w:pos="9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its adoption by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Board. It shall continue in effect until terminated under Section 14 of the Plan.</w:t>
      </w:r>
    </w:p>
    <w:p>
      <w:pPr>
        <w:spacing w:after="0" w:line="30" w:lineRule="exact"/>
        <w:rPr>
          <w:sz w:val="20"/>
          <w:szCs w:val="20"/>
          <w:color w:val="auto"/>
        </w:rPr>
      </w:pPr>
    </w:p>
    <w:p>
      <w:pPr>
        <w:ind w:left="900" w:hanging="452"/>
        <w:spacing w:after="0"/>
        <w:tabs>
          <w:tab w:leader="none" w:pos="9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stated in the</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Grant.</w:t>
      </w:r>
    </w:p>
    <w:p>
      <w:pPr>
        <w:spacing w:after="0" w:line="152" w:lineRule="exact"/>
        <w:rPr>
          <w:sz w:val="20"/>
          <w:szCs w:val="20"/>
          <w:color w:val="auto"/>
        </w:rPr>
      </w:pPr>
    </w:p>
    <w:p>
      <w:pPr>
        <w:ind w:left="900" w:hanging="452"/>
        <w:spacing w:after="0"/>
        <w:tabs>
          <w:tab w:leader="none" w:pos="9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74" w:name="page75"/>
    <w:bookmarkEnd w:id="74"/>
    <w:p>
      <w:pPr>
        <w:ind w:left="1260" w:hanging="358"/>
        <w:spacing w:after="0"/>
        <w:tabs>
          <w:tab w:leader="none" w:pos="12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139"/>
        <w:spacing w:after="0" w:line="329" w:lineRule="auto"/>
        <w:rPr>
          <w:sz w:val="20"/>
          <w:szCs w:val="20"/>
          <w:color w:val="auto"/>
        </w:rPr>
      </w:pPr>
      <w:r>
        <w:rPr>
          <w:rFonts w:ascii="Courier New" w:cs="Courier New" w:eastAsia="Courier New" w:hAnsi="Courier New"/>
          <w:sz w:val="15"/>
          <w:szCs w:val="15"/>
          <w:color w:val="auto"/>
        </w:rPr>
        <w:t>issued pursuant to exercise of an Option shall be determined by the Administrator.</w:t>
      </w:r>
    </w:p>
    <w:p>
      <w:pPr>
        <w:spacing w:after="0" w:line="30" w:lineRule="exact"/>
        <w:rPr>
          <w:sz w:val="20"/>
          <w:szCs w:val="20"/>
          <w:color w:val="auto"/>
        </w:rPr>
      </w:pPr>
    </w:p>
    <w:p>
      <w:pPr>
        <w:ind w:left="1260" w:hanging="358"/>
        <w:spacing w:after="0"/>
        <w:tabs>
          <w:tab w:leader="none" w:pos="12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78" w:lineRule="exact"/>
        <w:rPr>
          <w:sz w:val="20"/>
          <w:szCs w:val="20"/>
          <w:color w:val="auto"/>
        </w:rPr>
      </w:pPr>
    </w:p>
    <w:p>
      <w:pPr>
        <w:ind w:left="1260" w:hanging="358"/>
        <w:spacing w:after="0"/>
        <w:tabs>
          <w:tab w:leader="none" w:pos="12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Consideration. The Administrator shall determine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acceptable form of consideration for exercising an Option, including the method of payment. Such consideration may consist entirely of:</w:t>
      </w:r>
    </w:p>
    <w:p>
      <w:pPr>
        <w:spacing w:after="0" w:line="30" w:lineRule="exact"/>
        <w:rPr>
          <w:sz w:val="20"/>
          <w:szCs w:val="20"/>
          <w:color w:val="auto"/>
        </w:rPr>
      </w:pPr>
    </w:p>
    <w:p>
      <w:pPr>
        <w:ind w:left="1900" w:hanging="634"/>
        <w:spacing w:after="0"/>
        <w:tabs>
          <w:tab w:leader="none" w:pos="19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1900" w:hanging="634"/>
        <w:spacing w:after="0"/>
        <w:tabs>
          <w:tab w:leader="none" w:pos="19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left="1900" w:hanging="634"/>
        <w:spacing w:after="0"/>
        <w:tabs>
          <w:tab w:leader="none" w:pos="19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9" w:lineRule="exact"/>
        <w:rPr>
          <w:rFonts w:ascii="Courier New" w:cs="Courier New" w:eastAsia="Courier New" w:hAnsi="Courier New"/>
          <w:sz w:val="15"/>
          <w:szCs w:val="15"/>
          <w:color w:val="auto"/>
        </w:rPr>
      </w:pPr>
    </w:p>
    <w:p>
      <w:pPr>
        <w:ind w:right="3039" w:firstLine="1266"/>
        <w:spacing w:after="0" w:line="277" w:lineRule="auto"/>
        <w:tabs>
          <w:tab w:leader="none" w:pos="190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68" w:lineRule="exact"/>
        <w:rPr>
          <w:rFonts w:ascii="Courier New" w:cs="Courier New" w:eastAsia="Courier New" w:hAnsi="Courier New"/>
          <w:sz w:val="15"/>
          <w:szCs w:val="15"/>
          <w:color w:val="auto"/>
        </w:rPr>
      </w:pPr>
    </w:p>
    <w:p>
      <w:pPr>
        <w:ind w:right="3219" w:firstLine="1266"/>
        <w:spacing w:after="0" w:line="287" w:lineRule="auto"/>
        <w:tabs>
          <w:tab w:leader="none" w:pos="190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61" w:lineRule="exact"/>
        <w:rPr>
          <w:rFonts w:ascii="Courier New" w:cs="Courier New" w:eastAsia="Courier New" w:hAnsi="Courier New"/>
          <w:sz w:val="15"/>
          <w:szCs w:val="15"/>
          <w:color w:val="auto"/>
        </w:rPr>
      </w:pPr>
    </w:p>
    <w:p>
      <w:pPr>
        <w:jc w:val="both"/>
        <w:ind w:right="3139" w:firstLine="1266"/>
        <w:spacing w:after="0" w:line="307" w:lineRule="auto"/>
        <w:tabs>
          <w:tab w:leader="none" w:pos="190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amount of any Company liability to the Optionee, including any liability attributable to the Optionee's participation in any Company-sponsored deferred compensation program or arrangement;</w:t>
      </w:r>
    </w:p>
    <w:p>
      <w:pPr>
        <w:spacing w:after="0" w:line="47" w:lineRule="exact"/>
        <w:rPr>
          <w:rFonts w:ascii="Courier New" w:cs="Courier New" w:eastAsia="Courier New" w:hAnsi="Courier New"/>
          <w:sz w:val="15"/>
          <w:szCs w:val="15"/>
          <w:color w:val="auto"/>
        </w:rPr>
      </w:pPr>
    </w:p>
    <w:p>
      <w:pPr>
        <w:ind w:left="1900" w:hanging="634"/>
        <w:spacing w:after="0"/>
        <w:tabs>
          <w:tab w:leader="none" w:pos="19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9" w:lineRule="exact"/>
        <w:rPr>
          <w:rFonts w:ascii="Courier New" w:cs="Courier New" w:eastAsia="Courier New" w:hAnsi="Courier New"/>
          <w:sz w:val="15"/>
          <w:szCs w:val="15"/>
          <w:color w:val="auto"/>
        </w:rPr>
      </w:pPr>
    </w:p>
    <w:p>
      <w:pPr>
        <w:ind w:right="3419" w:firstLine="1266"/>
        <w:spacing w:after="0" w:line="368" w:lineRule="auto"/>
        <w:tabs>
          <w:tab w:leader="none" w:pos="190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 issuance of Shares to the extent permitted by Applicable Laws.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75" w:name="page76"/>
    <w:bookmarkEnd w:id="75"/>
    <w:p>
      <w:pPr>
        <w:ind w:left="900" w:hanging="452"/>
        <w:spacing w:after="0"/>
        <w:tabs>
          <w:tab w:leader="none" w:pos="9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granted thereunder shall be exercisable according to the terms of the Plan and at such times and under such conditions as determined by the Administrator and set forth in the Option Agreement.</w:t>
      </w:r>
    </w:p>
    <w:p>
      <w:pPr>
        <w:spacing w:after="0" w:line="6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1272"/>
        <w:spacing w:after="0" w:line="254"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94" w:lineRule="exact"/>
        <w:rPr>
          <w:sz w:val="20"/>
          <w:szCs w:val="20"/>
          <w:color w:val="auto"/>
        </w:rPr>
      </w:pPr>
    </w:p>
    <w:p>
      <w:pPr>
        <w:jc w:val="both"/>
        <w:ind w:right="3219" w:firstLine="1272"/>
        <w:spacing w:after="0" w:line="307"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4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 Termination of Employment or Consulting Relationship. Upon</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86" w:lineRule="exact"/>
        <w:rPr>
          <w:sz w:val="20"/>
          <w:szCs w:val="20"/>
          <w:color w:val="auto"/>
        </w:rPr>
      </w:pPr>
    </w:p>
    <w:p>
      <w:pPr>
        <w:ind w:left="1260" w:hanging="358"/>
        <w:spacing w:after="0"/>
        <w:tabs>
          <w:tab w:leader="none" w:pos="12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In the event that an Optionee's Continuous</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76" w:name="page77"/>
    <w:bookmarkEnd w:id="76"/>
    <w:p>
      <w:pPr>
        <w:ind w:left="7" w:right="3219"/>
        <w:spacing w:after="0" w:line="368" w:lineRule="auto"/>
        <w:rPr>
          <w:sz w:val="20"/>
          <w:szCs w:val="20"/>
          <w:color w:val="auto"/>
        </w:rPr>
      </w:pPr>
      <w:r>
        <w:rPr>
          <w:rFonts w:ascii="Courier New" w:cs="Courier New" w:eastAsia="Courier New" w:hAnsi="Courier New"/>
          <w:sz w:val="15"/>
          <w:szCs w:val="15"/>
          <w:color w:val="auto"/>
        </w:rPr>
        <w:t>exercise his or her option within the time specified herein, the Option shall terminate, and the Shares covered by such Option shall revert to the Plan.</w:t>
      </w:r>
    </w:p>
    <w:p>
      <w:pPr>
        <w:spacing w:after="0" w:line="3" w:lineRule="exact"/>
        <w:rPr>
          <w:sz w:val="20"/>
          <w:szCs w:val="20"/>
          <w:color w:val="auto"/>
        </w:rPr>
      </w:pPr>
    </w:p>
    <w:p>
      <w:pPr>
        <w:ind w:left="1267" w:hanging="358"/>
        <w:spacing w:after="0"/>
        <w:tabs>
          <w:tab w:leader="none" w:pos="126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an Optionee, the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4" w:lineRule="auto"/>
        <w:rPr>
          <w:sz w:val="20"/>
          <w:szCs w:val="20"/>
          <w:color w:val="auto"/>
        </w:rPr>
      </w:pPr>
      <w:r>
        <w:rPr>
          <w:rFonts w:ascii="Courier New" w:cs="Courier New" w:eastAsia="Courier New" w:hAnsi="Courier New"/>
          <w:sz w:val="15"/>
          <w:szCs w:val="15"/>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86" w:lineRule="exact"/>
        <w:rPr>
          <w:sz w:val="20"/>
          <w:szCs w:val="20"/>
          <w:color w:val="auto"/>
        </w:rPr>
      </w:pPr>
    </w:p>
    <w:p>
      <w:pPr>
        <w:ind w:left="1267" w:hanging="358"/>
        <w:spacing w:after="0"/>
        <w:tabs>
          <w:tab w:leader="none" w:pos="126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Any Optionee who is also a participant in the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78" w:lineRule="exact"/>
        <w:rPr>
          <w:sz w:val="20"/>
          <w:szCs w:val="20"/>
          <w:color w:val="auto"/>
        </w:rPr>
      </w:pPr>
    </w:p>
    <w:p>
      <w:pPr>
        <w:ind w:left="907" w:hanging="452"/>
        <w:spacing w:after="0"/>
        <w:tabs>
          <w:tab w:leader="none" w:pos="90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Unless otherwise specified by the</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74" w:lineRule="auto"/>
        <w:rPr>
          <w:sz w:val="20"/>
          <w:szCs w:val="20"/>
          <w:color w:val="auto"/>
        </w:rPr>
      </w:pPr>
      <w:r>
        <w:rPr>
          <w:rFonts w:ascii="Courier New" w:cs="Courier New" w:eastAsia="Courier New" w:hAnsi="Courier New"/>
          <w:sz w:val="15"/>
          <w:szCs w:val="15"/>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70" w:lineRule="exact"/>
        <w:rPr>
          <w:sz w:val="20"/>
          <w:szCs w:val="20"/>
          <w:color w:val="auto"/>
        </w:rPr>
      </w:pPr>
    </w:p>
    <w:p>
      <w:pPr>
        <w:ind w:left="907" w:hanging="452"/>
        <w:spacing w:after="0"/>
        <w:tabs>
          <w:tab w:leader="none" w:pos="90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87" w:hanging="187"/>
        <w:spacing w:after="0"/>
        <w:tabs>
          <w:tab w:leader="none" w:pos="18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51" w:lineRule="auto"/>
        <w:rPr>
          <w:sz w:val="20"/>
          <w:szCs w:val="20"/>
          <w:color w:val="auto"/>
        </w:rPr>
      </w:pPr>
      <w:r>
        <w:rPr>
          <w:rFonts w:ascii="Courier New" w:cs="Courier New" w:eastAsia="Courier New" w:hAnsi="Courier New"/>
          <w:sz w:val="15"/>
          <w:szCs w:val="15"/>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9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14" w:right="1440" w:bottom="1440" w:gutter="0" w:footer="0" w:header="0"/>
        </w:sectPr>
      </w:pPr>
    </w:p>
    <w:bookmarkStart w:id="77" w:name="page78"/>
    <w:bookmarkEnd w:id="77"/>
    <w:p>
      <w:pPr>
        <w:ind w:left="900"/>
        <w:spacing w:after="0"/>
        <w:rPr>
          <w:sz w:val="20"/>
          <w:szCs w:val="20"/>
          <w:color w:val="auto"/>
        </w:rPr>
      </w:pPr>
      <w:r>
        <w:rPr>
          <w:rFonts w:ascii="Courier New" w:cs="Courier New" w:eastAsia="Courier New" w:hAnsi="Courier New"/>
          <w:sz w:val="15"/>
          <w:szCs w:val="15"/>
          <w:color w:val="auto"/>
        </w:rPr>
        <w:t>(b) Dissolution or Liquidation. In the event of the proposed</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8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 Merger or Asset Sale. In the event of a merger of the Company with</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8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 Change in Control. In the event of a Change in Control, the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unexercised portion of the Option shall become immediately exercisable.</w:t>
      </w:r>
    </w:p>
    <w:p>
      <w:pPr>
        <w:spacing w:after="0" w:line="152" w:lineRule="exact"/>
        <w:rPr>
          <w:sz w:val="20"/>
          <w:szCs w:val="20"/>
          <w:color w:val="auto"/>
        </w:rPr>
      </w:pPr>
    </w:p>
    <w:p>
      <w:pPr>
        <w:ind w:left="900" w:hanging="452"/>
        <w:spacing w:after="0"/>
        <w:tabs>
          <w:tab w:leader="none" w:pos="9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70" w:lineRule="exact"/>
        <w:rPr>
          <w:sz w:val="20"/>
          <w:szCs w:val="20"/>
          <w:color w:val="auto"/>
        </w:rPr>
      </w:pPr>
    </w:p>
    <w:p>
      <w:pPr>
        <w:ind w:left="900" w:hanging="452"/>
        <w:spacing w:after="0"/>
        <w:tabs>
          <w:tab w:leader="none" w:pos="9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suspend, or terminate the Plan.</w:t>
      </w:r>
    </w:p>
    <w:p>
      <w:pPr>
        <w:spacing w:after="0" w:line="1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78" w:name="page79"/>
    <w:bookmarkEnd w:id="78"/>
    <w:p>
      <w:pPr>
        <w:ind w:left="1260" w:hanging="358"/>
        <w:spacing w:after="0"/>
        <w:tabs>
          <w:tab w:leader="none" w:pos="12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62" w:lineRule="exact"/>
        <w:rPr>
          <w:sz w:val="20"/>
          <w:szCs w:val="20"/>
          <w:color w:val="auto"/>
        </w:rPr>
      </w:pPr>
    </w:p>
    <w:p>
      <w:pPr>
        <w:ind w:left="900" w:hanging="452"/>
        <w:spacing w:after="0"/>
        <w:tabs>
          <w:tab w:leader="none" w:pos="9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75" w:lineRule="exact"/>
        <w:rPr>
          <w:sz w:val="20"/>
          <w:szCs w:val="20"/>
          <w:color w:val="auto"/>
        </w:rPr>
      </w:pPr>
    </w:p>
    <w:p>
      <w:pPr>
        <w:ind w:left="1260" w:hanging="358"/>
        <w:spacing w:after="0"/>
        <w:tabs>
          <w:tab w:leader="none" w:pos="12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75" w:lineRule="exact"/>
        <w:rPr>
          <w:sz w:val="20"/>
          <w:szCs w:val="20"/>
          <w:color w:val="auto"/>
        </w:rPr>
      </w:pPr>
    </w:p>
    <w:p>
      <w:pPr>
        <w:ind w:left="900" w:hanging="452"/>
        <w:spacing w:after="0"/>
        <w:tabs>
          <w:tab w:leader="none" w:pos="9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 The inability of the Company to obtain authority</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75" w:lineRule="exact"/>
        <w:rPr>
          <w:sz w:val="20"/>
          <w:szCs w:val="20"/>
          <w:color w:val="auto"/>
        </w:rPr>
      </w:pPr>
    </w:p>
    <w:p>
      <w:pPr>
        <w:ind w:left="900" w:hanging="452"/>
        <w:spacing w:after="0"/>
        <w:tabs>
          <w:tab w:leader="none" w:pos="9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at all times reserve and keep available such number of Shares as shall be sufficient to satisfy the requirements of the Plan.</w:t>
      </w:r>
    </w:p>
    <w:p>
      <w:pPr>
        <w:spacing w:after="0" w:line="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1440" w:gutter="0" w:footer="0" w:header="0"/>
        </w:sectPr>
      </w:pPr>
    </w:p>
    <w:bookmarkStart w:id="79" w:name="page80"/>
    <w:bookmarkEnd w:id="79"/>
    <w:p>
      <w:pPr>
        <w:jc w:val="right"/>
        <w:ind w:right="2959"/>
        <w:spacing w:after="0"/>
        <w:rPr>
          <w:sz w:val="20"/>
          <w:szCs w:val="20"/>
          <w:color w:val="auto"/>
        </w:rPr>
      </w:pPr>
      <w:r>
        <w:rPr>
          <w:rFonts w:ascii="Courier New" w:cs="Courier New" w:eastAsia="Courier New" w:hAnsi="Courier New"/>
          <w:sz w:val="15"/>
          <w:szCs w:val="15"/>
          <w:color w:val="auto"/>
        </w:rPr>
        <w:t>Exhibit 10.132</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MICRON TECHNOLOGY,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1998 NONSTATUTORY STOCK OPTION PLAN</w:t>
      </w:r>
    </w:p>
    <w:p>
      <w:pPr>
        <w:spacing w:after="0" w:line="326" w:lineRule="exact"/>
        <w:rPr>
          <w:sz w:val="20"/>
          <w:szCs w:val="20"/>
          <w:color w:val="auto"/>
        </w:rPr>
      </w:pPr>
    </w:p>
    <w:p>
      <w:pPr>
        <w:ind w:left="820" w:hanging="372"/>
        <w:spacing w:after="0"/>
        <w:tabs>
          <w:tab w:leader="none" w:pos="8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Plan are:</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820" w:right="3319" w:hanging="372"/>
        <w:spacing w:after="0" w:line="368" w:lineRule="auto"/>
        <w:tabs>
          <w:tab w:leader="none" w:pos="8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the best available personnel for positions of substantial responsibility,</w:t>
      </w:r>
    </w:p>
    <w:p>
      <w:pPr>
        <w:spacing w:after="0" w:line="3" w:lineRule="exact"/>
        <w:rPr>
          <w:sz w:val="20"/>
          <w:szCs w:val="20"/>
          <w:color w:val="auto"/>
        </w:rPr>
      </w:pPr>
    </w:p>
    <w:p>
      <w:pPr>
        <w:ind w:left="820" w:hanging="372"/>
        <w:spacing w:after="0"/>
        <w:tabs>
          <w:tab w:leader="none" w:pos="8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additional incentive to Employees and Consultants, and</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success of the Company's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Nonstatutory stock options may be granted under the Plan.</w:t>
      </w:r>
    </w:p>
    <w:p>
      <w:pPr>
        <w:spacing w:after="0" w:line="180" w:lineRule="exact"/>
        <w:rPr>
          <w:sz w:val="20"/>
          <w:szCs w:val="20"/>
          <w:color w:val="auto"/>
        </w:rPr>
      </w:pPr>
    </w:p>
    <w:p>
      <w:pPr>
        <w:ind w:left="620" w:hanging="445"/>
        <w:spacing w:after="0"/>
        <w:tabs>
          <w:tab w:leader="none" w:pos="62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0" w:hanging="371"/>
        <w:spacing w:after="0"/>
        <w:tabs>
          <w:tab w:leader="none" w:pos="100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 be</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administering the Plan, in accordance with Section 4 of the Plan.</w:t>
      </w:r>
    </w:p>
    <w:p>
      <w:pPr>
        <w:spacing w:after="0" w:line="152" w:lineRule="exact"/>
        <w:rPr>
          <w:sz w:val="20"/>
          <w:szCs w:val="20"/>
          <w:color w:val="auto"/>
        </w:rPr>
      </w:pPr>
    </w:p>
    <w:p>
      <w:pPr>
        <w:ind w:left="1000" w:hanging="371"/>
        <w:spacing w:after="0"/>
        <w:tabs>
          <w:tab w:leader="none" w:pos="10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w:t>
      </w:r>
    </w:p>
    <w:p>
      <w:pPr>
        <w:spacing w:after="0" w:line="32"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administration of stock option plans and the issuance of stock and stock options under federal and state securities laws, Delaware corporate law, the Code, and the applicable laws of any foreign country or jurisdiction where options will be or are being granted under the Plan.</w:t>
      </w:r>
    </w:p>
    <w:p>
      <w:pPr>
        <w:spacing w:after="0" w:line="70" w:lineRule="exact"/>
        <w:rPr>
          <w:sz w:val="20"/>
          <w:szCs w:val="20"/>
          <w:color w:val="auto"/>
        </w:rPr>
      </w:pPr>
    </w:p>
    <w:p>
      <w:pPr>
        <w:ind w:left="1000" w:hanging="371"/>
        <w:spacing w:after="0"/>
        <w:tabs>
          <w:tab w:leader="none" w:pos="10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32"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acquisition by any person or entity,</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directly, indirectly or beneficially, acting alone or in concert, of more than thirty-five percent (35%) of the Common Stock of the Company outstanding at any time.</w:t>
      </w:r>
    </w:p>
    <w:p>
      <w:pPr>
        <w:spacing w:after="0" w:line="62" w:lineRule="exact"/>
        <w:rPr>
          <w:sz w:val="20"/>
          <w:szCs w:val="20"/>
          <w:color w:val="auto"/>
        </w:rPr>
      </w:pPr>
    </w:p>
    <w:p>
      <w:pPr>
        <w:ind w:left="1000" w:hanging="371"/>
        <w:spacing w:after="0"/>
        <w:tabs>
          <w:tab w:leader="none" w:pos="10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32"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w:t>
      </w:r>
    </w:p>
    <w:p>
      <w:pPr>
        <w:spacing w:after="0" w:line="32"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4 of the Plan.</w:t>
      </w:r>
    </w:p>
    <w:p>
      <w:pPr>
        <w:spacing w:after="0" w:line="152" w:lineRule="exact"/>
        <w:rPr>
          <w:sz w:val="20"/>
          <w:szCs w:val="20"/>
          <w:color w:val="auto"/>
        </w:rPr>
      </w:pPr>
    </w:p>
    <w:p>
      <w:pPr>
        <w:ind w:left="1000" w:hanging="371"/>
        <w:spacing w:after="0"/>
        <w:tabs>
          <w:tab w:leader="none" w:pos="10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32"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Micron Technology, Inc., a Delaware corporation.</w:t>
      </w:r>
    </w:p>
    <w:p>
      <w:pPr>
        <w:spacing w:after="0" w:line="32"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w:t>
      </w:r>
    </w:p>
    <w:p>
      <w:pPr>
        <w:spacing w:after="0" w:line="32"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Company or a parent, subsidiary or affiliate to render services. The term "Consultant" shall not include any person who is also an Officer or Director of the Company.</w:t>
      </w:r>
    </w:p>
    <w:p>
      <w:pPr>
        <w:sectPr>
          <w:pgSz w:w="11900" w:h="16838" w:orient="portrait"/>
          <w:cols w:equalWidth="0" w:num="1">
            <w:col w:w="10219"/>
          </w:cols>
          <w:pgMar w:left="240" w:top="463" w:right="1440" w:bottom="1440" w:gutter="0" w:footer="0" w:header="0"/>
        </w:sectPr>
      </w:pPr>
    </w:p>
    <w:bookmarkStart w:id="80" w:name="page81"/>
    <w:bookmarkEnd w:id="80"/>
    <w:p>
      <w:pPr>
        <w:ind w:left="1007" w:hanging="371"/>
        <w:spacing w:after="0"/>
        <w:tabs>
          <w:tab w:leader="none" w:pos="100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or Consultant" means that the</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w:t>
      </w:r>
    </w:p>
    <w:p>
      <w:pPr>
        <w:spacing w:after="0" w:line="3" w:lineRule="exact"/>
        <w:rPr>
          <w:sz w:val="20"/>
          <w:szCs w:val="20"/>
          <w:color w:val="auto"/>
        </w:rPr>
      </w:pPr>
    </w:p>
    <w:p>
      <w:pPr>
        <w:ind w:left="7" w:right="3139" w:hanging="7"/>
        <w:spacing w:after="0" w:line="274" w:lineRule="auto"/>
        <w:tabs>
          <w:tab w:leader="none" w:pos="55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70" w:lineRule="exact"/>
        <w:rPr>
          <w:sz w:val="20"/>
          <w:szCs w:val="20"/>
          <w:color w:val="auto"/>
        </w:rPr>
      </w:pPr>
    </w:p>
    <w:p>
      <w:pPr>
        <w:ind w:left="1007" w:hanging="371"/>
        <w:spacing w:after="0"/>
        <w:tabs>
          <w:tab w:leader="none" w:pos="100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007" w:hanging="371"/>
        <w:spacing w:after="0"/>
        <w:tabs>
          <w:tab w:leader="none" w:pos="100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22(e)(3) of the Code.</w:t>
      </w:r>
    </w:p>
    <w:p>
      <w:pPr>
        <w:spacing w:after="0" w:line="152"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(m) "Employee" means any person, except Officers and Directors, employed</w:t>
      </w:r>
    </w:p>
    <w:p>
      <w:pPr>
        <w:spacing w:after="0" w:line="33"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by the Company or any parent, subsidiary or affiliate of the Company.</w:t>
      </w:r>
    </w:p>
    <w:p>
      <w:pPr>
        <w:spacing w:after="0" w:line="152" w:lineRule="exact"/>
        <w:rPr>
          <w:sz w:val="20"/>
          <w:szCs w:val="20"/>
          <w:color w:val="auto"/>
        </w:rPr>
      </w:pPr>
    </w:p>
    <w:p>
      <w:pPr>
        <w:ind w:left="1007" w:hanging="371"/>
        <w:spacing w:after="0"/>
        <w:tabs>
          <w:tab w:leader="none" w:pos="100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closing price for the</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78" w:lineRule="exact"/>
        <w:rPr>
          <w:sz w:val="20"/>
          <w:szCs w:val="20"/>
          <w:color w:val="auto"/>
        </w:rPr>
      </w:pPr>
    </w:p>
    <w:p>
      <w:pPr>
        <w:ind w:left="1007" w:hanging="371"/>
        <w:spacing w:after="0"/>
        <w:tabs>
          <w:tab w:leader="none" w:pos="100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329" w:lineRule="auto"/>
        <w:rPr>
          <w:sz w:val="20"/>
          <w:szCs w:val="20"/>
          <w:color w:val="auto"/>
        </w:rPr>
      </w:pPr>
      <w:r>
        <w:rPr>
          <w:rFonts w:ascii="Courier New" w:cs="Courier New" w:eastAsia="Courier New" w:hAnsi="Courier New"/>
          <w:sz w:val="15"/>
          <w:szCs w:val="15"/>
          <w:color w:val="auto"/>
        </w:rPr>
        <w:t>conditions of an individual Option grant. The Notice of Grant is subject to the terms and conditions of the Option Agreement.</w:t>
      </w:r>
    </w:p>
    <w:p>
      <w:pPr>
        <w:spacing w:after="0" w:line="30" w:lineRule="exact"/>
        <w:rPr>
          <w:sz w:val="20"/>
          <w:szCs w:val="20"/>
          <w:color w:val="auto"/>
        </w:rPr>
      </w:pPr>
    </w:p>
    <w:p>
      <w:pPr>
        <w:ind w:left="1007" w:hanging="371"/>
        <w:spacing w:after="0"/>
        <w:tabs>
          <w:tab w:leader="none" w:pos="100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329" w:lineRule="auto"/>
        <w:rPr>
          <w:sz w:val="20"/>
          <w:szCs w:val="20"/>
          <w:color w:val="auto"/>
        </w:rPr>
      </w:pPr>
      <w:r>
        <w:rPr>
          <w:rFonts w:ascii="Courier New" w:cs="Courier New" w:eastAsia="Courier New" w:hAnsi="Courier New"/>
          <w:sz w:val="15"/>
          <w:szCs w:val="15"/>
          <w:color w:val="auto"/>
        </w:rPr>
        <w:t>meaning of Section 16 of the Securities Exchange Act of 1934, as amended, and the rules and regulations promulgated thereunder.</w:t>
      </w:r>
    </w:p>
    <w:p>
      <w:pPr>
        <w:spacing w:after="0" w:line="30" w:lineRule="exact"/>
        <w:rPr>
          <w:sz w:val="20"/>
          <w:szCs w:val="20"/>
          <w:color w:val="auto"/>
        </w:rPr>
      </w:pPr>
    </w:p>
    <w:p>
      <w:pPr>
        <w:ind w:left="1007" w:hanging="371"/>
        <w:spacing w:after="0"/>
        <w:tabs>
          <w:tab w:leader="none" w:pos="100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nonstatutory stock option granted pursuant to the</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87" w:lineRule="auto"/>
        <w:rPr>
          <w:sz w:val="20"/>
          <w:szCs w:val="20"/>
          <w:color w:val="auto"/>
        </w:rPr>
      </w:pPr>
      <w:r>
        <w:rPr>
          <w:rFonts w:ascii="Courier New" w:cs="Courier New" w:eastAsia="Courier New" w:hAnsi="Courier New"/>
          <w:sz w:val="15"/>
          <w:szCs w:val="15"/>
          <w:color w:val="auto"/>
        </w:rPr>
        <w:t>Plan. Such option is not intended to qualify as an incentive stock option within the meaning of Section 422 of the Code and the regulations promulgated thereunder.</w:t>
      </w:r>
    </w:p>
    <w:p>
      <w:pPr>
        <w:spacing w:after="0" w:line="62" w:lineRule="exact"/>
        <w:rPr>
          <w:sz w:val="20"/>
          <w:szCs w:val="20"/>
          <w:color w:val="auto"/>
        </w:rPr>
      </w:pPr>
    </w:p>
    <w:p>
      <w:pPr>
        <w:ind w:left="1007" w:hanging="371"/>
        <w:spacing w:after="0"/>
        <w:tabs>
          <w:tab w:leader="none" w:pos="100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 Optionee evidencing the terms and conditions of an individual Option grant.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Option Agreement is subject to the terms and conditions of the Plan.</w:t>
      </w:r>
    </w:p>
    <w:p>
      <w:pPr>
        <w:spacing w:after="0" w:line="152" w:lineRule="exact"/>
        <w:rPr>
          <w:sz w:val="20"/>
          <w:szCs w:val="20"/>
          <w:color w:val="auto"/>
        </w:rPr>
      </w:pPr>
    </w:p>
    <w:p>
      <w:pPr>
        <w:ind w:left="1007" w:hanging="371"/>
        <w:spacing w:after="0"/>
        <w:tabs>
          <w:tab w:leader="none" w:pos="100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Exchange Program" means a program whereby outstanding options</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 surrendered in exchange for options with a lower exercise price.</w:t>
      </w:r>
    </w:p>
    <w:p>
      <w:pPr>
        <w:spacing w:after="0" w:line="152" w:lineRule="exact"/>
        <w:rPr>
          <w:sz w:val="20"/>
          <w:szCs w:val="20"/>
          <w:color w:val="auto"/>
        </w:rPr>
      </w:pPr>
    </w:p>
    <w:p>
      <w:pPr>
        <w:ind w:left="1007" w:hanging="371"/>
        <w:spacing w:after="0"/>
        <w:tabs>
          <w:tab w:leader="none" w:pos="100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32"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14" w:right="1440" w:bottom="1440" w:gutter="0" w:footer="0" w:header="0"/>
        </w:sectPr>
      </w:pPr>
    </w:p>
    <w:bookmarkStart w:id="81" w:name="page82"/>
    <w:bookmarkEnd w:id="81"/>
    <w:p>
      <w:pPr>
        <w:ind w:left="1260" w:hanging="358"/>
        <w:spacing w:after="0"/>
        <w:tabs>
          <w:tab w:leader="none" w:pos="12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Option.</w:t>
      </w:r>
    </w:p>
    <w:p>
      <w:pPr>
        <w:spacing w:after="0" w:line="152" w:lineRule="exact"/>
        <w:rPr>
          <w:sz w:val="20"/>
          <w:szCs w:val="20"/>
          <w:color w:val="auto"/>
        </w:rPr>
      </w:pPr>
    </w:p>
    <w:p>
      <w:pPr>
        <w:ind w:left="1260" w:hanging="358"/>
        <w:spacing w:after="0"/>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Nonstatutory Stock Option Plan.</w:t>
      </w:r>
    </w:p>
    <w:p>
      <w:pPr>
        <w:spacing w:after="0" w:line="32"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Section 12 of the Plan.</w:t>
      </w:r>
    </w:p>
    <w:p>
      <w:pPr>
        <w:spacing w:after="0" w:line="152" w:lineRule="exact"/>
        <w:rPr>
          <w:sz w:val="20"/>
          <w:szCs w:val="20"/>
          <w:color w:val="auto"/>
        </w:rPr>
      </w:pPr>
    </w:p>
    <w:p>
      <w:pPr>
        <w:ind w:left="900" w:hanging="452"/>
        <w:spacing w:after="0"/>
        <w:tabs>
          <w:tab w:leader="none" w:pos="9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Plan, the maximum aggregate number of Shares which may be optioned and sold under the Plan is 875,000. The Shares may be authorized, but unissued, or reacquired Common Stock.</w:t>
      </w:r>
    </w:p>
    <w:p>
      <w:pPr>
        <w:spacing w:after="0" w:line="62" w:lineRule="exact"/>
        <w:rPr>
          <w:sz w:val="20"/>
          <w:szCs w:val="20"/>
          <w:color w:val="auto"/>
        </w:rPr>
      </w:pPr>
    </w:p>
    <w:p>
      <w:pPr>
        <w:ind w:right="2959" w:firstLine="636"/>
        <w:spacing w:after="0" w:line="287"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61" w:lineRule="exact"/>
        <w:rPr>
          <w:sz w:val="20"/>
          <w:szCs w:val="20"/>
          <w:color w:val="auto"/>
        </w:rPr>
      </w:pPr>
    </w:p>
    <w:p>
      <w:pPr>
        <w:ind w:left="900" w:hanging="452"/>
        <w:spacing w:after="0"/>
        <w:tabs>
          <w:tab w:leader="none" w:pos="9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260" w:hanging="358"/>
        <w:spacing w:after="0"/>
        <w:tabs>
          <w:tab w:leader="none" w:pos="126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The Plan shall be administered by (A) the Board or (B)</w:t>
      </w:r>
    </w:p>
    <w:p>
      <w:pPr>
        <w:spacing w:after="0" w:line="32"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 Powers of the Administrator. Subject to the provisions of the</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Plan, and in the case of a Committee, subject to the specific duties delegated by the Board to such Committee, the Administrator shall have the authority, in its discretion:</w:t>
      </w:r>
    </w:p>
    <w:p>
      <w:pPr>
        <w:spacing w:after="0" w:line="62" w:lineRule="exact"/>
        <w:rPr>
          <w:sz w:val="20"/>
          <w:szCs w:val="20"/>
          <w:color w:val="auto"/>
        </w:rPr>
      </w:pPr>
    </w:p>
    <w:p>
      <w:pPr>
        <w:ind w:left="1820" w:hanging="554"/>
        <w:spacing w:after="0"/>
        <w:tabs>
          <w:tab w:leader="none" w:pos="18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w:t>
      </w:r>
    </w:p>
    <w:p>
      <w:pPr>
        <w:spacing w:after="0" w:line="179" w:lineRule="exact"/>
        <w:rPr>
          <w:rFonts w:ascii="Courier New" w:cs="Courier New" w:eastAsia="Courier New" w:hAnsi="Courier New"/>
          <w:sz w:val="15"/>
          <w:szCs w:val="15"/>
          <w:color w:val="auto"/>
        </w:rPr>
      </w:pPr>
    </w:p>
    <w:p>
      <w:pPr>
        <w:ind w:right="3039" w:firstLine="1266"/>
        <w:spacing w:after="0" w:line="368" w:lineRule="auto"/>
        <w:tabs>
          <w:tab w:leader="none" w:pos="181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may be granted hereunder;</w:t>
      </w:r>
    </w:p>
    <w:p>
      <w:pPr>
        <w:spacing w:after="0" w:line="3" w:lineRule="exact"/>
        <w:rPr>
          <w:rFonts w:ascii="Courier New" w:cs="Courier New" w:eastAsia="Courier New" w:hAnsi="Courier New"/>
          <w:sz w:val="15"/>
          <w:szCs w:val="15"/>
          <w:color w:val="auto"/>
        </w:rPr>
      </w:pPr>
    </w:p>
    <w:p>
      <w:pPr>
        <w:ind w:left="1820" w:hanging="554"/>
        <w:spacing w:after="0"/>
        <w:tabs>
          <w:tab w:leader="none" w:pos="18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 granted</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w:t>
      </w:r>
    </w:p>
    <w:p>
      <w:pPr>
        <w:spacing w:after="0" w:line="151" w:lineRule="exact"/>
        <w:rPr>
          <w:rFonts w:ascii="Courier New" w:cs="Courier New" w:eastAsia="Courier New" w:hAnsi="Courier New"/>
          <w:sz w:val="15"/>
          <w:szCs w:val="15"/>
          <w:color w:val="auto"/>
        </w:rPr>
      </w:pPr>
    </w:p>
    <w:p>
      <w:pPr>
        <w:ind w:right="3419" w:firstLine="1266"/>
        <w:spacing w:after="0" w:line="368" w:lineRule="auto"/>
        <w:tabs>
          <w:tab w:leader="none" w:pos="181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3" w:lineRule="exact"/>
        <w:rPr>
          <w:rFonts w:ascii="Courier New" w:cs="Courier New" w:eastAsia="Courier New" w:hAnsi="Courier New"/>
          <w:sz w:val="15"/>
          <w:szCs w:val="15"/>
          <w:color w:val="auto"/>
        </w:rPr>
      </w:pPr>
    </w:p>
    <w:p>
      <w:pPr>
        <w:ind w:left="1820" w:hanging="554"/>
        <w:spacing w:after="0"/>
        <w:tabs>
          <w:tab w:leader="none" w:pos="18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ectPr>
          <w:pgSz w:w="11900" w:h="16838" w:orient="portrait"/>
          <w:cols w:equalWidth="0" w:num="1">
            <w:col w:w="10219"/>
          </w:cols>
          <w:pgMar w:left="240" w:top="614" w:right="1440" w:bottom="1440" w:gutter="0" w:footer="0" w:header="0"/>
        </w:sectPr>
      </w:pPr>
    </w:p>
    <w:bookmarkStart w:id="82" w:name="page83"/>
    <w:bookmarkEnd w:id="82"/>
    <w:p>
      <w:pPr>
        <w:ind w:right="2959" w:firstLine="1084"/>
        <w:spacing w:after="0" w:line="264"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77" w:lineRule="exact"/>
        <w:rPr>
          <w:rFonts w:ascii="Courier New" w:cs="Courier New" w:eastAsia="Courier New" w:hAnsi="Courier New"/>
          <w:sz w:val="15"/>
          <w:szCs w:val="15"/>
          <w:color w:val="auto"/>
        </w:rPr>
      </w:pPr>
    </w:p>
    <w:p>
      <w:pPr>
        <w:ind w:right="3139" w:firstLine="1084"/>
        <w:spacing w:after="0" w:line="307"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 then current Fair Market Value if the Fair Market Value of the Common Stock covered by such Option shall have declined since the date the Option was granted;</w:t>
      </w:r>
    </w:p>
    <w:p>
      <w:pPr>
        <w:spacing w:after="0" w:line="47" w:lineRule="exact"/>
        <w:rPr>
          <w:rFonts w:ascii="Courier New" w:cs="Courier New" w:eastAsia="Courier New" w:hAnsi="Courier New"/>
          <w:sz w:val="15"/>
          <w:szCs w:val="15"/>
          <w:color w:val="auto"/>
        </w:rPr>
      </w:pPr>
    </w:p>
    <w:p>
      <w:pPr>
        <w:ind w:right="3139" w:firstLine="1084"/>
        <w:spacing w:after="0" w:line="368"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3" w:lineRule="exact"/>
        <w:rPr>
          <w:rFonts w:ascii="Courier New" w:cs="Courier New" w:eastAsia="Courier New" w:hAnsi="Courier New"/>
          <w:sz w:val="15"/>
          <w:szCs w:val="15"/>
          <w:color w:val="auto"/>
        </w:rPr>
      </w:pPr>
    </w:p>
    <w:p>
      <w:pPr>
        <w:ind w:right="3419" w:firstLine="1084"/>
        <w:spacing w:after="0" w:line="287"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61" w:lineRule="exact"/>
        <w:rPr>
          <w:rFonts w:ascii="Courier New" w:cs="Courier New" w:eastAsia="Courier New" w:hAnsi="Courier New"/>
          <w:sz w:val="15"/>
          <w:szCs w:val="15"/>
          <w:color w:val="auto"/>
        </w:rPr>
      </w:pPr>
    </w:p>
    <w:p>
      <w:pPr>
        <w:jc w:val="both"/>
        <w:ind w:right="3039" w:firstLine="1084"/>
        <w:spacing w:after="0" w:line="287"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14(b) of the Plan), including the discretionary authority to extend the post-termination exercisability period of Options longer than is otherwise provided for in the Plan;</w:t>
      </w:r>
    </w:p>
    <w:p>
      <w:pPr>
        <w:spacing w:after="0" w:line="61" w:lineRule="exact"/>
        <w:rPr>
          <w:rFonts w:ascii="Courier New" w:cs="Courier New" w:eastAsia="Courier New" w:hAnsi="Courier New"/>
          <w:sz w:val="15"/>
          <w:szCs w:val="15"/>
          <w:color w:val="auto"/>
        </w:rPr>
      </w:pPr>
    </w:p>
    <w:p>
      <w:pPr>
        <w:ind w:right="3039" w:firstLine="1084"/>
        <w:spacing w:after="0" w:line="307"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 Company any instrument required to effect the grant of an Option previously granted by the Administrator;</w:t>
      </w:r>
    </w:p>
    <w:p>
      <w:pPr>
        <w:spacing w:after="0" w:line="47" w:lineRule="exact"/>
        <w:rPr>
          <w:rFonts w:ascii="Courier New" w:cs="Courier New" w:eastAsia="Courier New" w:hAnsi="Courier New"/>
          <w:sz w:val="15"/>
          <w:szCs w:val="15"/>
          <w:color w:val="auto"/>
        </w:rPr>
      </w:pPr>
    </w:p>
    <w:p>
      <w:pPr>
        <w:ind w:left="1820" w:hanging="736"/>
        <w:spacing w:after="0"/>
        <w:tabs>
          <w:tab w:leader="none" w:pos="182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and Option Exchange Program;</w:t>
      </w:r>
    </w:p>
    <w:p>
      <w:pPr>
        <w:spacing w:after="0" w:line="179" w:lineRule="exact"/>
        <w:rPr>
          <w:rFonts w:ascii="Courier New" w:cs="Courier New" w:eastAsia="Courier New" w:hAnsi="Courier New"/>
          <w:sz w:val="15"/>
          <w:szCs w:val="15"/>
          <w:color w:val="auto"/>
        </w:rPr>
      </w:pPr>
    </w:p>
    <w:p>
      <w:pPr>
        <w:jc w:val="both"/>
        <w:ind w:right="2959" w:firstLine="1084"/>
        <w:spacing w:after="0" w:line="287"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61" w:lineRule="exact"/>
        <w:rPr>
          <w:rFonts w:ascii="Courier New" w:cs="Courier New" w:eastAsia="Courier New" w:hAnsi="Courier New"/>
          <w:sz w:val="15"/>
          <w:szCs w:val="15"/>
          <w:color w:val="auto"/>
        </w:rPr>
      </w:pPr>
    </w:p>
    <w:p>
      <w:pPr>
        <w:ind w:right="3679" w:firstLine="1084"/>
        <w:spacing w:after="0" w:line="368" w:lineRule="auto"/>
        <w:tabs>
          <w:tab w:leader="none" w:pos="181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3" w:lineRule="exact"/>
        <w:rPr>
          <w:rFonts w:ascii="Courier New" w:cs="Courier New" w:eastAsia="Courier New" w:hAnsi="Courier New"/>
          <w:sz w:val="15"/>
          <w:szCs w:val="15"/>
          <w:color w:val="auto"/>
        </w:rPr>
      </w:pPr>
    </w:p>
    <w:p>
      <w:pPr>
        <w:ind w:left="1080" w:hanging="451"/>
        <w:spacing w:after="0"/>
        <w:tabs>
          <w:tab w:leader="none" w:pos="10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w:t>
      </w:r>
    </w:p>
    <w:p>
      <w:pPr>
        <w:spacing w:after="0" w:line="3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determinations, and interpretations shall be final and binding on all Optionees and any other holders of Options.</w:t>
      </w:r>
    </w:p>
    <w:p>
      <w:pPr>
        <w:spacing w:after="0" w:line="30" w:lineRule="exact"/>
        <w:rPr>
          <w:sz w:val="20"/>
          <w:szCs w:val="20"/>
          <w:color w:val="auto"/>
        </w:rPr>
      </w:pPr>
    </w:p>
    <w:p>
      <w:pPr>
        <w:ind w:left="620" w:hanging="445"/>
        <w:spacing w:after="0"/>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to Employees and Consultants.</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620" w:hanging="445"/>
        <w:spacing w:after="0"/>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Neither the Plan nor any Option shall confer upon an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ectPr>
          <w:pgSz w:w="11900" w:h="16838" w:orient="portrait"/>
          <w:cols w:equalWidth="0" w:num="1">
            <w:col w:w="10219"/>
          </w:cols>
          <w:pgMar w:left="240" w:top="614" w:right="1440" w:bottom="1440" w:gutter="0" w:footer="0" w:header="0"/>
        </w:sectPr>
      </w:pPr>
    </w:p>
    <w:bookmarkStart w:id="83" w:name="page84"/>
    <w:bookmarkEnd w:id="83"/>
    <w:p>
      <w:pPr>
        <w:ind w:left="620" w:hanging="445"/>
        <w:spacing w:after="0"/>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its adoption by the</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329" w:lineRule="auto"/>
        <w:rPr>
          <w:sz w:val="20"/>
          <w:szCs w:val="20"/>
          <w:color w:val="auto"/>
        </w:rPr>
      </w:pPr>
      <w:r>
        <w:rPr>
          <w:rFonts w:ascii="Courier New" w:cs="Courier New" w:eastAsia="Courier New" w:hAnsi="Courier New"/>
          <w:sz w:val="15"/>
          <w:szCs w:val="15"/>
          <w:color w:val="auto"/>
        </w:rPr>
        <w:t>Board. It shall continue in effect until terminated under Section 14 of the Plan.</w:t>
      </w:r>
    </w:p>
    <w:p>
      <w:pPr>
        <w:spacing w:after="0" w:line="30" w:lineRule="exact"/>
        <w:rPr>
          <w:sz w:val="20"/>
          <w:szCs w:val="20"/>
          <w:color w:val="auto"/>
        </w:rPr>
      </w:pPr>
    </w:p>
    <w:p>
      <w:pPr>
        <w:ind w:left="620" w:hanging="445"/>
        <w:spacing w:after="0"/>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stated in the Notice of</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w:t>
      </w:r>
    </w:p>
    <w:p>
      <w:pPr>
        <w:spacing w:after="0" w:line="152" w:lineRule="exact"/>
        <w:rPr>
          <w:sz w:val="20"/>
          <w:szCs w:val="20"/>
          <w:color w:val="auto"/>
        </w:rPr>
      </w:pPr>
    </w:p>
    <w:p>
      <w:pPr>
        <w:ind w:left="620" w:hanging="445"/>
        <w:spacing w:after="0"/>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000" w:hanging="371"/>
        <w:spacing w:after="0"/>
        <w:tabs>
          <w:tab w:leader="none" w:pos="10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139"/>
        <w:spacing w:after="0" w:line="329" w:lineRule="auto"/>
        <w:rPr>
          <w:sz w:val="20"/>
          <w:szCs w:val="20"/>
          <w:color w:val="auto"/>
        </w:rPr>
      </w:pPr>
      <w:r>
        <w:rPr>
          <w:rFonts w:ascii="Courier New" w:cs="Courier New" w:eastAsia="Courier New" w:hAnsi="Courier New"/>
          <w:sz w:val="15"/>
          <w:szCs w:val="15"/>
          <w:color w:val="auto"/>
        </w:rPr>
        <w:t>issued pursuant to exercise of an Option shall be determined by the Administrator.</w:t>
      </w:r>
    </w:p>
    <w:p>
      <w:pPr>
        <w:spacing w:after="0" w:line="30" w:lineRule="exact"/>
        <w:rPr>
          <w:sz w:val="20"/>
          <w:szCs w:val="20"/>
          <w:color w:val="auto"/>
        </w:rPr>
      </w:pPr>
    </w:p>
    <w:p>
      <w:pPr>
        <w:ind w:left="1000" w:hanging="371"/>
        <w:spacing w:after="0"/>
        <w:tabs>
          <w:tab w:leader="none" w:pos="100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 granted,</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67" w:lineRule="auto"/>
        <w:rPr>
          <w:sz w:val="20"/>
          <w:szCs w:val="20"/>
          <w:color w:val="auto"/>
        </w:rPr>
      </w:pPr>
      <w:r>
        <w:rPr>
          <w:rFonts w:ascii="Courier New" w:cs="Courier New" w:eastAsia="Courier New" w:hAnsi="Courier New"/>
          <w:sz w:val="15"/>
          <w:szCs w:val="15"/>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75" w:lineRule="exact"/>
        <w:rPr>
          <w:sz w:val="20"/>
          <w:szCs w:val="20"/>
          <w:color w:val="auto"/>
        </w:rPr>
      </w:pPr>
    </w:p>
    <w:p>
      <w:pPr>
        <w:ind w:left="1000" w:hanging="371"/>
        <w:spacing w:after="0"/>
        <w:tabs>
          <w:tab w:leader="none" w:pos="10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Consideration. The Administrator shall determine the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329" w:lineRule="auto"/>
        <w:rPr>
          <w:sz w:val="20"/>
          <w:szCs w:val="20"/>
          <w:color w:val="auto"/>
        </w:rPr>
      </w:pPr>
      <w:r>
        <w:rPr>
          <w:rFonts w:ascii="Courier New" w:cs="Courier New" w:eastAsia="Courier New" w:hAnsi="Courier New"/>
          <w:sz w:val="15"/>
          <w:szCs w:val="15"/>
          <w:color w:val="auto"/>
        </w:rPr>
        <w:t>acceptable form of consideration for exercising an Option, including the method of payment. Such consideration may consist entirely of:</w:t>
      </w:r>
    </w:p>
    <w:p>
      <w:pPr>
        <w:spacing w:after="0" w:line="30" w:lineRule="exact"/>
        <w:rPr>
          <w:sz w:val="20"/>
          <w:szCs w:val="20"/>
          <w:color w:val="auto"/>
        </w:rPr>
      </w:pPr>
    </w:p>
    <w:p>
      <w:pPr>
        <w:ind w:left="1620" w:hanging="627"/>
        <w:spacing w:after="0"/>
        <w:tabs>
          <w:tab w:leader="none" w:pos="1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1620" w:hanging="627"/>
        <w:spacing w:after="0"/>
        <w:tabs>
          <w:tab w:leader="none" w:pos="1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left="1620" w:hanging="627"/>
        <w:spacing w:after="0"/>
        <w:tabs>
          <w:tab w:leader="none" w:pos="1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9" w:lineRule="exact"/>
        <w:rPr>
          <w:rFonts w:ascii="Courier New" w:cs="Courier New" w:eastAsia="Courier New" w:hAnsi="Courier New"/>
          <w:sz w:val="15"/>
          <w:szCs w:val="15"/>
          <w:color w:val="auto"/>
        </w:rPr>
      </w:pPr>
    </w:p>
    <w:p>
      <w:pPr>
        <w:ind w:right="3039" w:firstLine="993"/>
        <w:spacing w:after="0" w:line="277" w:lineRule="auto"/>
        <w:tabs>
          <w:tab w:leader="none" w:pos="1636"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68" w:lineRule="exact"/>
        <w:rPr>
          <w:rFonts w:ascii="Courier New" w:cs="Courier New" w:eastAsia="Courier New" w:hAnsi="Courier New"/>
          <w:sz w:val="15"/>
          <w:szCs w:val="15"/>
          <w:color w:val="auto"/>
        </w:rPr>
      </w:pPr>
    </w:p>
    <w:p>
      <w:pPr>
        <w:ind w:right="2959" w:firstLine="993"/>
        <w:spacing w:after="0" w:line="287" w:lineRule="auto"/>
        <w:tabs>
          <w:tab w:leader="none" w:pos="1636"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61" w:lineRule="exact"/>
        <w:rPr>
          <w:rFonts w:ascii="Courier New" w:cs="Courier New" w:eastAsia="Courier New" w:hAnsi="Courier New"/>
          <w:sz w:val="15"/>
          <w:szCs w:val="15"/>
          <w:color w:val="auto"/>
        </w:rPr>
      </w:pPr>
    </w:p>
    <w:p>
      <w:pPr>
        <w:ind w:right="3139" w:firstLine="993"/>
        <w:spacing w:after="0" w:line="307" w:lineRule="auto"/>
        <w:tabs>
          <w:tab w:leader="none" w:pos="1636"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amount of any Company liability to the Optionee, including any liability attributable to the Optionee's participation in any Company-sponsored deferred compensation program or arrangement;</w:t>
      </w:r>
    </w:p>
    <w:p>
      <w:pPr>
        <w:spacing w:after="0" w:line="47" w:lineRule="exact"/>
        <w:rPr>
          <w:rFonts w:ascii="Courier New" w:cs="Courier New" w:eastAsia="Courier New" w:hAnsi="Courier New"/>
          <w:sz w:val="15"/>
          <w:szCs w:val="15"/>
          <w:color w:val="auto"/>
        </w:rPr>
      </w:pPr>
    </w:p>
    <w:p>
      <w:pPr>
        <w:ind w:left="1620" w:hanging="627"/>
        <w:spacing w:after="0"/>
        <w:tabs>
          <w:tab w:leader="none" w:pos="1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9" w:lineRule="exact"/>
        <w:rPr>
          <w:rFonts w:ascii="Courier New" w:cs="Courier New" w:eastAsia="Courier New" w:hAnsi="Courier New"/>
          <w:sz w:val="15"/>
          <w:szCs w:val="15"/>
          <w:color w:val="auto"/>
        </w:rPr>
      </w:pPr>
    </w:p>
    <w:p>
      <w:pPr>
        <w:ind w:right="3679" w:firstLine="993"/>
        <w:spacing w:after="0" w:line="368" w:lineRule="auto"/>
        <w:tabs>
          <w:tab w:leader="none" w:pos="1636"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 issuance of Shares to the extent permitted by Applicable Laws.</w:t>
      </w:r>
    </w:p>
    <w:p>
      <w:pPr>
        <w:sectPr>
          <w:pgSz w:w="11900" w:h="16838" w:orient="portrait"/>
          <w:cols w:equalWidth="0" w:num="1">
            <w:col w:w="10219"/>
          </w:cols>
          <w:pgMar w:left="240" w:top="614" w:right="1440" w:bottom="1440" w:gutter="0" w:footer="0" w:header="0"/>
        </w:sectPr>
      </w:pPr>
    </w:p>
    <w:bookmarkStart w:id="84" w:name="page85"/>
    <w:bookmarkEnd w:id="84"/>
    <w:p>
      <w:pPr>
        <w:ind w:left="620" w:hanging="44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000" w:hanging="371"/>
        <w:spacing w:after="0"/>
        <w:tabs>
          <w:tab w:leader="none" w:pos="100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thereunder shall be exercisable according to the terms of the Plan and at such times and under such conditions as determined by the Administrator and set forth in the Option Agreement.</w:t>
      </w:r>
    </w:p>
    <w:p>
      <w:pPr>
        <w:spacing w:after="0" w:line="6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1000"/>
        <w:spacing w:after="0" w:line="254"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94" w:lineRule="exact"/>
        <w:rPr>
          <w:sz w:val="20"/>
          <w:szCs w:val="20"/>
          <w:color w:val="auto"/>
        </w:rPr>
      </w:pPr>
    </w:p>
    <w:p>
      <w:pPr>
        <w:ind w:right="3219" w:firstLine="1000"/>
        <w:spacing w:after="0" w:line="307"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47" w:lineRule="exact"/>
        <w:rPr>
          <w:sz w:val="20"/>
          <w:szCs w:val="20"/>
          <w:color w:val="auto"/>
        </w:rPr>
      </w:pPr>
    </w:p>
    <w:p>
      <w:pPr>
        <w:ind w:left="1000" w:hanging="371"/>
        <w:spacing w:after="0"/>
        <w:tabs>
          <w:tab w:leader="none" w:pos="10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 Upon</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3" w:lineRule="auto"/>
        <w:rPr>
          <w:sz w:val="20"/>
          <w:szCs w:val="20"/>
          <w:color w:val="auto"/>
        </w:rPr>
      </w:pPr>
      <w:r>
        <w:rPr>
          <w:rFonts w:ascii="Courier New" w:cs="Courier New" w:eastAsia="Courier New" w:hAnsi="Courier New"/>
          <w:sz w:val="15"/>
          <w:szCs w:val="15"/>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8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 Disability of Optionee. In the event that an Optionee's Continuous</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8" w:lineRule="auto"/>
        <w:rPr>
          <w:sz w:val="20"/>
          <w:szCs w:val="20"/>
          <w:color w:val="auto"/>
        </w:rPr>
      </w:pPr>
      <w:r>
        <w:rPr>
          <w:rFonts w:ascii="Courier New" w:cs="Courier New" w:eastAsia="Courier New" w:hAnsi="Courier New"/>
          <w:sz w:val="15"/>
          <w:szCs w:val="15"/>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w:t>
      </w:r>
    </w:p>
    <w:p>
      <w:pPr>
        <w:sectPr>
          <w:pgSz w:w="11900" w:h="16838" w:orient="portrait"/>
          <w:cols w:equalWidth="0" w:num="1">
            <w:col w:w="10219"/>
          </w:cols>
          <w:pgMar w:left="240" w:top="614" w:right="1440" w:bottom="1440" w:gutter="0" w:footer="0" w:header="0"/>
        </w:sectPr>
      </w:pPr>
    </w:p>
    <w:bookmarkStart w:id="85" w:name="page86"/>
    <w:bookmarkEnd w:id="85"/>
    <w:p>
      <w:pPr>
        <w:ind w:right="3139"/>
        <w:spacing w:after="0" w:line="307" w:lineRule="auto"/>
        <w:rPr>
          <w:sz w:val="20"/>
          <w:szCs w:val="20"/>
          <w:color w:val="auto"/>
        </w:rPr>
      </w:pPr>
      <w:r>
        <w:rPr>
          <w:rFonts w:ascii="Courier New" w:cs="Courier New" w:eastAsia="Courier New" w:hAnsi="Courier New"/>
          <w:sz w:val="15"/>
          <w:szCs w:val="15"/>
          <w:color w:val="auto"/>
        </w:rPr>
        <w:t>after termination, the Optionee does not exercise his or her option within the time specified herein, the Option shall terminate, and the Shares covered by such Option shall revert to the Plan.</w:t>
      </w:r>
    </w:p>
    <w:p>
      <w:pPr>
        <w:spacing w:after="0" w:line="47" w:lineRule="exact"/>
        <w:rPr>
          <w:sz w:val="20"/>
          <w:szCs w:val="20"/>
          <w:color w:val="auto"/>
        </w:rPr>
      </w:pPr>
    </w:p>
    <w:p>
      <w:pPr>
        <w:ind w:left="1000" w:hanging="371"/>
        <w:spacing w:after="0"/>
        <w:tabs>
          <w:tab w:leader="none" w:pos="10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an Optionee, the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86" w:lineRule="exact"/>
        <w:rPr>
          <w:sz w:val="20"/>
          <w:szCs w:val="20"/>
          <w:color w:val="auto"/>
        </w:rPr>
      </w:pPr>
    </w:p>
    <w:p>
      <w:pPr>
        <w:ind w:left="1000" w:hanging="371"/>
        <w:spacing w:after="0"/>
        <w:tabs>
          <w:tab w:leader="none" w:pos="10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Any Optionee who is also a participant in the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5"/>
          <w:szCs w:val="15"/>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78" w:lineRule="exact"/>
        <w:rPr>
          <w:sz w:val="20"/>
          <w:szCs w:val="20"/>
          <w:color w:val="auto"/>
        </w:rPr>
      </w:pPr>
    </w:p>
    <w:p>
      <w:pPr>
        <w:ind w:left="620" w:hanging="445"/>
        <w:spacing w:after="0"/>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Unless otherwise specified by the</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70" w:lineRule="exact"/>
        <w:rPr>
          <w:sz w:val="20"/>
          <w:szCs w:val="20"/>
          <w:color w:val="auto"/>
        </w:rPr>
      </w:pPr>
    </w:p>
    <w:p>
      <w:pPr>
        <w:ind w:left="620" w:hanging="445"/>
        <w:spacing w:after="0"/>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 Asset</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left="1000" w:hanging="371"/>
        <w:spacing w:after="0"/>
        <w:tabs>
          <w:tab w:leader="none" w:pos="10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ectPr>
          <w:pgSz w:w="11900" w:h="16838" w:orient="portrait"/>
          <w:cols w:equalWidth="0" w:num="1">
            <w:col w:w="10219"/>
          </w:cols>
          <w:pgMar w:left="240" w:top="615" w:right="1440" w:bottom="1440" w:gutter="0" w:footer="0" w:header="0"/>
        </w:sectPr>
      </w:pPr>
    </w:p>
    <w:bookmarkStart w:id="86" w:name="page87"/>
    <w:bookmarkEnd w:id="86"/>
    <w:p>
      <w:pPr>
        <w:ind w:left="1000" w:hanging="371"/>
        <w:spacing w:after="0"/>
        <w:tabs>
          <w:tab w:leader="none" w:pos="10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8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 Merger or Asset Sale. In the event of a merger of the Company with</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5"/>
          <w:szCs w:val="15"/>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In the event that the successor corporation refuses to assume or substitute the Option, the Optionee shall fully vest in and have the right to exercise the Option as to all of the Optioned Stock. If an Option becomes fully vested and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8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 Change in Control. In the event of a Change in Control, the</w:t>
      </w:r>
    </w:p>
    <w:p>
      <w:pPr>
        <w:spacing w:after="0" w:line="3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unexercised portion of the Option shall become immediately exercisable.</w:t>
      </w:r>
    </w:p>
    <w:p>
      <w:pPr>
        <w:spacing w:after="0" w:line="152" w:lineRule="exact"/>
        <w:rPr>
          <w:sz w:val="20"/>
          <w:szCs w:val="20"/>
          <w:color w:val="auto"/>
        </w:rPr>
      </w:pPr>
    </w:p>
    <w:p>
      <w:pPr>
        <w:ind w:left="620" w:hanging="445"/>
        <w:spacing w:after="0"/>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5"/>
          <w:szCs w:val="15"/>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70" w:lineRule="exact"/>
        <w:rPr>
          <w:sz w:val="20"/>
          <w:szCs w:val="20"/>
          <w:color w:val="auto"/>
        </w:rPr>
      </w:pPr>
    </w:p>
    <w:p>
      <w:pPr>
        <w:ind w:left="620" w:hanging="445"/>
        <w:spacing w:after="0"/>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000" w:hanging="371"/>
        <w:spacing w:after="0"/>
        <w:tabs>
          <w:tab w:leader="none" w:pos="10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suspend, or terminate the Plan.</w:t>
      </w:r>
    </w:p>
    <w:p>
      <w:pPr>
        <w:sectPr>
          <w:pgSz w:w="11900" w:h="16838" w:orient="portrait"/>
          <w:cols w:equalWidth="0" w:num="1">
            <w:col w:w="10219"/>
          </w:cols>
          <w:pgMar w:left="240" w:top="615" w:right="1440" w:bottom="1440" w:gutter="0" w:footer="0" w:header="0"/>
        </w:sectPr>
      </w:pPr>
    </w:p>
    <w:bookmarkStart w:id="87" w:name="page88"/>
    <w:bookmarkEnd w:id="87"/>
    <w:p>
      <w:pPr>
        <w:ind w:left="1000" w:hanging="371"/>
        <w:spacing w:after="0"/>
        <w:tabs>
          <w:tab w:leader="none" w:pos="10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62" w:lineRule="exact"/>
        <w:rPr>
          <w:sz w:val="20"/>
          <w:szCs w:val="20"/>
          <w:color w:val="auto"/>
        </w:rPr>
      </w:pPr>
    </w:p>
    <w:p>
      <w:pPr>
        <w:ind w:left="620" w:hanging="44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1000" w:hanging="371"/>
        <w:spacing w:after="0"/>
        <w:tabs>
          <w:tab w:leader="none" w:pos="100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75" w:lineRule="exact"/>
        <w:rPr>
          <w:sz w:val="20"/>
          <w:szCs w:val="20"/>
          <w:color w:val="auto"/>
        </w:rPr>
      </w:pPr>
    </w:p>
    <w:p>
      <w:pPr>
        <w:ind w:left="1000" w:hanging="371"/>
        <w:spacing w:after="0"/>
        <w:tabs>
          <w:tab w:leader="none" w:pos="100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w:t>
      </w:r>
    </w:p>
    <w:p>
      <w:pPr>
        <w:spacing w:after="0" w:line="3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75" w:lineRule="exact"/>
        <w:rPr>
          <w:sz w:val="20"/>
          <w:szCs w:val="20"/>
          <w:color w:val="auto"/>
        </w:rPr>
      </w:pPr>
    </w:p>
    <w:p>
      <w:pPr>
        <w:ind w:left="620" w:hanging="44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 The inability of the Company to obtain authority</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75" w:lineRule="exact"/>
        <w:rPr>
          <w:sz w:val="20"/>
          <w:szCs w:val="20"/>
          <w:color w:val="auto"/>
        </w:rPr>
      </w:pPr>
    </w:p>
    <w:p>
      <w:pPr>
        <w:ind w:left="620" w:hanging="445"/>
        <w:spacing w:after="0"/>
        <w:tabs>
          <w:tab w:leader="none" w:pos="62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w:t>
      </w:r>
    </w:p>
    <w:p>
      <w:pPr>
        <w:spacing w:after="0" w:line="3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at all times reserve and keep available such number of Shares as shall be sufficient to satisfy the requirements of the Plan.</w:t>
      </w:r>
    </w:p>
    <w:p>
      <w:pPr>
        <w:sectPr>
          <w:pgSz w:w="11900" w:h="16838" w:orient="portrait"/>
          <w:cols w:equalWidth="0" w:num="1">
            <w:col w:w="10219"/>
          </w:cols>
          <w:pgMar w:left="240" w:top="615" w:right="1440" w:bottom="1440" w:gutter="0" w:footer="0" w:header="0"/>
        </w:sectPr>
      </w:pPr>
    </w:p>
    <w:bookmarkStart w:id="88" w:name="page89"/>
    <w:bookmarkEnd w:id="88"/>
    <w:p>
      <w:pPr>
        <w:jc w:val="right"/>
        <w:ind w:right="2959"/>
        <w:spacing w:after="0"/>
        <w:rPr>
          <w:sz w:val="20"/>
          <w:szCs w:val="20"/>
          <w:color w:val="auto"/>
        </w:rPr>
      </w:pPr>
      <w:r>
        <w:rPr>
          <w:rFonts w:ascii="Courier New" w:cs="Courier New" w:eastAsia="Courier New" w:hAnsi="Courier New"/>
          <w:sz w:val="15"/>
          <w:szCs w:val="15"/>
          <w:color w:val="auto"/>
        </w:rPr>
        <w:t>EXHIBIT 10.139</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MICRON TECHNOLOGY, INC.</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1989 EMPLOYEE STOCK</w:t>
      </w:r>
    </w:p>
    <w:p>
      <w:pPr>
        <w:spacing w:after="0" w:line="33"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PURCHASE PLAN</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7" w:right="2959" w:firstLine="454"/>
        <w:spacing w:after="0" w:line="368" w:lineRule="auto"/>
        <w:rPr>
          <w:sz w:val="20"/>
          <w:szCs w:val="20"/>
          <w:color w:val="auto"/>
        </w:rPr>
      </w:pPr>
      <w:r>
        <w:rPr>
          <w:rFonts w:ascii="Courier New" w:cs="Courier New" w:eastAsia="Courier New" w:hAnsi="Courier New"/>
          <w:sz w:val="15"/>
          <w:szCs w:val="15"/>
          <w:color w:val="auto"/>
        </w:rPr>
        <w:t>The following constitute the provisions of the 1989 Employee Stock Purchase Plan of Micron Technology, Inc.:</w:t>
      </w:r>
    </w:p>
    <w:p>
      <w:pPr>
        <w:spacing w:after="0" w:line="3" w:lineRule="exact"/>
        <w:rPr>
          <w:sz w:val="20"/>
          <w:szCs w:val="20"/>
          <w:color w:val="auto"/>
        </w:rPr>
      </w:pPr>
    </w:p>
    <w:p>
      <w:pPr>
        <w:ind w:left="907" w:hanging="452"/>
        <w:spacing w:after="0"/>
        <w:tabs>
          <w:tab w:leader="none" w:pos="90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Plan is to provide employees of the</w:t>
      </w:r>
    </w:p>
    <w:p>
      <w:pPr>
        <w:spacing w:after="0" w:line="3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0" w:lineRule="auto"/>
        <w:rPr>
          <w:sz w:val="20"/>
          <w:szCs w:val="20"/>
          <w:color w:val="auto"/>
        </w:rPr>
      </w:pPr>
      <w:r>
        <w:rPr>
          <w:rFonts w:ascii="Courier New" w:cs="Courier New" w:eastAsia="Courier New" w:hAnsi="Courier New"/>
          <w:sz w:val="15"/>
          <w:szCs w:val="15"/>
          <w:color w:val="auto"/>
        </w:rPr>
        <w:t>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82" w:lineRule="exact"/>
        <w:rPr>
          <w:sz w:val="20"/>
          <w:szCs w:val="20"/>
          <w:color w:val="auto"/>
        </w:rPr>
      </w:pPr>
    </w:p>
    <w:p>
      <w:pPr>
        <w:ind w:left="907" w:hanging="452"/>
        <w:spacing w:after="0"/>
        <w:tabs>
          <w:tab w:leader="none" w:pos="90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Common Stock, $.10 no par value,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the Company.</w:t>
      </w:r>
    </w:p>
    <w:p>
      <w:pPr>
        <w:spacing w:after="0" w:line="152" w:lineRule="exact"/>
        <w:rPr>
          <w:sz w:val="20"/>
          <w:szCs w:val="20"/>
          <w:color w:val="auto"/>
        </w:rPr>
      </w:pPr>
    </w:p>
    <w:p>
      <w:pPr>
        <w:ind w:left="1267" w:hanging="358"/>
        <w:spacing w:after="0"/>
        <w:tabs>
          <w:tab w:leader="none" w:pos="126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Micron Technology, Inc., a Delaware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jc w:val="right"/>
        <w:ind w:right="2959"/>
        <w:spacing w:after="0"/>
        <w:tabs>
          <w:tab w:leader="none" w:pos="4520" w:val="left"/>
        </w:tabs>
        <w:rPr>
          <w:sz w:val="20"/>
          <w:szCs w:val="20"/>
          <w:color w:val="auto"/>
        </w:rPr>
      </w:pPr>
      <w:r>
        <w:rPr>
          <w:rFonts w:ascii="Courier New" w:cs="Courier New" w:eastAsia="Courier New" w:hAnsi="Courier New"/>
          <w:sz w:val="15"/>
          <w:szCs w:val="15"/>
          <w:color w:val="auto"/>
        </w:rPr>
        <w:t>(e) "Compensation"</w:t>
        <w:tab/>
        <w:t>with respect to any Employee means such Employee's</w:t>
      </w:r>
    </w:p>
    <w:p>
      <w:pPr>
        <w:spacing w:after="0" w:line="33"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3" w:lineRule="auto"/>
        <w:rPr>
          <w:sz w:val="20"/>
          <w:szCs w:val="20"/>
          <w:color w:val="auto"/>
        </w:rPr>
      </w:pPr>
      <w:r>
        <w:rPr>
          <w:rFonts w:ascii="Courier New" w:cs="Courier New" w:eastAsia="Courier New" w:hAnsi="Courier New"/>
          <w:sz w:val="15"/>
          <w:szCs w:val="15"/>
          <w:color w:val="auto"/>
        </w:rPr>
        <w:t>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78" w:lineRule="exact"/>
        <w:rPr>
          <w:sz w:val="20"/>
          <w:szCs w:val="20"/>
          <w:color w:val="auto"/>
        </w:rPr>
      </w:pPr>
    </w:p>
    <w:p>
      <w:pPr>
        <w:ind w:left="7" w:right="2959" w:firstLine="454"/>
        <w:spacing w:after="0" w:line="250" w:lineRule="auto"/>
        <w:rPr>
          <w:sz w:val="20"/>
          <w:szCs w:val="20"/>
          <w:color w:val="auto"/>
        </w:rPr>
      </w:pPr>
      <w:r>
        <w:rPr>
          <w:rFonts w:ascii="Courier New" w:cs="Courier New" w:eastAsia="Courier New" w:hAnsi="Courier New"/>
          <w:sz w:val="15"/>
          <w:szCs w:val="15"/>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w:t>
      </w:r>
    </w:p>
    <w:p>
      <w:pPr>
        <w:spacing w:after="0" w:line="4" w:lineRule="exact"/>
        <w:rPr>
          <w:sz w:val="20"/>
          <w:szCs w:val="20"/>
          <w:color w:val="auto"/>
        </w:rPr>
      </w:pPr>
    </w:p>
    <w:p>
      <w:pPr>
        <w:ind w:left="7" w:right="3419" w:hanging="7"/>
        <w:spacing w:after="0" w:line="287" w:lineRule="auto"/>
        <w:tabs>
          <w:tab w:leader="none" w:pos="37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amounts which receive special tax benefits, such as premiums for group-term life insurance (but only to the extent that the premiums are not includible in the gross income of</w:t>
      </w:r>
    </w:p>
    <w:p>
      <w:pPr>
        <w:sectPr>
          <w:pgSz w:w="11900" w:h="16838" w:orient="portrait"/>
          <w:cols w:equalWidth="0" w:num="1">
            <w:col w:w="10226"/>
          </w:cols>
          <w:pgMar w:left="233" w:top="463" w:right="1440" w:bottom="1440" w:gutter="0" w:footer="0" w:header="0"/>
        </w:sectPr>
      </w:pPr>
    </w:p>
    <w:bookmarkStart w:id="89" w:name="page90"/>
    <w:bookmarkEnd w:id="89"/>
    <w:p>
      <w:pPr>
        <w:ind w:left="7" w:right="2959"/>
        <w:spacing w:after="0" w:line="271" w:lineRule="auto"/>
        <w:rPr>
          <w:sz w:val="20"/>
          <w:szCs w:val="20"/>
          <w:color w:val="auto"/>
        </w:rPr>
      </w:pPr>
      <w:r>
        <w:rPr>
          <w:rFonts w:ascii="Courier New" w:cs="Courier New" w:eastAsia="Courier New" w:hAnsi="Courier New"/>
          <w:sz w:val="15"/>
          <w:szCs w:val="15"/>
          <w:color w:val="auto"/>
        </w:rPr>
        <w:t>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7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(f) "Continuous Status as an Employee" shall mean the absence of any</w:t>
      </w:r>
    </w:p>
    <w:p>
      <w:pPr>
        <w:spacing w:after="0" w:line="33"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75" w:lineRule="exact"/>
        <w:rPr>
          <w:sz w:val="20"/>
          <w:szCs w:val="20"/>
          <w:color w:val="auto"/>
        </w:rPr>
      </w:pPr>
    </w:p>
    <w:p>
      <w:pPr>
        <w:ind w:left="1267" w:hanging="358"/>
        <w:spacing w:after="0"/>
        <w:tabs>
          <w:tab w:leader="none" w:pos="126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Subsidiaries" shall mean the Subsidiaries which have</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679"/>
        <w:spacing w:after="0" w:line="329" w:lineRule="auto"/>
        <w:rPr>
          <w:sz w:val="20"/>
          <w:szCs w:val="20"/>
          <w:color w:val="auto"/>
        </w:rPr>
      </w:pPr>
      <w:r>
        <w:rPr>
          <w:rFonts w:ascii="Courier New" w:cs="Courier New" w:eastAsia="Courier New" w:hAnsi="Courier New"/>
          <w:sz w:val="15"/>
          <w:szCs w:val="15"/>
          <w:color w:val="auto"/>
        </w:rPr>
        <w:t>been designated by the Board from time to time in its sole discretion as eligible to participate in the Plan.</w:t>
      </w:r>
    </w:p>
    <w:p>
      <w:pPr>
        <w:spacing w:after="0" w:line="30" w:lineRule="exact"/>
        <w:rPr>
          <w:sz w:val="20"/>
          <w:szCs w:val="20"/>
          <w:color w:val="auto"/>
        </w:rPr>
      </w:pPr>
    </w:p>
    <w:p>
      <w:pPr>
        <w:ind w:left="1267" w:hanging="358"/>
        <w:spacing w:after="0"/>
        <w:tabs>
          <w:tab w:leader="none" w:pos="126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person, including an officer, who is</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continuously employed for at least twenty (20) hours per week and more than five</w:t>
      </w:r>
    </w:p>
    <w:p>
      <w:pPr>
        <w:spacing w:after="0" w:line="5" w:lineRule="exact"/>
        <w:rPr>
          <w:sz w:val="20"/>
          <w:szCs w:val="20"/>
          <w:color w:val="auto"/>
        </w:rPr>
      </w:pPr>
    </w:p>
    <w:p>
      <w:pPr>
        <w:ind w:left="7" w:right="3039" w:hanging="7"/>
        <w:spacing w:after="0" w:line="246" w:lineRule="auto"/>
        <w:tabs>
          <w:tab w:leader="none" w:pos="37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in a calendar year by the Company or one of its Designated Subsidiaries; provided, however, that all employees of an Italian Designated Subsidiary of the Company shall be considered "Employees" under the Plan, without regard as to whether they are continuously employed for at least twenty</w:t>
      </w:r>
    </w:p>
    <w:p>
      <w:pPr>
        <w:spacing w:after="0" w:line="2" w:lineRule="exact"/>
        <w:rPr>
          <w:rFonts w:ascii="Courier New" w:cs="Courier New" w:eastAsia="Courier New" w:hAnsi="Courier New"/>
          <w:sz w:val="15"/>
          <w:szCs w:val="15"/>
          <w:color w:val="auto"/>
        </w:rPr>
      </w:pPr>
    </w:p>
    <w:p>
      <w:pPr>
        <w:ind w:left="7" w:right="3599" w:hanging="7"/>
        <w:spacing w:after="0" w:line="329" w:lineRule="auto"/>
        <w:tabs>
          <w:tab w:leader="none" w:pos="461"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per week or more than five (5) months in a calendar year by an Italian Designated Subsidiary of the Company.</w:t>
      </w:r>
    </w:p>
    <w:p>
      <w:pPr>
        <w:spacing w:after="0" w:line="30" w:lineRule="exact"/>
        <w:rPr>
          <w:sz w:val="20"/>
          <w:szCs w:val="20"/>
          <w:color w:val="auto"/>
        </w:rPr>
      </w:pPr>
    </w:p>
    <w:p>
      <w:pPr>
        <w:ind w:left="1267" w:hanging="358"/>
        <w:spacing w:after="0"/>
        <w:tabs>
          <w:tab w:leader="none" w:pos="126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"Enrollment Date" shall mean the first day of each Offering</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Period.</w:t>
      </w:r>
    </w:p>
    <w:p>
      <w:pPr>
        <w:spacing w:after="0" w:line="152"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(j) "Exercise Date" shall mean the last day of each Offering Period</w:t>
      </w:r>
    </w:p>
    <w:p>
      <w:pPr>
        <w:spacing w:after="0" w:line="33"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the Plan.</w:t>
      </w:r>
    </w:p>
    <w:p>
      <w:pPr>
        <w:spacing w:after="0" w:line="152" w:lineRule="exact"/>
        <w:rPr>
          <w:sz w:val="20"/>
          <w:szCs w:val="20"/>
          <w:color w:val="auto"/>
        </w:rPr>
      </w:pPr>
    </w:p>
    <w:p>
      <w:pPr>
        <w:ind w:left="1267" w:hanging="358"/>
        <w:spacing w:after="0"/>
        <w:tabs>
          <w:tab w:leader="none" w:pos="126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 shall mean a period of three (3) months during</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which an option granted pursuant to the Plan may be exercised.</w:t>
      </w:r>
    </w:p>
    <w:p>
      <w:pPr>
        <w:spacing w:after="0" w:line="152" w:lineRule="exact"/>
        <w:rPr>
          <w:sz w:val="20"/>
          <w:szCs w:val="20"/>
          <w:color w:val="auto"/>
        </w:rPr>
      </w:pPr>
    </w:p>
    <w:p>
      <w:pPr>
        <w:ind w:left="1267" w:hanging="358"/>
        <w:spacing w:after="0"/>
        <w:tabs>
          <w:tab w:leader="none" w:pos="126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this Employee Stock Purchase Plan.</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1267" w:hanging="358"/>
        <w:spacing w:after="0"/>
        <w:tabs>
          <w:tab w:leader="none" w:pos="126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 corporation, domestic or foreign, of</w:t>
      </w:r>
    </w:p>
    <w:p>
      <w:pPr>
        <w:spacing w:after="0" w:line="32"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87" w:lineRule="auto"/>
        <w:rPr>
          <w:sz w:val="20"/>
          <w:szCs w:val="20"/>
          <w:color w:val="auto"/>
        </w:rPr>
      </w:pPr>
      <w:r>
        <w:rPr>
          <w:rFonts w:ascii="Courier New" w:cs="Courier New" w:eastAsia="Courier New" w:hAnsi="Courier New"/>
          <w:sz w:val="15"/>
          <w:szCs w:val="15"/>
          <w:color w:val="auto"/>
        </w:rPr>
        <w:t>which not less than 50% of the voting shares are held by the Company or a Subsidiary, whether or not such corporation now exists or is hereafter organized or acquired by the Company or a Subsidiary.</w:t>
      </w:r>
    </w:p>
    <w:p>
      <w:pPr>
        <w:spacing w:after="0" w:line="62" w:lineRule="exact"/>
        <w:rPr>
          <w:sz w:val="20"/>
          <w:szCs w:val="20"/>
          <w:color w:val="auto"/>
        </w:rPr>
      </w:pPr>
    </w:p>
    <w:p>
      <w:pPr>
        <w:ind w:left="907" w:hanging="452"/>
        <w:spacing w:after="0"/>
        <w:tabs>
          <w:tab w:leader="none" w:pos="90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32"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right="2959" w:firstLine="902"/>
        <w:spacing w:after="0" w:line="287" w:lineRule="auto"/>
        <w:tabs>
          <w:tab w:leader="none" w:pos="1279"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Employee as defined in paragraph 2 who has been continuously employed by the Company or any subsidiary of the Company for at least one (1) consecutive month and who shall be employed by the Company on a given Enrollment Date shall be eligible to participate in the Plan.</w:t>
      </w:r>
    </w:p>
    <w:p>
      <w:pPr>
        <w:sectPr>
          <w:pgSz w:w="11900" w:h="16838" w:orient="portrait"/>
          <w:cols w:equalWidth="0" w:num="1">
            <w:col w:w="10226"/>
          </w:cols>
          <w:pgMar w:left="233" w:top="615" w:right="1440" w:bottom="1440" w:gutter="0" w:footer="0" w:header="0"/>
        </w:sectPr>
      </w:pPr>
    </w:p>
    <w:bookmarkStart w:id="90" w:name="page91"/>
    <w:bookmarkEnd w:id="90"/>
    <w:p>
      <w:pPr>
        <w:ind w:right="2959" w:firstLine="902"/>
        <w:spacing w:after="0" w:line="257" w:lineRule="auto"/>
        <w:tabs>
          <w:tab w:leader="none" w:pos="1272"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88"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Periods. The Plan shall be implemented by consecutive</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82" w:lineRule="exact"/>
        <w:rPr>
          <w:sz w:val="20"/>
          <w:szCs w:val="20"/>
          <w:color w:val="auto"/>
        </w:rPr>
      </w:pPr>
    </w:p>
    <w:p>
      <w:pPr>
        <w:ind w:left="900" w:hanging="452"/>
        <w:spacing w:after="0"/>
        <w:tabs>
          <w:tab w:leader="none" w:pos="90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3039" w:firstLine="902"/>
        <w:spacing w:after="0" w:line="267" w:lineRule="auto"/>
        <w:tabs>
          <w:tab w:leader="none" w:pos="1272"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Employee may become a participant in the Plan by completing a subscription agreement authorizing payroll deductions in the form of Exhibit A to this Plan and filing it with the Company's payroll or administrative office at least ten (10) business days prior to the applicable Enrollment Date, unless a different time for filing the subscription agreement is set by the Board for all eligible Employees with respect to a given Offering Period.</w:t>
      </w:r>
    </w:p>
    <w:p>
      <w:pPr>
        <w:spacing w:after="0" w:line="74" w:lineRule="exact"/>
        <w:rPr>
          <w:rFonts w:ascii="Courier New" w:cs="Courier New" w:eastAsia="Courier New" w:hAnsi="Courier New"/>
          <w:sz w:val="15"/>
          <w:szCs w:val="15"/>
          <w:color w:val="auto"/>
        </w:rPr>
      </w:pPr>
    </w:p>
    <w:p>
      <w:pPr>
        <w:jc w:val="both"/>
        <w:ind w:right="3139" w:firstLine="902"/>
        <w:spacing w:after="0" w:line="287" w:lineRule="auto"/>
        <w:tabs>
          <w:tab w:leader="none" w:pos="1272"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61"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2959" w:firstLine="902"/>
        <w:spacing w:after="0" w:line="267" w:lineRule="auto"/>
        <w:tabs>
          <w:tab w:leader="none" w:pos="1272"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74" w:lineRule="exact"/>
        <w:rPr>
          <w:rFonts w:ascii="Courier New" w:cs="Courier New" w:eastAsia="Courier New" w:hAnsi="Courier New"/>
          <w:sz w:val="15"/>
          <w:szCs w:val="15"/>
          <w:color w:val="auto"/>
        </w:rPr>
      </w:pPr>
    </w:p>
    <w:p>
      <w:pPr>
        <w:ind w:right="3039" w:firstLine="902"/>
        <w:spacing w:after="0" w:line="307" w:lineRule="auto"/>
        <w:tabs>
          <w:tab w:leader="none" w:pos="1272"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payroll deductions made by a participant shall be credited to his or her account under the Plan. A participant may not make any additional payments into such account.</w:t>
      </w:r>
    </w:p>
    <w:p>
      <w:pPr>
        <w:sectPr>
          <w:pgSz w:w="11900" w:h="16838" w:orient="portrait"/>
          <w:cols w:equalWidth="0" w:num="1">
            <w:col w:w="10219"/>
          </w:cols>
          <w:pgMar w:left="240" w:top="615" w:right="1440" w:bottom="1440" w:gutter="0" w:footer="0" w:header="0"/>
        </w:sectPr>
      </w:pPr>
    </w:p>
    <w:bookmarkStart w:id="91" w:name="page92"/>
    <w:bookmarkEnd w:id="91"/>
    <w:p>
      <w:pPr>
        <w:ind w:right="2959" w:firstLine="902"/>
        <w:spacing w:after="0" w:line="277" w:lineRule="auto"/>
        <w:tabs>
          <w:tab w:leader="none" w:pos="127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68" w:lineRule="exact"/>
        <w:rPr>
          <w:rFonts w:ascii="Courier New" w:cs="Courier New" w:eastAsia="Courier New" w:hAnsi="Courier New"/>
          <w:sz w:val="15"/>
          <w:szCs w:val="15"/>
          <w:color w:val="auto"/>
        </w:rPr>
      </w:pPr>
    </w:p>
    <w:p>
      <w:pPr>
        <w:ind w:right="3039" w:firstLine="902"/>
        <w:spacing w:after="0" w:line="260" w:lineRule="auto"/>
        <w:tabs>
          <w:tab w:leader="none" w:pos="127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81"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2959" w:firstLine="902"/>
        <w:spacing w:after="0" w:line="254" w:lineRule="auto"/>
        <w:tabs>
          <w:tab w:leader="none" w:pos="1272"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a number of shares determined by dividing $6,250 by the fair market value of a share of the Company's Common Stock on the Enrollment Date,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83" w:lineRule="exact"/>
        <w:rPr>
          <w:rFonts w:ascii="Courier New" w:cs="Courier New" w:eastAsia="Courier New" w:hAnsi="Courier New"/>
          <w:sz w:val="15"/>
          <w:szCs w:val="15"/>
          <w:color w:val="auto"/>
        </w:rPr>
      </w:pPr>
    </w:p>
    <w:p>
      <w:pPr>
        <w:ind w:right="2959" w:firstLine="902"/>
        <w:spacing w:after="0" w:line="257" w:lineRule="auto"/>
        <w:tabs>
          <w:tab w:leader="none" w:pos="1272"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81"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Unless a participant withdraws from the Plan as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329" w:lineRule="auto"/>
        <w:rPr>
          <w:sz w:val="20"/>
          <w:szCs w:val="20"/>
          <w:color w:val="auto"/>
        </w:rPr>
      </w:pPr>
      <w:r>
        <w:rPr>
          <w:rFonts w:ascii="Courier New" w:cs="Courier New" w:eastAsia="Courier New" w:hAnsi="Courier New"/>
          <w:sz w:val="15"/>
          <w:szCs w:val="15"/>
          <w:color w:val="auto"/>
        </w:rPr>
        <w:t>provided in paragraph 11, his or her option for the purchase of shares will be exercised automatically on the</w:t>
      </w:r>
    </w:p>
    <w:p>
      <w:pPr>
        <w:sectPr>
          <w:pgSz w:w="11900" w:h="16838" w:orient="portrait"/>
          <w:cols w:equalWidth="0" w:num="1">
            <w:col w:w="10219"/>
          </w:cols>
          <w:pgMar w:left="240" w:top="614" w:right="1440" w:bottom="1440" w:gutter="0" w:footer="0" w:header="0"/>
        </w:sectPr>
      </w:pPr>
    </w:p>
    <w:bookmarkStart w:id="92" w:name="page93"/>
    <w:bookmarkEnd w:id="92"/>
    <w:p>
      <w:pPr>
        <w:ind w:right="2959"/>
        <w:spacing w:after="0" w:line="267" w:lineRule="auto"/>
        <w:rPr>
          <w:sz w:val="20"/>
          <w:szCs w:val="20"/>
          <w:color w:val="auto"/>
        </w:rPr>
      </w:pPr>
      <w:r>
        <w:rPr>
          <w:rFonts w:ascii="Courier New" w:cs="Courier New" w:eastAsia="Courier New" w:hAnsi="Courier New"/>
          <w:sz w:val="15"/>
          <w:szCs w:val="15"/>
          <w:color w:val="auto"/>
        </w:rPr>
        <w:t>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75" w:lineRule="exact"/>
        <w:rPr>
          <w:sz w:val="20"/>
          <w:szCs w:val="20"/>
          <w:color w:val="auto"/>
        </w:rPr>
      </w:pPr>
    </w:p>
    <w:p>
      <w:pPr>
        <w:ind w:left="900" w:hanging="452"/>
        <w:spacing w:after="0"/>
        <w:tabs>
          <w:tab w:leader="none" w:pos="90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Transfer of Shares. Effective April 1, 1993, shares</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purchased upon exercise of a participant's option may not be transferred by the participant for a period of one (1) year from the Exercise Date. This transfer restriction shall be earlier terminated in the event of a participant's permanent disability or death, or upon the involuntary transfer of the shares due to divorce, judicial declaration of insolvency or bankruptcy or other form of involuntary transfer.</w:t>
      </w:r>
    </w:p>
    <w:p>
      <w:pPr>
        <w:spacing w:after="0" w:line="78" w:lineRule="exact"/>
        <w:rPr>
          <w:sz w:val="20"/>
          <w:szCs w:val="20"/>
          <w:color w:val="auto"/>
        </w:rPr>
      </w:pPr>
    </w:p>
    <w:p>
      <w:pPr>
        <w:ind w:left="900" w:hanging="452"/>
        <w:spacing w:after="0"/>
        <w:tabs>
          <w:tab w:leader="none" w:pos="9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Prior to April 1, 1993, as promptly as practicable after</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5"/>
          <w:szCs w:val="15"/>
          <w:color w:val="auto"/>
        </w:rPr>
        <w:t>the Exercise Date of each Offering Period, the Company shall arrange the delivery to each participant of a certificate representing the full shares purchased upon exercise of the participant's option. Subsequent to April 1, 1993, immediately following the Exercise Date of each Offering Period, unless a participant requests the issuance of a certificate representing the participant's shares, the Company shall promptly record the participant's full shares in book entry form. Upon request from a participant, or upon the involuntary transfer of a participant's shares, the Company shall arrange for the delivery to the participant of a certificate representing the full shares purchased. Certificates issued upon a participant's request which are subject to the transfer restriction referred to in paragraph 9 shall bear a legend in a conspicuous place referencing the restriction.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94" w:lineRule="exact"/>
        <w:rPr>
          <w:sz w:val="20"/>
          <w:szCs w:val="20"/>
          <w:color w:val="auto"/>
        </w:rPr>
      </w:pPr>
    </w:p>
    <w:p>
      <w:pPr>
        <w:ind w:left="900" w:hanging="452"/>
        <w:spacing w:after="0"/>
        <w:tabs>
          <w:tab w:leader="none" w:pos="9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Termination of Employment.</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2959" w:firstLine="902"/>
        <w:spacing w:after="0" w:line="257" w:lineRule="auto"/>
        <w:tabs>
          <w:tab w:leader="none" w:pos="127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withdraw all but not less than all the payroll deductions credited to such participant's account under the Plan at any time prior to the Exercise Date of the Offering Period by giving written notice to the Company in the form of Exhibit B to this Plan.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88" w:lineRule="exact"/>
        <w:rPr>
          <w:rFonts w:ascii="Courier New" w:cs="Courier New" w:eastAsia="Courier New" w:hAnsi="Courier New"/>
          <w:sz w:val="15"/>
          <w:szCs w:val="15"/>
          <w:color w:val="auto"/>
        </w:rPr>
      </w:pPr>
    </w:p>
    <w:p>
      <w:pPr>
        <w:ind w:right="3139" w:firstLine="902"/>
        <w:spacing w:after="0" w:line="271" w:lineRule="auto"/>
        <w:tabs>
          <w:tab w:leader="none" w:pos="127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ectPr>
          <w:pgSz w:w="11900" w:h="16838" w:orient="portrait"/>
          <w:cols w:equalWidth="0" w:num="1">
            <w:col w:w="10219"/>
          </w:cols>
          <w:pgMar w:left="240" w:top="615" w:right="1440" w:bottom="1440" w:gutter="0" w:footer="0" w:header="0"/>
        </w:sectPr>
      </w:pPr>
    </w:p>
    <w:bookmarkStart w:id="93" w:name="page94"/>
    <w:bookmarkEnd w:id="93"/>
    <w:p>
      <w:pPr>
        <w:ind w:right="2959" w:firstLine="902"/>
        <w:spacing w:after="0" w:line="277" w:lineRule="auto"/>
        <w:tabs>
          <w:tab w:leader="none" w:pos="127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68" w:lineRule="exact"/>
        <w:rPr>
          <w:rFonts w:ascii="Courier New" w:cs="Courier New" w:eastAsia="Courier New" w:hAnsi="Courier New"/>
          <w:sz w:val="15"/>
          <w:szCs w:val="15"/>
          <w:color w:val="auto"/>
        </w:rPr>
      </w:pPr>
    </w:p>
    <w:p>
      <w:pPr>
        <w:jc w:val="both"/>
        <w:ind w:right="3139" w:firstLine="902"/>
        <w:spacing w:after="0" w:line="307" w:lineRule="auto"/>
        <w:tabs>
          <w:tab w:leader="none" w:pos="127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47"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No interest shall accrue on the payroll deductions of a</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in the Plan.</w:t>
      </w:r>
    </w:p>
    <w:p>
      <w:pPr>
        <w:spacing w:after="0" w:line="152" w:lineRule="exact"/>
        <w:rPr>
          <w:sz w:val="20"/>
          <w:szCs w:val="20"/>
          <w:color w:val="auto"/>
        </w:rPr>
      </w:pPr>
    </w:p>
    <w:p>
      <w:pPr>
        <w:ind w:left="900" w:hanging="452"/>
        <w:spacing w:after="0"/>
        <w:tabs>
          <w:tab w:leader="none" w:pos="90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2959" w:firstLine="902"/>
        <w:spacing w:after="0" w:line="257" w:lineRule="auto"/>
        <w:tabs>
          <w:tab w:leader="none" w:pos="1272"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the Company's Common Stock which shall be made available for sale under the Plan shall be 9,250,000 shares,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81" w:lineRule="exact"/>
        <w:rPr>
          <w:rFonts w:ascii="Courier New" w:cs="Courier New" w:eastAsia="Courier New" w:hAnsi="Courier New"/>
          <w:sz w:val="15"/>
          <w:szCs w:val="15"/>
          <w:color w:val="auto"/>
        </w:rPr>
      </w:pPr>
    </w:p>
    <w:p>
      <w:pPr>
        <w:ind w:right="3219" w:firstLine="902"/>
        <w:spacing w:after="0" w:line="368" w:lineRule="auto"/>
        <w:tabs>
          <w:tab w:leader="none" w:pos="1272"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will have no interest or voting right in shares covered by his or her option until such option has been exercised.</w:t>
      </w:r>
    </w:p>
    <w:p>
      <w:pPr>
        <w:spacing w:after="0" w:line="3" w:lineRule="exact"/>
        <w:rPr>
          <w:rFonts w:ascii="Courier New" w:cs="Courier New" w:eastAsia="Courier New" w:hAnsi="Courier New"/>
          <w:sz w:val="15"/>
          <w:szCs w:val="15"/>
          <w:color w:val="auto"/>
        </w:rPr>
      </w:pPr>
    </w:p>
    <w:p>
      <w:pPr>
        <w:ind w:right="3039" w:firstLine="902"/>
        <w:spacing w:after="0" w:line="307" w:lineRule="auto"/>
        <w:tabs>
          <w:tab w:leader="none" w:pos="1272"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to be delivered to a participant under the Plan will be registered in the name of the participant or in the name of the participant and his or her spouse.</w:t>
      </w:r>
    </w:p>
    <w:p>
      <w:pPr>
        <w:spacing w:after="0" w:line="47"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Board of the</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75" w:lineRule="exact"/>
        <w:rPr>
          <w:sz w:val="20"/>
          <w:szCs w:val="20"/>
          <w:color w:val="auto"/>
        </w:rPr>
      </w:pPr>
    </w:p>
    <w:p>
      <w:pPr>
        <w:ind w:right="2959" w:firstLine="902"/>
        <w:spacing w:after="0" w:line="307" w:lineRule="auto"/>
        <w:tabs>
          <w:tab w:leader="none" w:pos="127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Board who are eligible to participate in the Plan may not vote on any matter affecting the administration of the Plan or the grant of any option pursuant to the Plan.</w:t>
      </w:r>
    </w:p>
    <w:p>
      <w:pPr>
        <w:spacing w:after="0" w:line="47" w:lineRule="exact"/>
        <w:rPr>
          <w:rFonts w:ascii="Courier New" w:cs="Courier New" w:eastAsia="Courier New" w:hAnsi="Courier New"/>
          <w:sz w:val="15"/>
          <w:szCs w:val="15"/>
          <w:color w:val="auto"/>
        </w:rPr>
      </w:pPr>
    </w:p>
    <w:p>
      <w:pPr>
        <w:ind w:right="2959" w:firstLine="902"/>
        <w:spacing w:after="0" w:line="307" w:lineRule="auto"/>
        <w:tabs>
          <w:tab w:leader="none" w:pos="127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Committee is established to administer the Plan, no member of the Board who is eligible to participate in the Plan may be a member of the Committee.</w:t>
      </w:r>
    </w:p>
    <w:p>
      <w:pPr>
        <w:sectPr>
          <w:pgSz w:w="11900" w:h="16838" w:orient="portrait"/>
          <w:cols w:equalWidth="0" w:num="1">
            <w:col w:w="10219"/>
          </w:cols>
          <w:pgMar w:left="240" w:top="615" w:right="1440" w:bottom="1440" w:gutter="0" w:footer="0" w:header="0"/>
        </w:sectPr>
      </w:pPr>
    </w:p>
    <w:bookmarkStart w:id="94" w:name="page95"/>
    <w:bookmarkEnd w:id="94"/>
    <w:p>
      <w:pPr>
        <w:ind w:left="900" w:hanging="452"/>
        <w:spacing w:after="0"/>
        <w:tabs>
          <w:tab w:leader="none" w:pos="90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right="3039" w:firstLine="902"/>
        <w:spacing w:after="0" w:line="267" w:lineRule="auto"/>
        <w:tabs>
          <w:tab w:leader="none" w:pos="127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74" w:lineRule="exact"/>
        <w:rPr>
          <w:rFonts w:ascii="Courier New" w:cs="Courier New" w:eastAsia="Courier New" w:hAnsi="Courier New"/>
          <w:sz w:val="15"/>
          <w:szCs w:val="15"/>
          <w:color w:val="auto"/>
        </w:rPr>
      </w:pPr>
    </w:p>
    <w:p>
      <w:pPr>
        <w:ind w:right="2959" w:firstLine="902"/>
        <w:spacing w:after="0" w:line="260" w:lineRule="auto"/>
        <w:tabs>
          <w:tab w:leader="none" w:pos="127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81"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of Rights. Neither payroll deductions credited to a</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82" w:lineRule="exact"/>
        <w:rPr>
          <w:sz w:val="20"/>
          <w:szCs w:val="20"/>
          <w:color w:val="auto"/>
        </w:rPr>
      </w:pPr>
    </w:p>
    <w:p>
      <w:pPr>
        <w:ind w:left="900" w:hanging="452"/>
        <w:spacing w:after="0"/>
        <w:tabs>
          <w:tab w:leader="none" w:pos="90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Funds. All payroll deductions received or held by the Company</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under the Plan may be used by the Company for any corporate purpose, and the Company shall not be obligated to segregate such payroll deductions.</w:t>
      </w:r>
    </w:p>
    <w:p>
      <w:pPr>
        <w:spacing w:after="0" w:line="30" w:lineRule="exact"/>
        <w:rPr>
          <w:sz w:val="20"/>
          <w:szCs w:val="20"/>
          <w:color w:val="auto"/>
        </w:rPr>
      </w:pPr>
    </w:p>
    <w:p>
      <w:pPr>
        <w:ind w:left="900" w:hanging="452"/>
        <w:spacing w:after="0"/>
        <w:tabs>
          <w:tab w:leader="none" w:pos="90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Individual accounts will be maintained for each participant</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75" w:lineRule="exact"/>
        <w:rPr>
          <w:sz w:val="20"/>
          <w:szCs w:val="20"/>
          <w:color w:val="auto"/>
        </w:rPr>
      </w:pPr>
    </w:p>
    <w:p>
      <w:pPr>
        <w:ind w:left="900" w:hanging="452"/>
        <w:spacing w:after="0"/>
        <w:tabs>
          <w:tab w:leader="none" w:pos="90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Subject to any required</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w:t>
      </w:r>
    </w:p>
    <w:p>
      <w:pPr>
        <w:sectPr>
          <w:pgSz w:w="11900" w:h="16838" w:orient="portrait"/>
          <w:cols w:equalWidth="0" w:num="1">
            <w:col w:w="10219"/>
          </w:cols>
          <w:pgMar w:left="240" w:top="614" w:right="1440" w:bottom="1440" w:gutter="0" w:footer="0" w:header="0"/>
        </w:sectPr>
      </w:pPr>
    </w:p>
    <w:bookmarkStart w:id="95" w:name="page96"/>
    <w:bookmarkEnd w:id="95"/>
    <w:p>
      <w:pPr>
        <w:ind w:right="2959"/>
        <w:spacing w:after="0" w:line="260" w:lineRule="auto"/>
        <w:rPr>
          <w:sz w:val="20"/>
          <w:szCs w:val="20"/>
          <w:color w:val="auto"/>
        </w:rPr>
      </w:pPr>
      <w:r>
        <w:rPr>
          <w:rFonts w:ascii="Courier New" w:cs="Courier New" w:eastAsia="Courier New" w:hAnsi="Courier New"/>
          <w:sz w:val="15"/>
          <w:szCs w:val="15"/>
          <w:color w:val="auto"/>
        </w:rPr>
        <w:t>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82"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88"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75" w:lineRule="exact"/>
        <w:rPr>
          <w:sz w:val="20"/>
          <w:szCs w:val="20"/>
          <w:color w:val="auto"/>
        </w:rPr>
      </w:pPr>
    </w:p>
    <w:p>
      <w:pPr>
        <w:ind w:left="900" w:hanging="452"/>
        <w:spacing w:after="0"/>
        <w:tabs>
          <w:tab w:leader="none" w:pos="9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The Board of Directors of the Company may</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63" w:lineRule="auto"/>
        <w:rPr>
          <w:sz w:val="20"/>
          <w:szCs w:val="20"/>
          <w:color w:val="auto"/>
        </w:rPr>
      </w:pPr>
      <w:r>
        <w:rPr>
          <w:rFonts w:ascii="Courier New" w:cs="Courier New" w:eastAsia="Courier New" w:hAnsi="Courier New"/>
          <w:sz w:val="15"/>
          <w:szCs w:val="15"/>
          <w:color w:val="auto"/>
        </w:rPr>
        <w:t>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78" w:lineRule="exact"/>
        <w:rPr>
          <w:sz w:val="20"/>
          <w:szCs w:val="20"/>
          <w:color w:val="auto"/>
        </w:rPr>
      </w:pPr>
    </w:p>
    <w:p>
      <w:pPr>
        <w:ind w:left="1260" w:hanging="358"/>
        <w:spacing w:after="0"/>
        <w:tabs>
          <w:tab w:leader="none" w:pos="126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shares that may be issued under the Plan;</w:t>
      </w:r>
    </w:p>
    <w:p>
      <w:pPr>
        <w:spacing w:after="0" w:line="179" w:lineRule="exact"/>
        <w:rPr>
          <w:rFonts w:ascii="Courier New" w:cs="Courier New" w:eastAsia="Courier New" w:hAnsi="Courier New"/>
          <w:sz w:val="15"/>
          <w:szCs w:val="15"/>
          <w:color w:val="auto"/>
        </w:rPr>
      </w:pPr>
    </w:p>
    <w:p>
      <w:pPr>
        <w:ind w:right="3219" w:firstLine="902"/>
        <w:spacing w:after="0" w:line="368" w:lineRule="auto"/>
        <w:tabs>
          <w:tab w:leader="none" w:pos="127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designation of the employees (or class of employees) eligible for participation in the Plan; or</w:t>
      </w:r>
    </w:p>
    <w:p>
      <w:pPr>
        <w:spacing w:after="0" w:line="3" w:lineRule="exact"/>
        <w:rPr>
          <w:rFonts w:ascii="Courier New" w:cs="Courier New" w:eastAsia="Courier New" w:hAnsi="Courier New"/>
          <w:sz w:val="15"/>
          <w:szCs w:val="15"/>
          <w:color w:val="auto"/>
        </w:rPr>
      </w:pPr>
    </w:p>
    <w:p>
      <w:pPr>
        <w:ind w:right="3039" w:firstLine="902"/>
        <w:spacing w:after="0" w:line="368" w:lineRule="auto"/>
        <w:tabs>
          <w:tab w:leader="none" w:pos="127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increase the benefits which may accrue to participants under the Plan.</w:t>
      </w:r>
    </w:p>
    <w:p>
      <w:pPr>
        <w:sectPr>
          <w:pgSz w:w="11900" w:h="16838" w:orient="portrait"/>
          <w:cols w:equalWidth="0" w:num="1">
            <w:col w:w="10219"/>
          </w:cols>
          <w:pgMar w:left="240" w:top="615" w:right="1440" w:bottom="1440" w:gutter="0" w:footer="0" w:header="0"/>
        </w:sectPr>
      </w:pPr>
    </w:p>
    <w:bookmarkStart w:id="96" w:name="page97"/>
    <w:bookmarkEnd w:id="96"/>
    <w:p>
      <w:pPr>
        <w:ind w:right="3039" w:firstLine="902"/>
        <w:spacing w:after="0" w:line="277" w:lineRule="auto"/>
        <w:tabs>
          <w:tab w:leader="none" w:pos="127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68" w:lineRule="exact"/>
        <w:rPr>
          <w:rFonts w:ascii="Courier New" w:cs="Courier New" w:eastAsia="Courier New" w:hAnsi="Courier New"/>
          <w:sz w:val="15"/>
          <w:szCs w:val="15"/>
          <w:color w:val="auto"/>
        </w:rPr>
      </w:pPr>
    </w:p>
    <w:p>
      <w:pPr>
        <w:ind w:right="2959" w:firstLine="1266"/>
        <w:spacing w:after="0" w:line="271" w:lineRule="auto"/>
        <w:tabs>
          <w:tab w:leader="none" w:pos="1727"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72" w:lineRule="exact"/>
        <w:rPr>
          <w:rFonts w:ascii="Courier New" w:cs="Courier New" w:eastAsia="Courier New" w:hAnsi="Courier New"/>
          <w:sz w:val="15"/>
          <w:szCs w:val="15"/>
          <w:color w:val="auto"/>
        </w:rPr>
      </w:pPr>
    </w:p>
    <w:p>
      <w:pPr>
        <w:ind w:right="2959" w:firstLine="1266"/>
        <w:spacing w:after="0" w:line="307" w:lineRule="auto"/>
        <w:tabs>
          <w:tab w:leader="none" w:pos="1727"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shortening any Offering Period so that Offering Period ends on a new Exercise Date, including an Offering Period underway at the time of the Board action.</w:t>
      </w:r>
    </w:p>
    <w:p>
      <w:pPr>
        <w:spacing w:after="0" w:line="47"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Such modifications or amendments shall not require stockholder approval or the consent of any Plan participants.</w:t>
      </w:r>
    </w:p>
    <w:p>
      <w:pPr>
        <w:spacing w:after="0" w:line="3" w:lineRule="exact"/>
        <w:rPr>
          <w:sz w:val="20"/>
          <w:szCs w:val="20"/>
          <w:color w:val="auto"/>
        </w:rPr>
      </w:pPr>
    </w:p>
    <w:p>
      <w:pPr>
        <w:ind w:left="900" w:hanging="452"/>
        <w:spacing w:after="0"/>
        <w:tabs>
          <w:tab w:leader="none" w:pos="90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or other communications by a participant to the</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Company under or in connection with the Plan shall be deemed to have been duly given when received in the form specified by the Company at the location, or by the person, designated by the Company for the receipt thereof.</w:t>
      </w:r>
    </w:p>
    <w:p>
      <w:pPr>
        <w:spacing w:after="0" w:line="62" w:lineRule="exact"/>
        <w:rPr>
          <w:sz w:val="20"/>
          <w:szCs w:val="20"/>
          <w:color w:val="auto"/>
        </w:rPr>
      </w:pPr>
    </w:p>
    <w:p>
      <w:pPr>
        <w:ind w:left="900" w:hanging="452"/>
        <w:spacing w:after="0"/>
        <w:tabs>
          <w:tab w:leader="none" w:pos="9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75" w:lineRule="exact"/>
        <w:rPr>
          <w:sz w:val="20"/>
          <w:szCs w:val="20"/>
          <w:color w:val="auto"/>
        </w:rPr>
      </w:pPr>
    </w:p>
    <w:p>
      <w:pPr>
        <w:ind w:right="2959" w:firstLine="902"/>
        <w:spacing w:after="0" w:line="267" w:lineRule="auto"/>
        <w:tabs>
          <w:tab w:leader="none" w:pos="127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solicited substantially in accordance with Section 14(a) of the Securities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74" w:lineRule="exact"/>
        <w:rPr>
          <w:rFonts w:ascii="Courier New" w:cs="Courier New" w:eastAsia="Courier New" w:hAnsi="Courier New"/>
          <w:sz w:val="15"/>
          <w:szCs w:val="15"/>
          <w:color w:val="auto"/>
        </w:rPr>
      </w:pPr>
    </w:p>
    <w:p>
      <w:pPr>
        <w:ind w:right="3139" w:firstLine="902"/>
        <w:spacing w:after="0" w:line="307" w:lineRule="auto"/>
        <w:tabs>
          <w:tab w:leader="none" w:pos="127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obtained at or prior to the first annual meeting of shareholders held subsequent to the first registration of Common Stock under Section 12 of the Act.</w:t>
      </w:r>
    </w:p>
    <w:p>
      <w:pPr>
        <w:spacing w:after="0" w:line="47"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ectPr>
          <w:pgSz w:w="11900" w:h="16838" w:orient="portrait"/>
          <w:cols w:equalWidth="0" w:num="1">
            <w:col w:w="10219"/>
          </w:cols>
          <w:pgMar w:left="240" w:top="614" w:right="1440" w:bottom="1440" w:gutter="0" w:footer="0" w:header="0"/>
        </w:sectPr>
      </w:pPr>
    </w:p>
    <w:bookmarkStart w:id="97" w:name="page98"/>
    <w:bookmarkEnd w:id="97"/>
    <w:p>
      <w:pPr>
        <w:ind w:left="900" w:hanging="452"/>
        <w:spacing w:after="0"/>
        <w:tabs>
          <w:tab w:leader="none" w:pos="9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 Shares shall not be issued with</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60" w:lineRule="auto"/>
        <w:rPr>
          <w:sz w:val="20"/>
          <w:szCs w:val="20"/>
          <w:color w:val="auto"/>
        </w:rPr>
      </w:pPr>
      <w:r>
        <w:rPr>
          <w:rFonts w:ascii="Courier New" w:cs="Courier New" w:eastAsia="Courier New" w:hAnsi="Courier New"/>
          <w:sz w:val="15"/>
          <w:szCs w:val="15"/>
          <w:color w:val="auto"/>
        </w:rPr>
        <w:t>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82" w:lineRule="exact"/>
        <w:rPr>
          <w:sz w:val="20"/>
          <w:szCs w:val="20"/>
          <w:color w:val="auto"/>
        </w:rPr>
      </w:pPr>
    </w:p>
    <w:p>
      <w:pPr>
        <w:ind w:right="3039" w:firstLine="909"/>
        <w:spacing w:after="0" w:line="271" w:lineRule="auto"/>
        <w:rPr>
          <w:sz w:val="20"/>
          <w:szCs w:val="20"/>
          <w:color w:val="auto"/>
        </w:rPr>
      </w:pPr>
      <w:r>
        <w:rPr>
          <w:rFonts w:ascii="Courier New" w:cs="Courier New" w:eastAsia="Courier New" w:hAnsi="Courier New"/>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72" w:lineRule="exact"/>
        <w:rPr>
          <w:sz w:val="20"/>
          <w:szCs w:val="20"/>
          <w:color w:val="auto"/>
        </w:rPr>
      </w:pPr>
    </w:p>
    <w:p>
      <w:pPr>
        <w:ind w:left="900" w:hanging="452"/>
        <w:spacing w:after="0"/>
        <w:tabs>
          <w:tab w:leader="none" w:pos="9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the earlier to</w:t>
      </w:r>
    </w:p>
    <w:p>
      <w:pPr>
        <w:spacing w:after="0" w:line="3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74" w:lineRule="auto"/>
        <w:rPr>
          <w:sz w:val="20"/>
          <w:szCs w:val="20"/>
          <w:color w:val="auto"/>
        </w:rPr>
      </w:pPr>
      <w:r>
        <w:rPr>
          <w:rFonts w:ascii="Courier New" w:cs="Courier New" w:eastAsia="Courier New" w:hAnsi="Courier New"/>
          <w:sz w:val="15"/>
          <w:szCs w:val="15"/>
          <w:color w:val="auto"/>
        </w:rPr>
        <w:t>occur of its adoption by the Board of Directors or its approval by the shareholders of the Company as described in paragraph 22. It shall continue in effect for a term of twenty (20) years unless sooner terminated under paragraph 20.</w:t>
      </w:r>
    </w:p>
    <w:p>
      <w:pPr>
        <w:sectPr>
          <w:pgSz w:w="11900" w:h="16838" w:orient="portrait"/>
          <w:cols w:equalWidth="0" w:num="1">
            <w:col w:w="10219"/>
          </w:cols>
          <w:pgMar w:left="240" w:top="615" w:right="1440" w:bottom="1440" w:gutter="0" w:footer="0" w:header="0"/>
        </w:sectPr>
      </w:pPr>
    </w:p>
    <w:bookmarkStart w:id="98" w:name="page99"/>
    <w:bookmarkEnd w:id="98"/>
    <w:p>
      <w:pPr>
        <w:jc w:val="right"/>
        <w:ind w:right="2959"/>
        <w:spacing w:after="0"/>
        <w:rPr>
          <w:sz w:val="20"/>
          <w:szCs w:val="20"/>
          <w:color w:val="auto"/>
        </w:rPr>
      </w:pPr>
      <w:r>
        <w:rPr>
          <w:rFonts w:ascii="Courier New" w:cs="Courier New" w:eastAsia="Courier New" w:hAnsi="Courier New"/>
          <w:sz w:val="15"/>
          <w:szCs w:val="15"/>
          <w:color w:val="auto"/>
        </w:rPr>
        <w:t>EXHIBIT 10.140</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MICRON TECHNOLOGY, INC.</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1998 NON-EMPLOYEE DIRECTOR STOCK INCENTIVE PLAN</w:t>
      </w:r>
    </w:p>
    <w:p>
      <w:pPr>
        <w:spacing w:after="0" w:line="326" w:lineRule="exact"/>
        <w:rPr>
          <w:sz w:val="20"/>
          <w:szCs w:val="20"/>
          <w:color w:val="auto"/>
        </w:rPr>
      </w:pPr>
    </w:p>
    <w:p>
      <w:pPr>
        <w:ind w:right="2959" w:firstLine="448"/>
        <w:spacing w:after="0" w:line="262" w:lineRule="auto"/>
        <w:tabs>
          <w:tab w:leader="none" w:pos="90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Micron Technology, Inc. 1998 Non-Employee Director Stock Incentive Plan is to attract, retain and compensate highly-qualified individuals who are not employees of Micron Technology, Inc. or any of its subsidiaries or affiliates for service as members of the Board by providing them with an ownership interest in the Common Stock of the Company. The Company intends that the Plan will benefit the Company and its stockholders by allowing Non-Employee Directors to have a personal financial stake in the Company through an ownership interest in the Common Stock and will closely associate the interests of Non-Employee Directors with that of the Company's stockholders.</w:t>
      </w:r>
    </w:p>
    <w:p>
      <w:pPr>
        <w:spacing w:after="0" w:line="78" w:lineRule="exact"/>
        <w:rPr>
          <w:rFonts w:ascii="Courier New" w:cs="Courier New" w:eastAsia="Courier New" w:hAnsi="Courier New"/>
          <w:sz w:val="15"/>
          <w:szCs w:val="15"/>
          <w:color w:val="auto"/>
        </w:rPr>
      </w:pPr>
    </w:p>
    <w:p>
      <w:pPr>
        <w:ind w:right="3319" w:firstLine="448"/>
        <w:spacing w:after="0" w:line="368" w:lineRule="auto"/>
        <w:tabs>
          <w:tab w:leader="none" w:pos="90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the context clearly indicates otherwise, the following terms shall have the following meanings: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means Micron Technology, Inc.</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"Committee" has the meaning assigned such term in Section 3.</w:t>
      </w:r>
    </w:p>
    <w:p>
      <w:pPr>
        <w:spacing w:after="0" w:line="180"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"Common Stock" means the common stock, par value $0.10 per share, of the Company.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"Deferral Period" has the meaning set forth in Section 6(e) of the Plan.</w:t>
      </w:r>
    </w:p>
    <w:p>
      <w:pPr>
        <w:spacing w:after="0" w:line="180"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"Deferred Stock Rights" means the right to receive shares of Common Stock upon termination as a director of the Company, as described in Section 6(e) of the Plan.</w:t>
      </w:r>
    </w:p>
    <w:p>
      <w:pPr>
        <w:spacing w:after="0" w:line="47" w:lineRule="exact"/>
        <w:rPr>
          <w:sz w:val="20"/>
          <w:szCs w:val="20"/>
          <w:color w:val="auto"/>
        </w:rPr>
      </w:pPr>
    </w:p>
    <w:p>
      <w:pPr>
        <w:ind w:left="440" w:right="3039"/>
        <w:spacing w:after="0" w:line="266" w:lineRule="auto"/>
        <w:rPr>
          <w:sz w:val="20"/>
          <w:szCs w:val="20"/>
          <w:color w:val="auto"/>
        </w:rPr>
      </w:pPr>
      <w:r>
        <w:rPr>
          <w:rFonts w:ascii="Courier New" w:cs="Courier New" w:eastAsia="Courier New" w:hAnsi="Courier New"/>
          <w:sz w:val="15"/>
          <w:szCs w:val="15"/>
          <w:color w:val="auto"/>
        </w:rPr>
        <w:t>"Distributions" has the meaning set forth in Section 6(e) of the Plan. "Election Form" means a form approved by the Committee pursuant to which a</w:t>
      </w:r>
    </w:p>
    <w:p>
      <w:pPr>
        <w:spacing w:after="0" w:line="1" w:lineRule="exact"/>
        <w:rPr>
          <w:sz w:val="20"/>
          <w:szCs w:val="20"/>
          <w:color w:val="auto"/>
        </w:rPr>
      </w:pPr>
    </w:p>
    <w:p>
      <w:pPr>
        <w:ind w:right="3599"/>
        <w:spacing w:after="0" w:line="329" w:lineRule="auto"/>
        <w:rPr>
          <w:sz w:val="20"/>
          <w:szCs w:val="20"/>
          <w:color w:val="auto"/>
        </w:rPr>
      </w:pPr>
      <w:r>
        <w:rPr>
          <w:rFonts w:ascii="Courier New" w:cs="Courier New" w:eastAsia="Courier New" w:hAnsi="Courier New"/>
          <w:sz w:val="15"/>
          <w:szCs w:val="15"/>
          <w:color w:val="auto"/>
        </w:rPr>
        <w:t>Non-Employee Director elects a form of payment of his or her Retainer, as provided in Section 6(a).</w:t>
      </w:r>
    </w:p>
    <w:p>
      <w:pPr>
        <w:spacing w:after="0" w:line="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80"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"Fair Market Value," on any date, means (i) 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w:t>
      </w:r>
    </w:p>
    <w:p>
      <w:pPr>
        <w:sectPr>
          <w:pgSz w:w="11900" w:h="16838" w:orient="portrait"/>
          <w:cols w:equalWidth="0" w:num="1">
            <w:col w:w="10219"/>
          </w:cols>
          <w:pgMar w:left="240" w:top="463" w:right="1440" w:bottom="1440" w:gutter="0" w:footer="0" w:header="0"/>
        </w:sectPr>
      </w:pPr>
    </w:p>
    <w:bookmarkStart w:id="99" w:name="page100"/>
    <w:bookmarkEnd w:id="99"/>
    <w:p>
      <w:pPr>
        <w:ind w:right="3039"/>
        <w:spacing w:after="0" w:line="277" w:lineRule="auto"/>
        <w:rPr>
          <w:sz w:val="20"/>
          <w:szCs w:val="20"/>
          <w:color w:val="auto"/>
        </w:rPr>
      </w:pPr>
      <w:r>
        <w:rPr>
          <w:rFonts w:ascii="Courier New" w:cs="Courier New" w:eastAsia="Courier New" w:hAnsi="Courier New"/>
          <w:sz w:val="15"/>
          <w:szCs w:val="15"/>
          <w:color w:val="auto"/>
        </w:rPr>
        <w:t>reported) as quoted on such exchange or system (or the exchange with the greatest volume of trading in Common Stock) on the day of determination, as reported by Bloomberg, L.P. or such other source as the Administrator deems reliable; or (ii) in the absence of an established market for the Common Stock, the Fair Market Value shall be determined in good faith by the Committee.</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"Hardship" has the meaning set forth in Section 6(f) of the Plan.</w:t>
      </w:r>
    </w:p>
    <w:p>
      <w:pPr>
        <w:spacing w:after="0" w:line="180" w:lineRule="exact"/>
        <w:rPr>
          <w:sz w:val="20"/>
          <w:szCs w:val="20"/>
          <w:color w:val="auto"/>
        </w:rPr>
      </w:pPr>
    </w:p>
    <w:p>
      <w:pPr>
        <w:ind w:right="3499" w:firstLine="454"/>
        <w:spacing w:after="0" w:line="368" w:lineRule="auto"/>
        <w:rPr>
          <w:sz w:val="20"/>
          <w:szCs w:val="20"/>
          <w:color w:val="auto"/>
        </w:rPr>
      </w:pPr>
      <w:r>
        <w:rPr>
          <w:rFonts w:ascii="Courier New" w:cs="Courier New" w:eastAsia="Courier New" w:hAnsi="Courier New"/>
          <w:sz w:val="15"/>
          <w:szCs w:val="15"/>
          <w:color w:val="auto"/>
        </w:rPr>
        <w:t>"Non-Employee Director" means a director of the Company who is not an employee of the Company or of any of its subsidiaries or affiliates.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"Participant" means any Non-Employee Director who is participating in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52" w:lineRule="exact"/>
        <w:rPr>
          <w:sz w:val="20"/>
          <w:szCs w:val="20"/>
          <w:color w:val="auto"/>
        </w:rPr>
      </w:pPr>
    </w:p>
    <w:p>
      <w:pPr>
        <w:ind w:right="3139" w:firstLine="454"/>
        <w:spacing w:after="0" w:line="368" w:lineRule="auto"/>
        <w:rPr>
          <w:sz w:val="20"/>
          <w:szCs w:val="20"/>
          <w:color w:val="auto"/>
        </w:rPr>
      </w:pPr>
      <w:r>
        <w:rPr>
          <w:rFonts w:ascii="Courier New" w:cs="Courier New" w:eastAsia="Courier New" w:hAnsi="Courier New"/>
          <w:sz w:val="15"/>
          <w:szCs w:val="15"/>
          <w:color w:val="auto"/>
        </w:rPr>
        <w:t>"Plan" means the Micron Technology, Inc. 1998 Non-Employee Director Stock Incentive Plan, as amended from time to time.</w:t>
      </w:r>
    </w:p>
    <w:p>
      <w:pPr>
        <w:spacing w:after="0" w:line="3"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"Plan Administrator" means the person or persons designated by the Committee to administer the Plan in accordance with Section 3 of the Plan. If no such administrator is designated, the Plan Administrator shall be the Committee or the Board, as the case may be, administering the Plan pursuant to Section 3.</w:t>
      </w:r>
    </w:p>
    <w:p>
      <w:pPr>
        <w:spacing w:after="0" w:line="68" w:lineRule="exact"/>
        <w:rPr>
          <w:sz w:val="20"/>
          <w:szCs w:val="20"/>
          <w:color w:val="auto"/>
        </w:rPr>
      </w:pPr>
    </w:p>
    <w:p>
      <w:pPr>
        <w:ind w:right="3319" w:firstLine="454"/>
        <w:spacing w:after="0" w:line="307" w:lineRule="auto"/>
        <w:rPr>
          <w:sz w:val="20"/>
          <w:szCs w:val="20"/>
          <w:color w:val="auto"/>
        </w:rPr>
      </w:pPr>
      <w:r>
        <w:rPr>
          <w:rFonts w:ascii="Courier New" w:cs="Courier New" w:eastAsia="Courier New" w:hAnsi="Courier New"/>
          <w:sz w:val="15"/>
          <w:szCs w:val="15"/>
          <w:color w:val="auto"/>
        </w:rPr>
        <w:t>"Plan Year" means the twelve-month period ending on December 31 of each year which, for purposes of the Plan, is the period for which Retainer is earned.</w:t>
      </w:r>
    </w:p>
    <w:p>
      <w:pPr>
        <w:spacing w:after="0" w:line="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"Quarterly Grant Date" has the meaning set forth in Section 6(c)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"Quarterly Service Period" has the meaning set forth in Section 6(c)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52"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"Retainer" means the compensation payable by the Company to a Non-Employee Director for service as a director (and, if applicable, as the member of a committee of the Board) of the Company, as such amount may be changed from time to time.</w:t>
      </w:r>
    </w:p>
    <w:p>
      <w:pPr>
        <w:spacing w:after="0" w:line="61"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"Rule 16b-3" means Rule 16b-3, as amended from time to time, of the Securities and Exchange Commission as promulgated under the Exchange Act.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"Shares" means shares of Common Stock.</w:t>
      </w:r>
    </w:p>
    <w:p>
      <w:pPr>
        <w:spacing w:after="0" w:line="180" w:lineRule="exact"/>
        <w:rPr>
          <w:sz w:val="20"/>
          <w:szCs w:val="20"/>
          <w:color w:val="auto"/>
        </w:rPr>
      </w:pPr>
    </w:p>
    <w:p>
      <w:pPr>
        <w:ind w:right="3139" w:firstLine="454"/>
        <w:spacing w:after="0" w:line="307" w:lineRule="auto"/>
        <w:rPr>
          <w:sz w:val="20"/>
          <w:szCs w:val="20"/>
          <w:color w:val="auto"/>
        </w:rPr>
      </w:pPr>
      <w:r>
        <w:rPr>
          <w:rFonts w:ascii="Courier New" w:cs="Courier New" w:eastAsia="Courier New" w:hAnsi="Courier New"/>
          <w:sz w:val="15"/>
          <w:szCs w:val="15"/>
          <w:color w:val="auto"/>
        </w:rPr>
        <w:t>"Stock Equivalent Amount" means the portion (in 25% increments) of a Non-Employee Director's Retainer for a Plan Year that he or she has elected to receive in the form of Common Stock or Deferred Stock Rights.</w:t>
      </w:r>
    </w:p>
    <w:p>
      <w:pPr>
        <w:spacing w:after="0" w:line="47" w:lineRule="exact"/>
        <w:rPr>
          <w:sz w:val="20"/>
          <w:szCs w:val="20"/>
          <w:color w:val="auto"/>
        </w:rPr>
      </w:pPr>
    </w:p>
    <w:p>
      <w:pPr>
        <w:ind w:right="2959" w:firstLine="448"/>
        <w:spacing w:after="0" w:line="307" w:lineRule="auto"/>
        <w:tabs>
          <w:tab w:leader="none" w:pos="909"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Compensation Committee of the Board of Directors (the "Committee"). Subject to the provisions of the</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14" w:right="1440" w:bottom="1440" w:gutter="0" w:footer="0" w:header="0"/>
        </w:sectPr>
      </w:pPr>
    </w:p>
    <w:bookmarkStart w:id="100" w:name="page101"/>
    <w:bookmarkEnd w:id="100"/>
    <w:p>
      <w:pPr>
        <w:ind w:right="2959"/>
        <w:spacing w:after="0" w:line="254" w:lineRule="auto"/>
        <w:rPr>
          <w:sz w:val="20"/>
          <w:szCs w:val="20"/>
          <w:color w:val="auto"/>
        </w:rPr>
      </w:pPr>
      <w:r>
        <w:rPr>
          <w:rFonts w:ascii="Courier New" w:cs="Courier New" w:eastAsia="Courier New" w:hAnsi="Courier New"/>
          <w:sz w:val="15"/>
          <w:szCs w:val="15"/>
          <w:color w:val="auto"/>
        </w:rPr>
        <w:t>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Non-Employee Directors to receive awards under the Plan, the number of Shares subject to any such awards or the time at which any such awards are to be granted.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 The Committee may appoint a plan administrator to carry out the ministerial functions of the Plan, but the administrator shall have no other authority or powers of the Committee. Notwithstanding the foregoing, the Board shall exercise any and all rights, duties and powers of the Committee under the Plan to the extent required by the applicable exemptive conditions of Rule 16b-3, as determined by the Board its sole discretion.</w:t>
      </w:r>
    </w:p>
    <w:p>
      <w:pPr>
        <w:spacing w:after="0" w:line="94" w:lineRule="exact"/>
        <w:rPr>
          <w:sz w:val="20"/>
          <w:szCs w:val="20"/>
          <w:color w:val="auto"/>
        </w:rPr>
      </w:pPr>
    </w:p>
    <w:p>
      <w:pPr>
        <w:ind w:right="3319" w:firstLine="448"/>
        <w:spacing w:after="0" w:line="307" w:lineRule="auto"/>
        <w:tabs>
          <w:tab w:leader="none" w:pos="90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 The Shares issued under the Plan shall not exceed in the aggregate 250,000 shares of Common Stock. Such Shares may be authorized and unissued shares or treasury shares.</w:t>
      </w:r>
    </w:p>
    <w:p>
      <w:pPr>
        <w:spacing w:after="0" w:line="47" w:lineRule="exact"/>
        <w:rPr>
          <w:rFonts w:ascii="Courier New" w:cs="Courier New" w:eastAsia="Courier New" w:hAnsi="Courier New"/>
          <w:sz w:val="15"/>
          <w:szCs w:val="15"/>
          <w:color w:val="auto"/>
        </w:rPr>
      </w:pPr>
    </w:p>
    <w:p>
      <w:pPr>
        <w:ind w:right="3139" w:firstLine="448"/>
        <w:spacing w:after="0" w:line="368" w:lineRule="auto"/>
        <w:tabs>
          <w:tab w:leader="none" w:pos="90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All active Non-Employee Directors shall be eligible to participate in the Plan.</w:t>
      </w:r>
    </w:p>
    <w:p>
      <w:pPr>
        <w:spacing w:after="0" w:line="3"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of Retainer.</w:t>
      </w:r>
    </w:p>
    <w:p>
      <w:pPr>
        <w:spacing w:after="0" w:line="179" w:lineRule="exact"/>
        <w:rPr>
          <w:rFonts w:ascii="Courier New" w:cs="Courier New" w:eastAsia="Courier New" w:hAnsi="Courier New"/>
          <w:sz w:val="15"/>
          <w:szCs w:val="15"/>
          <w:color w:val="auto"/>
        </w:rPr>
      </w:pPr>
    </w:p>
    <w:p>
      <w:pPr>
        <w:ind w:left="440" w:right="2959" w:firstLine="462"/>
        <w:spacing w:after="0" w:line="256" w:lineRule="auto"/>
        <w:tabs>
          <w:tab w:leader="none" w:pos="1349"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Elections. On or before November 30 of each year (December 31, 1998 in the case of the first Plan Year), each Non-Employee Director shall file with the Plan Administrator an election form in substantially the form attached hereto as Exhibit A, or such other form as the Plan Administrator shall prescribe (the "Election Form"), in which such Non-Employee Director shall indicate his or her preference to receive some or all of his or her Retainer for the following Plan Year in the form of (i) cash, (ii) Common Stock, or (iii) Deferred Stock Rights. Such elections shall be made in increments of 25% of the Retainer. Individuals who are nominated to become Non-Employee Directors may make such election after such nomination but prior to the time they are elected to the Board. If a Non-Employee Director fails to timely file an Election Form for a Plan Year, then 100% of his or her Retainer for such Plan Year will be paid in cash.</w:t>
      </w:r>
    </w:p>
    <w:p>
      <w:pPr>
        <w:spacing w:after="0" w:line="84" w:lineRule="exact"/>
        <w:rPr>
          <w:rFonts w:ascii="Courier New" w:cs="Courier New" w:eastAsia="Courier New" w:hAnsi="Courier New"/>
          <w:sz w:val="15"/>
          <w:szCs w:val="15"/>
          <w:color w:val="auto"/>
        </w:rPr>
      </w:pPr>
    </w:p>
    <w:p>
      <w:pPr>
        <w:ind w:left="440" w:right="3219" w:firstLine="462"/>
        <w:spacing w:after="0" w:line="307" w:lineRule="auto"/>
        <w:tabs>
          <w:tab w:leader="none" w:pos="1349"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Payments. That portion of the Retainer to be paid in cash will be paid whenever such fees are payable, in accordance with the policies established by the Committee from time to time.</w:t>
      </w:r>
    </w:p>
    <w:p>
      <w:pPr>
        <w:spacing w:after="0" w:line="47" w:lineRule="exact"/>
        <w:rPr>
          <w:rFonts w:ascii="Courier New" w:cs="Courier New" w:eastAsia="Courier New" w:hAnsi="Courier New"/>
          <w:sz w:val="15"/>
          <w:szCs w:val="15"/>
          <w:color w:val="auto"/>
        </w:rPr>
      </w:pPr>
    </w:p>
    <w:p>
      <w:pPr>
        <w:ind w:left="440" w:right="3219" w:firstLine="462"/>
        <w:spacing w:after="0" w:line="307" w:lineRule="auto"/>
        <w:tabs>
          <w:tab w:leader="none" w:pos="1349"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Dates and Formula for Stock Grants. To the extent that a Non-Employee Director has elected to receive some or all of his or her Retainer in</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101" w:name="page102"/>
    <w:bookmarkEnd w:id="101"/>
    <w:p>
      <w:pPr>
        <w:ind w:right="2959"/>
        <w:spacing w:after="0" w:line="257" w:lineRule="auto"/>
        <w:rPr>
          <w:sz w:val="20"/>
          <w:szCs w:val="20"/>
          <w:color w:val="auto"/>
        </w:rPr>
      </w:pPr>
      <w:r>
        <w:rPr>
          <w:rFonts w:ascii="Courier New" w:cs="Courier New" w:eastAsia="Courier New" w:hAnsi="Courier New"/>
          <w:sz w:val="15"/>
          <w:szCs w:val="15"/>
          <w:color w:val="auto"/>
        </w:rPr>
        <w:t>the form of Common Stock and has not elected to defer receipt of such shares pursuant to Section 6(e), shares of Common Stock shall be automatically granted to such Non-Employee Director on March 31, June 30, September 30 and December 31 of each Plan Year (each such date is hereinafter referred to as a "Quarterly Grant Date"). The total number of Shares included in each grant under this Section 6(c) shall be determined by (i) dividing the Stock Equivalent Amount earned by the Non-Employee Director during the three-month period immediately preceding the Quarterly Grant Date (the "Quarterly Service Period") by the Fair Market Value per Share on the Quarterly Grant Date, and (ii) and subtracting any Shares to be deferred pursuant to Section 6(e). Fractions will be rounded to the next highest Share.</w:t>
      </w:r>
    </w:p>
    <w:p>
      <w:pPr>
        <w:spacing w:after="0" w:line="89" w:lineRule="exact"/>
        <w:rPr>
          <w:sz w:val="20"/>
          <w:szCs w:val="20"/>
          <w:color w:val="auto"/>
        </w:rPr>
      </w:pPr>
    </w:p>
    <w:p>
      <w:pPr>
        <w:ind w:right="2959" w:firstLine="462"/>
        <w:spacing w:after="0" w:line="264" w:lineRule="auto"/>
        <w:tabs>
          <w:tab w:leader="none" w:pos="909"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Service During Quarterly Service Period. In the event of termination of service on the Board by any Participant during a Quarterly Service Period, such Participant's award for the Quarterly Service Period shall be determined in accordance with Sections 6(b) based upon the Stock Equivalent Amount earned during such Quarterly Service Period through the date of termination of service, provided, that the grant date shall be the date of termination of service unless the grant has been deferred pursuant to Section 6(e).</w:t>
      </w:r>
    </w:p>
    <w:p>
      <w:pPr>
        <w:spacing w:after="0" w:line="77" w:lineRule="exact"/>
        <w:rPr>
          <w:rFonts w:ascii="Courier New" w:cs="Courier New" w:eastAsia="Courier New" w:hAnsi="Courier New"/>
          <w:sz w:val="15"/>
          <w:szCs w:val="15"/>
          <w:color w:val="auto"/>
        </w:rPr>
      </w:pPr>
    </w:p>
    <w:p>
      <w:pPr>
        <w:ind w:left="920" w:hanging="458"/>
        <w:spacing w:after="0"/>
        <w:tabs>
          <w:tab w:leader="none" w:pos="9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Rights.</w:t>
      </w:r>
    </w:p>
    <w:p>
      <w:pPr>
        <w:spacing w:after="0" w:line="179" w:lineRule="exact"/>
        <w:rPr>
          <w:rFonts w:ascii="Courier New" w:cs="Courier New" w:eastAsia="Courier New" w:hAnsi="Courier New"/>
          <w:sz w:val="15"/>
          <w:szCs w:val="15"/>
          <w:color w:val="auto"/>
        </w:rPr>
      </w:pPr>
    </w:p>
    <w:p>
      <w:pPr>
        <w:ind w:right="2959" w:firstLine="916"/>
        <w:spacing w:after="0" w:line="253" w:lineRule="auto"/>
        <w:tabs>
          <w:tab w:leader="none" w:pos="1363"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Defer. Each Participant will have the right to elect, in his or her Election Form delivered to the Plan Administrator prior to the commencement of each Plan Year, to defer until after the Participant's termination of service the grant of the Shares that would otherwise be granted to the Participant during the next ensuing Plan Year ("Deferred Stock Rights"). Pursuant to this Election Form, the Participant will elect whether all of the deferred grant will be (a) granted within 30 days after termination of service or (b) granted in approximately equal annual installments of Shares over a period of two to five years (as the Participant may elect) after the termination of service, each such annual grant to be made within 30 days after the anniversary of the termination of service. The deferral Election Form signed by the Participant prior to the Plan Year will be irrevocable except in case of Hardship (as defined in Section 6(f)) as determined in good faith by the Board pursuant to Section 6(f). No Shares will be issued until the grant date(s) so deferred (the "Deferred Grant Date") at which time the Company agrees to issue the Shares to the Participant. The Participant will have no rights as a stockholder with respect to the Deferred Stock Rights, and the Deferred Stock Rights will be unsecured.</w:t>
      </w:r>
    </w:p>
    <w:p>
      <w:pPr>
        <w:spacing w:after="0" w:line="92" w:lineRule="exact"/>
        <w:rPr>
          <w:rFonts w:ascii="Courier New" w:cs="Courier New" w:eastAsia="Courier New" w:hAnsi="Courier New"/>
          <w:sz w:val="15"/>
          <w:szCs w:val="15"/>
          <w:color w:val="auto"/>
        </w:rPr>
      </w:pPr>
    </w:p>
    <w:p>
      <w:pPr>
        <w:ind w:right="3039" w:firstLine="916"/>
        <w:spacing w:after="0" w:line="271" w:lineRule="auto"/>
        <w:tabs>
          <w:tab w:leader="none" w:pos="1363"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Dividend Account. If any dividends or other rights or distributions of any kind ("Distributions") are distributed to holders of Common Stock during the period from the applicable Quarterly Grant Date until the Deferred Grant Date (the "Deferral Period") but prior to the Participant's termination of service, an amount equal to the cash value of such Distributions on</w:t>
      </w:r>
    </w:p>
    <w:p>
      <w:pPr>
        <w:spacing w:after="0" w:line="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9"/>
          </w:cols>
          <w:pgMar w:left="680" w:top="615" w:right="1440" w:bottom="1440" w:gutter="0" w:footer="0" w:header="0"/>
        </w:sectPr>
      </w:pPr>
    </w:p>
    <w:bookmarkStart w:id="102" w:name="page103"/>
    <w:bookmarkEnd w:id="102"/>
    <w:p>
      <w:pPr>
        <w:ind w:right="2959"/>
        <w:spacing w:after="0" w:line="267" w:lineRule="auto"/>
        <w:rPr>
          <w:sz w:val="20"/>
          <w:szCs w:val="20"/>
          <w:color w:val="auto"/>
        </w:rPr>
      </w:pPr>
      <w:r>
        <w:rPr>
          <w:rFonts w:ascii="Courier New" w:cs="Courier New" w:eastAsia="Courier New" w:hAnsi="Courier New"/>
          <w:sz w:val="15"/>
          <w:szCs w:val="15"/>
          <w:color w:val="auto"/>
        </w:rPr>
        <w:t>their distribution date, as such value is determined by the Committee, will be credited to a deferred dividend account for the Participant as follows: the account will be credited with the right to receive Shares having a Fair Market Value as of the date of the Distribution equal to the cash value of the Distribution. The Company will issue Shares equal to the cumulative total of rights to Shares in such account within 30 days after the Participant's termination of service.</w:t>
      </w:r>
    </w:p>
    <w:p>
      <w:pPr>
        <w:spacing w:after="0" w:line="75"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If a Distribution is distributed to holders of Common Stock after the Participant's termination of service but prior to the issuance in full of the deferred Shares, an amount equal to the cash value of such Distributions pertaining to any Shares still deferred shall be converted into Shares equivalent in value to the Distribution (based on the Fair Market Value as of the date of Distribution) and such Shares will be issued to the Participant as soon as practical after the date of the Distribution.</w:t>
      </w:r>
    </w:p>
    <w:p>
      <w:pPr>
        <w:spacing w:after="0" w:line="75"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No right or interest in the Deferred Stock Rights or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6(e) shall prevent transfers by will or by the applicable laws of descent and distribution. The Committee will have the right to adopt other regulations and procedures to govern deferral of grants of Shares.</w:t>
      </w:r>
    </w:p>
    <w:p>
      <w:pPr>
        <w:spacing w:after="0" w:line="89" w:lineRule="exact"/>
        <w:rPr>
          <w:sz w:val="20"/>
          <w:szCs w:val="20"/>
          <w:color w:val="auto"/>
        </w:rPr>
      </w:pPr>
    </w:p>
    <w:p>
      <w:pPr>
        <w:ind w:right="3039" w:firstLine="462"/>
        <w:spacing w:after="0" w:line="260" w:lineRule="auto"/>
        <w:tabs>
          <w:tab w:leader="none" w:pos="90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The Board may accelerate the distribution of all or a portion of a Participant's deferred grants of Shares on account of his or her Hardship, subject to the following requirements: (i) the value of such accelerated distribution shall not exceed the amount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82"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For purposes of this Plan, "Hardship" of a Participant, as determined by the Board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or her dependent, loss of the Participant's property due to casualty, or other extraordinary and unforeseeable circumstances arising as a result of events beyond the control of the Participant. A financial</w:t>
      </w:r>
    </w:p>
    <w:p>
      <w:pPr>
        <w:spacing w:after="0" w:line="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9"/>
          </w:cols>
          <w:pgMar w:left="680" w:top="614" w:right="1440" w:bottom="1440" w:gutter="0" w:footer="0" w:header="0"/>
        </w:sectPr>
      </w:pPr>
    </w:p>
    <w:bookmarkStart w:id="103" w:name="page104"/>
    <w:bookmarkEnd w:id="103"/>
    <w:p>
      <w:pPr>
        <w:jc w:val="both"/>
        <w:ind w:right="3139"/>
        <w:spacing w:after="0" w:line="307" w:lineRule="auto"/>
        <w:rPr>
          <w:sz w:val="20"/>
          <w:szCs w:val="20"/>
          <w:color w:val="auto"/>
        </w:rPr>
      </w:pPr>
      <w:r>
        <w:rPr>
          <w:rFonts w:ascii="Courier New" w:cs="Courier New" w:eastAsia="Courier New" w:hAnsi="Courier New"/>
          <w:sz w:val="15"/>
          <w:szCs w:val="15"/>
          <w:color w:val="auto"/>
        </w:rPr>
        <w:t>need shall not constitute a Hardship unless it is for at least $1,000,000 or the entire value of the principal amount of the Participant's deferred grants.</w:t>
      </w:r>
    </w:p>
    <w:p>
      <w:pPr>
        <w:spacing w:after="0" w:line="47" w:lineRule="exact"/>
        <w:rPr>
          <w:sz w:val="20"/>
          <w:szCs w:val="20"/>
          <w:color w:val="auto"/>
        </w:rPr>
      </w:pPr>
    </w:p>
    <w:p>
      <w:pPr>
        <w:ind w:left="-440" w:right="3139" w:firstLine="448"/>
        <w:spacing w:after="0" w:line="264" w:lineRule="auto"/>
        <w:tabs>
          <w:tab w:leader="none" w:pos="46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Prorated Grants. If on any Quarterly Grant Date, shares of Common Stock are not available under the Plan to grant to Non-Employee Directors the full amount of a grant contemplated by the Plan, then each such director shall receive an award equal to the number of shares of Common Stock then available under the Plan divided by the number of Non-Employee Directors entitled to a grant of shares on such date. Fractional shares shall be ignored and not granted. Any shortfall resulting from such proration shall be paid in the form of cash.</w:t>
      </w:r>
    </w:p>
    <w:p>
      <w:pPr>
        <w:spacing w:after="0" w:line="77" w:lineRule="exact"/>
        <w:rPr>
          <w:rFonts w:ascii="Courier New" w:cs="Courier New" w:eastAsia="Courier New" w:hAnsi="Courier New"/>
          <w:sz w:val="15"/>
          <w:szCs w:val="15"/>
          <w:color w:val="auto"/>
        </w:rPr>
      </w:pPr>
    </w:p>
    <w:p>
      <w:pPr>
        <w:ind w:left="-440" w:right="3039" w:firstLine="448"/>
        <w:spacing w:after="0" w:line="277" w:lineRule="auto"/>
        <w:tabs>
          <w:tab w:leader="none" w:pos="46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Whenever the Company issues Shares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68" w:lineRule="exact"/>
        <w:rPr>
          <w:rFonts w:ascii="Courier New" w:cs="Courier New" w:eastAsia="Courier New" w:hAnsi="Courier New"/>
          <w:sz w:val="15"/>
          <w:szCs w:val="15"/>
          <w:color w:val="auto"/>
        </w:rPr>
      </w:pPr>
    </w:p>
    <w:p>
      <w:pPr>
        <w:ind w:left="460" w:hanging="452"/>
        <w:spacing w:after="0"/>
        <w:tabs>
          <w:tab w:leader="none" w:pos="46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9" w:lineRule="exact"/>
        <w:rPr>
          <w:rFonts w:ascii="Courier New" w:cs="Courier New" w:eastAsia="Courier New" w:hAnsi="Courier New"/>
          <w:sz w:val="15"/>
          <w:szCs w:val="15"/>
          <w:color w:val="auto"/>
        </w:rPr>
      </w:pPr>
    </w:p>
    <w:p>
      <w:pPr>
        <w:ind w:right="2959" w:firstLine="462"/>
        <w:spacing w:after="0" w:line="254" w:lineRule="auto"/>
        <w:tabs>
          <w:tab w:leader="none" w:pos="909"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Committee determines that any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hereunder, then the Committee shall, in such manner as it may deem equitable, adjust the number and type of Shares (or other securities or property) which may be granted under the Plan (including, but not limited to, adjustments of the maximum number and kind of securities which may be issued); provided, however, that to the extent required by the applicable exemptive conditions of Rule 16b-3, any such adjustment shall be subject to approval by the Board.</w:t>
      </w:r>
    </w:p>
    <w:p>
      <w:pPr>
        <w:spacing w:after="0" w:line="83" w:lineRule="exact"/>
        <w:rPr>
          <w:rFonts w:ascii="Courier New" w:cs="Courier New" w:eastAsia="Courier New" w:hAnsi="Courier New"/>
          <w:sz w:val="15"/>
          <w:szCs w:val="15"/>
          <w:color w:val="auto"/>
        </w:rPr>
      </w:pPr>
    </w:p>
    <w:p>
      <w:pPr>
        <w:ind w:right="2959" w:firstLine="462"/>
        <w:spacing w:after="0" w:line="267" w:lineRule="auto"/>
        <w:tabs>
          <w:tab w:leader="none" w:pos="909"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corporate transaction or event described in paragraph (a) which results in Shares being exchanged for or converted into cash, securities or other property (including securities of another corporation), the Committee will have the right to terminate this Plan as of the date of the transaction or event, in which case all stock grants deferred under Section 6(e) shall become the right to receive such cash, securities or other property.</w:t>
      </w:r>
    </w:p>
    <w:p>
      <w:pPr>
        <w:spacing w:after="0" w:line="74" w:lineRule="exact"/>
        <w:rPr>
          <w:rFonts w:ascii="Courier New" w:cs="Courier New" w:eastAsia="Courier New" w:hAnsi="Courier New"/>
          <w:sz w:val="15"/>
          <w:szCs w:val="15"/>
          <w:color w:val="auto"/>
        </w:rPr>
      </w:pPr>
    </w:p>
    <w:p>
      <w:pPr>
        <w:ind w:right="2959" w:firstLine="462"/>
        <w:spacing w:after="0" w:line="368" w:lineRule="auto"/>
        <w:tabs>
          <w:tab w:leader="none" w:pos="909"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finally granted under this Plan shall always be rounded to the next highest whole Share.</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615" w:right="1440" w:bottom="1440" w:gutter="0" w:footer="0" w:header="0"/>
        </w:sectPr>
      </w:pPr>
    </w:p>
    <w:bookmarkStart w:id="104" w:name="page105"/>
    <w:bookmarkEnd w:id="104"/>
    <w:p>
      <w:pPr>
        <w:ind w:left="440" w:right="2959" w:firstLine="462"/>
        <w:spacing w:after="0" w:line="277" w:lineRule="auto"/>
        <w:tabs>
          <w:tab w:leader="none" w:pos="1349"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of the Committee pursuant to the terms of this Section 9 shall be final, binding and conclusive upon the Participants, the Company and all other interested parties; provided, however, that to the extent required by the applicable exemptive conditions of Rule 16b-3, any such decision shall be subject to approval by the Board.</w:t>
      </w:r>
    </w:p>
    <w:p>
      <w:pPr>
        <w:spacing w:after="0" w:line="68" w:lineRule="exact"/>
        <w:rPr>
          <w:rFonts w:ascii="Courier New" w:cs="Courier New" w:eastAsia="Courier New" w:hAnsi="Courier New"/>
          <w:sz w:val="15"/>
          <w:szCs w:val="15"/>
          <w:color w:val="auto"/>
        </w:rPr>
      </w:pPr>
    </w:p>
    <w:p>
      <w:pPr>
        <w:ind w:right="2959" w:firstLine="448"/>
        <w:spacing w:after="0" w:line="264" w:lineRule="auto"/>
        <w:tabs>
          <w:tab w:leader="none" w:pos="90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Committee may terminate or suspend the Plan at any time, without stockholder approval. The Committee may amend the Plan at any time and for any reason without stockholder approval; provided, however, that the Committee may condition any amendment on the approval of stockholders of the Company if such approval is necessary or deemed advisable with respect to tax, securities or other applicable laws, policies or regulations. No termination, modification or amendment of the Plan may, without the consent of a Participant, adversely affect a Participant's rights under an award granted prior thereto.</w:t>
      </w:r>
    </w:p>
    <w:p>
      <w:pPr>
        <w:spacing w:after="0" w:line="77" w:lineRule="exact"/>
        <w:rPr>
          <w:rFonts w:ascii="Courier New" w:cs="Courier New" w:eastAsia="Courier New" w:hAnsi="Courier New"/>
          <w:sz w:val="15"/>
          <w:szCs w:val="15"/>
          <w:color w:val="auto"/>
        </w:rPr>
      </w:pPr>
    </w:p>
    <w:p>
      <w:pPr>
        <w:ind w:right="2959" w:firstLine="448"/>
        <w:spacing w:after="0" w:line="257" w:lineRule="auto"/>
        <w:tabs>
          <w:tab w:leader="none" w:pos="90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81"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61" w:lineRule="exact"/>
        <w:rPr>
          <w:sz w:val="20"/>
          <w:szCs w:val="20"/>
          <w:color w:val="auto"/>
        </w:rPr>
      </w:pPr>
    </w:p>
    <w:p>
      <w:pPr>
        <w:ind w:right="3039" w:firstLine="448"/>
        <w:spacing w:after="0" w:line="368" w:lineRule="auto"/>
        <w:tabs>
          <w:tab w:leader="none" w:pos="90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the Plan. The Plan shall remain in effect until ten years from the Effective Date, unless terminated earlier by the Committee.</w:t>
      </w:r>
    </w:p>
    <w:p>
      <w:pPr>
        <w:spacing w:after="0" w:line="3" w:lineRule="exact"/>
        <w:rPr>
          <w:rFonts w:ascii="Courier New" w:cs="Courier New" w:eastAsia="Courier New" w:hAnsi="Courier New"/>
          <w:sz w:val="15"/>
          <w:szCs w:val="15"/>
          <w:color w:val="auto"/>
        </w:rPr>
      </w:pPr>
    </w:p>
    <w:p>
      <w:pPr>
        <w:ind w:right="3039" w:firstLine="448"/>
        <w:spacing w:after="0" w:line="368" w:lineRule="auto"/>
        <w:tabs>
          <w:tab w:leader="none" w:pos="90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the Plan. The expenses of administering the Plan shall be borne by the Company.</w:t>
      </w:r>
    </w:p>
    <w:p>
      <w:pPr>
        <w:spacing w:after="0" w:line="3" w:lineRule="exact"/>
        <w:rPr>
          <w:rFonts w:ascii="Courier New" w:cs="Courier New" w:eastAsia="Courier New" w:hAnsi="Courier New"/>
          <w:sz w:val="15"/>
          <w:szCs w:val="15"/>
          <w:color w:val="auto"/>
        </w:rPr>
      </w:pPr>
    </w:p>
    <w:p>
      <w:pPr>
        <w:ind w:right="3599" w:firstLine="448"/>
        <w:spacing w:after="0" w:line="307" w:lineRule="auto"/>
        <w:tabs>
          <w:tab w:leader="none" w:pos="90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Plan was originally adopted by the Board on November 23, 1998, and became effective upon the approval thereof by the stockholders of the Company on January 14, 1999 (the "Effective Date").</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105" w:name="page106"/>
    <w:bookmarkEnd w:id="1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019"/>
        <w:spacing w:after="0" w:line="307"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4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9-MOS</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SEP-02-1999</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SEP-04-1998</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JUN-03-1999</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351</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1,310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593</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442</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2,755</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5,748</w:t>
      </w:r>
    </w:p>
    <w:p>
      <w:pPr>
        <w:spacing w:after="0" w:line="5"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(2,104)</w:t>
      </w:r>
    </w:p>
    <w:p>
      <w:pPr>
        <w:spacing w:after="0" w:line="5"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6,786</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797</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3,899</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6,786</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2,683</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2,683</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2,098</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2,722</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(0.20)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(0.20)</w:t>
      </w:r>
    </w:p>
    <w:sectPr>
      <w:pgSz w:w="11900" w:h="16838" w:orient="portrait"/>
      <w:cols w:equalWidth="0" w:num="1">
        <w:col w:w="10199"/>
      </w:cols>
      <w:pgMar w:left="26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A7B75C"/>
    <w:multiLevelType w:val="hybridMultilevel"/>
    <w:lvl w:ilvl="0">
      <w:lvlJc w:val="left"/>
      <w:lvlText w:val="[%1]"/>
      <w:numFmt w:val="upperLetter"/>
      <w:start w:val="24"/>
    </w:lvl>
  </w:abstractNum>
  <w:abstractNum w:abstractNumId="1">
    <w:nsid w:val="1DF029D3"/>
    <w:multiLevelType w:val="hybridMultilevel"/>
    <w:lvl w:ilvl="0">
      <w:lvlJc w:val="left"/>
      <w:lvlText w:val="["/>
      <w:numFmt w:val="bullet"/>
      <w:start w:val="1"/>
    </w:lvl>
  </w:abstractNum>
  <w:abstractNum w:abstractNumId="2">
    <w:nsid w:val="5675FF36"/>
    <w:multiLevelType w:val="hybridMultilevel"/>
    <w:lvl w:ilvl="0">
      <w:lvlJc w:val="left"/>
      <w:lvlText w:val="(%1)"/>
      <w:numFmt w:val="decimal"/>
      <w:start w:val="208"/>
    </w:lvl>
  </w:abstractNum>
  <w:abstractNum w:abstractNumId="3">
    <w:nsid w:val="3DD15094"/>
    <w:multiLevelType w:val="hybridMultilevel"/>
    <w:lvl w:ilvl="0">
      <w:lvlJc w:val="left"/>
      <w:lvlText w:val="-"/>
      <w:numFmt w:val="bullet"/>
      <w:start w:val="1"/>
    </w:lvl>
  </w:abstractNum>
  <w:abstractNum w:abstractNumId="4">
    <w:nsid w:val="3DB012B3"/>
    <w:multiLevelType w:val="hybridMultilevel"/>
    <w:lvl w:ilvl="0">
      <w:lvlJc w:val="left"/>
      <w:lvlText w:val="%1."/>
      <w:numFmt w:val="decimal"/>
      <w:start w:val="1"/>
    </w:lvl>
  </w:abstractNum>
  <w:abstractNum w:abstractNumId="5">
    <w:nsid w:val="2708C9AF"/>
    <w:multiLevelType w:val="hybridMultilevel"/>
    <w:lvl w:ilvl="0">
      <w:lvlJc w:val="left"/>
      <w:lvlText w:val="%1."/>
      <w:numFmt w:val="decimal"/>
      <w:start w:val="3"/>
    </w:lvl>
  </w:abstractNum>
  <w:abstractNum w:abstractNumId="6">
    <w:nsid w:val="5B25ACE2"/>
    <w:multiLevelType w:val="hybridMultilevel"/>
    <w:lvl w:ilvl="0">
      <w:lvlJc w:val="left"/>
      <w:lvlText w:val="%1."/>
      <w:numFmt w:val="decimal"/>
      <w:start w:val="4"/>
    </w:lvl>
  </w:abstractNum>
  <w:abstractNum w:abstractNumId="7">
    <w:nsid w:val="175DFCF0"/>
    <w:multiLevelType w:val="hybridMultilevel"/>
    <w:lvl w:ilvl="0">
      <w:lvlJc w:val="left"/>
      <w:lvlText w:val="%1."/>
      <w:numFmt w:val="decimal"/>
      <w:start w:val="5"/>
    </w:lvl>
  </w:abstractNum>
  <w:abstractNum w:abstractNumId="8">
    <w:nsid w:val="4F97E3E4"/>
    <w:multiLevelType w:val="hybridMultilevel"/>
    <w:lvl w:ilvl="0">
      <w:lvlJc w:val="left"/>
      <w:lvlText w:val="%1."/>
      <w:numFmt w:val="decimal"/>
      <w:start w:val="6"/>
    </w:lvl>
  </w:abstractNum>
  <w:abstractNum w:abstractNumId="9">
    <w:nsid w:val="53B0A9E"/>
    <w:multiLevelType w:val="hybridMultilevel"/>
    <w:lvl w:ilvl="0">
      <w:lvlJc w:val="left"/>
      <w:lvlText w:val="%1."/>
      <w:numFmt w:val="decimal"/>
      <w:start w:val="7"/>
    </w:lvl>
  </w:abstractNum>
  <w:abstractNum w:abstractNumId="10">
    <w:nsid w:val="34FD6B4F"/>
    <w:multiLevelType w:val="hybridMultilevel"/>
    <w:lvl w:ilvl="0">
      <w:lvlJc w:val="left"/>
      <w:lvlText w:val="%1."/>
      <w:numFmt w:val="decimal"/>
      <w:start w:val="8"/>
    </w:lvl>
  </w:abstractNum>
  <w:abstractNum w:abstractNumId="11">
    <w:nsid w:val="5915FF32"/>
    <w:multiLevelType w:val="hybridMultilevel"/>
    <w:lvl w:ilvl="0">
      <w:lvlJc w:val="left"/>
      <w:lvlText w:val="%1."/>
      <w:numFmt w:val="decimal"/>
      <w:start w:val="9"/>
    </w:lvl>
  </w:abstractNum>
  <w:abstractNum w:abstractNumId="12">
    <w:nsid w:val="56438D15"/>
    <w:multiLevelType w:val="hybridMultilevel"/>
    <w:lvl w:ilvl="0">
      <w:lvlJc w:val="left"/>
      <w:lvlText w:val="(%1)"/>
      <w:numFmt w:val="lowerLetter"/>
      <w:start w:val="1"/>
    </w:lvl>
  </w:abstractNum>
  <w:abstractNum w:abstractNumId="13">
    <w:nsid w:val="519E3149"/>
    <w:multiLevelType w:val="hybridMultilevel"/>
    <w:lvl w:ilvl="0">
      <w:lvlJc w:val="left"/>
      <w:lvlText w:val="%1."/>
      <w:numFmt w:val="decimal"/>
      <w:start w:val="10"/>
    </w:lvl>
  </w:abstractNum>
  <w:abstractNum w:abstractNumId="14">
    <w:nsid w:val="2C6E4AFD"/>
    <w:multiLevelType w:val="hybridMultilevel"/>
    <w:lvl w:ilvl="0">
      <w:lvlJc w:val="left"/>
      <w:lvlText w:val="%1."/>
      <w:numFmt w:val="decimal"/>
      <w:start w:val="11"/>
    </w:lvl>
  </w:abstractNum>
  <w:abstractNum w:abstractNumId="15">
    <w:nsid w:val="17A1B582"/>
    <w:multiLevelType w:val="hybridMultilevel"/>
    <w:lvl w:ilvl="0">
      <w:lvlJc w:val="left"/>
      <w:lvlText w:val="%1."/>
      <w:numFmt w:val="decimal"/>
      <w:start w:val="12"/>
    </w:lvl>
  </w:abstractNum>
  <w:abstractNum w:abstractNumId="16">
    <w:nsid w:val="4DF72E4E"/>
    <w:multiLevelType w:val="hybridMultilevel"/>
    <w:lvl w:ilvl="0">
      <w:lvlJc w:val="left"/>
      <w:lvlText w:val="%1."/>
      <w:numFmt w:val="decimal"/>
      <w:start w:val="13"/>
    </w:lvl>
  </w:abstractNum>
  <w:abstractNum w:abstractNumId="17">
    <w:nsid w:val="5046B5A9"/>
    <w:multiLevelType w:val="hybridMultilevel"/>
    <w:lvl w:ilvl="0">
      <w:lvlJc w:val="left"/>
      <w:lvlText w:val="-"/>
      <w:numFmt w:val="bullet"/>
      <w:start w:val="1"/>
    </w:lvl>
  </w:abstractNum>
  <w:abstractNum w:abstractNumId="18">
    <w:nsid w:val="5D888A08"/>
    <w:multiLevelType w:val="hybridMultilevel"/>
    <w:lvl w:ilvl="0">
      <w:lvlJc w:val="left"/>
      <w:lvlText w:val="$"/>
      <w:numFmt w:val="bullet"/>
      <w:start w:val="1"/>
    </w:lvl>
  </w:abstractNum>
  <w:abstractNum w:abstractNumId="19">
    <w:nsid w:val="2A082C70"/>
    <w:multiLevelType w:val="hybridMultilevel"/>
    <w:lvl w:ilvl="0">
      <w:lvlJc w:val="left"/>
      <w:lvlText w:val="(%1)"/>
      <w:numFmt w:val="lowerLetter"/>
      <w:start w:val="1"/>
    </w:lvl>
  </w:abstractNum>
  <w:abstractNum w:abstractNumId="20">
    <w:nsid w:val="5EC6AFD4"/>
    <w:multiLevelType w:val="hybridMultilevel"/>
    <w:lvl w:ilvl="0">
      <w:lvlJc w:val="left"/>
      <w:lvlText w:val="(%1)"/>
      <w:numFmt w:val="lowerLetter"/>
      <w:start w:val="2"/>
    </w:lvl>
  </w:abstractNum>
  <w:abstractNum w:abstractNumId="21">
    <w:nsid w:val="19E21BB2"/>
    <w:multiLevelType w:val="hybridMultilevel"/>
    <w:lvl w:ilvl="0">
      <w:lvlJc w:val="left"/>
      <w:lvlText w:val="(%1)"/>
      <w:numFmt w:val="lowerLetter"/>
      <w:start w:val="1"/>
    </w:lvl>
  </w:abstractNum>
  <w:abstractNum w:abstractNumId="22">
    <w:nsid w:val="75E0858A"/>
    <w:multiLevelType w:val="hybridMultilevel"/>
    <w:lvl w:ilvl="0">
      <w:lvlJc w:val="left"/>
      <w:lvlText w:val="(%1)"/>
      <w:numFmt w:val="lowerLetter"/>
      <w:start w:val="2"/>
    </w:lvl>
  </w:abstractNum>
  <w:abstractNum w:abstractNumId="23">
    <w:nsid w:val="57A61A29"/>
    <w:multiLevelType w:val="hybridMultilevel"/>
    <w:lvl w:ilvl="0">
      <w:lvlJc w:val="left"/>
      <w:lvlText w:val="(%1)"/>
      <w:numFmt w:val="lowerLetter"/>
      <w:start w:val="1"/>
    </w:lvl>
  </w:abstractNum>
  <w:abstractNum w:abstractNumId="24">
    <w:nsid w:val="5399C654"/>
    <w:multiLevelType w:val="hybridMultilevel"/>
    <w:lvl w:ilvl="0">
      <w:lvlJc w:val="left"/>
      <w:lvlText w:val="(%1)"/>
      <w:numFmt w:val="lowerLetter"/>
      <w:start w:val="61"/>
    </w:lvl>
  </w:abstractNum>
  <w:abstractNum w:abstractNumId="25">
    <w:nsid w:val="20EE1348"/>
    <w:multiLevelType w:val="hybridMultilevel"/>
    <w:lvl w:ilvl="0">
      <w:lvlJc w:val="left"/>
      <w:lvlText w:val="(%1)"/>
      <w:numFmt w:val="lowerLetter"/>
      <w:start w:val="3"/>
    </w:lvl>
  </w:abstractNum>
  <w:abstractNum w:abstractNumId="26">
    <w:nsid w:val="4427069A"/>
    <w:multiLevelType w:val="hybridMultilevel"/>
    <w:lvl w:ilvl="0">
      <w:lvlJc w:val="left"/>
      <w:lvlText w:val="%1."/>
      <w:numFmt w:val="decimal"/>
      <w:start w:val="1"/>
    </w:lvl>
  </w:abstractNum>
  <w:abstractNum w:abstractNumId="27">
    <w:nsid w:val="B37E80A"/>
    <w:multiLevelType w:val="hybridMultilevel"/>
    <w:lvl w:ilvl="0">
      <w:lvlJc w:val="left"/>
      <w:lvlText w:val="."/>
      <w:numFmt w:val="bullet"/>
      <w:start w:val="1"/>
    </w:lvl>
  </w:abstractNum>
  <w:abstractNum w:abstractNumId="28">
    <w:nsid w:val="2157F6BC"/>
    <w:multiLevelType w:val="hybridMultilevel"/>
    <w:lvl w:ilvl="0">
      <w:lvlJc w:val="left"/>
      <w:lvlText w:val="."/>
      <w:numFmt w:val="bullet"/>
      <w:start w:val="1"/>
    </w:lvl>
  </w:abstractNum>
  <w:abstractNum w:abstractNumId="29">
    <w:nsid w:val="704E1DD5"/>
    <w:multiLevelType w:val="hybridMultilevel"/>
    <w:lvl w:ilvl="0">
      <w:lvlJc w:val="left"/>
      <w:lvlText w:val="%1."/>
      <w:numFmt w:val="decimal"/>
      <w:start w:val="2"/>
    </w:lvl>
  </w:abstractNum>
  <w:abstractNum w:abstractNumId="30">
    <w:nsid w:val="57D2F10E"/>
    <w:multiLevelType w:val="hybridMultilevel"/>
    <w:lvl w:ilvl="0">
      <w:lvlJc w:val="left"/>
      <w:lvlText w:val="(%1)"/>
      <w:numFmt w:val="lowerLetter"/>
      <w:start w:val="1"/>
    </w:lvl>
  </w:abstractNum>
  <w:abstractNum w:abstractNumId="31">
    <w:nsid w:val="BFFAE18"/>
    <w:multiLevelType w:val="hybridMultilevel"/>
    <w:lvl w:ilvl="0">
      <w:lvlJc w:val="left"/>
      <w:lvlText w:val="(%1)"/>
      <w:numFmt w:val="lowerLetter"/>
      <w:start w:val="2"/>
    </w:lvl>
  </w:abstractNum>
  <w:abstractNum w:abstractNumId="32">
    <w:nsid w:val="E3E47A8"/>
    <w:multiLevelType w:val="hybridMultilevel"/>
    <w:lvl w:ilvl="0">
      <w:lvlJc w:val="left"/>
      <w:lvlText w:val="(%1)"/>
      <w:numFmt w:val="lowerLetter"/>
      <w:start w:val="3"/>
    </w:lvl>
  </w:abstractNum>
  <w:abstractNum w:abstractNumId="33">
    <w:nsid w:val="2E48F044"/>
    <w:multiLevelType w:val="hybridMultilevel"/>
    <w:lvl w:ilvl="0">
      <w:lvlJc w:val="left"/>
      <w:lvlText w:val="(%1)"/>
      <w:numFmt w:val="lowerLetter"/>
      <w:start w:val="5"/>
    </w:lvl>
  </w:abstractNum>
  <w:abstractNum w:abstractNumId="34">
    <w:nsid w:val="49D0FEAC"/>
    <w:multiLevelType w:val="hybridMultilevel"/>
    <w:lvl w:ilvl="0">
      <w:lvlJc w:val="left"/>
      <w:lvlText w:val="(%1)"/>
      <w:numFmt w:val="lowerLetter"/>
      <w:start w:val="7"/>
    </w:lvl>
  </w:abstractNum>
  <w:abstractNum w:abstractNumId="35">
    <w:nsid w:val="4BEE5A5B"/>
    <w:multiLevelType w:val="hybridMultilevel"/>
    <w:lvl w:ilvl="0">
      <w:lvlJc w:val="left"/>
      <w:lvlText w:val="(%1)"/>
      <w:numFmt w:val="lowerLetter"/>
      <w:start w:val="10"/>
    </w:lvl>
  </w:abstractNum>
  <w:abstractNum w:abstractNumId="36">
    <w:nsid w:val="5551B9F3"/>
    <w:multiLevelType w:val="hybridMultilevel"/>
    <w:lvl w:ilvl="0">
      <w:lvlJc w:val="left"/>
      <w:lvlText w:val="(%1)"/>
      <w:numFmt w:val="lowerLetter"/>
      <w:start w:val="11"/>
    </w:lvl>
  </w:abstractNum>
  <w:abstractNum w:abstractNumId="37">
    <w:nsid w:val="24F6AB8E"/>
    <w:multiLevelType w:val="hybridMultilevel"/>
    <w:lvl w:ilvl="0">
      <w:lvlJc w:val="left"/>
      <w:lvlText w:val="(%1)"/>
      <w:numFmt w:val="lowerLetter"/>
      <w:start w:val="13"/>
    </w:lvl>
  </w:abstractNum>
  <w:abstractNum w:abstractNumId="38">
    <w:nsid w:val="634C574C"/>
    <w:multiLevelType w:val="hybridMultilevel"/>
    <w:lvl w:ilvl="0">
      <w:lvlJc w:val="left"/>
      <w:lvlText w:val="(%1)"/>
      <w:numFmt w:val="lowerLetter"/>
      <w:start w:val="14"/>
    </w:lvl>
  </w:abstractNum>
  <w:abstractNum w:abstractNumId="39">
    <w:nsid w:val="24E99DD7"/>
    <w:multiLevelType w:val="hybridMultilevel"/>
    <w:lvl w:ilvl="0">
      <w:lvlJc w:val="left"/>
      <w:lvlText w:val="(%1)"/>
      <w:numFmt w:val="lowerRoman"/>
      <w:start w:val="1"/>
    </w:lvl>
  </w:abstractNum>
  <w:abstractNum w:abstractNumId="40">
    <w:nsid w:val="2A31B62D"/>
    <w:multiLevelType w:val="hybridMultilevel"/>
    <w:lvl w:ilvl="0">
      <w:lvlJc w:val="left"/>
      <w:lvlText w:val="(%1)"/>
      <w:numFmt w:val="lowerLetter"/>
      <w:start w:val="16"/>
    </w:lvl>
  </w:abstractNum>
  <w:abstractNum w:abstractNumId="41">
    <w:nsid w:val="1849C29B"/>
    <w:multiLevelType w:val="hybridMultilevel"/>
    <w:lvl w:ilvl="0">
      <w:lvlJc w:val="left"/>
      <w:lvlText w:val="(%1)"/>
      <w:numFmt w:val="lowerLetter"/>
      <w:start w:val="17"/>
    </w:lvl>
  </w:abstractNum>
  <w:abstractNum w:abstractNumId="42">
    <w:nsid w:val="7DFF9D09"/>
    <w:multiLevelType w:val="hybridMultilevel"/>
    <w:lvl w:ilvl="0">
      <w:lvlJc w:val="left"/>
      <w:lvlText w:val="(%1)"/>
      <w:numFmt w:val="lowerLetter"/>
      <w:start w:val="18"/>
    </w:lvl>
  </w:abstractNum>
  <w:abstractNum w:abstractNumId="43">
    <w:nsid w:val="754342"/>
    <w:multiLevelType w:val="hybridMultilevel"/>
    <w:lvl w:ilvl="0">
      <w:lvlJc w:val="left"/>
      <w:lvlText w:val="(%1)"/>
      <w:numFmt w:val="lowerLetter"/>
      <w:start w:val="19"/>
    </w:lvl>
  </w:abstractNum>
  <w:abstractNum w:abstractNumId="44">
    <w:nsid w:val="69E7F3E5"/>
    <w:multiLevelType w:val="hybridMultilevel"/>
    <w:lvl w:ilvl="0">
      <w:lvlJc w:val="left"/>
      <w:lvlText w:val="(%1)"/>
      <w:numFmt w:val="lowerLetter"/>
      <w:start w:val="20"/>
    </w:lvl>
  </w:abstractNum>
  <w:abstractNum w:abstractNumId="45">
    <w:nsid w:val="2A6DE806"/>
    <w:multiLevelType w:val="hybridMultilevel"/>
    <w:lvl w:ilvl="0">
      <w:lvlJc w:val="left"/>
      <w:lvlText w:val="(%1)"/>
      <w:numFmt w:val="lowerRoman"/>
      <w:start w:val="5"/>
    </w:lvl>
  </w:abstractNum>
  <w:abstractNum w:abstractNumId="46">
    <w:nsid w:val="1816F8C4"/>
    <w:multiLevelType w:val="hybridMultilevel"/>
    <w:lvl w:ilvl="0">
      <w:lvlJc w:val="left"/>
      <w:lvlText w:val="(%1)"/>
      <w:numFmt w:val="lowerLetter"/>
      <w:start w:val="23"/>
    </w:lvl>
  </w:abstractNum>
  <w:abstractNum w:abstractNumId="47">
    <w:nsid w:val="37DF2233"/>
    <w:multiLevelType w:val="hybridMultilevel"/>
    <w:lvl w:ilvl="0">
      <w:lvlJc w:val="left"/>
      <w:lvlText w:val="(%1)"/>
      <w:numFmt w:val="lowerLetter"/>
      <w:start w:val="25"/>
    </w:lvl>
  </w:abstractNum>
  <w:abstractNum w:abstractNumId="48">
    <w:nsid w:val="7AB49DAF"/>
    <w:multiLevelType w:val="hybridMultilevel"/>
    <w:lvl w:ilvl="0">
      <w:lvlJc w:val="left"/>
      <w:lvlText w:val="(%1)"/>
      <w:numFmt w:val="lowerLetter"/>
      <w:start w:val="26"/>
    </w:lvl>
  </w:abstractNum>
  <w:abstractNum w:abstractNumId="49">
    <w:nsid w:val="759F82CD"/>
    <w:multiLevelType w:val="hybridMultilevel"/>
    <w:lvl w:ilvl="0">
      <w:lvlJc w:val="left"/>
      <w:lvlText w:val="(%1)"/>
      <w:numFmt w:val="lowerLetter"/>
      <w:start w:val="27"/>
    </w:lvl>
  </w:abstractNum>
  <w:abstractNum w:abstractNumId="50">
    <w:nsid w:val="61E74EA3"/>
    <w:multiLevelType w:val="hybridMultilevel"/>
    <w:lvl w:ilvl="0">
      <w:lvlJc w:val="left"/>
      <w:lvlText w:val="(%1)"/>
      <w:numFmt w:val="lowerLetter"/>
      <w:start w:val="28"/>
    </w:lvl>
  </w:abstractNum>
  <w:abstractNum w:abstractNumId="51">
    <w:nsid w:val="597B4D84"/>
    <w:multiLevelType w:val="hybridMultilevel"/>
    <w:lvl w:ilvl="0">
      <w:lvlJc w:val="left"/>
      <w:lvlText w:val="%1."/>
      <w:numFmt w:val="decimal"/>
      <w:start w:val="3"/>
    </w:lvl>
  </w:abstractNum>
  <w:abstractNum w:abstractNumId="52">
    <w:nsid w:val="F819E7F"/>
    <w:multiLevelType w:val="hybridMultilevel"/>
    <w:lvl w:ilvl="0">
      <w:lvlJc w:val="left"/>
      <w:lvlText w:val="%1."/>
      <w:numFmt w:val="decimal"/>
      <w:start w:val="4"/>
    </w:lvl>
    <w:lvl w:ilvl="1">
      <w:lvlJc w:val="left"/>
      <w:lvlText w:val="(%2)"/>
      <w:numFmt w:val="lowerLetter"/>
      <w:start w:val="1"/>
    </w:lvl>
  </w:abstractNum>
  <w:abstractNum w:abstractNumId="53">
    <w:nsid w:val="57C7D42D"/>
    <w:multiLevelType w:val="hybridMultilevel"/>
    <w:lvl w:ilvl="0">
      <w:lvlJc w:val="left"/>
      <w:lvlText w:val="(%1)"/>
      <w:numFmt w:val="lowerRoman"/>
      <w:start w:val="1"/>
    </w:lvl>
  </w:abstractNum>
  <w:abstractNum w:abstractNumId="54">
    <w:nsid w:val="312167AD"/>
    <w:multiLevelType w:val="hybridMultilevel"/>
    <w:lvl w:ilvl="0">
      <w:lvlJc w:val="left"/>
      <w:lvlText w:val="(%1)"/>
      <w:numFmt w:val="lowerRoman"/>
      <w:start w:val="2"/>
    </w:lvl>
  </w:abstractNum>
  <w:abstractNum w:abstractNumId="55">
    <w:nsid w:val="631B64D4"/>
    <w:multiLevelType w:val="hybridMultilevel"/>
    <w:lvl w:ilvl="0">
      <w:lvlJc w:val="left"/>
      <w:lvlText w:val="(%1)"/>
      <w:numFmt w:val="lowerLetter"/>
      <w:start w:val="2"/>
    </w:lvl>
  </w:abstractNum>
  <w:abstractNum w:abstractNumId="56">
    <w:nsid w:val="78B5E776"/>
    <w:multiLevelType w:val="hybridMultilevel"/>
    <w:lvl w:ilvl="0">
      <w:lvlJc w:val="left"/>
      <w:lvlText w:val="(%1)"/>
      <w:numFmt w:val="lowerRoman"/>
      <w:start w:val="1"/>
    </w:lvl>
  </w:abstractNum>
  <w:abstractNum w:abstractNumId="57">
    <w:nsid w:val="75486E47"/>
    <w:multiLevelType w:val="hybridMultilevel"/>
    <w:lvl w:ilvl="0">
      <w:lvlJc w:val="left"/>
      <w:lvlText w:val="(%1)"/>
      <w:numFmt w:val="lowerRoman"/>
      <w:start w:val="9"/>
    </w:lvl>
  </w:abstractNum>
  <w:abstractNum w:abstractNumId="58">
    <w:nsid w:val="6E534CDE"/>
    <w:multiLevelType w:val="hybridMultilevel"/>
    <w:lvl w:ilvl="0">
      <w:lvlJc w:val="left"/>
      <w:lvlText w:val="(%1)"/>
      <w:numFmt w:val="lowerLetter"/>
      <w:start w:val="3"/>
    </w:lvl>
  </w:abstractNum>
  <w:abstractNum w:abstractNumId="59">
    <w:nsid w:val="1A0DDE32"/>
    <w:multiLevelType w:val="hybridMultilevel"/>
    <w:lvl w:ilvl="0">
      <w:lvlJc w:val="left"/>
      <w:lvlText w:val="%1."/>
      <w:numFmt w:val="decimal"/>
      <w:start w:val="5"/>
    </w:lvl>
  </w:abstractNum>
  <w:abstractNum w:abstractNumId="60">
    <w:nsid w:val="65968C1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1">
    <w:nsid w:val="46263DEC"/>
    <w:multiLevelType w:val="hybridMultilevel"/>
    <w:lvl w:ilvl="0">
      <w:lvlJc w:val="left"/>
      <w:lvlText w:val="%1."/>
      <w:numFmt w:val="decimal"/>
      <w:start w:val="8"/>
    </w:lvl>
  </w:abstractNum>
  <w:abstractNum w:abstractNumId="62">
    <w:nsid w:val="260D8C4A"/>
    <w:multiLevelType w:val="hybridMultilevel"/>
    <w:lvl w:ilvl="0">
      <w:lvlJc w:val="left"/>
      <w:lvlText w:val="%1."/>
      <w:numFmt w:val="decimal"/>
      <w:start w:val="9"/>
    </w:lvl>
  </w:abstractNum>
  <w:abstractNum w:abstractNumId="63">
    <w:nsid w:val="73D4D3C4"/>
    <w:multiLevelType w:val="hybridMultilevel"/>
    <w:lvl w:ilvl="0">
      <w:lvlJc w:val="left"/>
      <w:lvlText w:val="(%1)"/>
      <w:numFmt w:val="lowerLetter"/>
      <w:start w:val="1"/>
    </w:lvl>
  </w:abstractNum>
  <w:abstractNum w:abstractNumId="64">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
    <w:nsid w:val="6FDE8AF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6">
    <w:nsid w:val="3FC32E20"/>
    <w:multiLevelType w:val="hybridMultilevel"/>
    <w:lvl w:ilvl="0">
      <w:lvlJc w:val="left"/>
      <w:lvlText w:val="(%1)"/>
      <w:numFmt w:val="lowerLetter"/>
      <w:start w:val="3"/>
    </w:lvl>
  </w:abstractNum>
  <w:abstractNum w:abstractNumId="67">
    <w:nsid w:val="49C0E823"/>
    <w:multiLevelType w:val="hybridMultilevel"/>
    <w:lvl w:ilvl="0">
      <w:lvlJc w:val="left"/>
      <w:lvlText w:val="(%1)"/>
      <w:numFmt w:val="lowerRoman"/>
      <w:start w:val="1"/>
    </w:lvl>
  </w:abstractNum>
  <w:abstractNum w:abstractNumId="68">
    <w:nsid w:val="14D53685"/>
    <w:multiLevelType w:val="hybridMultilevel"/>
    <w:lvl w:ilvl="0">
      <w:lvlJc w:val="left"/>
      <w:lvlText w:val="%1"/>
      <w:numFmt w:val="decimal"/>
      <w:start w:val="1"/>
    </w:lvl>
    <w:lvl w:ilvl="1">
      <w:lvlJc w:val="left"/>
      <w:lvlText w:val="(%2)"/>
      <w:numFmt w:val="lowerRoman"/>
      <w:start w:val="4"/>
    </w:lvl>
  </w:abstractNum>
  <w:abstractNum w:abstractNumId="69">
    <w:nsid w:val="230F856C"/>
    <w:multiLevelType w:val="hybridMultilevel"/>
    <w:lvl w:ilvl="0">
      <w:lvlJc w:val="left"/>
      <w:lvlText w:val="%1."/>
      <w:numFmt w:val="decimal"/>
      <w:start w:val="10"/>
    </w:lvl>
    <w:lvl w:ilvl="1">
      <w:lvlJc w:val="left"/>
      <w:lvlText w:val="%2"/>
      <w:numFmt w:val="lowerRoman"/>
      <w:start w:val="1"/>
    </w:lvl>
  </w:abstractNum>
  <w:abstractNum w:abstractNumId="70">
    <w:nsid w:val="6EAA85FB"/>
    <w:multiLevelType w:val="hybridMultilevel"/>
    <w:lvl w:ilvl="0">
      <w:lvlJc w:val="left"/>
      <w:lvlText w:val="(%1)"/>
      <w:numFmt w:val="lowerLetter"/>
      <w:start w:val="1"/>
    </w:lvl>
  </w:abstractNum>
  <w:abstractNum w:abstractNumId="71">
    <w:nsid w:val="3F06ECB2"/>
    <w:multiLevelType w:val="hybridMultilevel"/>
    <w:lvl w:ilvl="0">
      <w:lvlJc w:val="left"/>
      <w:lvlText w:val="(%1)"/>
      <w:numFmt w:val="lowerRoman"/>
      <w:start w:val="1"/>
    </w:lvl>
  </w:abstractNum>
  <w:abstractNum w:abstractNumId="72">
    <w:nsid w:val="3B594807"/>
    <w:multiLevelType w:val="hybridMultilevel"/>
    <w:lvl w:ilvl="0">
      <w:lvlJc w:val="left"/>
      <w:lvlText w:val="(%1)"/>
      <w:numFmt w:val="lowerLetter"/>
      <w:start w:val="2"/>
    </w:lvl>
  </w:abstractNum>
  <w:abstractNum w:abstractNumId="73">
    <w:nsid w:val="6CAA2304"/>
    <w:multiLevelType w:val="hybridMultilevel"/>
    <w:lvl w:ilvl="0">
      <w:lvlJc w:val="left"/>
      <w:lvlText w:val="(%1)"/>
      <w:numFmt w:val="lowerLetter"/>
      <w:start w:val="3"/>
    </w:lvl>
  </w:abstractNum>
  <w:abstractNum w:abstractNumId="74">
    <w:nsid w:val="3F7C2FF4"/>
    <w:multiLevelType w:val="hybridMultilevel"/>
    <w:lvl w:ilvl="0">
      <w:lvlJc w:val="left"/>
      <w:lvlText w:val="(%1)"/>
      <w:numFmt w:val="lowerLetter"/>
      <w:start w:val="6"/>
    </w:lvl>
  </w:abstractNum>
  <w:abstractNum w:abstractNumId="75">
    <w:nsid w:val="25413BEC"/>
    <w:multiLevelType w:val="hybridMultilevel"/>
    <w:lvl w:ilvl="0">
      <w:lvlJc w:val="left"/>
      <w:lvlText w:val="%1."/>
      <w:numFmt w:val="decimal"/>
      <w:start w:val="11"/>
    </w:lvl>
  </w:abstractNum>
  <w:abstractNum w:abstractNumId="76">
    <w:nsid w:val="17180B0B"/>
    <w:multiLevelType w:val="hybridMultilevel"/>
    <w:lvl w:ilvl="0">
      <w:lvlJc w:val="left"/>
      <w:lvlText w:val="%1."/>
      <w:numFmt w:val="decimal"/>
      <w:start w:val="12"/>
    </w:lvl>
  </w:abstractNum>
  <w:abstractNum w:abstractNumId="77">
    <w:nsid w:val="579328B9"/>
    <w:multiLevelType w:val="hybridMultilevel"/>
    <w:lvl w:ilvl="0">
      <w:lvlJc w:val="left"/>
      <w:lvlText w:val="-"/>
      <w:numFmt w:val="bullet"/>
      <w:start w:val="1"/>
    </w:lvl>
    <w:lvl w:ilvl="1">
      <w:lvlJc w:val="left"/>
      <w:lvlText w:val="(%2)"/>
      <w:numFmt w:val="lowerLetter"/>
      <w:start w:val="1"/>
    </w:lvl>
  </w:abstractNum>
  <w:abstractNum w:abstractNumId="78">
    <w:nsid w:val="5D205E20"/>
    <w:multiLevelType w:val="hybridMultilevel"/>
    <w:lvl w:ilvl="0">
      <w:lvlJc w:val="left"/>
      <w:lvlText w:val="(%1)"/>
      <w:numFmt w:val="lowerLetter"/>
      <w:start w:val="2"/>
    </w:lvl>
  </w:abstractNum>
  <w:abstractNum w:abstractNumId="79">
    <w:nsid w:val="11CCA8BA"/>
    <w:multiLevelType w:val="hybridMultilevel"/>
    <w:lvl w:ilvl="0">
      <w:lvlJc w:val="left"/>
      <w:lvlText w:val="(%1)"/>
      <w:numFmt w:val="lowerLetter"/>
      <w:start w:val="3"/>
    </w:lvl>
  </w:abstractNum>
  <w:abstractNum w:abstractNumId="80">
    <w:nsid w:val="4D32AB86"/>
    <w:multiLevelType w:val="hybridMultilevel"/>
    <w:lvl w:ilvl="0">
      <w:lvlJc w:val="left"/>
      <w:lvlText w:val="(%1)"/>
      <w:numFmt w:val="lowerLetter"/>
      <w:start w:val="4"/>
    </w:lvl>
  </w:abstractNum>
  <w:abstractNum w:abstractNumId="81">
    <w:nsid w:val="3F07ACC3"/>
    <w:multiLevelType w:val="hybridMultilevel"/>
    <w:lvl w:ilvl="0">
      <w:lvlJc w:val="left"/>
      <w:lvlText w:val="%1."/>
      <w:numFmt w:val="decimal"/>
      <w:start w:val="13"/>
    </w:lvl>
  </w:abstractNum>
  <w:abstractNum w:abstractNumId="82">
    <w:nsid w:val="6B47F63E"/>
    <w:multiLevelType w:val="hybridMultilevel"/>
    <w:lvl w:ilvl="0">
      <w:lvlJc w:val="left"/>
      <w:lvlText w:val="%1."/>
      <w:numFmt w:val="decimal"/>
      <w:start w:val="14"/>
    </w:lvl>
  </w:abstractNum>
  <w:abstractNum w:abstractNumId="83">
    <w:nsid w:val="5CB44A05"/>
    <w:multiLevelType w:val="hybridMultilevel"/>
    <w:lvl w:ilvl="0">
      <w:lvlJc w:val="left"/>
      <w:lvlText w:val="(%1)"/>
      <w:numFmt w:val="lowerLetter"/>
      <w:start w:val="1"/>
    </w:lvl>
  </w:abstractNum>
  <w:abstractNum w:abstractNumId="84">
    <w:nsid w:val="16CF80F1"/>
    <w:multiLevelType w:val="hybridMultilevel"/>
    <w:lvl w:ilvl="0">
      <w:lvlJc w:val="left"/>
      <w:lvlText w:val="%1."/>
      <w:numFmt w:val="decimal"/>
      <w:start w:val="15"/>
    </w:lvl>
  </w:abstractNum>
  <w:abstractNum w:abstractNumId="85">
    <w:nsid w:val="1C695DEC"/>
    <w:multiLevelType w:val="hybridMultilevel"/>
    <w:lvl w:ilvl="0">
      <w:lvlJc w:val="left"/>
      <w:lvlText w:val="(%1)"/>
      <w:numFmt w:val="lowerLetter"/>
      <w:start w:val="1"/>
    </w:lvl>
  </w:abstractNum>
  <w:abstractNum w:abstractNumId="86">
    <w:nsid w:val="3FCFAED9"/>
    <w:multiLevelType w:val="hybridMultilevel"/>
    <w:lvl w:ilvl="0">
      <w:lvlJc w:val="left"/>
      <w:lvlText w:val="(%1)"/>
      <w:numFmt w:val="lowerLetter"/>
      <w:start w:val="2"/>
    </w:lvl>
  </w:abstractNum>
  <w:abstractNum w:abstractNumId="87">
    <w:nsid w:val="F856867"/>
    <w:multiLevelType w:val="hybridMultilevel"/>
    <w:lvl w:ilvl="0">
      <w:lvlJc w:val="left"/>
      <w:lvlText w:val="%1."/>
      <w:numFmt w:val="decimal"/>
      <w:start w:val="16"/>
    </w:lvl>
  </w:abstractNum>
  <w:abstractNum w:abstractNumId="88">
    <w:nsid w:val="11B1CC33"/>
    <w:multiLevelType w:val="hybridMultilevel"/>
    <w:lvl w:ilvl="0">
      <w:lvlJc w:val="left"/>
      <w:lvlText w:val="(%1)"/>
      <w:numFmt w:val="lowerLetter"/>
      <w:start w:val="1"/>
    </w:lvl>
  </w:abstractNum>
  <w:abstractNum w:abstractNumId="89">
    <w:nsid w:val="2E22FBB7"/>
    <w:multiLevelType w:val="hybridMultilevel"/>
    <w:lvl w:ilvl="0">
      <w:lvlJc w:val="left"/>
      <w:lvlText w:val="(%1)"/>
      <w:numFmt w:val="lowerLetter"/>
      <w:start w:val="2"/>
    </w:lvl>
  </w:abstractNum>
  <w:abstractNum w:abstractNumId="90">
    <w:nsid w:val="29934699"/>
    <w:multiLevelType w:val="hybridMultilevel"/>
    <w:lvl w:ilvl="0">
      <w:lvlJc w:val="left"/>
      <w:lvlText w:val="%1."/>
      <w:numFmt w:val="decimal"/>
      <w:start w:val="17"/>
    </w:lvl>
  </w:abstractNum>
  <w:abstractNum w:abstractNumId="91">
    <w:nsid w:val="77485850"/>
    <w:multiLevelType w:val="hybridMultilevel"/>
    <w:lvl w:ilvl="0">
      <w:lvlJc w:val="left"/>
      <w:lvlText w:val="%1."/>
      <w:numFmt w:val="decimal"/>
      <w:start w:val="18"/>
    </w:lvl>
  </w:abstractNum>
  <w:abstractNum w:abstractNumId="92">
    <w:nsid w:val="744939A3"/>
    <w:multiLevelType w:val="hybridMultilevel"/>
    <w:lvl w:ilvl="0">
      <w:lvlJc w:val="left"/>
      <w:lvlText w:val="%1."/>
      <w:numFmt w:val="decimal"/>
      <w:start w:val="1"/>
    </w:lvl>
  </w:abstractNum>
  <w:abstractNum w:abstractNumId="93">
    <w:nsid w:val="4FA0D2E3"/>
    <w:multiLevelType w:val="hybridMultilevel"/>
    <w:lvl w:ilvl="0">
      <w:lvlJc w:val="left"/>
      <w:lvlText w:val="."/>
      <w:numFmt w:val="bullet"/>
      <w:start w:val="1"/>
    </w:lvl>
  </w:abstractNum>
  <w:abstractNum w:abstractNumId="94">
    <w:nsid w:val="6B1D2C14"/>
    <w:multiLevelType w:val="hybridMultilevel"/>
    <w:lvl w:ilvl="0">
      <w:lvlJc w:val="left"/>
      <w:lvlText w:val="."/>
      <w:numFmt w:val="bullet"/>
      <w:start w:val="1"/>
    </w:lvl>
  </w:abstractNum>
  <w:abstractNum w:abstractNumId="95">
    <w:nsid w:val="68B867D3"/>
    <w:multiLevelType w:val="hybridMultilevel"/>
    <w:lvl w:ilvl="0">
      <w:lvlJc w:val="left"/>
      <w:lvlText w:val="%1."/>
      <w:numFmt w:val="decimal"/>
      <w:start w:val="2"/>
    </w:lvl>
  </w:abstractNum>
  <w:abstractNum w:abstractNumId="96">
    <w:nsid w:val="3F7F5DD9"/>
    <w:multiLevelType w:val="hybridMultilevel"/>
    <w:lvl w:ilvl="0">
      <w:lvlJc w:val="left"/>
      <w:lvlText w:val="(%1)"/>
      <w:numFmt w:val="lowerLetter"/>
      <w:start w:val="1"/>
    </w:lvl>
  </w:abstractNum>
  <w:abstractNum w:abstractNumId="97">
    <w:nsid w:val="2AE05A34"/>
    <w:multiLevelType w:val="hybridMultilevel"/>
    <w:lvl w:ilvl="0">
      <w:lvlJc w:val="left"/>
      <w:lvlText w:val="(%1)"/>
      <w:numFmt w:val="lowerLetter"/>
      <w:start w:val="2"/>
    </w:lvl>
  </w:abstractNum>
  <w:abstractNum w:abstractNumId="98">
    <w:nsid w:val="32794FF7"/>
    <w:multiLevelType w:val="hybridMultilevel"/>
    <w:lvl w:ilvl="0">
      <w:lvlJc w:val="left"/>
      <w:lvlText w:val="(%1)"/>
      <w:numFmt w:val="lowerLetter"/>
      <w:start w:val="3"/>
    </w:lvl>
  </w:abstractNum>
  <w:abstractNum w:abstractNumId="99">
    <w:nsid w:val="5454945E"/>
    <w:multiLevelType w:val="hybridMultilevel"/>
    <w:lvl w:ilvl="0">
      <w:lvlJc w:val="left"/>
      <w:lvlText w:val="(%1)"/>
      <w:numFmt w:val="lowerLetter"/>
      <w:start w:val="5"/>
    </w:lvl>
  </w:abstractNum>
  <w:abstractNum w:abstractNumId="100">
    <w:nsid w:val="4DEFDFA0"/>
    <w:multiLevelType w:val="hybridMultilevel"/>
    <w:lvl w:ilvl="0">
      <w:lvlJc w:val="left"/>
      <w:lvlText w:val="(%1)"/>
      <w:numFmt w:val="lowerLetter"/>
      <w:start w:val="7"/>
    </w:lvl>
  </w:abstractNum>
  <w:abstractNum w:abstractNumId="101">
    <w:nsid w:val="2123D5F2"/>
    <w:multiLevelType w:val="hybridMultilevel"/>
    <w:lvl w:ilvl="0">
      <w:lvlJc w:val="left"/>
      <w:lvlText w:val="(%1)"/>
      <w:numFmt w:val="lowerLetter"/>
      <w:start w:val="10"/>
    </w:lvl>
  </w:abstractNum>
  <w:abstractNum w:abstractNumId="102">
    <w:nsid w:val="135B8110"/>
    <w:multiLevelType w:val="hybridMultilevel"/>
    <w:lvl w:ilvl="0">
      <w:lvlJc w:val="left"/>
      <w:lvlText w:val="(%1)"/>
      <w:numFmt w:val="lowerLetter"/>
      <w:start w:val="11"/>
    </w:lvl>
  </w:abstractNum>
  <w:abstractNum w:abstractNumId="103">
    <w:nsid w:val="94927A8"/>
    <w:multiLevelType w:val="hybridMultilevel"/>
    <w:lvl w:ilvl="0">
      <w:lvlJc w:val="left"/>
      <w:lvlText w:val="(%1)"/>
      <w:numFmt w:val="lowerLetter"/>
      <w:start w:val="13"/>
    </w:lvl>
  </w:abstractNum>
  <w:abstractNum w:abstractNumId="104">
    <w:nsid w:val="DCDF8F6"/>
    <w:multiLevelType w:val="hybridMultilevel"/>
    <w:lvl w:ilvl="0">
      <w:lvlJc w:val="left"/>
      <w:lvlText w:val="(%1)"/>
      <w:numFmt w:val="lowerLetter"/>
      <w:start w:val="14"/>
    </w:lvl>
  </w:abstractNum>
  <w:abstractNum w:abstractNumId="105">
    <w:nsid w:val="52D7B105"/>
    <w:multiLevelType w:val="hybridMultilevel"/>
    <w:lvl w:ilvl="0">
      <w:lvlJc w:val="left"/>
      <w:lvlText w:val="(%1)"/>
      <w:numFmt w:val="lowerLetter"/>
      <w:start w:val="16"/>
    </w:lvl>
  </w:abstractNum>
  <w:abstractNum w:abstractNumId="106">
    <w:nsid w:val="2E8A6394"/>
    <w:multiLevelType w:val="hybridMultilevel"/>
    <w:lvl w:ilvl="0">
      <w:lvlJc w:val="left"/>
      <w:lvlText w:val="(%1)"/>
      <w:numFmt w:val="lowerLetter"/>
      <w:start w:val="17"/>
    </w:lvl>
  </w:abstractNum>
  <w:abstractNum w:abstractNumId="107">
    <w:nsid w:val="24E60401"/>
    <w:multiLevelType w:val="hybridMultilevel"/>
    <w:lvl w:ilvl="0">
      <w:lvlJc w:val="left"/>
      <w:lvlText w:val="(%1)"/>
      <w:numFmt w:val="lowerLetter"/>
      <w:start w:val="20"/>
    </w:lvl>
  </w:abstractNum>
  <w:abstractNum w:abstractNumId="108">
    <w:nsid w:val="2A6AD9BE"/>
    <w:multiLevelType w:val="hybridMultilevel"/>
    <w:lvl w:ilvl="0">
      <w:lvlJc w:val="left"/>
      <w:lvlText w:val="(%1)"/>
      <w:numFmt w:val="lowerLetter"/>
      <w:start w:val="22"/>
    </w:lvl>
  </w:abstractNum>
  <w:abstractNum w:abstractNumId="109">
    <w:nsid w:val="BAAC1B4"/>
    <w:multiLevelType w:val="hybridMultilevel"/>
    <w:lvl w:ilvl="0">
      <w:lvlJc w:val="left"/>
      <w:lvlText w:val="%1."/>
      <w:numFmt w:val="decimal"/>
      <w:start w:val="3"/>
    </w:lvl>
  </w:abstractNum>
  <w:abstractNum w:abstractNumId="110">
    <w:nsid w:val="36B2ACBC"/>
    <w:multiLevelType w:val="hybridMultilevel"/>
    <w:lvl w:ilvl="0">
      <w:lvlJc w:val="left"/>
      <w:lvlText w:val="%1."/>
      <w:numFmt w:val="decimal"/>
      <w:start w:val="4"/>
    </w:lvl>
  </w:abstractNum>
  <w:abstractNum w:abstractNumId="111">
    <w:nsid w:val="779D8544"/>
    <w:multiLevelType w:val="hybridMultilevel"/>
    <w:lvl w:ilvl="0">
      <w:lvlJc w:val="left"/>
      <w:lvlText w:val="(%1)"/>
      <w:numFmt w:val="lowerLetter"/>
      <w:start w:val="1"/>
    </w:lvl>
  </w:abstractNum>
  <w:abstractNum w:abstractNumId="112">
    <w:nsid w:val="4AB26E78"/>
    <w:multiLevelType w:val="hybridMultilevel"/>
    <w:lvl w:ilvl="0">
      <w:lvlJc w:val="left"/>
      <w:lvlText w:val="(%1)"/>
      <w:numFmt w:val="lowerLetter"/>
      <w:start w:val="2"/>
    </w:lvl>
  </w:abstractNum>
  <w:abstractNum w:abstractNumId="113">
    <w:nsid w:val="21FAA2FA"/>
    <w:multiLevelType w:val="hybridMultilevel"/>
    <w:lvl w:ilvl="0">
      <w:lvlJc w:val="left"/>
      <w:lvlText w:val="(%1)"/>
      <w:numFmt w:val="lowerRoman"/>
      <w:start w:val="1"/>
    </w:lvl>
  </w:abstractNum>
  <w:abstractNum w:abstractNumId="114">
    <w:nsid w:val="5451CF49"/>
    <w:multiLevelType w:val="hybridMultilevel"/>
    <w:lvl w:ilvl="0">
      <w:lvlJc w:val="left"/>
      <w:lvlText w:val="(%1)"/>
      <w:numFmt w:val="lowerRoman"/>
      <w:start w:val="7"/>
    </w:lvl>
  </w:abstractNum>
  <w:abstractNum w:abstractNumId="115">
    <w:nsid w:val="6181EF69"/>
    <w:multiLevelType w:val="hybridMultilevel"/>
    <w:lvl w:ilvl="0">
      <w:lvlJc w:val="left"/>
      <w:lvlText w:val="(%1)"/>
      <w:numFmt w:val="lowerLetter"/>
      <w:start w:val="3"/>
    </w:lvl>
  </w:abstractNum>
  <w:abstractNum w:abstractNumId="116">
    <w:nsid w:val="3E6400E6"/>
    <w:multiLevelType w:val="hybridMultilevel"/>
    <w:lvl w:ilvl="0">
      <w:lvlJc w:val="left"/>
      <w:lvlText w:val="%1."/>
      <w:numFmt w:val="decimal"/>
      <w:start w:val="5"/>
    </w:lvl>
  </w:abstractNum>
  <w:abstractNum w:abstractNumId="117">
    <w:nsid w:val="14217E23"/>
    <w:multiLevelType w:val="hybridMultilevel"/>
    <w:lvl w:ilvl="0">
      <w:lvlJc w:val="left"/>
      <w:lvlText w:val="%1."/>
      <w:numFmt w:val="decimal"/>
      <w:start w:val="7"/>
    </w:lvl>
  </w:abstractNum>
  <w:abstractNum w:abstractNumId="118">
    <w:nsid w:val="710757D0"/>
    <w:multiLevelType w:val="hybridMultilevel"/>
    <w:lvl w:ilvl="0">
      <w:lvlJc w:val="left"/>
      <w:lvlText w:val="%1."/>
      <w:numFmt w:val="decimal"/>
      <w:start w:val="8"/>
    </w:lvl>
  </w:abstractNum>
  <w:abstractNum w:abstractNumId="119">
    <w:nsid w:val="5015CD1A"/>
    <w:multiLevelType w:val="hybridMultilevel"/>
    <w:lvl w:ilvl="0">
      <w:lvlJc w:val="left"/>
      <w:lvlText w:val="%1."/>
      <w:numFmt w:val="decimal"/>
      <w:start w:val="9"/>
    </w:lvl>
  </w:abstractNum>
  <w:abstractNum w:abstractNumId="120">
    <w:nsid w:val="424479DA"/>
    <w:multiLevelType w:val="hybridMultilevel"/>
    <w:lvl w:ilvl="0">
      <w:lvlJc w:val="left"/>
      <w:lvlText w:val="(%1)"/>
      <w:numFmt w:val="lowerLetter"/>
      <w:start w:val="1"/>
    </w:lvl>
  </w:abstractNum>
  <w:abstractNum w:abstractNumId="121">
    <w:nsid w:val="1A9A9E69"/>
    <w:multiLevelType w:val="hybridMultilevel"/>
    <w:lvl w:ilvl="0">
      <w:lvlJc w:val="left"/>
      <w:lvlText w:val="(%1)"/>
      <w:numFmt w:val="lowerLetter"/>
      <w:start w:val="2"/>
    </w:lvl>
  </w:abstractNum>
  <w:abstractNum w:abstractNumId="122">
    <w:nsid w:val="475E256A"/>
    <w:multiLevelType w:val="hybridMultilevel"/>
    <w:lvl w:ilvl="0">
      <w:lvlJc w:val="left"/>
      <w:lvlText w:val="(%1)"/>
      <w:numFmt w:val="lowerLetter"/>
      <w:start w:val="3"/>
    </w:lvl>
  </w:abstractNum>
  <w:abstractNum w:abstractNumId="123">
    <w:nsid w:val="368DB37E"/>
    <w:multiLevelType w:val="hybridMultilevel"/>
    <w:lvl w:ilvl="0">
      <w:lvlJc w:val="left"/>
      <w:lvlText w:val="(%1)"/>
      <w:numFmt w:val="lowerRoman"/>
      <w:start w:val="1"/>
    </w:lvl>
  </w:abstractNum>
  <w:abstractNum w:abstractNumId="124">
    <w:nsid w:val="6A3B714C"/>
    <w:multiLevelType w:val="hybridMultilevel"/>
    <w:lvl w:ilvl="0">
      <w:lvlJc w:val="left"/>
      <w:lvlText w:val="%1."/>
      <w:numFmt w:val="decimal"/>
      <w:start w:val="10"/>
    </w:lvl>
  </w:abstractNum>
  <w:abstractNum w:abstractNumId="125">
    <w:nsid w:val="327B517E"/>
    <w:multiLevelType w:val="hybridMultilevel"/>
    <w:lvl w:ilvl="0">
      <w:lvlJc w:val="left"/>
      <w:lvlText w:val="(%1)"/>
      <w:numFmt w:val="lowerLetter"/>
      <w:start w:val="1"/>
    </w:lvl>
  </w:abstractNum>
  <w:abstractNum w:abstractNumId="126">
    <w:nsid w:val="1F461B51"/>
    <w:multiLevelType w:val="hybridMultilevel"/>
    <w:lvl w:ilvl="0">
      <w:lvlJc w:val="left"/>
      <w:lvlText w:val="(%1)"/>
      <w:numFmt w:val="lowerLetter"/>
      <w:start w:val="3"/>
    </w:lvl>
  </w:abstractNum>
  <w:abstractNum w:abstractNumId="127">
    <w:nsid w:val="29BACF25"/>
    <w:multiLevelType w:val="hybridMultilevel"/>
    <w:lvl w:ilvl="0">
      <w:lvlJc w:val="left"/>
      <w:lvlText w:val="(%1)"/>
      <w:numFmt w:val="lowerLetter"/>
      <w:start w:val="4"/>
    </w:lvl>
  </w:abstractNum>
  <w:abstractNum w:abstractNumId="128">
    <w:nsid w:val="5D5BABB3"/>
    <w:multiLevelType w:val="hybridMultilevel"/>
    <w:lvl w:ilvl="0">
      <w:lvlJc w:val="left"/>
      <w:lvlText w:val="(%1)"/>
      <w:numFmt w:val="lowerLetter"/>
      <w:start w:val="5"/>
    </w:lvl>
  </w:abstractNum>
  <w:abstractNum w:abstractNumId="129">
    <w:nsid w:val="51BF6B48"/>
    <w:multiLevelType w:val="hybridMultilevel"/>
    <w:lvl w:ilvl="0">
      <w:lvlJc w:val="left"/>
      <w:lvlText w:val="%1."/>
      <w:numFmt w:val="decimal"/>
      <w:start w:val="11"/>
    </w:lvl>
  </w:abstractNum>
  <w:abstractNum w:abstractNumId="130">
    <w:nsid w:val="7E0F6384"/>
    <w:multiLevelType w:val="hybridMultilevel"/>
    <w:lvl w:ilvl="0">
      <w:lvlJc w:val="left"/>
      <w:lvlText w:val="%1."/>
      <w:numFmt w:val="decimal"/>
      <w:start w:val="12"/>
    </w:lvl>
  </w:abstractNum>
  <w:abstractNum w:abstractNumId="131">
    <w:nsid w:val="2B4B8B53"/>
    <w:multiLevelType w:val="hybridMultilevel"/>
    <w:lvl w:ilvl="0">
      <w:lvlJc w:val="left"/>
      <w:lvlText w:val="-"/>
      <w:numFmt w:val="bullet"/>
      <w:start w:val="1"/>
    </w:lvl>
    <w:lvl w:ilvl="1">
      <w:lvlJc w:val="left"/>
      <w:lvlText w:val="(%2)"/>
      <w:numFmt w:val="lowerLetter"/>
      <w:start w:val="1"/>
    </w:lvl>
  </w:abstractNum>
  <w:abstractNum w:abstractNumId="132">
    <w:nsid w:val="72E3413A"/>
    <w:multiLevelType w:val="hybridMultilevel"/>
    <w:lvl w:ilvl="0">
      <w:lvlJc w:val="left"/>
      <w:lvlText w:val="%1."/>
      <w:numFmt w:val="decimal"/>
      <w:start w:val="13"/>
    </w:lvl>
  </w:abstractNum>
  <w:abstractNum w:abstractNumId="133">
    <w:nsid w:val="116AE494"/>
    <w:multiLevelType w:val="hybridMultilevel"/>
    <w:lvl w:ilvl="0">
      <w:lvlJc w:val="left"/>
      <w:lvlText w:val="%1."/>
      <w:numFmt w:val="decimal"/>
      <w:start w:val="14"/>
    </w:lvl>
  </w:abstractNum>
  <w:abstractNum w:abstractNumId="134">
    <w:nsid w:val="3494B2FB"/>
    <w:multiLevelType w:val="hybridMultilevel"/>
    <w:lvl w:ilvl="0">
      <w:lvlJc w:val="left"/>
      <w:lvlText w:val="(%1)"/>
      <w:numFmt w:val="lowerLetter"/>
      <w:start w:val="1"/>
    </w:lvl>
  </w:abstractNum>
  <w:abstractNum w:abstractNumId="135">
    <w:nsid w:val="B13A31"/>
    <w:multiLevelType w:val="hybridMultilevel"/>
    <w:lvl w:ilvl="0">
      <w:lvlJc w:val="left"/>
      <w:lvlText w:val="(%1)"/>
      <w:numFmt w:val="lowerLetter"/>
      <w:start w:val="2"/>
    </w:lvl>
  </w:abstractNum>
  <w:abstractNum w:abstractNumId="136">
    <w:nsid w:val="64429599"/>
    <w:multiLevelType w:val="hybridMultilevel"/>
    <w:lvl w:ilvl="0">
      <w:lvlJc w:val="left"/>
      <w:lvlText w:val="%1."/>
      <w:numFmt w:val="decimal"/>
      <w:start w:val="15"/>
    </w:lvl>
  </w:abstractNum>
  <w:abstractNum w:abstractNumId="137">
    <w:nsid w:val="631F1690"/>
    <w:multiLevelType w:val="hybridMultilevel"/>
    <w:lvl w:ilvl="0">
      <w:lvlJc w:val="left"/>
      <w:lvlText w:val="(%1)"/>
      <w:numFmt w:val="lowerLetter"/>
      <w:start w:val="1"/>
    </w:lvl>
  </w:abstractNum>
  <w:abstractNum w:abstractNumId="138">
    <w:nsid w:val="25973E32"/>
    <w:multiLevelType w:val="hybridMultilevel"/>
    <w:lvl w:ilvl="0">
      <w:lvlJc w:val="left"/>
      <w:lvlText w:val="(%1)"/>
      <w:numFmt w:val="lowerLetter"/>
      <w:start w:val="2"/>
    </w:lvl>
  </w:abstractNum>
  <w:abstractNum w:abstractNumId="139">
    <w:nsid w:val="EAD6F57"/>
    <w:multiLevelType w:val="hybridMultilevel"/>
    <w:lvl w:ilvl="0">
      <w:lvlJc w:val="left"/>
      <w:lvlText w:val="%1."/>
      <w:numFmt w:val="decimal"/>
      <w:start w:val="16"/>
    </w:lvl>
  </w:abstractNum>
  <w:abstractNum w:abstractNumId="140">
    <w:nsid w:val="6EC9D844"/>
    <w:multiLevelType w:val="hybridMultilevel"/>
    <w:lvl w:ilvl="0">
      <w:lvlJc w:val="left"/>
      <w:lvlText w:val="%1."/>
      <w:numFmt w:val="decimal"/>
      <w:start w:val="17"/>
    </w:lvl>
  </w:abstractNum>
  <w:abstractNum w:abstractNumId="141">
    <w:nsid w:val="5C49EAEE"/>
    <w:multiLevelType w:val="hybridMultilevel"/>
    <w:lvl w:ilvl="0">
      <w:lvlJc w:val="left"/>
      <w:lvlText w:val="%1."/>
      <w:numFmt w:val="decimal"/>
      <w:start w:val="1"/>
    </w:lvl>
  </w:abstractNum>
  <w:abstractNum w:abstractNumId="142">
    <w:nsid w:val="64AF49B"/>
    <w:multiLevelType w:val="hybridMultilevel"/>
    <w:lvl w:ilvl="0">
      <w:lvlJc w:val="left"/>
      <w:lvlText w:val="."/>
      <w:numFmt w:val="bullet"/>
      <w:start w:val="1"/>
    </w:lvl>
  </w:abstractNum>
  <w:abstractNum w:abstractNumId="143">
    <w:nsid w:val="397C46BC"/>
    <w:multiLevelType w:val="hybridMultilevel"/>
    <w:lvl w:ilvl="0">
      <w:lvlJc w:val="left"/>
      <w:lvlText w:val="."/>
      <w:numFmt w:val="bullet"/>
      <w:start w:val="1"/>
    </w:lvl>
  </w:abstractNum>
  <w:abstractNum w:abstractNumId="144">
    <w:nsid w:val="7E448DE9"/>
    <w:multiLevelType w:val="hybridMultilevel"/>
    <w:lvl w:ilvl="0">
      <w:lvlJc w:val="left"/>
      <w:lvlText w:val="%1."/>
      <w:numFmt w:val="decimal"/>
      <w:start w:val="2"/>
    </w:lvl>
    <w:lvl w:ilvl="1">
      <w:lvlJc w:val="left"/>
      <w:lvlText w:val="(%2)"/>
      <w:numFmt w:val="lowerLetter"/>
      <w:start w:val="1"/>
    </w:lvl>
  </w:abstractNum>
  <w:abstractNum w:abstractNumId="145">
    <w:nsid w:val="5A9CC3E5"/>
    <w:multiLevelType w:val="hybridMultilevel"/>
    <w:lvl w:ilvl="0">
      <w:lvlJc w:val="left"/>
      <w:lvlText w:val="(%1)"/>
      <w:numFmt w:val="lowerLetter"/>
      <w:start w:val="2"/>
    </w:lvl>
  </w:abstractNum>
  <w:abstractNum w:abstractNumId="146">
    <w:nsid w:val="1AFE3625"/>
    <w:multiLevelType w:val="hybridMultilevel"/>
    <w:lvl w:ilvl="0">
      <w:lvlJc w:val="left"/>
      <w:lvlText w:val="(%1)"/>
      <w:numFmt w:val="lowerLetter"/>
      <w:start w:val="3"/>
    </w:lvl>
  </w:abstractNum>
  <w:abstractNum w:abstractNumId="147">
    <w:nsid w:val="3CA88ECF"/>
    <w:multiLevelType w:val="hybridMultilevel"/>
    <w:lvl w:ilvl="0">
      <w:lvlJc w:val="left"/>
      <w:lvlText w:val="(%1)"/>
      <w:numFmt w:val="lowerLetter"/>
      <w:start w:val="5"/>
    </w:lvl>
  </w:abstractNum>
  <w:abstractNum w:abstractNumId="148">
    <w:nsid w:val="6EBE4208"/>
    <w:multiLevelType w:val="hybridMultilevel"/>
    <w:lvl w:ilvl="0">
      <w:lvlJc w:val="left"/>
      <w:lvlText w:val="(%1)"/>
      <w:numFmt w:val="lowerLetter"/>
      <w:start w:val="7"/>
    </w:lvl>
  </w:abstractNum>
  <w:abstractNum w:abstractNumId="149">
    <w:nsid w:val="C058DF5"/>
    <w:multiLevelType w:val="hybridMultilevel"/>
    <w:lvl w:ilvl="0">
      <w:lvlJc w:val="left"/>
      <w:lvlText w:val="(%1)"/>
      <w:numFmt w:val="lowerLetter"/>
      <w:start w:val="10"/>
    </w:lvl>
  </w:abstractNum>
  <w:abstractNum w:abstractNumId="150">
    <w:nsid w:val="CBE5BE9"/>
    <w:multiLevelType w:val="hybridMultilevel"/>
    <w:lvl w:ilvl="0">
      <w:lvlJc w:val="left"/>
      <w:lvlText w:val="(%1)"/>
      <w:numFmt w:val="lowerRoman"/>
      <w:start w:val="3"/>
    </w:lvl>
  </w:abstractNum>
  <w:abstractNum w:abstractNumId="151">
    <w:nsid w:val="3102BBE2"/>
    <w:multiLevelType w:val="hybridMultilevel"/>
    <w:lvl w:ilvl="0">
      <w:lvlJc w:val="left"/>
      <w:lvlText w:val="(%1)"/>
      <w:numFmt w:val="lowerLetter"/>
      <w:start w:val="11"/>
    </w:lvl>
  </w:abstractNum>
  <w:abstractNum w:abstractNumId="152">
    <w:nsid w:val="26A02C5E"/>
    <w:multiLevelType w:val="hybridMultilevel"/>
    <w:lvl w:ilvl="0">
      <w:lvlJc w:val="left"/>
      <w:lvlText w:val="(%1)"/>
      <w:numFmt w:val="lowerLetter"/>
      <w:start w:val="14"/>
    </w:lvl>
  </w:abstractNum>
  <w:abstractNum w:abstractNumId="153">
    <w:nsid w:val="541C8153"/>
    <w:multiLevelType w:val="hybridMultilevel"/>
    <w:lvl w:ilvl="0">
      <w:lvlJc w:val="left"/>
      <w:lvlText w:val="(%1)"/>
      <w:numFmt w:val="lowerLetter"/>
      <w:start w:val="15"/>
    </w:lvl>
  </w:abstractNum>
  <w:abstractNum w:abstractNumId="154">
    <w:nsid w:val="67906F60"/>
    <w:multiLevelType w:val="hybridMultilevel"/>
    <w:lvl w:ilvl="0">
      <w:lvlJc w:val="left"/>
      <w:lvlText w:val="(%1)"/>
      <w:numFmt w:val="lowerLetter"/>
      <w:start w:val="16"/>
    </w:lvl>
  </w:abstractNum>
  <w:abstractNum w:abstractNumId="155">
    <w:nsid w:val="10DB9DAA"/>
    <w:multiLevelType w:val="hybridMultilevel"/>
    <w:lvl w:ilvl="0">
      <w:lvlJc w:val="left"/>
      <w:lvlText w:val="(%1)"/>
      <w:numFmt w:val="lowerLetter"/>
      <w:start w:val="17"/>
    </w:lvl>
  </w:abstractNum>
  <w:abstractNum w:abstractNumId="156">
    <w:nsid w:val="697D2D2"/>
    <w:multiLevelType w:val="hybridMultilevel"/>
    <w:lvl w:ilvl="0">
      <w:lvlJc w:val="left"/>
      <w:lvlText w:val="(%1)"/>
      <w:numFmt w:val="lowerLetter"/>
      <w:start w:val="18"/>
    </w:lvl>
  </w:abstractNum>
  <w:abstractNum w:abstractNumId="157">
    <w:nsid w:val="6D68AB2"/>
    <w:multiLevelType w:val="hybridMultilevel"/>
    <w:lvl w:ilvl="0">
      <w:lvlJc w:val="left"/>
      <w:lvlText w:val="(%1)"/>
      <w:numFmt w:val="lowerLetter"/>
      <w:start w:val="19"/>
    </w:lvl>
  </w:abstractNum>
  <w:abstractNum w:abstractNumId="158">
    <w:nsid w:val="3A966CD0"/>
    <w:multiLevelType w:val="hybridMultilevel"/>
    <w:lvl w:ilvl="0">
      <w:lvlJc w:val="left"/>
      <w:lvlText w:val="(%1)"/>
      <w:numFmt w:val="lowerLetter"/>
      <w:start w:val="20"/>
    </w:lvl>
  </w:abstractNum>
  <w:abstractNum w:abstractNumId="159">
    <w:nsid w:val="63F37E85"/>
    <w:multiLevelType w:val="hybridMultilevel"/>
    <w:lvl w:ilvl="0">
      <w:lvlJc w:val="left"/>
      <w:lvlText w:val="(%1)"/>
      <w:numFmt w:val="lowerLetter"/>
      <w:start w:val="21"/>
    </w:lvl>
  </w:abstractNum>
  <w:abstractNum w:abstractNumId="160">
    <w:nsid w:val="5895F5FA"/>
    <w:multiLevelType w:val="hybridMultilevel"/>
    <w:lvl w:ilvl="0">
      <w:lvlJc w:val="left"/>
      <w:lvlText w:val="(%1)"/>
      <w:numFmt w:val="lowerLetter"/>
      <w:start w:val="22"/>
    </w:lvl>
  </w:abstractNum>
  <w:abstractNum w:abstractNumId="161">
    <w:nsid w:val="38A5D054"/>
    <w:multiLevelType w:val="hybridMultilevel"/>
    <w:lvl w:ilvl="0">
      <w:lvlJc w:val="left"/>
      <w:lvlText w:val="%1."/>
      <w:numFmt w:val="decimal"/>
      <w:start w:val="3"/>
    </w:lvl>
  </w:abstractNum>
  <w:abstractNum w:abstractNumId="162">
    <w:nsid w:val="F3F09D8"/>
    <w:multiLevelType w:val="hybridMultilevel"/>
    <w:lvl w:ilvl="0">
      <w:lvlJc w:val="left"/>
      <w:lvlText w:val="%1."/>
      <w:numFmt w:val="decimal"/>
      <w:start w:val="4"/>
    </w:lvl>
  </w:abstractNum>
  <w:abstractNum w:abstractNumId="163">
    <w:nsid w:val="4B793735"/>
    <w:multiLevelType w:val="hybridMultilevel"/>
    <w:lvl w:ilvl="0">
      <w:lvlJc w:val="left"/>
      <w:lvlText w:val="(%1)"/>
      <w:numFmt w:val="lowerLetter"/>
      <w:start w:val="1"/>
    </w:lvl>
  </w:abstractNum>
  <w:abstractNum w:abstractNumId="164">
    <w:nsid w:val="4A10B4E8"/>
    <w:multiLevelType w:val="hybridMultilevel"/>
    <w:lvl w:ilvl="0">
      <w:lvlJc w:val="left"/>
      <w:lvlText w:val="(%1)"/>
      <w:numFmt w:val="lowerRoman"/>
      <w:start w:val="1"/>
    </w:lvl>
  </w:abstractNum>
  <w:abstractNum w:abstractNumId="165">
    <w:nsid w:val="43D3BCD4"/>
    <w:multiLevelType w:val="hybridMultilevel"/>
    <w:lvl w:ilvl="0">
      <w:lvlJc w:val="left"/>
      <w:lvlText w:val="%1"/>
      <w:numFmt w:val="lowerLetter"/>
      <w:start w:val="1"/>
    </w:lvl>
    <w:lvl w:ilvl="1">
      <w:lvlJc w:val="left"/>
      <w:lvlText w:val="(%2)"/>
      <w:numFmt w:val="lowerRoman"/>
      <w:start w:val="6"/>
    </w:lvl>
  </w:abstractNum>
  <w:abstractNum w:abstractNumId="166">
    <w:nsid w:val="4C2A7166"/>
    <w:multiLevelType w:val="hybridMultilevel"/>
    <w:lvl w:ilvl="0">
      <w:lvlJc w:val="left"/>
      <w:lvlText w:val="(%1)"/>
      <w:numFmt w:val="lowerLetter"/>
      <w:start w:val="3"/>
    </w:lvl>
    <w:lvl w:ilvl="1">
      <w:lvlJc w:val="left"/>
      <w:lvlText w:val="%2"/>
      <w:numFmt w:val="lowerRoman"/>
      <w:start w:val="1"/>
    </w:lvl>
  </w:abstractNum>
  <w:abstractNum w:abstractNumId="167">
    <w:nsid w:val="2E534A82"/>
    <w:multiLevelType w:val="hybridMultilevel"/>
    <w:lvl w:ilvl="0">
      <w:lvlJc w:val="left"/>
      <w:lvlText w:val="%1."/>
      <w:numFmt w:val="decimal"/>
      <w:start w:val="5"/>
    </w:lvl>
  </w:abstractNum>
  <w:abstractNum w:abstractNumId="168">
    <w:nsid w:val="26F2D364"/>
    <w:multiLevelType w:val="hybridMultilevel"/>
    <w:lvl w:ilvl="0">
      <w:lvlJc w:val="left"/>
      <w:lvlText w:val="%1."/>
      <w:numFmt w:val="decimal"/>
      <w:start w:val="7"/>
    </w:lvl>
  </w:abstractNum>
  <w:abstractNum w:abstractNumId="169">
    <w:nsid w:val="71C1AF98"/>
    <w:multiLevelType w:val="hybridMultilevel"/>
    <w:lvl w:ilvl="0">
      <w:lvlJc w:val="left"/>
      <w:lvlText w:val="%1."/>
      <w:numFmt w:val="decimal"/>
      <w:start w:val="8"/>
    </w:lvl>
  </w:abstractNum>
  <w:abstractNum w:abstractNumId="170">
    <w:nsid w:val="3D00B9D9"/>
    <w:multiLevelType w:val="hybridMultilevel"/>
    <w:lvl w:ilvl="0">
      <w:lvlJc w:val="left"/>
      <w:lvlText w:val="%1."/>
      <w:numFmt w:val="decimal"/>
      <w:start w:val="9"/>
    </w:lvl>
  </w:abstractNum>
  <w:abstractNum w:abstractNumId="171">
    <w:nsid w:val="15BCABA8"/>
    <w:multiLevelType w:val="hybridMultilevel"/>
    <w:lvl w:ilvl="0">
      <w:lvlJc w:val="left"/>
      <w:lvlText w:val="(%1)"/>
      <w:numFmt w:val="lowerLetter"/>
      <w:start w:val="1"/>
    </w:lvl>
  </w:abstractNum>
  <w:abstractNum w:abstractNumId="172">
    <w:nsid w:val="4E0B9A87"/>
    <w:multiLevelType w:val="hybridMultilevel"/>
    <w:lvl w:ilvl="0">
      <w:lvlJc w:val="left"/>
      <w:lvlText w:val="(%1)"/>
      <w:numFmt w:val="lowerLetter"/>
      <w:start w:val="2"/>
    </w:lvl>
  </w:abstractNum>
  <w:abstractNum w:abstractNumId="173">
    <w:nsid w:val="434BAE75"/>
    <w:multiLevelType w:val="hybridMultilevel"/>
    <w:lvl w:ilvl="0">
      <w:lvlJc w:val="left"/>
      <w:lvlText w:val="(%1)"/>
      <w:numFmt w:val="lowerLetter"/>
      <w:start w:val="3"/>
    </w:lvl>
  </w:abstractNum>
  <w:abstractNum w:abstractNumId="174">
    <w:nsid w:val="4F38F265"/>
    <w:multiLevelType w:val="hybridMultilevel"/>
    <w:lvl w:ilvl="0">
      <w:lvlJc w:val="left"/>
      <w:lvlText w:val="(%1)"/>
      <w:numFmt w:val="lowerRoman"/>
      <w:start w:val="1"/>
    </w:lvl>
  </w:abstractNum>
  <w:abstractNum w:abstractNumId="175">
    <w:nsid w:val="4C502870"/>
    <w:multiLevelType w:val="hybridMultilevel"/>
    <w:lvl w:ilvl="0">
      <w:lvlJc w:val="left"/>
      <w:lvlText w:val="%1."/>
      <w:numFmt w:val="decimal"/>
      <w:start w:val="10"/>
    </w:lvl>
  </w:abstractNum>
  <w:abstractNum w:abstractNumId="176">
    <w:nsid w:val="1DE8725A"/>
    <w:multiLevelType w:val="hybridMultilevel"/>
    <w:lvl w:ilvl="0">
      <w:lvlJc w:val="left"/>
      <w:lvlText w:val="(%1)"/>
      <w:numFmt w:val="lowerLetter"/>
      <w:start w:val="1"/>
    </w:lvl>
  </w:abstractNum>
  <w:abstractNum w:abstractNumId="177">
    <w:nsid w:val="6A37288A"/>
    <w:multiLevelType w:val="hybridMultilevel"/>
    <w:lvl w:ilvl="0">
      <w:lvlJc w:val="left"/>
      <w:lvlText w:val="(%1)"/>
      <w:numFmt w:val="lowerLetter"/>
      <w:start w:val="2"/>
    </w:lvl>
  </w:abstractNum>
  <w:abstractNum w:abstractNumId="178">
    <w:nsid w:val="8F8B73F"/>
    <w:multiLevelType w:val="hybridMultilevel"/>
    <w:lvl w:ilvl="0">
      <w:lvlJc w:val="left"/>
      <w:lvlText w:val="(%1)"/>
      <w:numFmt w:val="lowerLetter"/>
      <w:start w:val="4"/>
    </w:lvl>
  </w:abstractNum>
  <w:abstractNum w:abstractNumId="179">
    <w:nsid w:val="CA6B462"/>
    <w:multiLevelType w:val="hybridMultilevel"/>
    <w:lvl w:ilvl="0">
      <w:lvlJc w:val="left"/>
      <w:lvlText w:val="(%1)"/>
      <w:numFmt w:val="lowerLetter"/>
      <w:start w:val="5"/>
    </w:lvl>
  </w:abstractNum>
  <w:abstractNum w:abstractNumId="180">
    <w:nsid w:val="763CB680"/>
    <w:multiLevelType w:val="hybridMultilevel"/>
    <w:lvl w:ilvl="0">
      <w:lvlJc w:val="left"/>
      <w:lvlText w:val="%1."/>
      <w:numFmt w:val="decimal"/>
      <w:start w:val="11"/>
    </w:lvl>
  </w:abstractNum>
  <w:abstractNum w:abstractNumId="181">
    <w:nsid w:val="15B71329"/>
    <w:multiLevelType w:val="hybridMultilevel"/>
    <w:lvl w:ilvl="0">
      <w:lvlJc w:val="left"/>
      <w:lvlText w:val="%1."/>
      <w:numFmt w:val="decimal"/>
      <w:start w:val="12"/>
    </w:lvl>
  </w:abstractNum>
  <w:abstractNum w:abstractNumId="182">
    <w:nsid w:val="3DA97044"/>
    <w:multiLevelType w:val="hybridMultilevel"/>
    <w:lvl w:ilvl="0">
      <w:lvlJc w:val="left"/>
      <w:lvlText w:val="(%1)"/>
      <w:numFmt w:val="lowerLetter"/>
      <w:start w:val="1"/>
    </w:lvl>
  </w:abstractNum>
  <w:abstractNum w:abstractNumId="183">
    <w:nsid w:val="1CDCE2DE"/>
    <w:multiLevelType w:val="hybridMultilevel"/>
    <w:lvl w:ilvl="0">
      <w:lvlJc w:val="left"/>
      <w:lvlText w:val="(%1)"/>
      <w:numFmt w:val="lowerLetter"/>
      <w:start w:val="2"/>
    </w:lvl>
  </w:abstractNum>
  <w:abstractNum w:abstractNumId="184">
    <w:nsid w:val="69D3947C"/>
    <w:multiLevelType w:val="hybridMultilevel"/>
    <w:lvl w:ilvl="0">
      <w:lvlJc w:val="left"/>
      <w:lvlText w:val="%1."/>
      <w:numFmt w:val="decimal"/>
      <w:start w:val="13"/>
    </w:lvl>
  </w:abstractNum>
  <w:abstractNum w:abstractNumId="185">
    <w:nsid w:val="2539DFA5"/>
    <w:multiLevelType w:val="hybridMultilevel"/>
    <w:lvl w:ilvl="0">
      <w:lvlJc w:val="left"/>
      <w:lvlText w:val="%1."/>
      <w:numFmt w:val="decimal"/>
      <w:start w:val="14"/>
    </w:lvl>
  </w:abstractNum>
  <w:abstractNum w:abstractNumId="186">
    <w:nsid w:val="2DB88089"/>
    <w:multiLevelType w:val="hybridMultilevel"/>
    <w:lvl w:ilvl="0">
      <w:lvlJc w:val="left"/>
      <w:lvlText w:val="(%1)"/>
      <w:numFmt w:val="lowerLetter"/>
      <w:start w:val="1"/>
    </w:lvl>
  </w:abstractNum>
  <w:abstractNum w:abstractNumId="187">
    <w:nsid w:val="706B674E"/>
    <w:multiLevelType w:val="hybridMultilevel"/>
    <w:lvl w:ilvl="0">
      <w:lvlJc w:val="left"/>
      <w:lvlText w:val="(%1)"/>
      <w:numFmt w:val="lowerLetter"/>
      <w:start w:val="2"/>
    </w:lvl>
  </w:abstractNum>
  <w:abstractNum w:abstractNumId="188">
    <w:nsid w:val="2C106A57"/>
    <w:multiLevelType w:val="hybridMultilevel"/>
    <w:lvl w:ilvl="0">
      <w:lvlJc w:val="left"/>
      <w:lvlText w:val="%1."/>
      <w:numFmt w:val="decimal"/>
      <w:start w:val="15"/>
    </w:lvl>
  </w:abstractNum>
  <w:abstractNum w:abstractNumId="189">
    <w:nsid w:val="684EED59"/>
    <w:multiLevelType w:val="hybridMultilevel"/>
    <w:lvl w:ilvl="0">
      <w:lvlJc w:val="left"/>
      <w:lvlText w:val="(%1)"/>
      <w:numFmt w:val="lowerLetter"/>
      <w:start w:val="1"/>
    </w:lvl>
  </w:abstractNum>
  <w:abstractNum w:abstractNumId="190">
    <w:nsid w:val="545EE5D3"/>
    <w:multiLevelType w:val="hybridMultilevel"/>
    <w:lvl w:ilvl="0">
      <w:lvlJc w:val="left"/>
      <w:lvlText w:val="(%1)"/>
      <w:numFmt w:val="lowerLetter"/>
      <w:start w:val="2"/>
    </w:lvl>
  </w:abstractNum>
  <w:abstractNum w:abstractNumId="191">
    <w:nsid w:val="4A66051"/>
    <w:multiLevelType w:val="hybridMultilevel"/>
    <w:lvl w:ilvl="0">
      <w:lvlJc w:val="left"/>
      <w:lvlText w:val="%1."/>
      <w:numFmt w:val="decimal"/>
      <w:start w:val="16"/>
    </w:lvl>
  </w:abstractNum>
  <w:abstractNum w:abstractNumId="192">
    <w:nsid w:val="20F4BDAD"/>
    <w:multiLevelType w:val="hybridMultilevel"/>
    <w:lvl w:ilvl="0">
      <w:lvlJc w:val="left"/>
      <w:lvlText w:val="%1."/>
      <w:numFmt w:val="decimal"/>
      <w:start w:val="17"/>
    </w:lvl>
  </w:abstractNum>
  <w:abstractNum w:abstractNumId="193">
    <w:nsid w:val="639DEFAC"/>
    <w:multiLevelType w:val="hybridMultilevel"/>
    <w:lvl w:ilvl="0">
      <w:lvlJc w:val="left"/>
      <w:lvlText w:val="%1."/>
      <w:numFmt w:val="decimal"/>
      <w:start w:val="1"/>
    </w:lvl>
  </w:abstractNum>
  <w:abstractNum w:abstractNumId="194">
    <w:nsid w:val="501F9786"/>
    <w:multiLevelType w:val="hybridMultilevel"/>
    <w:lvl w:ilvl="0">
      <w:lvlJc w:val="left"/>
      <w:lvlText w:val="%1."/>
      <w:numFmt w:val="decimal"/>
      <w:start w:val="2"/>
    </w:lvl>
    <w:lvl w:ilvl="1">
      <w:lvlJc w:val="left"/>
      <w:lvlText w:val="(%2)"/>
      <w:numFmt w:val="lowerLetter"/>
      <w:start w:val="1"/>
    </w:lvl>
  </w:abstractNum>
  <w:abstractNum w:abstractNumId="195">
    <w:nsid w:val="6B057295"/>
    <w:multiLevelType w:val="hybridMultilevel"/>
    <w:lvl w:ilvl="0">
      <w:lvlJc w:val="left"/>
      <w:lvlText w:val="(%1)"/>
      <w:numFmt w:val="lowerLetter"/>
      <w:start w:val="4"/>
    </w:lvl>
  </w:abstractNum>
  <w:abstractNum w:abstractNumId="196">
    <w:nsid w:val="2771AC80"/>
    <w:multiLevelType w:val="hybridMultilevel"/>
    <w:lvl w:ilvl="0">
      <w:lvlJc w:val="left"/>
      <w:lvlText w:val="(%1)"/>
      <w:numFmt w:val="lowerLetter"/>
      <w:start w:val="4"/>
    </w:lvl>
  </w:abstractNum>
  <w:abstractNum w:abstractNumId="197">
    <w:nsid w:val="1C4A08EC"/>
    <w:multiLevelType w:val="hybridMultilevel"/>
    <w:lvl w:ilvl="0">
      <w:lvlJc w:val="left"/>
      <w:lvlText w:val="(%1)"/>
      <w:numFmt w:val="lowerLetter"/>
      <w:start w:val="7"/>
    </w:lvl>
  </w:abstractNum>
  <w:abstractNum w:abstractNumId="198">
    <w:nsid w:val="1958BD17"/>
    <w:multiLevelType w:val="hybridMultilevel"/>
    <w:lvl w:ilvl="0">
      <w:lvlJc w:val="left"/>
      <w:lvlText w:val="(%1)"/>
      <w:numFmt w:val="lowerLetter"/>
      <w:start w:val="8"/>
    </w:lvl>
  </w:abstractNum>
  <w:abstractNum w:abstractNumId="199">
    <w:nsid w:val="4E647FE4"/>
    <w:multiLevelType w:val="hybridMultilevel"/>
    <w:lvl w:ilvl="0">
      <w:lvlJc w:val="left"/>
      <w:lvlText w:val="(%1)"/>
      <w:numFmt w:val="decimal"/>
      <w:start w:val="5"/>
    </w:lvl>
  </w:abstractNum>
  <w:abstractNum w:abstractNumId="200">
    <w:nsid w:val="E0BB885"/>
    <w:multiLevelType w:val="hybridMultilevel"/>
    <w:lvl w:ilvl="0">
      <w:lvlJc w:val="left"/>
      <w:lvlText w:val="(%1)"/>
      <w:numFmt w:val="decimal"/>
      <w:start w:val="20"/>
    </w:lvl>
  </w:abstractNum>
  <w:abstractNum w:abstractNumId="201">
    <w:nsid w:val="565976F1"/>
    <w:multiLevelType w:val="hybridMultilevel"/>
    <w:lvl w:ilvl="0">
      <w:lvlJc w:val="left"/>
      <w:lvlText w:val="(%1)"/>
      <w:numFmt w:val="lowerRoman"/>
      <w:start w:val="1"/>
    </w:lvl>
  </w:abstractNum>
  <w:abstractNum w:abstractNumId="202">
    <w:nsid w:val="64212B8C"/>
    <w:multiLevelType w:val="hybridMultilevel"/>
    <w:lvl w:ilvl="0">
      <w:lvlJc w:val="left"/>
      <w:lvlText w:val="(%1)"/>
      <w:numFmt w:val="lowerLetter"/>
      <w:start w:val="11"/>
    </w:lvl>
  </w:abstractNum>
  <w:abstractNum w:abstractNumId="203">
    <w:nsid w:val="5C17530C"/>
    <w:multiLevelType w:val="hybridMultilevel"/>
    <w:lvl w:ilvl="0">
      <w:lvlJc w:val="left"/>
      <w:lvlText w:val="(%1)"/>
      <w:numFmt w:val="lowerLetter"/>
      <w:start w:val="12"/>
    </w:lvl>
  </w:abstractNum>
  <w:abstractNum w:abstractNumId="204">
    <w:nsid w:val="19A52566"/>
    <w:multiLevelType w:val="hybridMultilevel"/>
    <w:lvl w:ilvl="0">
      <w:lvlJc w:val="left"/>
      <w:lvlText w:val="%1."/>
      <w:numFmt w:val="decimal"/>
      <w:start w:val="3"/>
    </w:lvl>
    <w:lvl w:ilvl="1">
      <w:lvlJc w:val="left"/>
      <w:lvlText w:val="(%2)"/>
      <w:numFmt w:val="lowerLetter"/>
      <w:start w:val="1"/>
    </w:lvl>
  </w:abstractNum>
  <w:abstractNum w:abstractNumId="205">
    <w:nsid w:val="335A1DF1"/>
    <w:multiLevelType w:val="hybridMultilevel"/>
    <w:lvl w:ilvl="0">
      <w:lvlJc w:val="left"/>
      <w:lvlText w:val="%1"/>
      <w:numFmt w:val="decimal"/>
      <w:start w:val="1"/>
    </w:lvl>
    <w:lvl w:ilvl="1">
      <w:lvlJc w:val="left"/>
      <w:lvlText w:val="(%2)"/>
      <w:numFmt w:val="lowerLetter"/>
      <w:start w:val="2"/>
    </w:lvl>
  </w:abstractNum>
  <w:abstractNum w:abstractNumId="206">
    <w:nsid w:val="28677B7C"/>
    <w:multiLevelType w:val="hybridMultilevel"/>
    <w:lvl w:ilvl="0">
      <w:lvlJc w:val="left"/>
      <w:lvlText w:val="%1."/>
      <w:numFmt w:val="decimal"/>
      <w:start w:val="4"/>
    </w:lvl>
    <w:lvl w:ilvl="1">
      <w:lvlJc w:val="left"/>
      <w:lvlText w:val="%2"/>
      <w:numFmt w:val="lowerLetter"/>
      <w:start w:val="1"/>
    </w:lvl>
  </w:abstractNum>
  <w:abstractNum w:abstractNumId="207">
    <w:nsid w:val="378D97C0"/>
    <w:multiLevelType w:val="hybridMultilevel"/>
    <w:lvl w:ilvl="0">
      <w:lvlJc w:val="left"/>
      <w:lvlText w:val="%1."/>
      <w:numFmt w:val="decimal"/>
      <w:start w:val="5"/>
    </w:lvl>
    <w:lvl w:ilvl="1">
      <w:lvlJc w:val="left"/>
      <w:lvlText w:val="(%2)"/>
      <w:numFmt w:val="lowerLetter"/>
      <w:start w:val="1"/>
    </w:lvl>
  </w:abstractNum>
  <w:abstractNum w:abstractNumId="208">
    <w:nsid w:val="1D91467C"/>
    <w:multiLevelType w:val="hybridMultilevel"/>
    <w:lvl w:ilvl="0">
      <w:lvlJc w:val="left"/>
      <w:lvlText w:val="%1"/>
      <w:numFmt w:val="decimal"/>
      <w:start w:val="1"/>
    </w:lvl>
    <w:lvl w:ilvl="1">
      <w:lvlJc w:val="left"/>
      <w:lvlText w:val="(%2)"/>
      <w:numFmt w:val="lowerLetter"/>
      <w:start w:val="3"/>
    </w:lvl>
  </w:abstractNum>
  <w:abstractNum w:abstractNumId="209">
    <w:nsid w:val="316032BB"/>
    <w:multiLevelType w:val="hybridMultilevel"/>
    <w:lvl w:ilvl="0">
      <w:lvlJc w:val="left"/>
      <w:lvlText w:val="%1."/>
      <w:numFmt w:val="decimal"/>
      <w:start w:val="7"/>
    </w:lvl>
    <w:lvl w:ilvl="1">
      <w:lvlJc w:val="left"/>
      <w:lvlText w:val="(%2)"/>
      <w:numFmt w:val="lowerLetter"/>
      <w:start w:val="1"/>
    </w:lvl>
  </w:abstractNum>
  <w:abstractNum w:abstractNumId="210">
    <w:nsid w:val="44344C22"/>
    <w:multiLevelType w:val="hybridMultilevel"/>
    <w:lvl w:ilvl="0">
      <w:lvlJc w:val="left"/>
      <w:lvlText w:val="%1."/>
      <w:numFmt w:val="decimal"/>
      <w:start w:val="9"/>
    </w:lvl>
  </w:abstractNum>
  <w:abstractNum w:abstractNumId="211">
    <w:nsid w:val="13CDFCFC"/>
    <w:multiLevelType w:val="hybridMultilevel"/>
    <w:lvl w:ilvl="0">
      <w:lvlJc w:val="left"/>
      <w:lvlText w:val="%1."/>
      <w:numFmt w:val="decimal"/>
      <w:start w:val="10"/>
    </w:lvl>
  </w:abstractNum>
  <w:abstractNum w:abstractNumId="212">
    <w:nsid w:val="471745E4"/>
    <w:multiLevelType w:val="hybridMultilevel"/>
    <w:lvl w:ilvl="0">
      <w:lvlJc w:val="left"/>
      <w:lvlText w:val="%1."/>
      <w:numFmt w:val="decimal"/>
      <w:start w:val="11"/>
    </w:lvl>
    <w:lvl w:ilvl="1">
      <w:lvlJc w:val="left"/>
      <w:lvlText w:val="(%2)"/>
      <w:numFmt w:val="lowerLetter"/>
      <w:start w:val="1"/>
    </w:lvl>
  </w:abstractNum>
  <w:abstractNum w:abstractNumId="213">
    <w:nsid w:val="1DDBC66"/>
    <w:multiLevelType w:val="hybridMultilevel"/>
    <w:lvl w:ilvl="0">
      <w:lvlJc w:val="left"/>
      <w:lvlText w:val="%1"/>
      <w:numFmt w:val="decimal"/>
      <w:start w:val="1"/>
    </w:lvl>
    <w:lvl w:ilvl="1">
      <w:lvlJc w:val="left"/>
      <w:lvlText w:val="(%2)"/>
      <w:numFmt w:val="lowerLetter"/>
      <w:start w:val="3"/>
    </w:lvl>
  </w:abstractNum>
  <w:abstractNum w:abstractNumId="214">
    <w:nsid w:val="30AADFDA"/>
    <w:multiLevelType w:val="hybridMultilevel"/>
    <w:lvl w:ilvl="0">
      <w:lvlJc w:val="left"/>
      <w:lvlText w:val="%1."/>
      <w:numFmt w:val="decimal"/>
      <w:start w:val="12"/>
    </w:lvl>
    <w:lvl w:ilvl="1">
      <w:lvlJc w:val="left"/>
      <w:lvlText w:val="%2"/>
      <w:numFmt w:val="lowerLetter"/>
      <w:start w:val="1"/>
    </w:lvl>
  </w:abstractNum>
  <w:abstractNum w:abstractNumId="215">
    <w:nsid w:val="30EADA61"/>
    <w:multiLevelType w:val="hybridMultilevel"/>
    <w:lvl w:ilvl="0">
      <w:lvlJc w:val="left"/>
      <w:lvlText w:val="%1."/>
      <w:numFmt w:val="decimal"/>
      <w:start w:val="13"/>
    </w:lvl>
    <w:lvl w:ilvl="1">
      <w:lvlJc w:val="left"/>
      <w:lvlText w:val="(%2)"/>
      <w:numFmt w:val="lowerLetter"/>
      <w:start w:val="1"/>
    </w:lvl>
  </w:abstractNum>
  <w:abstractNum w:abstractNumId="216">
    <w:nsid w:val="27179C0B"/>
    <w:multiLevelType w:val="hybridMultilevel"/>
    <w:lvl w:ilvl="0">
      <w:lvlJc w:val="left"/>
      <w:lvlText w:val="(%1)"/>
      <w:numFmt w:val="lowerLetter"/>
      <w:start w:val="1"/>
    </w:lvl>
  </w:abstractNum>
  <w:abstractNum w:abstractNumId="217">
    <w:nsid w:val="5E636063"/>
    <w:multiLevelType w:val="hybridMultilevel"/>
    <w:lvl w:ilvl="0">
      <w:lvlJc w:val="left"/>
      <w:lvlText w:val="%1."/>
      <w:numFmt w:val="decimal"/>
      <w:start w:val="15"/>
    </w:lvl>
    <w:lvl w:ilvl="1">
      <w:lvlJc w:val="left"/>
      <w:lvlText w:val="(%2)"/>
      <w:numFmt w:val="lowerLetter"/>
      <w:start w:val="1"/>
    </w:lvl>
  </w:abstractNum>
  <w:abstractNum w:abstractNumId="218">
    <w:nsid w:val="215641AF"/>
    <w:multiLevelType w:val="hybridMultilevel"/>
    <w:lvl w:ilvl="0">
      <w:lvlJc w:val="left"/>
      <w:lvlText w:val="%1."/>
      <w:numFmt w:val="decimal"/>
      <w:start w:val="17"/>
    </w:lvl>
  </w:abstractNum>
  <w:abstractNum w:abstractNumId="219">
    <w:nsid w:val="53280662"/>
    <w:multiLevelType w:val="hybridMultilevel"/>
    <w:lvl w:ilvl="0">
      <w:lvlJc w:val="left"/>
      <w:lvlText w:val="%1."/>
      <w:numFmt w:val="decimal"/>
      <w:start w:val="18"/>
    </w:lvl>
  </w:abstractNum>
  <w:abstractNum w:abstractNumId="220">
    <w:nsid w:val="46B24DBC"/>
    <w:multiLevelType w:val="hybridMultilevel"/>
    <w:lvl w:ilvl="0">
      <w:lvlJc w:val="left"/>
      <w:lvlText w:val="%1."/>
      <w:numFmt w:val="decimal"/>
      <w:start w:val="19"/>
    </w:lvl>
  </w:abstractNum>
  <w:abstractNum w:abstractNumId="221">
    <w:nsid w:val="75B52783"/>
    <w:multiLevelType w:val="hybridMultilevel"/>
    <w:lvl w:ilvl="0">
      <w:lvlJc w:val="left"/>
      <w:lvlText w:val="%1."/>
      <w:numFmt w:val="decimal"/>
      <w:start w:val="20"/>
    </w:lvl>
  </w:abstractNum>
  <w:abstractNum w:abstractNumId="222">
    <w:nsid w:val="57CE66B4"/>
    <w:multiLevelType w:val="hybridMultilevel"/>
    <w:lvl w:ilvl="0">
      <w:lvlJc w:val="left"/>
      <w:lvlText w:val="(%1)"/>
      <w:numFmt w:val="lowerLetter"/>
      <w:start w:val="1"/>
    </w:lvl>
  </w:abstractNum>
  <w:abstractNum w:abstractNumId="223">
    <w:nsid w:val="67A70B69"/>
    <w:multiLevelType w:val="hybridMultilevel"/>
    <w:lvl w:ilvl="0">
      <w:lvlJc w:val="left"/>
      <w:lvlText w:val="(%1)"/>
      <w:numFmt w:val="lowerLetter"/>
      <w:start w:val="4"/>
    </w:lvl>
    <w:lvl w:ilvl="1">
      <w:lvlJc w:val="left"/>
      <w:lvlText w:val="(%2)"/>
      <w:numFmt w:val="lowerRoman"/>
      <w:start w:val="1"/>
    </w:lvl>
  </w:abstractNum>
  <w:abstractNum w:abstractNumId="224">
    <w:nsid w:val="5953172F"/>
    <w:multiLevelType w:val="hybridMultilevel"/>
    <w:lvl w:ilvl="0">
      <w:lvlJc w:val="left"/>
      <w:lvlText w:val="%1."/>
      <w:numFmt w:val="decimal"/>
      <w:start w:val="21"/>
    </w:lvl>
  </w:abstractNum>
  <w:abstractNum w:abstractNumId="225">
    <w:nsid w:val="27EDFE3A"/>
    <w:multiLevelType w:val="hybridMultilevel"/>
    <w:lvl w:ilvl="0">
      <w:lvlJc w:val="left"/>
      <w:lvlText w:val="%1."/>
      <w:numFmt w:val="decimal"/>
      <w:start w:val="22"/>
    </w:lvl>
  </w:abstractNum>
  <w:abstractNum w:abstractNumId="226">
    <w:nsid w:val="52AC7DFF"/>
    <w:multiLevelType w:val="hybridMultilevel"/>
    <w:lvl w:ilvl="0">
      <w:lvlJc w:val="left"/>
      <w:lvlText w:val="(%1)"/>
      <w:numFmt w:val="lowerLetter"/>
      <w:start w:val="1"/>
    </w:lvl>
  </w:abstractNum>
  <w:abstractNum w:abstractNumId="227">
    <w:nsid w:val="C4C3AF"/>
    <w:multiLevelType w:val="hybridMultilevel"/>
    <w:lvl w:ilvl="0">
      <w:lvlJc w:val="left"/>
      <w:lvlText w:val="%1."/>
      <w:numFmt w:val="decimal"/>
      <w:start w:val="23"/>
    </w:lvl>
  </w:abstractNum>
  <w:abstractNum w:abstractNumId="228">
    <w:nsid w:val="44380727"/>
    <w:multiLevelType w:val="hybridMultilevel"/>
    <w:lvl w:ilvl="0">
      <w:lvlJc w:val="left"/>
      <w:lvlText w:val="%1."/>
      <w:numFmt w:val="decimal"/>
      <w:start w:val="24"/>
    </w:lvl>
  </w:abstractNum>
  <w:abstractNum w:abstractNumId="229">
    <w:nsid w:val="6C053B16"/>
    <w:multiLevelType w:val="hybridMultilevel"/>
    <w:lvl w:ilvl="0">
      <w:lvlJc w:val="left"/>
      <w:lvlText w:val="%1."/>
      <w:numFmt w:val="decimal"/>
      <w:start w:val="1"/>
    </w:lvl>
  </w:abstractNum>
  <w:abstractNum w:abstractNumId="230">
    <w:nsid w:val="4F294393"/>
    <w:multiLevelType w:val="hybridMultilevel"/>
    <w:lvl w:ilvl="0">
      <w:lvlJc w:val="left"/>
      <w:lvlText w:val="%1."/>
      <w:numFmt w:val="decimal"/>
      <w:start w:val="3"/>
    </w:lvl>
  </w:abstractNum>
  <w:abstractNum w:abstractNumId="231">
    <w:nsid w:val="5243BFAC"/>
    <w:multiLevelType w:val="hybridMultilevel"/>
    <w:lvl w:ilvl="0">
      <w:lvlJc w:val="left"/>
      <w:lvlText w:val="%1."/>
      <w:numFmt w:val="decimal"/>
      <w:start w:val="4"/>
    </w:lvl>
    <w:lvl w:ilvl="1">
      <w:lvlJc w:val="left"/>
      <w:lvlText w:val="(%2)"/>
      <w:numFmt w:val="lowerLetter"/>
      <w:start w:val="1"/>
    </w:lvl>
  </w:abstractNum>
  <w:abstractNum w:abstractNumId="232">
    <w:nsid w:val="425EB207"/>
    <w:multiLevelType w:val="hybridMultilevel"/>
    <w:lvl w:ilvl="0">
      <w:lvlJc w:val="left"/>
      <w:lvlText w:val="(%1)"/>
      <w:numFmt w:val="lowerLetter"/>
      <w:start w:val="4"/>
    </w:lvl>
    <w:lvl w:ilvl="1">
      <w:lvlJc w:val="left"/>
      <w:lvlText w:val="(%2)"/>
      <w:numFmt w:val="lowerRoman"/>
      <w:start w:val="1"/>
    </w:lvl>
  </w:abstractNum>
  <w:abstractNum w:abstractNumId="233">
    <w:nsid w:val="334A6F1F"/>
    <w:multiLevelType w:val="hybridMultilevel"/>
    <w:lvl w:ilvl="0">
      <w:lvlJc w:val="left"/>
      <w:lvlText w:val="(%1)"/>
      <w:numFmt w:val="lowerLetter"/>
      <w:start w:val="6"/>
    </w:lvl>
  </w:abstractNum>
  <w:abstractNum w:abstractNumId="234">
    <w:nsid w:val="2E5B12B8"/>
    <w:multiLevelType w:val="hybridMultilevel"/>
    <w:lvl w:ilvl="0">
      <w:lvlJc w:val="left"/>
      <w:lvlText w:val="%1."/>
      <w:numFmt w:val="decimal"/>
      <w:start w:val="7"/>
    </w:lvl>
    <w:lvl w:ilvl="1">
      <w:lvlJc w:val="left"/>
      <w:lvlText w:val="(%2)"/>
      <w:numFmt w:val="lowerLetter"/>
      <w:start w:val="1"/>
    </w:lvl>
  </w:abstractNum>
  <w:abstractNum w:abstractNumId="235">
    <w:nsid w:val="5C03D76D"/>
    <w:multiLevelType w:val="hybridMultilevel"/>
    <w:lvl w:ilvl="0">
      <w:lvlJc w:val="left"/>
      <w:lvlText w:val="%1"/>
      <w:numFmt w:val="decimal"/>
      <w:start w:val="1"/>
    </w:lvl>
    <w:lvl w:ilvl="1">
      <w:lvlJc w:val="left"/>
      <w:lvlText w:val="(%2)"/>
      <w:numFmt w:val="lowerLetter"/>
      <w:start w:val="4"/>
    </w:lvl>
  </w:abstractNum>
  <w:abstractNum w:abstractNumId="236">
    <w:nsid w:val="66A48D11"/>
    <w:multiLevelType w:val="hybridMultilevel"/>
    <w:lvl w:ilvl="0">
      <w:lvlJc w:val="left"/>
      <w:lvlText w:val="%1."/>
      <w:numFmt w:val="decimal"/>
      <w:start w:val="10"/>
    </w:lvl>
    <w:lvl w:ilvl="1">
      <w:lvlJc w:val="left"/>
      <w:lvlText w:val="%2"/>
      <w:numFmt w:val="lowerLetter"/>
      <w:start w:val="1"/>
    </w:lvl>
  </w:abstractNum>
  <w:abstractNum w:abstractNumId="237">
    <w:nsid w:val="56C28E3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2020-02-22T13:29:56Z</dcterms:created>
  <dcterms:modified xsi:type="dcterms:W3CDTF">2020-02-22T13:29:56Z</dcterms:modified>
</cp:coreProperties>
</file>