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SD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Specialized Disclosure Report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tbl>
      <w:tblPr>
        <w:tblW w:w="4679" w:type="dxa"/>
        <w:jc w:val="center"/>
        <w:tblInd w:w="0" w:type="dxa"/>
        <w:tblLayout w:type="fixed"/>
        <w:tblCellMar>
          <w:top w:w="28" w:type="dxa"/>
          <w:left w:w="28" w:type="dxa"/>
          <w:bottom w:w="28" w:type="dxa"/>
          <w:right w:w="28" w:type="dxa"/>
        </w:tblCellMar>
      </w:tblPr>
      <w:tblGrid>
        <w:gridCol w:w="1498"/>
        <w:gridCol w:w="1317"/>
        <w:gridCol w:w="1864"/>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2"/>
              </w:rPr>
            </w:pPr>
            <w:r>
              <w:rPr>
                <w:rFonts w:ascii="Arial;sans-serif" w:hAnsi="Arial;sans-serif"/>
                <w:b/>
                <w:color w:val="000000"/>
                <w:sz w:val="32"/>
              </w:rPr>
              <w:t>MICRON TECHNOLOGY, INC.</w:t>
            </w:r>
          </w:p>
        </w:tc>
      </w:tr>
      <w:tr>
        <w:trPr/>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tbl>
      <w:tblPr>
        <w:tblW w:w="6595" w:type="dxa"/>
        <w:jc w:val="center"/>
        <w:tblInd w:w="0" w:type="dxa"/>
        <w:tblLayout w:type="fixed"/>
        <w:tblCellMar>
          <w:top w:w="28" w:type="dxa"/>
          <w:left w:w="28" w:type="dxa"/>
          <w:bottom w:w="28" w:type="dxa"/>
          <w:right w:w="28" w:type="dxa"/>
        </w:tblCellMar>
      </w:tblPr>
      <w:tblGrid>
        <w:gridCol w:w="1377"/>
        <w:gridCol w:w="1210"/>
        <w:gridCol w:w="1222"/>
        <w:gridCol w:w="109"/>
        <w:gridCol w:w="109"/>
        <w:gridCol w:w="109"/>
        <w:gridCol w:w="720"/>
        <w:gridCol w:w="720"/>
        <w:gridCol w:w="1019"/>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1-10658</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r>
    </w:tbl>
    <w:tbl>
      <w:tblPr>
        <w:tblW w:w="4770" w:type="dxa"/>
        <w:jc w:val="center"/>
        <w:tblInd w:w="0" w:type="dxa"/>
        <w:tblLayout w:type="fixed"/>
        <w:tblCellMar>
          <w:top w:w="28" w:type="dxa"/>
          <w:left w:w="28" w:type="dxa"/>
          <w:bottom w:w="28" w:type="dxa"/>
          <w:right w:w="28" w:type="dxa"/>
        </w:tblCellMar>
      </w:tblPr>
      <w:tblGrid>
        <w:gridCol w:w="1525"/>
        <w:gridCol w:w="1339"/>
        <w:gridCol w:w="1906"/>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8000 South Federal Way</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Boise, Idaho 83716-9632</w:t>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 and Zip Code)</w:t>
            </w:r>
          </w:p>
        </w:tc>
      </w:tr>
    </w:tbl>
    <w:tbl>
      <w:tblPr>
        <w:tblW w:w="9375" w:type="dxa"/>
        <w:jc w:val="center"/>
        <w:tblInd w:w="0" w:type="dxa"/>
        <w:tblLayout w:type="fixed"/>
        <w:tblCellMar>
          <w:top w:w="28" w:type="dxa"/>
          <w:left w:w="28" w:type="dxa"/>
          <w:bottom w:w="28" w:type="dxa"/>
          <w:right w:w="28" w:type="dxa"/>
        </w:tblCellMar>
      </w:tblPr>
      <w:tblGrid>
        <w:gridCol w:w="3001"/>
        <w:gridCol w:w="2637"/>
        <w:gridCol w:w="3737"/>
      </w:tblGrid>
      <w:tr>
        <w:trPr/>
        <w:tc>
          <w:tcPr>
            <w:tcW w:w="3001"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9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Mark Murphy</w:t>
              <w:br/>
              <w:t>Executive Vice President and Chief Financial Officer</w:t>
              <w:br/>
              <w:t>(208) 368-4000</w:t>
            </w:r>
          </w:p>
        </w:tc>
      </w:tr>
      <w:tr>
        <w:trPr/>
        <w:tc>
          <w:tcPr>
            <w:tcW w:w="9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and telephone number, including area code, of the person to contact in connection with this report.)</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Rule 13p-1 under the Securities Exchange Act (17 CFR 240.13p-1) for the reporting period from January 1 to December 31, 2022.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Rule 13q-1 under the Securities Exchange Act (17 CFR 240.13q-1) for the fiscal year ended 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4"/>
        </w:rPr>
      </w:pPr>
      <w:r>
        <w:rPr>
          <w:rFonts w:ascii="Arial;sans-serif" w:hAnsi="Arial;sans-serif"/>
          <w:b/>
          <w:color w:val="000000"/>
          <w:sz w:val="24"/>
        </w:rPr>
        <w:t>Section 1 - Conflict Minerals Disclosure</w:t>
      </w:r>
    </w:p>
    <w:tbl>
      <w:tblPr>
        <w:tblW w:w="4935" w:type="dxa"/>
        <w:jc w:val="left"/>
        <w:tblInd w:w="0" w:type="dxa"/>
        <w:tblLayout w:type="fixed"/>
        <w:tblCellMar>
          <w:top w:w="28" w:type="dxa"/>
          <w:left w:w="28" w:type="dxa"/>
          <w:bottom w:w="28" w:type="dxa"/>
          <w:right w:w="28" w:type="dxa"/>
        </w:tblCellMar>
      </w:tblPr>
      <w:tblGrid>
        <w:gridCol w:w="368"/>
        <w:gridCol w:w="324"/>
        <w:gridCol w:w="328"/>
        <w:gridCol w:w="1146"/>
        <w:gridCol w:w="1146"/>
        <w:gridCol w:w="1623"/>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1.01.</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Conflict Minerals Disclosure and Report.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2022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Based on the results of our RCOI, we have reason to believe that certain conflict minerals contained in our 2022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Conflict Minerals Disclosure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copy of the Conflict Minerals Report for the calendar year ended December 31, 2022 is available on our website at micron.com/about/our-commitment/sourcing-responsibly/responsible-minerals-policy.</w:t>
      </w:r>
    </w:p>
    <w:tbl>
      <w:tblPr>
        <w:tblW w:w="1891" w:type="dxa"/>
        <w:jc w:val="left"/>
        <w:tblInd w:w="0" w:type="dxa"/>
        <w:tblLayout w:type="fixed"/>
        <w:tblCellMar>
          <w:top w:w="28" w:type="dxa"/>
          <w:left w:w="28" w:type="dxa"/>
          <w:bottom w:w="28" w:type="dxa"/>
          <w:right w:w="28" w:type="dxa"/>
        </w:tblCellMar>
      </w:tblPr>
      <w:tblGrid>
        <w:gridCol w:w="368"/>
        <w:gridCol w:w="324"/>
        <w:gridCol w:w="328"/>
        <w:gridCol w:w="255"/>
        <w:gridCol w:w="255"/>
        <w:gridCol w:w="361"/>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1.02.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Conflict Minerals Report for the calendar year ended December 31, 2022 is filed as Exhibit 1.01 hereto.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Section 2 - Resource Extraction Issuer Disclosure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pStyle w:val="TextBody"/>
        <w:bidi w:val="0"/>
        <w:spacing w:lineRule="auto" w:line="288" w:before="0" w:after="200"/>
        <w:jc w:val="center"/>
        <w:rPr>
          <w:rFonts w:ascii="Arial;sans-serif" w:hAnsi="Arial;sans-serif"/>
          <w:b/>
          <w:color w:val="000000"/>
          <w:sz w:val="24"/>
        </w:rPr>
      </w:pPr>
      <w:r>
        <w:rPr>
          <w:rFonts w:ascii="Arial;sans-serif" w:hAnsi="Arial;sans-serif"/>
          <w:b/>
          <w:color w:val="000000"/>
          <w:sz w:val="24"/>
        </w:rPr>
        <w:t>Section 3 - Exhibits</w:t>
      </w:r>
    </w:p>
    <w:tbl>
      <w:tblPr>
        <w:tblW w:w="1996" w:type="dxa"/>
        <w:jc w:val="left"/>
        <w:tblInd w:w="0" w:type="dxa"/>
        <w:tblLayout w:type="fixed"/>
        <w:tblCellMar>
          <w:top w:w="28" w:type="dxa"/>
          <w:left w:w="28" w:type="dxa"/>
          <w:bottom w:w="28" w:type="dxa"/>
          <w:right w:w="28" w:type="dxa"/>
        </w:tblCellMar>
      </w:tblPr>
      <w:tblGrid>
        <w:gridCol w:w="368"/>
        <w:gridCol w:w="324"/>
        <w:gridCol w:w="328"/>
        <w:gridCol w:w="285"/>
        <w:gridCol w:w="285"/>
        <w:gridCol w:w="406"/>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3.01.</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Exhibit 1.01 - </w:t>
      </w:r>
      <w:hyperlink w:anchor="exhibit101conflictminerals.htm">
        <w:r>
          <w:rPr>
            <w:rStyle w:val="InternetLink"/>
            <w:rFonts w:ascii="Arial;sans-serif" w:hAnsi="Arial;sans-serif"/>
            <w:b w:val="false"/>
            <w:color w:val="0000FF"/>
            <w:sz w:val="20"/>
            <w:u w:val="single"/>
          </w:rPr>
          <w:t>Conflict Minerals Report</w:t>
        </w:r>
      </w:hyperlink>
      <w:r>
        <w:rPr>
          <w:color w:val="000000"/>
        </w:rPr>
        <w:t xml:space="preserve"> </w:t>
      </w:r>
      <w:r>
        <w:rPr>
          <w:rFonts w:ascii="Arial;sans-serif" w:hAnsi="Arial;sans-serif"/>
          <w:b w:val="false"/>
          <w:color w:val="000000"/>
          <w:sz w:val="20"/>
        </w:rPr>
        <w:t>as required by Items 1.01 and 1.02 of this Form.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before="0" w:after="0"/>
        <w:jc w:val="left"/>
        <w:rPr/>
      </w:pPr>
      <w:r>
        <w:rPr/>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duly authorized undersigned.</w:t>
      </w:r>
    </w:p>
    <w:tbl>
      <w:tblPr>
        <w:tblW w:w="6528" w:type="dxa"/>
        <w:jc w:val="left"/>
        <w:tblInd w:w="0" w:type="dxa"/>
        <w:tblLayout w:type="fixed"/>
        <w:tblCellMar>
          <w:top w:w="28" w:type="dxa"/>
          <w:left w:w="28" w:type="dxa"/>
          <w:bottom w:w="28" w:type="dxa"/>
          <w:right w:w="28" w:type="dxa"/>
        </w:tblCellMar>
      </w:tblPr>
      <w:tblGrid>
        <w:gridCol w:w="184"/>
        <w:gridCol w:w="162"/>
        <w:gridCol w:w="164"/>
        <w:gridCol w:w="359"/>
        <w:gridCol w:w="359"/>
        <w:gridCol w:w="362"/>
        <w:gridCol w:w="376"/>
        <w:gridCol w:w="376"/>
        <w:gridCol w:w="376"/>
        <w:gridCol w:w="1113"/>
        <w:gridCol w:w="1113"/>
        <w:gridCol w:w="158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MICRON TECHNOLOGY,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25, 2023</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/s/ Mark Murphy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90DA"/>
          <w:sz w:val="20"/>
        </w:rPr>
      </w:pPr>
      <w:r>
        <w:rPr>
          <w:rFonts w:ascii="Arial;sans-serif" w:hAnsi="Arial;sans-serif"/>
          <w:b/>
          <w:color w:val="0090DA"/>
          <w:sz w:val="20"/>
        </w:rPr>
        <w:t>Exhibit 1.01</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w:t>
      </w:r>
    </w:p>
    <w:p>
      <w:pPr>
        <w:pStyle w:val="TextBody"/>
        <w:bidi w:val="0"/>
        <w:spacing w:lineRule="auto" w:line="288" w:before="0" w:after="0"/>
        <w:jc w:val="left"/>
        <w:rPr>
          <w:rFonts w:ascii="Arial Narrow;sans-serif" w:hAnsi="Arial Narrow;sans-serif"/>
          <w:b w:val="false"/>
          <w:color w:val="000000"/>
          <w:sz w:val="28"/>
        </w:rPr>
      </w:pPr>
      <w:r>
        <w:rPr>
          <w:rFonts w:ascii="Arial Narrow;sans-serif" w:hAnsi="Arial Narrow;sans-serif"/>
          <w:b w:val="false"/>
          <w:color w:val="000000"/>
          <w:sz w:val="28"/>
        </w:rPr>
        <w:t>Conflict Minerals Report</w:t>
      </w:r>
    </w:p>
    <w:p>
      <w:pPr>
        <w:pStyle w:val="TextBody"/>
        <w:bidi w:val="0"/>
        <w:spacing w:lineRule="auto" w:line="288" w:before="0" w:after="0"/>
        <w:jc w:val="left"/>
        <w:rPr>
          <w:rFonts w:ascii="Arial Narrow;sans-serif" w:hAnsi="Arial Narrow;sans-serif"/>
          <w:b w:val="false"/>
          <w:color w:val="000000"/>
          <w:sz w:val="28"/>
        </w:rPr>
      </w:pPr>
      <w:r>
        <w:rPr>
          <w:rFonts w:ascii="Arial Narrow;sans-serif" w:hAnsi="Arial Narrow;sans-serif"/>
          <w:b w:val="false"/>
          <w:color w:val="000000"/>
          <w:sz w:val="28"/>
        </w:rPr>
        <w:t>Calendar Year 2022</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prepared this Conflict Minerals Report (</w:t>
      </w:r>
      <w:r>
        <w:rPr>
          <w:color w:val="000000"/>
        </w:rPr>
        <w:t>“</w:t>
      </w:r>
      <w:r>
        <w:rPr>
          <w:rFonts w:ascii="Arial;sans-serif" w:hAnsi="Arial;sans-serif"/>
          <w:b/>
          <w:color w:val="000000"/>
          <w:sz w:val="20"/>
        </w:rPr>
        <w:t>CMR”</w:t>
      </w:r>
      <w:r>
        <w:rPr>
          <w:rFonts w:ascii="Arial;sans-serif" w:hAnsi="Arial;sans-serif"/>
          <w:b w:val="false"/>
          <w:color w:val="000000"/>
          <w:sz w:val="20"/>
        </w:rPr>
        <w:t xml:space="preserve">) pursuant to Rule 13p-1 under the Securities Exchange Act of 1934, as amended (the </w:t>
      </w:r>
      <w:r>
        <w:rPr>
          <w:color w:val="000000"/>
        </w:rPr>
        <w:t>“</w:t>
      </w:r>
      <w:r>
        <w:rPr>
          <w:rFonts w:ascii="Arial;sans-serif" w:hAnsi="Arial;sans-serif"/>
          <w:b/>
          <w:color w:val="000000"/>
          <w:sz w:val="20"/>
        </w:rPr>
        <w:t>Rule”</w:t>
      </w:r>
      <w:r>
        <w:rPr>
          <w:rFonts w:ascii="Arial;sans-serif" w:hAnsi="Arial;sans-serif"/>
          <w:b w:val="false"/>
          <w:color w:val="000000"/>
          <w:sz w:val="20"/>
        </w:rPr>
        <w:t>). This CMR covers the calendar year reporting period ended December 31, 2022</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and is filed as an exhibit to our Form SD. This CMR includes a description of the measures we have taken to exercise due diligence on the source and chain of custody of conflict minerals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(specifically gold, and the derivatives tin, tantalum, and tungsten (collectively </w:t>
      </w:r>
      <w:r>
        <w:rPr>
          <w:color w:val="000000"/>
        </w:rPr>
        <w:t>“</w:t>
      </w:r>
      <w:r>
        <w:rPr>
          <w:rFonts w:ascii="Arial;sans-serif" w:hAnsi="Arial;sans-serif"/>
          <w:b/>
          <w:color w:val="000000"/>
          <w:sz w:val="20"/>
        </w:rPr>
        <w:t>3TG”</w:t>
      </w:r>
      <w:r>
        <w:rPr>
          <w:rFonts w:ascii="Arial;sans-serif" w:hAnsi="Arial;sans-serif"/>
          <w:b w:val="false"/>
          <w:color w:val="000000"/>
          <w:sz w:val="20"/>
        </w:rPr>
        <w:t>)) necessary to the functionality or production of our memory and storage products manufactured during the year ended December 31, 2022.</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Overview of Our Commitment to Responsible Sourcing: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support of global responsible sourcing, we are committed to monitoring our supply chain with a goal to ensure that conflict minerals directly or indirectly supporting civil violence or human rights abuses in the Democratic Republic of the Congo (</w:t>
      </w:r>
      <w:r>
        <w:rPr>
          <w:color w:val="000000"/>
        </w:rPr>
        <w:t>“</w:t>
      </w:r>
      <w:r>
        <w:rPr>
          <w:rFonts w:ascii="Arial;sans-serif" w:hAnsi="Arial;sans-serif"/>
          <w:b/>
          <w:color w:val="000000"/>
          <w:sz w:val="20"/>
        </w:rPr>
        <w:t>DRC”</w:t>
      </w:r>
      <w:r>
        <w:rPr>
          <w:rFonts w:ascii="Arial;sans-serif" w:hAnsi="Arial;sans-serif"/>
          <w:b w:val="false"/>
          <w:color w:val="000000"/>
          <w:sz w:val="20"/>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Due Diligence Guidance for Responsible Supply Chains of Minerals from Conflict-Affected and High-Risk Areas (Third Edition) (the “</w:t>
      </w:r>
      <w:r>
        <w:rPr>
          <w:rFonts w:ascii="Arial;sans-serif" w:hAnsi="Arial;sans-serif"/>
          <w:b/>
          <w:color w:val="000000"/>
          <w:sz w:val="20"/>
        </w:rPr>
        <w:t>OECD Guidance</w:t>
      </w:r>
      <w:r>
        <w:rPr>
          <w:color w:val="000000"/>
        </w:rPr>
        <w:t>”</w:t>
      </w:r>
      <w:r>
        <w:rPr>
          <w:rFonts w:ascii="Arial;sans-serif" w:hAnsi="Arial;sans-serif"/>
          <w:b w:val="false"/>
          <w:color w:val="000000"/>
          <w:sz w:val="20"/>
        </w:rPr>
        <w:t>) and integrates tools developed by the Responsible Minerals Initiative (</w:t>
      </w:r>
      <w:r>
        <w:rPr>
          <w:color w:val="000000"/>
        </w:rPr>
        <w:t>“</w:t>
      </w:r>
      <w:r>
        <w:rPr>
          <w:rFonts w:ascii="Arial;sans-serif" w:hAnsi="Arial;sans-serif"/>
          <w:b/>
          <w:color w:val="000000"/>
          <w:sz w:val="20"/>
        </w:rPr>
        <w:t>RMI”</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Micron is a founding member of RMI (member ID MICR). We continue to support RMI and its Responsible Minerals</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third-party auditing program, the Responsible Minerals Assurance Process (</w:t>
      </w:r>
      <w:r>
        <w:rPr>
          <w:color w:val="000000"/>
        </w:rPr>
        <w:t>“</w:t>
      </w:r>
      <w:r>
        <w:rPr>
          <w:rFonts w:ascii="Arial;sans-serif" w:hAnsi="Arial;sans-serif"/>
          <w:b/>
          <w:color w:val="000000"/>
          <w:sz w:val="20"/>
        </w:rPr>
        <w:t>RMAP”</w:t>
      </w:r>
      <w:r>
        <w:rPr>
          <w:rFonts w:ascii="Arial;sans-serif" w:hAnsi="Arial;sans-serif"/>
          <w:b w:val="false"/>
          <w:color w:val="000000"/>
          <w:sz w:val="20"/>
        </w:rPr>
        <w:t>), as part of our commitment to drive ethical sourcing of 3TG metals throughout our supply chain. In 2022, we continued working with RMI and provided leadership through multiple RMI leadership working groups, including the Smelter Engagement, Multi-Stakeholder, Gold, Cobalt Task Force, Due Diligence Practices, Minerals Reporting Template, and RMI Plenary Working Groups. The RMI Plenary Working Group is tasked with defining future directions, protocol, procedures, issue resolutions, recognition of other reporting organizations, training, oversight, and smelter and refiner engagements. To learn more about RMI’s initiatives to help companies achieve a responsible minerals supply chain and the RMAP visit responsiblemineralsinitiative.org.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Micron’s Responsible Minerals Policy is published at micron.com/about/our-commitment/sourcing-responsibly/responsible-minerals-policy. To learn more about our responsible minerals supplier requirements, see our Micron Supplier Requirements Standard (</w:t>
      </w:r>
      <w:r>
        <w:rPr>
          <w:color w:val="000000"/>
        </w:rPr>
        <w:t>“</w:t>
      </w:r>
      <w:r>
        <w:rPr>
          <w:rFonts w:ascii="Arial;sans-serif" w:hAnsi="Arial;sans-serif"/>
          <w:b/>
          <w:color w:val="000000"/>
          <w:sz w:val="20"/>
        </w:rPr>
        <w:t>SRS”</w:t>
      </w:r>
      <w:r>
        <w:rPr>
          <w:rFonts w:ascii="Arial;sans-serif" w:hAnsi="Arial;sans-serif"/>
          <w:b w:val="false"/>
          <w:color w:val="000000"/>
          <w:sz w:val="20"/>
        </w:rPr>
        <w:t>) at micron.com/about/our-commitment/sourcing-responsibly/suppliers. The content of any website referred to in this Report is included for general information only and is not incorporated by reference in this Report.</w:t>
      </w:r>
    </w:p>
    <w:p>
      <w:pPr>
        <w:pStyle w:val="TextBody"/>
        <w:bidi w:val="0"/>
        <w:spacing w:lineRule="auto" w:line="288" w:before="0" w:after="0"/>
        <w:ind w:left="0" w:right="0" w:hanging="720"/>
        <w:jc w:val="left"/>
        <w:rPr/>
      </w:pPr>
      <w:r>
        <w:rPr>
          <w:rFonts w:ascii="Arial;sans-serif" w:hAnsi="Arial;sans-serif"/>
          <w:b w:val="false"/>
          <w:color w:val="000000"/>
          <w:sz w:val="13"/>
        </w:rPr>
        <w:t>1</w:t>
      </w:r>
      <w:r>
        <w:rPr>
          <w:color w:val="000000"/>
        </w:rPr>
        <w:t>    </w:t>
      </w:r>
      <w:r>
        <w:rPr>
          <w:rFonts w:ascii="Arial;sans-serif" w:hAnsi="Arial;sans-serif"/>
          <w:b w:val="false"/>
          <w:color w:val="000000"/>
          <w:sz w:val="18"/>
        </w:rPr>
        <w:t>In this CMR, unless otherwise indicated or the context otherwise requires, “we,” “us,” “our,” “Micron,” and the “Company” refers to Micron Technology, Inc. and its subsidiaries.</w:t>
      </w:r>
    </w:p>
    <w:p>
      <w:pPr>
        <w:pStyle w:val="TextBody"/>
        <w:bidi w:val="0"/>
        <w:spacing w:lineRule="auto" w:line="288" w:before="0" w:after="0"/>
        <w:ind w:left="0" w:right="0" w:hanging="720"/>
        <w:jc w:val="left"/>
        <w:rPr/>
      </w:pPr>
      <w:r>
        <w:rPr>
          <w:rFonts w:ascii="Arial;sans-serif" w:hAnsi="Arial;sans-serif"/>
          <w:b w:val="false"/>
          <w:color w:val="000000"/>
          <w:sz w:val="13"/>
        </w:rPr>
        <w:t>2</w:t>
      </w:r>
      <w:r>
        <w:rPr>
          <w:color w:val="000000"/>
        </w:rPr>
        <w:t>    </w:t>
      </w:r>
      <w:r>
        <w:rPr>
          <w:rFonts w:ascii="Arial;sans-serif" w:hAnsi="Arial;sans-serif"/>
          <w:b w:val="false"/>
          <w:color w:val="000000"/>
          <w:sz w:val="18"/>
        </w:rPr>
        <w:t>Unless otherwise noted, any designation of years refers to calendar years.</w:t>
      </w:r>
    </w:p>
    <w:p>
      <w:pPr>
        <w:pStyle w:val="TextBody"/>
        <w:bidi w:val="0"/>
        <w:spacing w:lineRule="auto" w:line="288" w:before="0" w:after="0"/>
        <w:ind w:left="0" w:right="0" w:hanging="720"/>
        <w:jc w:val="left"/>
        <w:rPr/>
      </w:pPr>
      <w:r>
        <w:rPr>
          <w:rFonts w:ascii="Arial;sans-serif" w:hAnsi="Arial;sans-serif"/>
          <w:b w:val="false"/>
          <w:color w:val="000000"/>
          <w:sz w:val="13"/>
        </w:rPr>
        <w:t>3</w:t>
      </w:r>
      <w:r>
        <w:rPr>
          <w:color w:val="000000"/>
        </w:rPr>
        <w:t>    </w:t>
      </w:r>
      <w:r>
        <w:rPr>
          <w:rFonts w:ascii="Arial;sans-serif" w:hAnsi="Arial;sans-serif"/>
          <w:b w:val="false"/>
          <w:color w:val="000000"/>
          <w:sz w:val="18"/>
        </w:rPr>
        <w:t>Conflict minerals are those minerals regulated by Section 1502 of the Dodd-Frank Wall Street Reform and Consumer Protection Act. Currently, they consist of columbite-tantalite, also known as coltan (and its derivative tantalum); cassiterite (and its derivative tin); wolframite (and its derivative tungsten); and gold.</w:t>
      </w:r>
    </w:p>
    <w:p>
      <w:pPr>
        <w:pStyle w:val="TextBody"/>
        <w:bidi w:val="0"/>
        <w:spacing w:lineRule="auto" w:line="288"/>
        <w:ind w:left="0" w:right="0" w:hanging="720"/>
        <w:jc w:val="left"/>
        <w:rPr/>
      </w:pPr>
      <w:r>
        <w:rPr>
          <w:rFonts w:ascii="Arial;sans-serif" w:hAnsi="Arial;sans-serif"/>
          <w:b w:val="false"/>
          <w:color w:val="000000"/>
          <w:sz w:val="13"/>
        </w:rPr>
        <w:t>4</w:t>
      </w:r>
      <w:r>
        <w:rPr>
          <w:color w:val="000000"/>
        </w:rPr>
        <w:t>    </w:t>
      </w:r>
      <w:r>
        <w:rPr>
          <w:rFonts w:ascii="Arial;sans-serif" w:hAnsi="Arial;sans-serif"/>
          <w:b w:val="false"/>
          <w:color w:val="000000"/>
          <w:sz w:val="18"/>
        </w:rPr>
        <w:t>The term “responsible minerals” as used herein refers to a process to verify that relevant smelters or refiners are Conformant with the RMI’s RMAP or an equivalent third-party auditing program.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02080"/>
                <wp:effectExtent l="0" t="0" r="0" b="0"/>
                <wp:wrapNone/>
                <wp:docPr id="5" name="Frame4"/>
                <a:graphic xmlns:a="http://schemas.openxmlformats.org/drawingml/2006/main">
                  <a:graphicData uri="http://schemas.microsoft.com/office/word/2010/wordprocessingShape">
                    <wps:wsp>
                      <wps:cNvSpPr txBox="1"/>
                      <wps:spPr>
                        <a:xfrm>
                          <a:off x="0" y="0"/>
                          <a:ext cx="6480175" cy="14020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Overview of Micron’s Responsible Minerals Program: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require our suppliers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to source 3TG metals from smelters and refiners validated as Conformant</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with responsible minerals sourcing standards (such as the RMAP or standards enacted by the London Bullion Market Association (</w:t>
      </w:r>
      <w:r>
        <w:rPr>
          <w:color w:val="000000"/>
        </w:rPr>
        <w:t>“</w:t>
      </w:r>
      <w:r>
        <w:rPr>
          <w:rFonts w:ascii="Arial;sans-serif" w:hAnsi="Arial;sans-serif"/>
          <w:b/>
          <w:color w:val="000000"/>
          <w:sz w:val="20"/>
        </w:rPr>
        <w:t>LBMA”</w:t>
      </w:r>
      <w:r>
        <w:rPr>
          <w:rFonts w:ascii="Arial;sans-serif" w:hAnsi="Arial;sans-serif"/>
          <w:b w:val="false"/>
          <w:color w:val="000000"/>
          <w:sz w:val="20"/>
        </w:rPr>
        <w:t>) or the Responsible Jewellery Council (</w:t>
      </w:r>
      <w:r>
        <w:rPr>
          <w:color w:val="000000"/>
        </w:rPr>
        <w:t>“</w:t>
      </w:r>
      <w:r>
        <w:rPr>
          <w:rFonts w:ascii="Arial;sans-serif" w:hAnsi="Arial;sans-serif"/>
          <w:b/>
          <w:color w:val="000000"/>
          <w:sz w:val="20"/>
        </w:rPr>
        <w:t>RJC”</w:t>
      </w:r>
      <w:r>
        <w:rPr>
          <w:rFonts w:ascii="Arial;sans-serif" w:hAnsi="Arial;sans-serif"/>
          <w:b w:val="false"/>
          <w:color w:val="000000"/>
          <w:sz w:val="20"/>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consistent with the OECD Guidance;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2022, we requested that all new suppliers take a Supplier Compliance Training, which helped increase awareness of and focus on our requirement that Micron suppliers may only use Conformant smelters and refiners. As a result, during 2022 and for the sixth consecutive year, no supplier within our memory and storage products supply chain added any smelters or refiners that had a Non-Conformant status with RMI. We also continued to implement our resolution process to quickly identify and work toward removal of smelters and refiners from our supply chain when they drop out of the RMI, LBMA, or RJC programs and thus become Non-Conformant.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Based on the information provided by our suppliers and our due diligence efforts through December 31, 2022, we identified a total of 224 smelters and refiners we believe were in our memory and storage products supply chain at any point during the year ended December 31, 2022, none of which had a Non-Conformant status with RMI at the time they entered our supply chain. 22 smelters and refiners that were reported to be in our memory and storage products supply chain during 2022 were subsequently determined to be inoperative or removed on or prior to December 31, 2022. We determined that 202 smelters and refiners were in our memory and storage products supply chain as of December 31, 2022, of which 199 were validated as Conformant, two were listed as Active</w:t>
      </w:r>
      <w:r>
        <w:rPr>
          <w:rFonts w:ascii="Arial;sans-serif" w:hAnsi="Arial;sans-serif"/>
          <w:b w:val="false"/>
          <w:color w:val="000000"/>
          <w:sz w:val="13"/>
        </w:rPr>
        <w:t>7</w:t>
      </w:r>
      <w:r>
        <w:rPr>
          <w:color w:val="000000"/>
        </w:rPr>
        <w:t xml:space="preserve"> </w:t>
      </w:r>
      <w:r>
        <w:rPr>
          <w:rFonts w:ascii="Arial;sans-serif" w:hAnsi="Arial;sans-serif"/>
          <w:b w:val="false"/>
          <w:color w:val="000000"/>
          <w:sz w:val="20"/>
        </w:rPr>
        <w:t>with RMI, and one was listed as not eligible for RMAP, meaning that it did not meet the RMI definition of a smelter / refiner or was otherwise ineligible for the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90DA"/>
          <w:sz w:val="24"/>
        </w:rPr>
      </w:pPr>
      <w:r>
        <w:rPr>
          <w:rFonts w:ascii="Arial;sans-serif" w:hAnsi="Arial;sans-serif"/>
          <w:b/>
          <w:color w:val="0090DA"/>
          <w:sz w:val="24"/>
        </w:rPr>
        <w:t>1. Our Outreach to Suppliers and Reasonable Country of Origin Inquiry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Our goal is to ensure that all 3TG metals in our supply chain are sourced through responsible minerals smelters and refiners. In furtherance of that goal, we collect information at least annually utilizing the RMI Conflict Minerals Reporting Template (“</w:t>
      </w:r>
      <w:r>
        <w:rPr>
          <w:rFonts w:ascii="Arial;sans-serif" w:hAnsi="Arial;sans-serif"/>
          <w:b/>
          <w:color w:val="000000"/>
          <w:sz w:val="20"/>
        </w:rPr>
        <w:t>CMRT</w:t>
      </w:r>
      <w:r>
        <w:rPr>
          <w:color w:val="000000"/>
        </w:rPr>
        <w: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from applicable suppliers regarding their supply chains, including the names and locations of smelters and refiners of 3TG as well as the country of origin of 3TG processed by such smelters and refiners. We then ask that suppliers review and acknowledge our Responsible Minerals Policy and our SRS, which sets out our expectations that all smelters and refiners in our supply chain are, and remain, validated as Conformant.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required that new suppliers in our memory and storage products supply chain participate in our Supplier Lifecycle Performance Management process as they were added to our memory and storage products supply chain throughout the year, and we requested that they complete our formal Supplier Compliance Training program.</w:t>
      </w:r>
    </w:p>
    <w:p>
      <w:pPr>
        <w:pStyle w:val="TextBody"/>
        <w:bidi w:val="0"/>
        <w:spacing w:lineRule="auto" w:line="288" w:before="0" w:after="0"/>
        <w:ind w:left="0" w:right="0" w:hanging="720"/>
        <w:jc w:val="left"/>
        <w:rPr/>
      </w:pPr>
      <w:r>
        <w:rPr>
          <w:rFonts w:ascii="Arial;sans-serif" w:hAnsi="Arial;sans-serif"/>
          <w:b w:val="false"/>
          <w:color w:val="000000"/>
          <w:sz w:val="13"/>
        </w:rPr>
        <w:t>5</w:t>
      </w:r>
      <w:r>
        <w:rPr>
          <w:color w:val="000000"/>
        </w:rPr>
        <w:t>    </w:t>
      </w:r>
      <w:r>
        <w:rPr>
          <w:rFonts w:ascii="Arial;sans-serif" w:hAnsi="Arial;sans-serif"/>
          <w:b w:val="false"/>
          <w:color w:val="000000"/>
          <w:sz w:val="18"/>
        </w:rPr>
        <w:t xml:space="preserve">The term “supplier(s)” refers to both incumbent and new suppliers and manufacturers that are likely to provide us with products containing 3TG metals that are necessary to the function or manufacture of our memory and storage products. The term “supplier(s)” does not include suppliers and manufacturers to the extent that they supply us with equipment or tools used in manufacturing our products, </w:t>
      </w:r>
    </w:p>
    <w:p>
      <w:pPr>
        <w:pStyle w:val="TextBody"/>
        <w:bidi w:val="0"/>
        <w:spacing w:lineRule="auto" w:line="288" w:before="0" w:after="0"/>
        <w:ind w:left="0" w:right="0" w:hanging="720"/>
        <w:jc w:val="left"/>
        <w:rPr/>
      </w:pPr>
      <w:r>
        <w:rPr>
          <w:rFonts w:ascii="Arial;sans-serif" w:hAnsi="Arial;sans-serif"/>
          <w:b w:val="false"/>
          <w:color w:val="000000"/>
          <w:sz w:val="13"/>
        </w:rPr>
        <w:t>6</w:t>
      </w:r>
      <w:r>
        <w:rPr>
          <w:color w:val="000000"/>
        </w:rPr>
        <w:t>    </w:t>
      </w:r>
      <w:r>
        <w:rPr>
          <w:rFonts w:ascii="Arial;sans-serif" w:hAnsi="Arial;sans-serif"/>
          <w:b w:val="false"/>
          <w:color w:val="000000"/>
          <w:sz w:val="18"/>
        </w:rPr>
        <w:t>The term “Conformant” means that a smelter or refiner is verified as Conformant with the RMI’s RMAP or an equivalent third-party auditing program.</w:t>
      </w:r>
    </w:p>
    <w:p>
      <w:pPr>
        <w:pStyle w:val="TextBody"/>
        <w:bidi w:val="0"/>
        <w:spacing w:lineRule="auto" w:line="288"/>
        <w:ind w:left="0" w:right="0" w:hanging="720"/>
        <w:jc w:val="left"/>
        <w:rPr/>
      </w:pPr>
      <w:r>
        <w:rPr>
          <w:rFonts w:ascii="Arial;sans-serif" w:hAnsi="Arial;sans-serif"/>
          <w:b w:val="false"/>
          <w:color w:val="000000"/>
          <w:sz w:val="13"/>
        </w:rPr>
        <w:t>7</w:t>
      </w:r>
      <w:r>
        <w:rPr>
          <w:color w:val="000000"/>
        </w:rPr>
        <w:t xml:space="preserve">     </w:t>
      </w:r>
      <w:r>
        <w:rPr>
          <w:rFonts w:ascii="Arial;sans-serif" w:hAnsi="Arial;sans-serif"/>
          <w:b w:val="false"/>
          <w:color w:val="000000"/>
          <w:sz w:val="18"/>
        </w:rPr>
        <w:t>The term “Active,” with respect to the RMI, means that a smelter or refiner has committed to undergo an RMAP assessment, completed the relevant documents, and scheduled an on-site assessment.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 Throughout 2022, we worked with our suppliers to help raise awareness of our expectations, provide ongoing education concerning our requirements, and provide training through our risk mitigation and escalation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outreach to suppliers, which included our reasonable country of origin inquiry, did not provide us with complete information on the origin of 3TG from smelters and refiners reported to be in our memory and storage products supply chain in 2022. We had reason to believe, however, that at least some sourcing was from the DRC and adjoining countries. Accordingly, we conducted due diligence on the chain and custody of 3TG and prepared this Conflict Minerals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90DA"/>
          <w:sz w:val="24"/>
        </w:rPr>
      </w:pPr>
      <w:r>
        <w:rPr>
          <w:rFonts w:ascii="Arial;sans-serif" w:hAnsi="Arial;sans-serif"/>
          <w:b/>
          <w:color w:val="0090DA"/>
          <w:sz w:val="24"/>
        </w:rPr>
        <w:t>2. Our Conflict Minerals Due Diligence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2.1 Our Conflict Minerals Due Diligence Program Design</w:t>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designed our conflict minerals due diligence program in conformance with the principles of the OECD Guidance and the supplements thereto as applied to downstream companies. As a downstream purchaser of 3TG metals, our due diligence program can provide only reasonable, not absolute, assurance regarding the source and chain of custody of the 3TG metals necessary to the functionality or production of our products. Our due diligence processes are based on the necessity of seeking data from our direct suppliers and those suppliers seeking similar information within their supply chains to identify the original sources of the 3TG metals we use. We also rely, to a large extent, on information collected and provided by RMI and other third-party auditing programs. Such sources of information may yield inaccurate or incomplete information and may be subject to fraud.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2.2 Our Conflict Minerals Due Diligence for 2022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2.2.1 Our Management System</w:t>
      </w:r>
    </w:p>
    <w:p>
      <w:pPr>
        <w:pStyle w:val="TextBody"/>
        <w:bidi w:val="0"/>
        <w:spacing w:before="0" w:after="0"/>
        <w:ind w:left="0" w:right="0" w:firstLine="14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year ended December 31, 2022, management of our responsible minerals program was provided by a cross-functional Responsible Minerals Steering Team, with representatives from Micron’s Procurement, Supply Chain, Finance, Sales, Sustainability, and Legal departments, headed by a senior Procurement compliance manager. The Steering Team met at least monthly during the year ended December 31, 2022 to review progress towards maintaining our goal of a responsibly-sourced supply chain. Oversight of the Responsible Minerals Steering Team was provided by a cross-functional Responsible Minerals Executive Team comprised of Vice President-level executives, which is charged with sponsoring and reviewing our responsible minerals program. The Steering Team reported to the Executive Team on a periodic basis during the year ended December 31, 2022. In addition, our Global Supply Chain Compliance Council, which includes a subset of our Responsible Minerals Executive Team, is charged with direct oversight of our responsible sourcing program. During the year ended December 31, 2022, the Steering Team reported regularly to the Global Supply Chain Compliance Council to review our progress towards our goal of achieving a responsibly-sourced supply chain. In addition, in January 2022, we added dedicated resources to further strengthen our responsible minerals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continued to incorporate our responsible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helpline, which can be used to report issues relating to conflict minerals. Our program included a ten-year record retention policy for our responsible minerals documents.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2.2.2 Our Risk Assessment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3TG metals contained in memory and storage products we manufactured and sold during the year ended December 31, 2022 and/or whether some of the memory and storage products we manufactured and sold during the year ended December 31, 2022 contained 3TG metals that may have directly or indirectly financed or benefited armed groups in the DRC or an adjoining country.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part of our due diligence process, we collected, screened and analyzed CMRTs from all applicable suppliers for the year ended December 31, 2022. We provided our suppliers with formal notification of Micron’s requirements to convey our expectations that they report to us, within fourteen days of any such occurrence, any changes to their supply chains that would affect their CMRT status.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2.2.3 Our Risk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reviewed all CMRT responses and updates received for the year ended December 31, 2022 and determined whether the disclosed smelters or refiners were recognized by RMI or equivalents as processors of 3TG metals, and if so, whether they had been validated as Conformant with these organizations. We reviewed supplier CMRTs for accuracy and overall adherence to our responsible minerals requirements, as delivered through our inquiry letter to suppliers, and we began our risk mitigation (and escalation processes, if necessary) set out in our responsible minerals procedures with suppliers having disclosed any smelters or refiners that were not Conformant. If a supplier reports a CMRT that includes smelters or refiners not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22 smelters and refiners that were reported to be in our memory and storage products supply chain during 2022 were subsequently determined to be inoperative or removed on or prior to December 31, 2022. As of December 31, 2022, two smelters and refiners in our memory and storage products supply chain were listed as Active with RMI. After December 31, 2022, one of those two smelters and refiners became Conformant, and one continues to be in the process of removal from our supply chain as of the date of filing of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members of multiple RMI working groups, including the RMI Smelter Engagement Working Group, which was tasked with identifying and influencing smelters in the supply chains of RMI members to join the RMAP and become validated as responsibly sourced. Micron also has additional RMI formal representation and leadership positions on multiple RMI working groups, including the Multi-Stakeholder, Due Diligence Practices, Minerals Reporting Template, Gold, Cobalt Task Force, and RMI Plenary Working Groups. Through our membership dues, we provide funding to DRC in-region agencies.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2.2.4 Smelter and Refiner Auditing</w:t>
      </w:r>
    </w:p>
    <w:p>
      <w:pPr>
        <w:pStyle w:val="TextBody"/>
        <w:bidi w:val="0"/>
        <w:spacing w:before="0" w:after="0"/>
        <w:ind w:left="0" w:right="0" w:firstLine="14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we do not source 3TG metals directly from smelters or refiners, we rely on independent third-party auditing programs, such as the RMAP, LBMA, and RJC to coordinate audits of smelters and refiners in our memory and storage products supply chain.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2.2.5 Reporting</w:t>
      </w:r>
    </w:p>
    <w:p>
      <w:pPr>
        <w:pStyle w:val="TextBody"/>
        <w:bidi w:val="0"/>
        <w:spacing w:before="0" w:after="0"/>
        <w:ind w:left="0" w:right="0" w:firstLine="14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report our annual conflict minerals due diligence results in our responsible minerals program to the U.S. Securities and Exchange Commission through the Form SD and the CMR. We make the CMR available on our company website.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90DA"/>
          <w:sz w:val="24"/>
        </w:rPr>
      </w:pPr>
      <w:r>
        <w:rPr>
          <w:rFonts w:ascii="Arial;sans-serif" w:hAnsi="Arial;sans-serif"/>
          <w:b/>
          <w:color w:val="0090DA"/>
          <w:sz w:val="24"/>
        </w:rPr>
        <w:t>3. Our Product Descriptions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Our product portfolio of memory and storage solutions, advanced solutions, and storage platforms is based on our high-performance semiconductor memory and storage technologies, including dynamic random access memory (“</w:t>
      </w:r>
      <w:r>
        <w:rPr>
          <w:rFonts w:ascii="Arial;sans-serif" w:hAnsi="Arial;sans-serif"/>
          <w:b/>
          <w:color w:val="000000"/>
          <w:sz w:val="20"/>
        </w:rPr>
        <w:t>DRAM</w:t>
      </w:r>
      <w:r>
        <w:rPr>
          <w:color w:val="000000"/>
        </w:rPr>
        <w:t>”</w:t>
      </w:r>
      <w:r>
        <w:rPr>
          <w:rFonts w:ascii="Arial;sans-serif" w:hAnsi="Arial;sans-serif"/>
          <w:b w:val="false"/>
          <w:color w:val="000000"/>
          <w:sz w:val="20"/>
        </w:rPr>
        <w:t>), NAND, and NOR. We sell our products into various markets through our business units in numerous forms, including components, modules, solid state drives (“</w:t>
      </w:r>
      <w:r>
        <w:rPr>
          <w:rFonts w:ascii="Arial;sans-serif" w:hAnsi="Arial;sans-serif"/>
          <w:b/>
          <w:color w:val="000000"/>
          <w:sz w:val="20"/>
        </w:rPr>
        <w:t>SSDs</w:t>
      </w:r>
      <w:r>
        <w:rPr>
          <w:color w:val="000000"/>
        </w:rPr>
        <w:t>”</w:t>
      </w:r>
      <w:r>
        <w:rPr>
          <w:rFonts w:ascii="Arial;sans-serif" w:hAnsi="Arial;sans-serif"/>
          <w:b w:val="false"/>
          <w:color w:val="000000"/>
          <w:sz w:val="20"/>
        </w:rPr>
        <w:t>), managed NAND, Multi-Chip Packages (“</w:t>
      </w:r>
      <w:r>
        <w:rPr>
          <w:rFonts w:ascii="Arial;sans-serif" w:hAnsi="Arial;sans-serif"/>
          <w:b/>
          <w:color w:val="000000"/>
          <w:sz w:val="20"/>
        </w:rPr>
        <w:t>MCPs</w:t>
      </w:r>
      <w:r>
        <w:rPr>
          <w:color w:val="000000"/>
        </w:rPr>
        <w:t>”</w:t>
      </w:r>
      <w:r>
        <w:rPr>
          <w:rFonts w:ascii="Arial;sans-serif" w:hAnsi="Arial;sans-serif"/>
          <w:b w:val="false"/>
          <w:color w:val="000000"/>
          <w:sz w:val="20"/>
        </w:rPr>
        <w:t>), and wafers. Our system-level solutions, including SSDs and managed NAND, combine NAND, a controller, firmware, and in some cases DRAM. During the year ended December 31, 2022, we manufactured or contracted to manufacture the following memory and storage products containing 3TG metals.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DRAM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DRAM products are dynamic random access memory semiconductor devices with low latency that provide high-speed data retrieval with a variety of performance characteristics. DRAM products lose content when power is turned off (“</w:t>
      </w:r>
      <w:r>
        <w:rPr>
          <w:rFonts w:ascii="Arial;sans-serif" w:hAnsi="Arial;sans-serif"/>
          <w:b/>
          <w:color w:val="000000"/>
          <w:sz w:val="20"/>
        </w:rPr>
        <w:t>volatile</w:t>
      </w:r>
      <w:r>
        <w:rPr>
          <w:color w:val="000000"/>
        </w:rPr>
        <w:t>”</w:t>
      </w:r>
      <w:r>
        <w:rPr>
          <w:rFonts w:ascii="Arial;sans-serif" w:hAnsi="Arial;sans-serif"/>
          <w:b w:val="false"/>
          <w:color w:val="000000"/>
          <w:sz w:val="20"/>
        </w:rPr>
        <w:t>) and are most commonly used in client, cloud server, enterprise, networking, graphics, industrial, and automotive markets. Low-power 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NAND products are non-volatile, re-writeable semiconductor storage devices that provide high-capacity, low-cost storage with a 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and consumer applications.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Reported Smelters and Refiners Used to Process 3TG Metals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Throughout 2022, we worked with our suppliers in an effort to source only from smelters and refiners that were validated as Conformant with a responsibly-sourced auditing program. We identified 224 smelters and refiners that are recognized by RMI, LBMA, or RJC to be processors of 3TG metals and that we believe were potentially in our memory and storage products supply chain for the year ended December 31, 2022, none of which had a Non-Conformant status with RMI at the time they entered our supply chain. 22 smelters and refiners that were reported to be in our memory and storage products supply chain during 2022 were subsequently determined to be inoperative or removed on or prior to December 31, 2022. We determined that 202 smelters and refiners were in our memory and storage products supply chain as of December 31, 2022, of which 199 were validated as Conformant, two were listed as Active with RMI, and one was listed as not eligible for RMAP.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and locations of all of the smelters and refiners in our memory and storage products supply chain as reported by our suppliers for the year ended December 31, 2022.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Aggregated Countries of Origin of 3TG Metals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due diligence efforts did not result in sufficient information to conclusively determine the countries of origin of all 3TG metals in our products. Appendix B sets forth a list of countries of origin of 3TG metals that may be in our products based on information provided to us by our suppliers and RMI, which is available to us (and is therefore being disclosed) on an aggregated basis only for RMAP Conformant smelters.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Efforts to Determine the Mine or Location of Origin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required the suppliers in our memory and storage products supply chain to complete the RMI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RMI on the mine or location of origin of 3TG metals processed by these smelters and refiners collectively. Because we were unable to confirm the supplier data, our list of the countries of origin in Appendix B reflects the aggregated list of countries provided by RMI for RMAP responsibly-sourced smelters and refiners.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90DA"/>
          <w:sz w:val="24"/>
        </w:rPr>
      </w:pPr>
      <w:r>
        <w:rPr>
          <w:rFonts w:ascii="Arial;sans-serif" w:hAnsi="Arial;sans-serif"/>
          <w:b/>
          <w:color w:val="0090DA"/>
          <w:sz w:val="24"/>
        </w:rPr>
        <w:t>4. 2023 Due Diligence Improvement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2023 reporting year, Micron intends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 to engage with and provide active participation and leadership in the various RMI working groups;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 to proactively engage with all suppliers in an effort to accomplish our goal that all smelters and refiners in our supply chain are Conformant;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 to refine and improve our responsible minerals program to ensure quick remediation, including removal, of any smelter or refiner that loses Conformant status;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Expand our responsible minerals program to ensure responsible sourcing of additional minerals beyond 3TG and include more geographies as practicable in line with industry standards and RMI capabilities and programs.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417" w:before="0" w:after="0"/>
        <w:jc w:val="left"/>
        <w:rPr>
          <w:rFonts w:ascii="Arial;sans-serif" w:hAnsi="Arial;sans-serif"/>
          <w:b w:val="false"/>
          <w:i/>
          <w:color w:val="000000"/>
          <w:sz w:val="20"/>
        </w:rPr>
      </w:pPr>
      <w:r>
        <w:rPr>
          <w:rFonts w:ascii="Arial;sans-serif" w:hAnsi="Arial;sans-serif"/>
          <w:b w:val="false"/>
          <w:i/>
          <w:color w:val="000000"/>
          <w:sz w:val="20"/>
        </w:rPr>
        <w:t>This Conflict Minerals Report contains forward looking statements related to our conflict minerals due diligence programs for 2023.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Appendix A</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Reported 3TG Smelters and Refiners List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table provides the names and locations of all of the 3TG smelters and refiners in our memory and storage products supply chain as reported by our suppliers for the year ended December 31, 2022. The smelter and refiner names and locations appear as they are listed in the RMI Smelter Database as of January 31, 2023. We cannot confirm that any or all smelters and refiners in this table processed the necessary 3TG metals contained in our products, as many of our in-scope suppliers identified all smelters and refiners in their total supply chain rather than just those smelters and refiners associated with products sold to us.</w:t>
      </w:r>
    </w:p>
    <w:p>
      <w:pPr>
        <w:pStyle w:val="TextBody"/>
        <w:bidi w:val="0"/>
        <w:spacing w:before="0" w:after="0"/>
        <w:jc w:val="left"/>
        <w:rPr/>
      </w:pPr>
      <w:r>
        <w:rPr/>
      </w:r>
    </w:p>
    <w:tbl>
      <w:tblPr>
        <w:tblW w:w="6930" w:type="dxa"/>
        <w:jc w:val="left"/>
        <w:tblInd w:w="0" w:type="dxa"/>
        <w:tblLayout w:type="fixed"/>
        <w:tblCellMar>
          <w:top w:w="28" w:type="dxa"/>
          <w:left w:w="28" w:type="dxa"/>
          <w:bottom w:w="28" w:type="dxa"/>
          <w:right w:w="28" w:type="dxa"/>
        </w:tblCellMar>
      </w:tblPr>
      <w:tblGrid>
        <w:gridCol w:w="196"/>
        <w:gridCol w:w="172"/>
        <w:gridCol w:w="173"/>
        <w:gridCol w:w="1568"/>
        <w:gridCol w:w="1568"/>
        <w:gridCol w:w="1574"/>
        <w:gridCol w:w="490"/>
        <w:gridCol w:w="490"/>
        <w:gridCol w:w="69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Metal</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Smelter or Refinery Name</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Location</w:t>
            </w:r>
          </w:p>
        </w:tc>
      </w:tr>
      <w:tr>
        <w:trPr/>
        <w:tc>
          <w:tcPr>
            <w:tcW w:w="541"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8853 S.p.A.</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Advanced Chemical Company</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Agosi AG</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 Etihad Gold Refinery DMCC</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Arab Emirates</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Almalyk Mining and Metallurgical Complex (AMMC)</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Uzbekistan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AngloGold Ashanti Corrego do Sitio Mineracao</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Argor-Heraeus S.A.</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Asahi Pretec Corp.</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Asahi Refining Canada Ltd.</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Canada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Asahi Refining USA Inc.</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Aurubis AG</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Bangalore Refinery</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Bangko Sentral ng Pilipinas (Central Bank of the Philippines)</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Philippines</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Boliden AB</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Sweden</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 Hafner GmbH + Co. KG</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CCR Refinery - Glencore Canada Corporation</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Canada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Cendres + Metaux S.A.</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Chimet S.p.A.</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Italy</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Dowa</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Emirates Gold DMCC</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Arab Emirates</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 Refinery of Zijin Mining Group Co., Ltd.</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Heimerle + Meule GmbH</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Heraeus Germany GmbH Co. KG</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Heraeus Metals Hong Kong Ltd.</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Inner Mongolia Qiankun Gold and Silver Refinery Share Co., Ltd.</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Ishifuku Metal Industry Co., Ltd.</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Istanbul Gold Refinery</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Turkey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Italpreziosi</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Italy</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 Mint</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Copper Co., Ltd.</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JSC Novosibirsk Refinery†</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w:t>
                      </w:r>
                    </w:p>
                  </w:txbxContent>
                </v:textbox>
                <w10:wrap type="none"/>
              </v:rect>
            </w:pict>
          </mc:Fallback>
        </mc:AlternateContent>
      </w:r>
    </w:p>
    <w:tbl>
      <w:tblPr>
        <w:tblW w:w="7666" w:type="dxa"/>
        <w:jc w:val="left"/>
        <w:tblInd w:w="0" w:type="dxa"/>
        <w:tblLayout w:type="fixed"/>
        <w:tblCellMar>
          <w:top w:w="28" w:type="dxa"/>
          <w:left w:w="28" w:type="dxa"/>
          <w:bottom w:w="28" w:type="dxa"/>
          <w:right w:w="28" w:type="dxa"/>
        </w:tblCellMar>
      </w:tblPr>
      <w:tblGrid>
        <w:gridCol w:w="196"/>
        <w:gridCol w:w="172"/>
        <w:gridCol w:w="173"/>
        <w:gridCol w:w="2003"/>
        <w:gridCol w:w="2003"/>
        <w:gridCol w:w="2009"/>
        <w:gridCol w:w="324"/>
        <w:gridCol w:w="324"/>
        <w:gridCol w:w="46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Metal</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Smelter or Refinery Name</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Location</w:t>
            </w:r>
          </w:p>
        </w:tc>
      </w:tr>
      <w:tr>
        <w:trPr/>
        <w:tc>
          <w:tcPr>
            <w:tcW w:w="541"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JSC Uralelectromed†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JX Nippon Mining &amp; Metals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Kazzinc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Kazakhstan</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Kennecott Utah Copper LLC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KGHM Polska Miedz Spolka Akcyjna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Poland</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Kojima Chemicals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Korea Zinc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L'Orfebre S.A.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Andorra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LS-NIKKO Copper Inc.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LT Metal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Marsam Metals*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Matsuda Sangyo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 Concentrators SA (Pty)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Africa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Metalor Technologies (Hong Kong)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Metalor Technologies (Singapore) Pte.,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Singapore</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Metalor Technologies (Suzhou)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Metalor Technologies 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Metalor USA Refining Corporation</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Metalurgica Met-Mex Penoles S.A. De C.V.</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Mexico</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Mitsubishi Materials Corporation</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Mitsui Mining and Smelting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MKS PAMP SA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MMTC-PAMP India Pvt.,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Moscow Special Alloys Processing Plant†</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Nadir Metal Rafineri San. Ve Tic. A.S.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Turkey</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Navoi Mining and Metallurgical Combinat</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Uzbekistan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NH Recytech Company</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Nihon Material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Ogussa Osterreichische Gold- und Silber-Scheideanstalt GmbH</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Austria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OJSC "The Gulidov Krasnoyarsk Non-Ferrous Metals Plant" (OJSC Krastsvetmet)†</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Planta Recuperadora de Metales SpA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Chile</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Prioksky Plant of Non-Ferrous Metals†</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Aneka Tambang (Persero) Tbk</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PX Precinox S.A.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Rand Refinery (Pty)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Africa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Royal Canadian Mint</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Canada</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SAAMP</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France</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Safimet S.p.A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Samduck Precious Metals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SAXONIA Edelmetalle GmbH*</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SEMPSA Joyeria Plateria 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Spain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w:t>
                      </w:r>
                    </w:p>
                  </w:txbxContent>
                </v:textbox>
                <w10:wrap type="none"/>
              </v:rect>
            </w:pict>
          </mc:Fallback>
        </mc:AlternateContent>
      </w:r>
    </w:p>
    <w:tbl>
      <w:tblPr>
        <w:tblW w:w="6076" w:type="dxa"/>
        <w:jc w:val="left"/>
        <w:tblInd w:w="0" w:type="dxa"/>
        <w:tblLayout w:type="fixed"/>
        <w:tblCellMar>
          <w:top w:w="28" w:type="dxa"/>
          <w:left w:w="28" w:type="dxa"/>
          <w:bottom w:w="28" w:type="dxa"/>
          <w:right w:w="28" w:type="dxa"/>
        </w:tblCellMar>
      </w:tblPr>
      <w:tblGrid>
        <w:gridCol w:w="288"/>
        <w:gridCol w:w="253"/>
        <w:gridCol w:w="255"/>
        <w:gridCol w:w="1388"/>
        <w:gridCol w:w="1388"/>
        <w:gridCol w:w="1394"/>
        <w:gridCol w:w="324"/>
        <w:gridCol w:w="324"/>
        <w:gridCol w:w="46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Metal</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Smelter or Refinery Name</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Location</w:t>
            </w:r>
          </w:p>
        </w:tc>
      </w:tr>
      <w:tr>
        <w:trPr/>
        <w:tc>
          <w:tcPr>
            <w:tcW w:w="796"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Shandong Gold Smelting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Shandong Zhaojin Gold &amp; Silver Refinery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Sichuan Tianze Precious Metals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Singway Technology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Taiwan</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SOE Shyolkovsky Factory of Secondary Precious Metals†</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Solar Applied Materials Technology Corp.</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Taiwan</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Sumitomo Metal Mining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T.C.A S.p.A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Italy</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Tanaka Kikinzoku Kogyo K.K.</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Tokuriki Honten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TOO Tau-Ken-Altyn</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Kazakhstan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Torecom</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Umicore Precious Metals Thailand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Thailand</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Umicore S.A. Business Unit Precious Metals Refining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Belgium</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Precious Metal Refining, Inc.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Valcambi 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Western Australian Mint (T/a The Perth Mint)</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Australia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WIELAND Edelmetalle GmbH</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Yamakin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Gold</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Zhongyuan Gold Smelter of Zhongjin Gold Corporation</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AMG Brasil</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Changsha South Tantalum Niobium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 Block Metals, LLC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Exotech Inc.††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F&amp;X Electro-Materials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 Metals &amp; Resource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Global Advanced Metals Aizu</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Global Advanced Metals Boyertown</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H.C. Starck Hermsdorf GmbH*</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Hengyang King Xing Lifeng New Materials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Dinghai Tantalum &amp; Niobium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Tuohong New Raw Material</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JiuJiang JinXin Nonferrous Metals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Jiujiang Tanbre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Jiujiang Zhongao Tantalum &amp; Niobium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KEMET de Mexico</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Mexico</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Materion Newton Inc.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Metallurgical Products India Pvt.,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Mineracao Taboca S.A.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Mitsui Mining and Smelting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Ningxia Orient Tantalum Industry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A-3</w:t>
                      </w:r>
                    </w:p>
                  </w:txbxContent>
                </v:textbox>
                <w10:wrap type="none"/>
              </v:rect>
            </w:pict>
          </mc:Fallback>
        </mc:AlternateContent>
      </w:r>
    </w:p>
    <w:tbl>
      <w:tblPr>
        <w:tblW w:w="6045" w:type="dxa"/>
        <w:jc w:val="left"/>
        <w:tblInd w:w="0" w:type="dxa"/>
        <w:tblLayout w:type="fixed"/>
        <w:tblCellMar>
          <w:top w:w="28" w:type="dxa"/>
          <w:left w:w="28" w:type="dxa"/>
          <w:bottom w:w="28" w:type="dxa"/>
          <w:right w:w="28" w:type="dxa"/>
        </w:tblCellMar>
      </w:tblPr>
      <w:tblGrid>
        <w:gridCol w:w="288"/>
        <w:gridCol w:w="253"/>
        <w:gridCol w:w="255"/>
        <w:gridCol w:w="1378"/>
        <w:gridCol w:w="1378"/>
        <w:gridCol w:w="1383"/>
        <w:gridCol w:w="324"/>
        <w:gridCol w:w="324"/>
        <w:gridCol w:w="46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Metal</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Smelter or Refinery Name</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Location</w:t>
            </w:r>
          </w:p>
        </w:tc>
      </w:tr>
      <w:tr>
        <w:trPr/>
        <w:tc>
          <w:tcPr>
            <w:tcW w:w="796"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NPM Silmet AS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Estonia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Resind Industria e Comercio Ltda.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RFH Yancheng Jinye New Material Technology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Solikamsk Magnesium Works OAO†</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TANIOBIS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Thailand</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TANIOBIS GmbH</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TANIOBIS Japan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TANIOBIS Smelting GmbH &amp; Co. KG</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Telex Metals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Ulba Metallurgical Plant JSC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Kazakhstan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XIMEI RESOURCES (GUANGDONG) LIMITED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XinXing HaoRong Electronic Material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Tantalum</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Yanling Jincheng Tantalum &amp; Niobium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Alpha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Aurubis Beerse</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Belgium</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Chenzhou Yunxiang Mining and Metallurgy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Chifeng Dajingzi Tin Industry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 Tin Group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CV Venus Inti Perkasa**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EM Vinto</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Bolivia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Estanho de Rondonia 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Fabrica Auricchio Industria e Comercio Ltda.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Fenix Metals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Poland</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Gejiu Kai Meng Industry and Trade LLC*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Gejiu Non-Ferrous Metal Processing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Gejiu Yunxin Nonferrous Electrolysis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Gejiu Zili Mining And Metallurgy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Guangdong Hanhe Non-Ferrous Metal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HuiChang Hill Tin Industry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New Nanshan Technology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Luna Smelter,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Rwanda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Magnu's Minerais Metais e Ligas Ltda.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Malaysia Smelting Corporation (MSC)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Malaysia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Melt Metais e Ligas S.A.*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Metallic Resources, Inc.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Metallo Spain S.L.U.*</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Spain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Mineracao Taboca 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Minsur</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Peru</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Operaciones Metalurgicas 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Bolivia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Aries Kencana Sejahtera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Artha Cipta Langgeng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A-4</w:t>
                      </w:r>
                    </w:p>
                  </w:txbxContent>
                </v:textbox>
                <w10:wrap type="none"/>
              </v:rect>
            </w:pict>
          </mc:Fallback>
        </mc:AlternateContent>
      </w:r>
    </w:p>
    <w:tbl>
      <w:tblPr>
        <w:tblW w:w="5491" w:type="dxa"/>
        <w:jc w:val="left"/>
        <w:tblInd w:w="0" w:type="dxa"/>
        <w:tblLayout w:type="fixed"/>
        <w:tblCellMar>
          <w:top w:w="28" w:type="dxa"/>
          <w:left w:w="28" w:type="dxa"/>
          <w:bottom w:w="28" w:type="dxa"/>
          <w:right w:w="28" w:type="dxa"/>
        </w:tblCellMar>
      </w:tblPr>
      <w:tblGrid>
        <w:gridCol w:w="288"/>
        <w:gridCol w:w="253"/>
        <w:gridCol w:w="255"/>
        <w:gridCol w:w="1194"/>
        <w:gridCol w:w="1194"/>
        <w:gridCol w:w="1197"/>
        <w:gridCol w:w="324"/>
        <w:gridCol w:w="324"/>
        <w:gridCol w:w="46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Metal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Smelter or Refinery Name</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Location</w:t>
            </w:r>
          </w:p>
        </w:tc>
      </w:tr>
      <w:tr>
        <w:trPr/>
        <w:tc>
          <w:tcPr>
            <w:tcW w:w="796"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ATD Makmur Mandiri Jaya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Babel Inti Perkasa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Babel Surya Alam Lestari</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Bangka Serumpun</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Bukit Timah</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Cipta Persada Mulia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Menara Cipta Mulia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Mitra Stania Prima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Mitra Sukses Globalindo</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Prima Timah Utama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Putera Sarana Shakti (PT PSS)</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Rajawali Rimba Perkasa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Refined Bangka Tin</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Sariwiguna Binasentosa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Stanindo Inti Perkasa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Sukses Inti Makmur</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Timah Nusantara***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Timah Tbk Kundur</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Timah Tbk Mentok</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Tinindo Inter Nusa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PT Tommy Utama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Resind Industria e Comercio Ltda.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Rui Da Hung</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Taiwan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Soft Metais Ltda.</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Thai Nguyen Mining and Metallurgy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Vietnam</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Thaisarco</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Thailand</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 Smelting Branch of Yunnan Tin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 Technology &amp; Refining*</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White Solder Metalurgia e Mineracao Ltda.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Yunnan Chengfeng Non-ferrous Metals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Yunnan Yunfan Non-ferrous Metals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A.L.M.T. Corp.</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ACL Metais Eireli</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Asia Tungsten Products Vietnam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Vietnam</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 Molybdenum Tungsten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Chongyi Zhangyuan Tungsten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Cronimet Brasil Ltda</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Fujian Ganmin RareMetal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Fujian Xinlu Tungsten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Ganzhou Haichuang Tungsten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35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Ganzhou Huaxing Tungsten Products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A-5</w:t>
                      </w:r>
                    </w:p>
                  </w:txbxContent>
                </v:textbox>
                <w10:wrap type="none"/>
              </v:rect>
            </w:pict>
          </mc:Fallback>
        </mc:AlternateContent>
      </w:r>
    </w:p>
    <w:tbl>
      <w:tblPr>
        <w:tblW w:w="8115" w:type="dxa"/>
        <w:jc w:val="left"/>
        <w:tblInd w:w="0" w:type="dxa"/>
        <w:tblLayout w:type="fixed"/>
        <w:tblCellMar>
          <w:top w:w="28" w:type="dxa"/>
          <w:left w:w="28" w:type="dxa"/>
          <w:bottom w:w="28" w:type="dxa"/>
          <w:right w:w="28" w:type="dxa"/>
        </w:tblCellMar>
      </w:tblPr>
      <w:tblGrid>
        <w:gridCol w:w="288"/>
        <w:gridCol w:w="253"/>
        <w:gridCol w:w="255"/>
        <w:gridCol w:w="2066"/>
        <w:gridCol w:w="2066"/>
        <w:gridCol w:w="2077"/>
        <w:gridCol w:w="324"/>
        <w:gridCol w:w="324"/>
        <w:gridCol w:w="46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Metal</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Smelter or Refinery Name</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Location</w:t>
            </w:r>
          </w:p>
        </w:tc>
      </w:tr>
      <w:tr>
        <w:trPr/>
        <w:tc>
          <w:tcPr>
            <w:tcW w:w="796"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90D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Ganzhou Jiangwu Ferrotungsten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Ganzhou Seadragon W &amp; Mo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Global Tungsten &amp; Powders Corp.</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Guangdong Xianglu Tungsten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H.C. Starck Tungsten GmbH</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Hunan Chenzhou Mining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Hunan Jintai New Material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Hunan Shizhuyuan Nonferrous Metals Co., Ltd. Chenzhou Tungsten Products Branch</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Hydrometallurg, JSC†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 New Metals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Jiangwu H.C. Starck Tungsten Products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Gan Bei Tungsten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Tonggu Non-ferrous Metallurgical &amp; Chemical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Xinsheng Tungsten Industry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Jiangxi Yaosheng Tungsten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JSC "Kirovgrad Hard Alloys Plant"†</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Kennametal Fallon</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Kennametal Huntsville</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Malipo Haiyu Tungsten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Masan High-Tech Materials</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Vietnam</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Moliren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Niagara Refining LLC</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Philippine Chuangxin Industrial Co., Inc.</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Philippines</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TANIOBIS Smelting GmbH &amp; Co. KG</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Unecha Refractory metals plant†</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Wolfram Bergbau und Hutten AG</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Austria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Xiamen Tungsten (H.C.)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Xiamen Tungsten Co., Ltd.</w:t>
            </w:r>
          </w:p>
        </w:tc>
        <w:tc>
          <w:tcPr>
            <w:tcW w:w="1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Tungsten</w:t>
            </w:r>
          </w:p>
        </w:tc>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Xinfeng Huarui Tungsten &amp; Molybdenum New Material Co., Ltd.</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    The smelter/refiner was reported to be in our memory and storage products supply chain during 2022 and was subsequently determined to be inoperative or removed on or prior to December 31, 2022. Up-to-date information on the validation status of smelters and refiners participating in the RMAP is available at responsiblemineralsinitiative.org/smelters-refiners-lists.</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    The smelter/refiner became Conformant after December 31, 2022.</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    The smelter/refiner was listed as Active with RMI as of December 31, 2022 and continues to be in the process of removal from our supply chain as of the date of filing of this Report.</w:t>
      </w:r>
    </w:p>
    <w:p>
      <w:pPr>
        <w:pStyle w:val="TextBody"/>
        <w:bidi w:val="0"/>
        <w:spacing w:lineRule="auto" w:line="288" w:before="0" w:after="0"/>
        <w:ind w:left="0" w:right="0" w:hanging="720"/>
        <w:jc w:val="left"/>
        <w:rPr>
          <w:color w:val="000000"/>
        </w:rPr>
      </w:pPr>
      <w:r>
        <w:rPr>
          <w:color w:val="000000"/>
        </w:rPr>
        <w:t>†    </w:t>
      </w:r>
      <w:r>
        <w:rPr>
          <w:rFonts w:ascii="Arial;sans-serif" w:hAnsi="Arial;sans-serif"/>
          <w:b w:val="false"/>
          <w:color w:val="000000"/>
          <w:sz w:val="20"/>
        </w:rPr>
        <w:t>The smelter/refiner was removed from our supply chain on or prior to December 31, 2022 due to sanctions imposed on Russia and resulting changes to the smelter/refiner’s RMAP conformance status.</w:t>
      </w:r>
    </w:p>
    <w:p>
      <w:pPr>
        <w:pStyle w:val="TextBody"/>
        <w:bidi w:val="0"/>
        <w:spacing w:lineRule="auto" w:line="288" w:before="0" w:after="0"/>
        <w:ind w:left="0" w:right="0" w:hanging="720"/>
        <w:jc w:val="left"/>
        <w:rPr>
          <w:color w:val="000000"/>
        </w:rPr>
      </w:pPr>
      <w:r>
        <w:rPr>
          <w:color w:val="000000"/>
        </w:rPr>
        <w:t>††    </w:t>
      </w:r>
      <w:r>
        <w:rPr>
          <w:rFonts w:ascii="Arial;sans-serif" w:hAnsi="Arial;sans-serif"/>
          <w:b w:val="false"/>
          <w:color w:val="000000"/>
          <w:sz w:val="20"/>
        </w:rPr>
        <w:t>The smelter/refiner was not eligible for RMAP.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A-6</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Appendix B</w:t>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Aggregated Countries of Origin List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table sets forth an aggregated list of countries (or regions)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2022. </w:t>
      </w:r>
    </w:p>
    <w:p>
      <w:pPr>
        <w:pStyle w:val="TextBody"/>
        <w:bidi w:val="0"/>
        <w:spacing w:before="0" w:after="0"/>
        <w:jc w:val="left"/>
        <w:rPr/>
      </w:pPr>
      <w:r>
        <w:rPr/>
      </w:r>
    </w:p>
    <w:tbl>
      <w:tblPr>
        <w:tblW w:w="7350" w:type="dxa"/>
        <w:jc w:val="left"/>
        <w:tblInd w:w="0" w:type="dxa"/>
        <w:tblLayout w:type="fixed"/>
        <w:tblCellMar>
          <w:top w:w="28" w:type="dxa"/>
          <w:left w:w="28" w:type="dxa"/>
          <w:bottom w:w="28" w:type="dxa"/>
          <w:right w:w="28" w:type="dxa"/>
        </w:tblCellMar>
      </w:tblPr>
      <w:tblGrid>
        <w:gridCol w:w="924"/>
        <w:gridCol w:w="811"/>
        <w:gridCol w:w="830"/>
        <w:gridCol w:w="389"/>
        <w:gridCol w:w="389"/>
        <w:gridCol w:w="392"/>
        <w:gridCol w:w="519"/>
        <w:gridCol w:w="519"/>
        <w:gridCol w:w="522"/>
        <w:gridCol w:w="600"/>
        <w:gridCol w:w="600"/>
        <w:gridCol w:w="855"/>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Algeria</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 Salvador</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Liechtenstein</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Serbia</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Andorra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Eritrea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Lithuania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Sierra Leone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Angola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Estonia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Luxembourg</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Singapore</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Antigua and Barbuda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Ethiopia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Macau</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Sint Maarten</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Argentina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Fiji</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Malaysia</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Slovakia</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Armenia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Finland</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Mali</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Slovenia</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Australia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France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Malta</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Africa</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Austria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French Guiana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Mauritania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South Korea</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Azerbaijan</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Georgia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Mexico</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Spain</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Bahamas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Germany</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Mongolia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 Vincent and Grenadines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Bahrain</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Ghana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Morocco</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Sudan</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Bangladesh</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Greece</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Mozambique</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Suriname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Barbados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Grenada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Myanmar</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Swaziland</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Belarus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Guatemala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Namibia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Sweden</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Belgium</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Guinea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Netherlands</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Benin</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Guyana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New Zealand</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Tanzania</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Bolivia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Honduras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Nicaragua</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Thailand</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Botswana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Hong Kong</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Niger</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Togo</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Brazil</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Hungary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Nigeria</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Trinidad and Tobago</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Bulgaria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Iceland</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Norway</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Tunisia</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Burkina Faso</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Oman</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Turkey</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Burundi</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Indonesia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Pakistan</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Turks and Caicos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Canada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Ireland</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Panama</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Uganda</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Cayman Islands</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Israel</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Papua New Guinea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Ukraine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Chile</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Italy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Peru</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Arab Emirates</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China</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Jamaica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Philippines</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Kingdom</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Colombia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Japan</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Poland</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United States</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Côte d'Ivoire</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Jordan</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Portugal</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Uruguay</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Croatia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Kazakhstan</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Puerto Rico</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Uzbekistan</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Curacao</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Kenya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Romania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Venezuela</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Czechia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Kyrgyzstan</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Russia</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Vietnam</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Democratic Republic of the Congo</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Kuwait</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Rwanda</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Yemen</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Denmark</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Laos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Saint Kitts and Nevis</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Zambia</w:t>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Dominican Republic</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Latvia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 Marino</w:t>
            </w:r>
          </w:p>
        </w:tc>
        <w:tc>
          <w:tcPr>
            <w:tcW w:w="205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Zimbabwe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Ecuador</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Lebanon</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Saudi Arabia</w:t>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Egypt</w:t>
            </w:r>
          </w:p>
        </w:tc>
        <w:tc>
          <w:tcPr>
            <w:tcW w:w="117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Liberia</w:t>
            </w:r>
          </w:p>
        </w:tc>
        <w:tc>
          <w:tcPr>
            <w:tcW w:w="156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Senegal</w:t>
            </w:r>
          </w:p>
        </w:tc>
        <w:tc>
          <w:tcPr>
            <w:tcW w:w="205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5955</Words>
  <Characters>33554</Characters>
  <CharactersWithSpaces>38582</CharactersWithSpaces>
  <Paragraphs>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