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6" w:lineRule="exact"/>
        <w:rPr>
          <w:sz w:val="24"/>
          <w:szCs w:val="24"/>
          <w:color w:val="auto"/>
        </w:rPr>
      </w:pPr>
    </w:p>
    <w:p>
      <w:pPr>
        <w:jc w:val="center"/>
        <w:ind w:right="-5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59"/>
        <w:spacing w:after="0"/>
        <w:rPr>
          <w:sz w:val="20"/>
          <w:szCs w:val="20"/>
          <w:color w:val="auto"/>
        </w:rPr>
      </w:pPr>
      <w:r>
        <w:rPr>
          <w:rFonts w:ascii="Arial" w:cs="Arial" w:eastAsia="Arial" w:hAnsi="Arial"/>
          <w:sz w:val="17"/>
          <w:szCs w:val="17"/>
          <w:b w:val="1"/>
          <w:bCs w:val="1"/>
          <w:color w:val="auto"/>
        </w:rPr>
        <w:t>Washington, D.C. 20549</w:t>
      </w:r>
    </w:p>
    <w:p>
      <w:pPr>
        <w:spacing w:after="0" w:line="201" w:lineRule="exact"/>
        <w:rPr>
          <w:sz w:val="24"/>
          <w:szCs w:val="24"/>
          <w:color w:val="auto"/>
        </w:rPr>
      </w:pPr>
    </w:p>
    <w:p>
      <w:pPr>
        <w:ind w:left="4960"/>
        <w:spacing w:after="0"/>
        <w:rPr>
          <w:sz w:val="20"/>
          <w:szCs w:val="20"/>
          <w:color w:val="auto"/>
        </w:rPr>
      </w:pPr>
      <w:r>
        <w:rPr>
          <w:rFonts w:ascii="Arial" w:cs="Arial" w:eastAsia="Arial" w:hAnsi="Arial"/>
          <w:sz w:val="31"/>
          <w:szCs w:val="31"/>
          <w:b w:val="1"/>
          <w:bCs w:val="1"/>
          <w:color w:val="auto"/>
        </w:rPr>
        <w:t>FORM 8-K</w:t>
      </w:r>
    </w:p>
    <w:p>
      <w:pPr>
        <w:spacing w:after="0" w:line="200" w:lineRule="exact"/>
        <w:rPr>
          <w:sz w:val="24"/>
          <w:szCs w:val="24"/>
          <w:color w:val="auto"/>
        </w:rPr>
      </w:pPr>
    </w:p>
    <w:p>
      <w:pPr>
        <w:spacing w:after="0" w:line="279"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3"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October 28, 2010</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17"/>
          <w:szCs w:val="17"/>
          <w:color w:val="auto"/>
        </w:rPr>
        <w:t>Date of Report (date of earliest event reported)</w:t>
      </w: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31"/>
          <w:szCs w:val="31"/>
          <w:b w:val="1"/>
          <w:bCs w:val="1"/>
          <w:color w:val="auto"/>
        </w:rPr>
        <w:t>MICRON TECHNOLOGY, INC.</w:t>
      </w:r>
    </w:p>
    <w:p>
      <w:pPr>
        <w:spacing w:after="0" w:line="35"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0860"/>
          </w:cols>
          <w:pgMar w:left="240" w:top="976" w:right="799" w:bottom="1440" w:gutter="0" w:footer="0" w:header="0"/>
        </w:sectPr>
      </w:pPr>
    </w:p>
    <w:p>
      <w:pPr>
        <w:spacing w:after="0" w:line="223"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Delaware</w:t>
      </w:r>
    </w:p>
    <w:p>
      <w:pPr>
        <w:spacing w:after="0" w:line="28" w:lineRule="exact"/>
        <w:rPr>
          <w:sz w:val="24"/>
          <w:szCs w:val="24"/>
          <w:color w:val="auto"/>
        </w:rPr>
      </w:pPr>
    </w:p>
    <w:p>
      <w:pPr>
        <w:jc w:val="center"/>
        <w:ind w:right="44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1-10658</w:t>
      </w:r>
    </w:p>
    <w:p>
      <w:pPr>
        <w:spacing w:after="0" w:line="28" w:lineRule="exact"/>
        <w:rPr>
          <w:sz w:val="24"/>
          <w:szCs w:val="24"/>
          <w:color w:val="auto"/>
        </w:rPr>
      </w:pPr>
    </w:p>
    <w:p>
      <w:pPr>
        <w:jc w:val="center"/>
        <w:ind w:right="9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75-1618004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No.)</w:t>
      </w:r>
    </w:p>
    <w:p>
      <w:pPr>
        <w:spacing w:after="0" w:line="23" w:lineRule="exact"/>
        <w:rPr>
          <w:sz w:val="24"/>
          <w:szCs w:val="24"/>
          <w:color w:val="auto"/>
        </w:rPr>
      </w:pPr>
    </w:p>
    <w:p>
      <w:pPr>
        <w:sectPr>
          <w:pgSz w:w="11900" w:h="16838" w:orient="portrait"/>
          <w:cols w:equalWidth="0" w:num="3">
            <w:col w:w="4040" w:space="720"/>
            <w:col w:w="2880" w:space="720"/>
            <w:col w:w="2500"/>
          </w:cols>
          <w:pgMar w:left="240" w:top="976" w:right="79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860"/>
          </w:cols>
          <w:pgMar w:left="240" w:top="976" w:right="799" w:bottom="1440" w:gutter="0" w:footer="0" w:header="0"/>
          <w:type w:val="continuous"/>
        </w:sectPr>
      </w:pPr>
    </w:p>
    <w:p>
      <w:pPr>
        <w:spacing w:after="0" w:line="200" w:lineRule="exact"/>
        <w:rPr>
          <w:sz w:val="24"/>
          <w:szCs w:val="24"/>
          <w:color w:val="auto"/>
        </w:rPr>
      </w:pPr>
    </w:p>
    <w:p>
      <w:pPr>
        <w:spacing w:after="0" w:line="245"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8000 South Federal Way</w:t>
      </w:r>
    </w:p>
    <w:p>
      <w:pPr>
        <w:spacing w:after="0" w:line="28"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Boise, Idaho 83716-9632</w:t>
      </w:r>
    </w:p>
    <w:p>
      <w:pPr>
        <w:spacing w:after="0" w:line="11" w:lineRule="exact"/>
        <w:rPr>
          <w:sz w:val="24"/>
          <w:szCs w:val="24"/>
          <w:color w:val="auto"/>
        </w:rPr>
      </w:pPr>
    </w:p>
    <w:p>
      <w:pPr>
        <w:jc w:val="center"/>
        <w:ind w:right="-579"/>
        <w:spacing w:after="0"/>
        <w:rPr>
          <w:sz w:val="20"/>
          <w:szCs w:val="20"/>
          <w:color w:val="auto"/>
        </w:rPr>
      </w:pPr>
      <w:r>
        <w:rPr>
          <w:rFonts w:ascii="Arial" w:cs="Arial" w:eastAsia="Arial" w:hAnsi="Arial"/>
          <w:sz w:val="17"/>
          <w:szCs w:val="17"/>
          <w:color w:val="auto"/>
        </w:rPr>
        <w:t>(Address of principal executive offices)</w:t>
      </w:r>
    </w:p>
    <w:p>
      <w:pPr>
        <w:spacing w:after="0" w:line="227"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(208) 368-4000</w:t>
      </w:r>
    </w:p>
    <w:p>
      <w:pPr>
        <w:spacing w:after="0" w:line="28" w:lineRule="exact"/>
        <w:rPr>
          <w:sz w:val="24"/>
          <w:szCs w:val="24"/>
          <w:color w:val="auto"/>
        </w:rPr>
      </w:pPr>
    </w:p>
    <w:p>
      <w:pPr>
        <w:jc w:val="center"/>
        <w:ind w:right="-579"/>
        <w:spacing w:after="0"/>
        <w:rPr>
          <w:sz w:val="20"/>
          <w:szCs w:val="20"/>
          <w:color w:val="auto"/>
        </w:rPr>
      </w:pPr>
      <w:r>
        <w:rPr>
          <w:rFonts w:ascii="Arial" w:cs="Arial" w:eastAsia="Arial" w:hAnsi="Arial"/>
          <w:sz w:val="17"/>
          <w:szCs w:val="17"/>
          <w:color w:val="auto"/>
        </w:rPr>
        <w:t>(Registrant’s telephone number, including area code)</w:t>
      </w:r>
    </w:p>
    <w:p>
      <w:pPr>
        <w:spacing w:after="0" w:line="233" w:lineRule="exact"/>
        <w:rPr>
          <w:sz w:val="24"/>
          <w:szCs w:val="24"/>
          <w:color w:val="auto"/>
        </w:rPr>
      </w:pPr>
    </w:p>
    <w:p>
      <w:pPr>
        <w:ind w:right="6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831850</wp:posOffset>
            </wp:positionV>
            <wp:extent cx="72574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60"/>
          </w:cols>
          <w:pgMar w:left="240" w:top="976" w:right="7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9"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On October 28, 2010, the Company entered into separate privately negotiated agreements with certain holders of its 1.875% Convertible Senior Notes due 2014 (the “2014 Notes”) to exchange in a private placement (the “Exchange Transaction”) $175.0 million in aggregate principal amount of the 2014 Notes for $175.0 million in aggregate principal amount of new 1.875% Convertible Senior Notes due 2027 (the “New Notes”) of the Company.</w:t>
      </w:r>
    </w:p>
    <w:p>
      <w:pPr>
        <w:spacing w:after="0" w:line="202"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In addition to the Exchange Transaction, the Company also entered into separate privately negotiated agreements with certain holders of its 2014 Notes to repurchase $175.9 million in aggregate principal amount of the 2014 Notes for $170.6 million in cash (the “2014 Notes Repurchase”). The Exchange Transaction and the 2014 Notes Repurchase will together retire $350.9 million in aggregate principal amount of the 2014 Notes.</w:t>
      </w:r>
    </w:p>
    <w:p>
      <w:pPr>
        <w:spacing w:after="0" w:line="202"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The Company also entered into separate privately negotiated agreements with certain holders of its 4.25% Convertible Senior Notes due 2013 (the “2013 Notes”) to repurchase $91.1 million in aggregate principal amount of the 2013 Notes for $166.5 million in cash (the “2013 Notes Repurchase”).</w:t>
      </w:r>
    </w:p>
    <w:p>
      <w:pPr>
        <w:spacing w:after="0" w:line="189"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The Company expects that the issuance of New Notes in the Exchange Transaction, the 2014 Notes Repurchase and the 2013 Notes Repurchase will each close on November 3, 2010.</w:t>
      </w:r>
    </w:p>
    <w:p>
      <w:pPr>
        <w:spacing w:after="0" w:line="189"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The New Notes will have an interest rate of 1.875% per year, payable in cash semi-annually in arrears on June 1 and December 1 of each year, beginning June 1, 2011. The New Notes will mature on June 1, 2027, unless earlier repurchased or converted. The New Notes will have an initial conversion rate of 91.7431 shares of the Company’s common stock, par value $0.10 per share (“Common Stock”), per $1,000 principal amount of New Notes, subject to adjustment, and will be convertible into (a) cash up to the aggregate principal amount of New Notes, and (b) shares of the Company’s Common Stock or cash, at the Company’s election, for the remainder, if any, of the Company’s conversion obligation. Prior to March 1, 2027, such conversion will be subject to the satisfaction of certain conditions set forth in the indenture for the New Notes. Holders of the New Notes who convert their New Notes in connection with a make-whole change in control (as defined in the indenture for the New Notes) will, under certain circumstances, be entitled to a make-whole premium in the form of an increase in the conversion</w:t>
      </w:r>
    </w:p>
    <w:p>
      <w:pPr>
        <w:spacing w:after="0" w:line="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rate. Additionally, (i) in the event of a change in control or (ii) on June 1, 2017, holders of the New Notes may require the Company to repurchase all or a portion of their New Notes at a repurchase price equal to 100% of the principal amount of New Notes, plus accrued and unpaid interest, if any, to, but excluding, the applicable repurchase date. The Company may elect to redeem all or any portion of the New Notes on or after June 1, 2014, at a redemption price equal to 100% of the principal amount of New Notes, plus accrued and unpaid interest, if any, to, but excluding, the redemption date.</w:t>
      </w:r>
    </w:p>
    <w:p>
      <w:pPr>
        <w:spacing w:after="0" w:line="207"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The Company may elect to terminate the conversion right of the New Notes if the daily volume weighted average price of the Company’s Common Stock is greater than or equal to 130% of the conversion price for at least 20 trading days during any 30 consecutive trading day period.</w:t>
      </w:r>
    </w:p>
    <w:p>
      <w:pPr>
        <w:ind w:right="40"/>
        <w:spacing w:after="0" w:line="303" w:lineRule="auto"/>
        <w:rPr>
          <w:sz w:val="20"/>
          <w:szCs w:val="20"/>
          <w:color w:val="auto"/>
        </w:rPr>
      </w:pPr>
      <w:r>
        <w:rPr>
          <w:rFonts w:ascii="Arial" w:cs="Arial" w:eastAsia="Arial" w:hAnsi="Arial"/>
          <w:sz w:val="15"/>
          <w:szCs w:val="15"/>
          <w:color w:val="auto"/>
        </w:rPr>
        <w:t>If the Company terminates the conversion right prior to June 1, 2014, each holder whose New Notes are converted prior to such termination of the conversion right will receive an additional make-whole payment in an amount equal to the aggregate amount of unpaid interest payments that would have been payable on the converted New Notes from the last day through which interest was paid on the New Notes to, but excluding, June 1, 2014. Subject to the terms and conditions of the indenture for the New Notes, the Company may, at its election, deliver shares of Common Stock in lieu of cash with respect to this make-whole payment.</w:t>
      </w:r>
    </w:p>
    <w:p>
      <w:pPr>
        <w:spacing w:after="0" w:line="17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On October 28, 2010, the Company issued a press release with respect to the issuance of New Notes in the Exchange Transaction, the 2013 Notes Repurchase and the 2014 Notes Repurchase. A copy of this press release is attached as Exhibit 99.1 hereto and incorporated herein by reference.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spacing w:after="0"/>
        <w:tabs>
          <w:tab w:leader="none" w:pos="12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(d) Exhibits.</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following exhibits are filed herewith:</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0" w:type="dxa"/>
            <w:vAlign w:val="bottom"/>
            <w:gridSpan w:val="2"/>
          </w:tcPr>
          <w:p>
            <w:pPr>
              <w:jc w:val="right"/>
              <w:ind w:right="34"/>
              <w:spacing w:after="0"/>
              <w:rPr>
                <w:sz w:val="20"/>
                <w:szCs w:val="20"/>
                <w:color w:val="auto"/>
              </w:rPr>
            </w:pPr>
            <w:r>
              <w:rPr>
                <w:rFonts w:ascii="Arial" w:cs="Arial" w:eastAsia="Arial" w:hAnsi="Arial"/>
                <w:sz w:val="17"/>
                <w:szCs w:val="17"/>
                <w:b w:val="1"/>
                <w:bCs w:val="1"/>
                <w:color w:val="auto"/>
                <w:w w:val="92"/>
              </w:rPr>
              <w:t>Exhibit No.</w:t>
            </w:r>
          </w:p>
        </w:tc>
        <w:tc>
          <w:tcPr>
            <w:tcW w:w="300" w:type="dxa"/>
            <w:vAlign w:val="bottom"/>
          </w:tcPr>
          <w:p>
            <w:pPr>
              <w:spacing w:after="0"/>
              <w:rPr>
                <w:sz w:val="20"/>
                <w:szCs w:val="20"/>
                <w:color w:val="auto"/>
              </w:rPr>
            </w:pPr>
          </w:p>
        </w:tc>
        <w:tc>
          <w:tcPr>
            <w:tcW w:w="10160" w:type="dxa"/>
            <w:vAlign w:val="bottom"/>
          </w:tcPr>
          <w:p>
            <w:pPr>
              <w:jc w:val="right"/>
              <w:ind w:right="4554"/>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94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0160" w:type="dxa"/>
            <w:vAlign w:val="bottom"/>
            <w:tcBorders>
              <w:top w:val="single" w:sz="8" w:color="auto"/>
            </w:tcBorders>
          </w:tcPr>
          <w:p>
            <w:pPr>
              <w:jc w:val="right"/>
              <w:ind w:right="9134"/>
              <w:spacing w:after="0"/>
              <w:rPr>
                <w:sz w:val="20"/>
                <w:szCs w:val="20"/>
                <w:color w:val="auto"/>
              </w:rPr>
            </w:pPr>
            <w:r>
              <w:rPr>
                <w:rFonts w:ascii="Arial" w:cs="Arial" w:eastAsia="Arial" w:hAnsi="Arial"/>
                <w:sz w:val="17"/>
                <w:szCs w:val="17"/>
                <w:color w:val="auto"/>
                <w:w w:val="83"/>
              </w:rPr>
              <w:t>Press Release</w:t>
            </w:r>
          </w:p>
        </w:tc>
      </w:tr>
      <w:tr>
        <w:trPr>
          <w:trHeight w:val="56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60" w:type="dxa"/>
            <w:vAlign w:val="bottom"/>
            <w:gridSpan w:val="2"/>
          </w:tcPr>
          <w:p>
            <w:pPr>
              <w:jc w:val="right"/>
              <w:ind w:right="5574"/>
              <w:spacing w:after="0"/>
              <w:rPr>
                <w:sz w:val="20"/>
                <w:szCs w:val="20"/>
                <w:color w:val="auto"/>
              </w:rPr>
            </w:pPr>
            <w:r>
              <w:rPr>
                <w:rFonts w:ascii="Arial" w:cs="Arial" w:eastAsia="Arial" w:hAnsi="Arial"/>
                <w:sz w:val="17"/>
                <w:szCs w:val="17"/>
                <w:color w:val="auto"/>
              </w:rPr>
              <w:t>2</w:t>
            </w:r>
          </w:p>
        </w:tc>
      </w:tr>
      <w:tr>
        <w:trPr>
          <w:trHeight w:val="114"/>
        </w:trPr>
        <w:tc>
          <w:tcPr>
            <w:tcW w:w="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1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00" w:type="dxa"/>
            <w:vAlign w:val="bottom"/>
          </w:tcPr>
          <w:p>
            <w:pPr>
              <w:spacing w:after="0"/>
              <w:rPr>
                <w:sz w:val="19"/>
                <w:szCs w:val="19"/>
                <w:color w:val="auto"/>
              </w:rPr>
            </w:pPr>
          </w:p>
        </w:tc>
        <w:tc>
          <w:tcPr>
            <w:tcW w:w="6700" w:type="dxa"/>
            <w:vAlign w:val="bottom"/>
            <w:gridSpan w:val="2"/>
          </w:tcPr>
          <w:p>
            <w:pPr>
              <w:ind w:left="248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100" w:type="dxa"/>
            <w:vAlign w:val="bottom"/>
          </w:tcPr>
          <w:p>
            <w:pPr>
              <w:spacing w:after="0"/>
              <w:rPr>
                <w:sz w:val="20"/>
                <w:szCs w:val="20"/>
                <w:color w:val="auto"/>
              </w:rPr>
            </w:pPr>
            <w:r>
              <w:rPr>
                <w:rFonts w:ascii="Arial" w:cs="Arial" w:eastAsia="Arial" w:hAnsi="Arial"/>
                <w:sz w:val="17"/>
                <w:szCs w:val="17"/>
                <w:color w:val="auto"/>
              </w:rPr>
              <w:t>Date: October 28, 2010</w:t>
            </w:r>
          </w:p>
        </w:tc>
        <w:tc>
          <w:tcPr>
            <w:tcW w:w="3240" w:type="dxa"/>
            <w:vAlign w:val="bottom"/>
          </w:tcPr>
          <w:p>
            <w:pPr>
              <w:ind w:left="248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100" w:type="dxa"/>
            <w:vAlign w:val="bottom"/>
          </w:tcPr>
          <w:p>
            <w:pPr>
              <w:spacing w:after="0"/>
              <w:rPr>
                <w:sz w:val="16"/>
                <w:szCs w:val="16"/>
                <w:color w:val="auto"/>
              </w:rPr>
            </w:pPr>
          </w:p>
        </w:tc>
        <w:tc>
          <w:tcPr>
            <w:tcW w:w="3240" w:type="dxa"/>
            <w:vAlign w:val="bottom"/>
          </w:tcPr>
          <w:p>
            <w:pPr>
              <w:ind w:left="2480"/>
              <w:spacing w:after="0" w:line="194" w:lineRule="exact"/>
              <w:rPr>
                <w:sz w:val="20"/>
                <w:szCs w:val="20"/>
                <w:color w:val="auto"/>
              </w:rPr>
            </w:pPr>
            <w:r>
              <w:rPr>
                <w:rFonts w:ascii="Arial" w:cs="Arial" w:eastAsia="Arial" w:hAnsi="Arial"/>
                <w:sz w:val="17"/>
                <w:szCs w:val="17"/>
                <w:color w:val="auto"/>
              </w:rPr>
              <w:t>Name:</w:t>
            </w:r>
          </w:p>
        </w:tc>
        <w:tc>
          <w:tcPr>
            <w:tcW w:w="346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100" w:type="dxa"/>
            <w:vAlign w:val="bottom"/>
          </w:tcPr>
          <w:p>
            <w:pPr>
              <w:spacing w:after="0"/>
              <w:rPr>
                <w:sz w:val="17"/>
                <w:szCs w:val="17"/>
                <w:color w:val="auto"/>
              </w:rPr>
            </w:pPr>
          </w:p>
        </w:tc>
        <w:tc>
          <w:tcPr>
            <w:tcW w:w="3240" w:type="dxa"/>
            <w:vAlign w:val="bottom"/>
          </w:tcPr>
          <w:p>
            <w:pPr>
              <w:ind w:left="2480"/>
              <w:spacing w:after="0"/>
              <w:rPr>
                <w:sz w:val="20"/>
                <w:szCs w:val="20"/>
                <w:color w:val="auto"/>
              </w:rPr>
            </w:pPr>
            <w:r>
              <w:rPr>
                <w:rFonts w:ascii="Arial" w:cs="Arial" w:eastAsia="Arial" w:hAnsi="Arial"/>
                <w:sz w:val="17"/>
                <w:szCs w:val="17"/>
                <w:color w:val="auto"/>
              </w:rPr>
              <w:t>Title:</w:t>
            </w:r>
          </w:p>
        </w:tc>
        <w:tc>
          <w:tcPr>
            <w:tcW w:w="3460" w:type="dxa"/>
            <w:vAlign w:val="bottom"/>
          </w:tcPr>
          <w:p>
            <w:pPr>
              <w:spacing w:after="0"/>
              <w:rPr>
                <w:sz w:val="20"/>
                <w:szCs w:val="20"/>
                <w:color w:val="auto"/>
              </w:rPr>
            </w:pPr>
            <w:r>
              <w:rPr>
                <w:rFonts w:ascii="Arial" w:cs="Arial" w:eastAsia="Arial" w:hAnsi="Arial"/>
                <w:sz w:val="17"/>
                <w:szCs w:val="17"/>
                <w:color w:val="auto"/>
              </w:rPr>
              <w:t>Vice President of Finance and</w:t>
            </w:r>
          </w:p>
        </w:tc>
      </w:tr>
      <w:tr>
        <w:trPr>
          <w:trHeight w:val="217"/>
        </w:trPr>
        <w:tc>
          <w:tcPr>
            <w:tcW w:w="4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jc w:val="center"/>
              <w:ind w:right="1174"/>
              <w:spacing w:after="0"/>
              <w:rPr>
                <w:sz w:val="20"/>
                <w:szCs w:val="20"/>
                <w:color w:val="auto"/>
              </w:rPr>
            </w:pPr>
            <w:r>
              <w:rPr>
                <w:rFonts w:ascii="Arial" w:cs="Arial" w:eastAsia="Arial" w:hAnsi="Arial"/>
                <w:sz w:val="17"/>
                <w:szCs w:val="17"/>
                <w:b w:val="1"/>
                <w:bCs w:val="1"/>
                <w:color w:val="auto"/>
              </w:rPr>
              <w:t>INDEX TO EXHIBITS FILED WITH</w:t>
            </w:r>
          </w:p>
        </w:tc>
      </w:tr>
      <w:tr>
        <w:trPr>
          <w:trHeight w:val="43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tcPr>
          <w:p>
            <w:pPr>
              <w:jc w:val="center"/>
              <w:ind w:right="1154"/>
              <w:spacing w:after="0"/>
              <w:rPr>
                <w:sz w:val="20"/>
                <w:szCs w:val="20"/>
                <w:color w:val="auto"/>
              </w:rPr>
            </w:pPr>
            <w:r>
              <w:rPr>
                <w:rFonts w:ascii="Arial" w:cs="Arial" w:eastAsia="Arial" w:hAnsi="Arial"/>
                <w:sz w:val="17"/>
                <w:szCs w:val="17"/>
                <w:b w:val="1"/>
                <w:bCs w:val="1"/>
                <w:color w:val="auto"/>
                <w:w w:val="98"/>
              </w:rPr>
              <w:t>THE CURRENT REPORT ON FORM 8-K DATED October 28, 2010</w:t>
            </w:r>
          </w:p>
        </w:tc>
      </w:tr>
      <w:tr>
        <w:trPr>
          <w:trHeight w:val="446"/>
        </w:trPr>
        <w:tc>
          <w:tcPr>
            <w:tcW w:w="960" w:type="dxa"/>
            <w:vAlign w:val="bottom"/>
            <w:gridSpan w:val="2"/>
          </w:tcPr>
          <w:p>
            <w:pPr>
              <w:jc w:val="right"/>
              <w:ind w:right="34"/>
              <w:spacing w:after="0"/>
              <w:rPr>
                <w:sz w:val="20"/>
                <w:szCs w:val="20"/>
                <w:color w:val="auto"/>
              </w:rPr>
            </w:pPr>
            <w:r>
              <w:rPr>
                <w:rFonts w:ascii="Arial" w:cs="Arial" w:eastAsia="Arial" w:hAnsi="Arial"/>
                <w:sz w:val="17"/>
                <w:szCs w:val="17"/>
                <w:b w:val="1"/>
                <w:bCs w:val="1"/>
                <w:color w:val="auto"/>
                <w:w w:val="92"/>
              </w:rPr>
              <w:t>Exhibit No.</w:t>
            </w:r>
          </w:p>
        </w:tc>
        <w:tc>
          <w:tcPr>
            <w:tcW w:w="300" w:type="dxa"/>
            <w:vAlign w:val="bottom"/>
          </w:tcPr>
          <w:p>
            <w:pPr>
              <w:spacing w:after="0"/>
              <w:rPr>
                <w:sz w:val="24"/>
                <w:szCs w:val="24"/>
                <w:color w:val="auto"/>
              </w:rPr>
            </w:pPr>
          </w:p>
        </w:tc>
        <w:tc>
          <w:tcPr>
            <w:tcW w:w="10160" w:type="dxa"/>
            <w:vAlign w:val="bottom"/>
          </w:tcPr>
          <w:p>
            <w:pPr>
              <w:ind w:left="466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94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w:t>
            </w:r>
          </w:p>
        </w:tc>
      </w:tr>
      <w:tr>
        <w:trPr>
          <w:trHeight w:val="47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60" w:type="dxa"/>
            <w:vAlign w:val="bottom"/>
            <w:gridSpan w:val="2"/>
          </w:tcPr>
          <w:p>
            <w:pPr>
              <w:spacing w:after="0"/>
              <w:rPr>
                <w:sz w:val="24"/>
                <w:szCs w:val="24"/>
                <w:color w:val="auto"/>
              </w:rPr>
            </w:pPr>
          </w:p>
        </w:tc>
      </w:tr>
      <w:tr>
        <w:trPr>
          <w:trHeight w:val="68"/>
        </w:trPr>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460" w:type="dxa"/>
            <w:vAlign w:val="bottom"/>
            <w:gridSpan w:val="2"/>
            <w:shd w:val="clear" w:color="auto" w:fill="808080"/>
          </w:tcPr>
          <w:p>
            <w:pPr>
              <w:spacing w:after="0"/>
              <w:rPr>
                <w:sz w:val="5"/>
                <w:szCs w:val="5"/>
                <w:color w:val="auto"/>
              </w:rPr>
            </w:pPr>
          </w:p>
        </w:tc>
      </w:tr>
      <w:tr>
        <w:trPr>
          <w:trHeight w:val="29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60" w:type="dxa"/>
            <w:vAlign w:val="bottom"/>
            <w:gridSpan w:val="2"/>
          </w:tcPr>
          <w:p>
            <w:pPr>
              <w:jc w:val="center"/>
              <w:ind w:right="854"/>
              <w:spacing w:after="0"/>
              <w:rPr>
                <w:sz w:val="20"/>
                <w:szCs w:val="20"/>
                <w:color w:val="auto"/>
              </w:rPr>
            </w:pPr>
            <w:r>
              <w:rPr>
                <w:rFonts w:ascii="Arial" w:cs="Arial" w:eastAsia="Arial" w:hAnsi="Arial"/>
                <w:sz w:val="17"/>
                <w:szCs w:val="17"/>
                <w:color w:val="auto"/>
                <w:w w:val="84"/>
              </w:rPr>
              <w:t>4</w:t>
            </w:r>
          </w:p>
        </w:tc>
      </w:tr>
    </w:tbl>
    <w:p>
      <w:pPr>
        <w:sectPr>
          <w:pgSz w:w="11900" w:h="16838" w:orient="portrait"/>
          <w:cols w:equalWidth="0" w:num="1">
            <w:col w:w="11420"/>
          </w:cols>
          <w:pgMar w:left="240" w:top="495" w:right="239" w:bottom="1440"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10568305</wp:posOffset>
            </wp:positionV>
            <wp:extent cx="725741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ind w:left="10180"/>
        <w:spacing w:after="0"/>
        <w:rPr>
          <w:sz w:val="20"/>
          <w:szCs w:val="20"/>
          <w:color w:val="auto"/>
        </w:rPr>
      </w:pPr>
      <w:r>
        <w:rPr>
          <w:rFonts w:ascii="Arial" w:cs="Arial" w:eastAsia="Arial" w:hAnsi="Arial"/>
          <w:sz w:val="21"/>
          <w:szCs w:val="21"/>
          <w:color w:val="auto"/>
        </w:rPr>
        <w:t>EXHIBIT 99.1</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0" w:type="dxa"/>
            <w:vAlign w:val="bottom"/>
          </w:tcPr>
          <w:p>
            <w:pPr>
              <w:spacing w:after="0"/>
              <w:rPr>
                <w:sz w:val="20"/>
                <w:szCs w:val="20"/>
                <w:color w:val="auto"/>
              </w:rPr>
            </w:pPr>
            <w:r>
              <w:rPr>
                <w:rFonts w:ascii="Arial" w:cs="Arial" w:eastAsia="Arial" w:hAnsi="Arial"/>
                <w:sz w:val="17"/>
                <w:szCs w:val="17"/>
                <w:color w:val="auto"/>
              </w:rPr>
              <w:t>Contacts:</w:t>
            </w:r>
          </w:p>
        </w:tc>
        <w:tc>
          <w:tcPr>
            <w:tcW w:w="2380" w:type="dxa"/>
            <w:vAlign w:val="bottom"/>
            <w:gridSpan w:val="2"/>
          </w:tcPr>
          <w:p>
            <w:pPr>
              <w:ind w:left="360"/>
              <w:spacing w:after="0"/>
              <w:rPr>
                <w:sz w:val="20"/>
                <w:szCs w:val="20"/>
                <w:color w:val="auto"/>
              </w:rPr>
            </w:pPr>
            <w:r>
              <w:rPr>
                <w:rFonts w:ascii="Arial" w:cs="Arial" w:eastAsia="Arial" w:hAnsi="Arial"/>
                <w:sz w:val="17"/>
                <w:szCs w:val="17"/>
                <w:color w:val="auto"/>
              </w:rPr>
              <w:t>Kipp A. Bedard</w:t>
            </w:r>
          </w:p>
        </w:tc>
        <w:tc>
          <w:tcPr>
            <w:tcW w:w="1000" w:type="dxa"/>
            <w:vAlign w:val="bottom"/>
          </w:tcPr>
          <w:p>
            <w:pPr>
              <w:spacing w:after="0"/>
              <w:rPr>
                <w:sz w:val="17"/>
                <w:szCs w:val="17"/>
                <w:color w:val="auto"/>
              </w:rPr>
            </w:pPr>
          </w:p>
        </w:tc>
        <w:tc>
          <w:tcPr>
            <w:tcW w:w="3580" w:type="dxa"/>
            <w:vAlign w:val="bottom"/>
            <w:gridSpan w:val="2"/>
          </w:tcPr>
          <w:p>
            <w:pPr>
              <w:ind w:left="400"/>
              <w:spacing w:after="0"/>
              <w:rPr>
                <w:sz w:val="20"/>
                <w:szCs w:val="20"/>
                <w:color w:val="auto"/>
              </w:rPr>
            </w:pPr>
            <w:r>
              <w:rPr>
                <w:rFonts w:ascii="Arial" w:cs="Arial" w:eastAsia="Arial" w:hAnsi="Arial"/>
                <w:sz w:val="17"/>
                <w:szCs w:val="17"/>
                <w:color w:val="auto"/>
              </w:rPr>
              <w:t>Daniel Francisco</w:t>
            </w:r>
          </w:p>
        </w:tc>
      </w:tr>
      <w:tr>
        <w:trPr>
          <w:trHeight w:val="206"/>
        </w:trPr>
        <w:tc>
          <w:tcPr>
            <w:tcW w:w="94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7"/>
                <w:szCs w:val="17"/>
                <w:color w:val="auto"/>
              </w:rPr>
              <w:t>Investor Relations</w:t>
            </w:r>
          </w:p>
        </w:tc>
        <w:tc>
          <w:tcPr>
            <w:tcW w:w="4580" w:type="dxa"/>
            <w:vAlign w:val="bottom"/>
            <w:gridSpan w:val="3"/>
          </w:tcPr>
          <w:p>
            <w:pPr>
              <w:ind w:left="980"/>
              <w:spacing w:after="0"/>
              <w:rPr>
                <w:sz w:val="20"/>
                <w:szCs w:val="20"/>
                <w:color w:val="auto"/>
              </w:rPr>
            </w:pPr>
            <w:r>
              <w:rPr>
                <w:rFonts w:ascii="Arial" w:cs="Arial" w:eastAsia="Arial" w:hAnsi="Arial"/>
                <w:sz w:val="17"/>
                <w:szCs w:val="17"/>
                <w:color w:val="auto"/>
              </w:rPr>
              <w:t>Media Relations</w:t>
            </w:r>
          </w:p>
        </w:tc>
      </w:tr>
      <w:tr>
        <w:trPr>
          <w:trHeight w:val="180"/>
        </w:trPr>
        <w:tc>
          <w:tcPr>
            <w:tcW w:w="940" w:type="dxa"/>
            <w:vAlign w:val="bottom"/>
          </w:tcPr>
          <w:p>
            <w:pPr>
              <w:spacing w:after="0"/>
              <w:rPr>
                <w:sz w:val="15"/>
                <w:szCs w:val="15"/>
                <w:color w:val="auto"/>
              </w:rPr>
            </w:pPr>
          </w:p>
        </w:tc>
        <w:tc>
          <w:tcPr>
            <w:tcW w:w="1540" w:type="dxa"/>
            <w:vAlign w:val="bottom"/>
          </w:tcPr>
          <w:p>
            <w:pPr>
              <w:spacing w:after="0" w:line="180" w:lineRule="exact"/>
              <w:rPr>
                <w:sz w:val="20"/>
                <w:szCs w:val="20"/>
                <w:color w:val="auto"/>
              </w:rPr>
            </w:pPr>
            <w:r>
              <w:rPr>
                <w:rFonts w:ascii="Arial" w:cs="Arial" w:eastAsia="Arial" w:hAnsi="Arial"/>
                <w:sz w:val="17"/>
                <w:szCs w:val="17"/>
                <w:color w:val="auto"/>
                <w:w w:val="91"/>
              </w:rPr>
              <w:t>kbedard@micron.com</w:t>
            </w: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80" w:type="dxa"/>
            <w:vAlign w:val="bottom"/>
            <w:gridSpan w:val="2"/>
          </w:tcPr>
          <w:p>
            <w:pPr>
              <w:spacing w:after="0" w:line="180" w:lineRule="exact"/>
              <w:rPr>
                <w:sz w:val="20"/>
                <w:szCs w:val="20"/>
                <w:color w:val="auto"/>
              </w:rPr>
            </w:pPr>
            <w:r>
              <w:rPr>
                <w:rFonts w:ascii="Arial" w:cs="Arial" w:eastAsia="Arial" w:hAnsi="Arial"/>
                <w:sz w:val="17"/>
                <w:szCs w:val="17"/>
                <w:color w:val="auto"/>
              </w:rPr>
              <w:t>dfrancisco@micron.com</w:t>
            </w:r>
          </w:p>
        </w:tc>
      </w:tr>
      <w:tr>
        <w:trPr>
          <w:trHeight w:val="224"/>
        </w:trPr>
        <w:tc>
          <w:tcPr>
            <w:tcW w:w="9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(208) 368-4465</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tcBorders>
              <w:top w:val="single" w:sz="8" w:color="auto"/>
            </w:tcBorders>
          </w:tcPr>
          <w:p>
            <w:pPr>
              <w:jc w:val="right"/>
              <w:ind w:right="394"/>
              <w:spacing w:after="0"/>
              <w:rPr>
                <w:sz w:val="20"/>
                <w:szCs w:val="20"/>
                <w:color w:val="auto"/>
              </w:rPr>
            </w:pPr>
            <w:r>
              <w:rPr>
                <w:rFonts w:ascii="Arial" w:cs="Arial" w:eastAsia="Arial" w:hAnsi="Arial"/>
                <w:sz w:val="17"/>
                <w:szCs w:val="17"/>
                <w:color w:val="auto"/>
              </w:rPr>
              <w:t>(208) 368-5584</w:t>
            </w:r>
          </w:p>
        </w:tc>
        <w:tc>
          <w:tcPr>
            <w:tcW w:w="1880" w:type="dxa"/>
            <w:vAlign w:val="bottom"/>
          </w:tcPr>
          <w:p>
            <w:pPr>
              <w:spacing w:after="0"/>
              <w:rPr>
                <w:sz w:val="19"/>
                <w:szCs w:val="19"/>
                <w:color w:val="auto"/>
              </w:rPr>
            </w:pPr>
          </w:p>
        </w:tc>
      </w:tr>
      <w:tr>
        <w:trPr>
          <w:trHeight w:val="422"/>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MICRON ANNOUNCES BUY BACK</w:t>
            </w:r>
          </w:p>
        </w:tc>
      </w:tr>
      <w:tr>
        <w:trPr>
          <w:trHeight w:val="223"/>
        </w:trPr>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80" w:type="dxa"/>
            <w:vAlign w:val="bottom"/>
            <w:gridSpan w:val="3"/>
          </w:tcPr>
          <w:p>
            <w:pPr>
              <w:jc w:val="center"/>
              <w:ind w:left="734"/>
              <w:spacing w:after="0"/>
              <w:rPr>
                <w:sz w:val="20"/>
                <w:szCs w:val="20"/>
                <w:color w:val="auto"/>
              </w:rPr>
            </w:pPr>
            <w:r>
              <w:rPr>
                <w:rFonts w:ascii="Arial" w:cs="Arial" w:eastAsia="Arial" w:hAnsi="Arial"/>
                <w:sz w:val="17"/>
                <w:szCs w:val="17"/>
                <w:b w:val="1"/>
                <w:bCs w:val="1"/>
                <w:color w:val="auto"/>
              </w:rPr>
              <w:t>AND REFINANCING OF CONVERTIBLE DEBT</w:t>
            </w:r>
          </w:p>
        </w:tc>
      </w:tr>
    </w:tbl>
    <w:p>
      <w:pPr>
        <w:spacing w:after="0" w:line="2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 xml:space="preserve">BOISE, Idaho, Oct. 28, 2010 </w:t>
      </w:r>
      <w:r>
        <w:rPr>
          <w:rFonts w:ascii="Arial" w:cs="Arial" w:eastAsia="Arial" w:hAnsi="Arial"/>
          <w:sz w:val="16"/>
          <w:szCs w:val="16"/>
          <w:color w:val="auto"/>
        </w:rPr>
        <w:t>– Micron Technology, Inc., (NASDAQ: MU) today announced that the Company has entered into separate privately negotiated</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exchange agreements under which it will repurchase $91 million in principal amount of its 4.25% Convertible Senior Notes due 2013 (“4.25% Notes”), repurchase $176 million in principal amount of its 1.875% Convertible Senior Notes due 2014 (“Existing 1.875% Notes”) and exchange $175 million of the Existing 1.875% Notes for $175 million in aggregate principal amount of new 1.875% Convertible Senior Notes due 2027 (“New 1.875% Notes”).</w:t>
      </w:r>
    </w:p>
    <w:p>
      <w:pPr>
        <w:spacing w:after="0" w:line="187"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Following the repurchase and exchange transactions, Micron will have outstanding $139 million of the 4.25% Notes, $949 million of the Existing 1.875% Notes and $175 million of the New 1.875% Notes, in principal amounts.</w:t>
      </w:r>
    </w:p>
    <w:p>
      <w:pPr>
        <w:spacing w:after="0" w:line="39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“These transactions are intended to take advantage of our strong balance sheet and favorable capital markets,” said Ron Foster, Micron Chief Financial Officer. “It is also structured to reduce our cost of capital and dilution.”</w:t>
      </w:r>
    </w:p>
    <w:p>
      <w:pPr>
        <w:spacing w:after="0" w:line="189"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 connection with these transactions, the Company expects to record a one-time charge of approximately $90 million in its first quarter of fiscal 2011. Additionally, the repurchase of $91 million of 4.25% Notes and $176 million of Existing 1.875% Notes is expected to reduce shares used in the Company’s fully diluted calculation by approximately 43 million beginning in its second quarter of fiscal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New 1.875% Notes</w:t>
      </w:r>
    </w:p>
    <w:p>
      <w:pPr>
        <w:spacing w:after="0" w:line="28"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The New 1.875% Notes will be convertible under certain circumstances, at the holder’s option, at an initial conversion rate of 91.7431 common shares per $1,000 principal amount. Upon conversion, holders will receive cash up to the principal amount, and any excess value will be delivered, at the Company’s election, in cash, common stock or a combination of cash and common stock. Holders of the New 1.875% Notes will have the option to require the company to purchase the notes on June 1, 2017, and in certain other circumstances, at a price equal to 100 percent of the principal amount of notes plus accrued and unpaid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 full range of DRAM, NAND and NOR flash memory, as well as other innovative memory technologies, packaging solutions and semiconductor systems for use in lead edge computing, consumer, networking, embedded and mobile products. Micron’s common stock is traded on the NASDAQ under the MU symbol. To learn more abo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0" w:lineRule="exact"/>
        <w:rPr>
          <w:sz w:val="20"/>
          <w:szCs w:val="20"/>
          <w:color w:val="auto"/>
        </w:rPr>
      </w:pPr>
    </w:p>
    <w:p>
      <w:pPr>
        <w:spacing w:after="0" w:line="27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i w:val="1"/>
          <w:iCs w:val="1"/>
          <w:color w:val="auto"/>
        </w:rPr>
        <w:t>This press release contains forward-looking statements regarding the amount of the one-time charge to be recorded and the change to fully diluted shares. Actual events or results may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our forward-looking statements (see Certain Factors). Although we believe that the expectations reflected in the forward-looking statements are reasonable, we cannot guarantee future results, levels of activity, p 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532765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2019-12-10T05:39:31Z</dcterms:created>
  <dcterms:modified xsi:type="dcterms:W3CDTF">2019-12-10T05:39:31Z</dcterms:modified>
</cp:coreProperties>
</file>