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634"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634"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634"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469" w:right="1440" w:bottom="634"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2190115</wp:posOffset>
            </wp:positionH>
            <wp:positionV relativeFrom="page">
              <wp:posOffset>88900</wp:posOffset>
            </wp:positionV>
            <wp:extent cx="319024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90240" cy="87503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2010 Annual Meeting of Shareholders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16,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25"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NOTICE IS HEREBY GIVEN that the 2010 Annual Meeting of Shareholders of Micron Technology, Inc., a Delaware corporation (the "Company"), will be held on December 16, 2010, at 9:00 a.m., Mountain Standard Time, at the Company's headquarters located at 8000 South Federal Way, Boise, Idaho 83716-9632, for the following purposes: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2007 Equity Incentive Plan to increase the number of shares reserved for issuance thereunder by 20,000,000;</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of the Company for the fiscal year ending September 1, 2011;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Only shareholders of record at the close of business on October 18, 2010, are entitled to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197"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2010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Instead, the Notice also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2" w:lineRule="exact"/>
        <w:rPr>
          <w:sz w:val="20"/>
          <w:szCs w:val="20"/>
          <w:color w:val="auto"/>
        </w:rPr>
      </w:pPr>
    </w:p>
    <w:p>
      <w:pPr>
        <w:jc w:val="both"/>
        <w:ind w:firstLine="396"/>
        <w:spacing w:after="0" w:line="332"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39"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19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Roderic W. Lewis</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General Counsel &amp;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5, 2010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2190115</wp:posOffset>
            </wp:positionH>
            <wp:positionV relativeFrom="page">
              <wp:posOffset>88900</wp:posOffset>
            </wp:positionV>
            <wp:extent cx="3190240"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190240" cy="87503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16,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proxy is furnished in connection with the solicitation of proxies on behalf of the Board of Directors of Micron Technology, Inc. (the "Company"), for use at the 2010 Annual Meeting of Shareholders to be held on December 16, 2010, at 9:00 a.m., Mountain Standard Time, or at any adjournment or postponement thereof (the "Annual Meeting"). The purpose of the Annual Meeting is set forth herein and in the accompanying Notice of 2010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and related proxy card are first being distributed on or about November 5, 2010, to all shareholders entitled to vote at the meeting.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www.proxydocs.com/mu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Vote by telephone using the instructions on the proxy card or voting instruction card if you received a paper copy of the proxy materials;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20" w:firstLine="357"/>
        <w:spacing w:after="0" w:line="332" w:lineRule="auto"/>
        <w:rPr>
          <w:sz w:val="20"/>
          <w:szCs w:val="20"/>
          <w:color w:val="auto"/>
        </w:rPr>
      </w:pPr>
      <w:r>
        <w:rPr>
          <w:rFonts w:ascii="Arial" w:cs="Arial" w:eastAsia="Arial" w:hAnsi="Arial"/>
          <w:sz w:val="16"/>
          <w:szCs w:val="16"/>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December 15,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October 18, 2010 (the "Record Date") are entitled to notice of and to vote at the meeting.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Revocability of Proxy</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 but prior to the date of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or Internet. The Company intends to use the services of Phoenix Advisory Partners, a proxy solicitation firm, in connection with the solicitation of proxies. Although the exact cost of the solicitation services is not known at this time, it is anticipated that the fees paid by the Company for these services will be approximately $12,500.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31"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The Company has one class of stock outstanding, common stock, $.10 par value per share (the "Common Stock"). At October 18, 2010, the Record Date, 996,244,449 shares of Common Stock were issued and outstanding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31"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Under the Delaware General Corporation Law and the Company's Restated Certificate of Incorporation and its Bylaws, each shareholder will be entitled to one vote for each share of the Company's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the Company's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74" w:lineRule="exact"/>
        <w:rPr>
          <w:sz w:val="20"/>
          <w:szCs w:val="20"/>
          <w:color w:val="auto"/>
        </w:rPr>
      </w:pPr>
    </w:p>
    <w:p>
      <w:pPr>
        <w:jc w:val="both"/>
        <w:ind w:firstLine="503"/>
        <w:spacing w:after="0" w:line="298"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the election of directors or equity compensation plans unless the broker or nominee receives specific voting instructions from the beneficial owner of the shares. As a result, absent specific instructions, brokers or nominees may not vote a beneficial owner's shares on Items 1 and 2 and such shares will be considered "broker non-votes" for such proposals.</w:t>
      </w:r>
    </w:p>
    <w:p>
      <w:pPr>
        <w:spacing w:after="0" w:line="167" w:lineRule="exact"/>
        <w:rPr>
          <w:sz w:val="20"/>
          <w:szCs w:val="20"/>
          <w:color w:val="auto"/>
        </w:rPr>
      </w:pPr>
    </w:p>
    <w:p>
      <w:pPr>
        <w:jc w:val="both"/>
        <w:ind w:firstLine="436"/>
        <w:spacing w:after="0" w:line="33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each other item of business, the "FOR" vote of a majority of the Votes Cast is required in order for such matter to be considered approved by the shareholders.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both"/>
        <w:ind w:firstLine="390"/>
        <w:spacing w:after="0" w:line="291" w:lineRule="auto"/>
        <w:rPr>
          <w:sz w:val="20"/>
          <w:szCs w:val="20"/>
          <w:color w:val="auto"/>
        </w:rPr>
      </w:pPr>
      <w:r>
        <w:rPr>
          <w:rFonts w:ascii="Arial" w:cs="Arial" w:eastAsia="Arial" w:hAnsi="Arial"/>
          <w:sz w:val="16"/>
          <w:szCs w:val="16"/>
          <w:color w:val="auto"/>
        </w:rPr>
        <w:t>Cumulative voting for the election of directors shall not be required unless a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the Company, the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Company's 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the Company's 2007 Equity Incentive Plan,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the Independent Registered Public Accounting Firm of the Company for the fiscal year ending September 1, 2011, and (iv) in the discretion of the proxy holders for such business which may properly come before the Annual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PROPOSAL 1—ELECTION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The Company's Bylaws currently authorize a Board of Directors comprised of seven members. A board of seven directors is to be elected at the Annual Meeting, all of whom have been recommended for nomination by a majority of the independent directors of the Board of Directors and all of whom are currently serving as directors of the Company. Unless otherwise instructed, the proxy holders will vote the proxies received by them for management's seven nominees named below.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Served as a</w:t>
            </w:r>
          </w:p>
        </w:tc>
        <w:tc>
          <w:tcPr>
            <w:tcW w:w="1620" w:type="dxa"/>
            <w:vAlign w:val="bottom"/>
            <w:gridSpan w:val="7"/>
          </w:tcPr>
          <w:p>
            <w:pPr>
              <w:ind w:left="140"/>
              <w:spacing w:after="0"/>
              <w:rPr>
                <w:sz w:val="20"/>
                <w:szCs w:val="20"/>
                <w:color w:val="auto"/>
              </w:rPr>
            </w:pPr>
            <w:r>
              <w:rPr>
                <w:rFonts w:ascii="Arial" w:cs="Arial" w:eastAsia="Arial" w:hAnsi="Arial"/>
                <w:sz w:val="14"/>
                <w:szCs w:val="14"/>
                <w:b w:val="1"/>
                <w:bCs w:val="1"/>
                <w:color w:val="auto"/>
              </w:rPr>
              <w:t>Board Committees*</w:t>
            </w:r>
          </w:p>
        </w:tc>
        <w:tc>
          <w:tcPr>
            <w:tcW w:w="0" w:type="dxa"/>
            <w:vAlign w:val="bottom"/>
          </w:tcPr>
          <w:p>
            <w:pPr>
              <w:spacing w:after="0"/>
              <w:rPr>
                <w:sz w:val="1"/>
                <w:szCs w:val="1"/>
                <w:color w:val="auto"/>
              </w:rPr>
            </w:pPr>
          </w:p>
        </w:tc>
      </w:tr>
      <w:tr>
        <w:trPr>
          <w:trHeight w:val="142"/>
        </w:trPr>
        <w:tc>
          <w:tcPr>
            <w:tcW w:w="2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of Nominee</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2"/>
                <w:szCs w:val="12"/>
                <w:color w:val="auto"/>
              </w:rPr>
            </w:pPr>
          </w:p>
        </w:tc>
        <w:tc>
          <w:tcPr>
            <w:tcW w:w="3720" w:type="dxa"/>
            <w:vAlign w:val="bottom"/>
            <w:gridSpan w:val="2"/>
          </w:tcPr>
          <w:p>
            <w:pPr>
              <w:ind w:left="1160"/>
              <w:spacing w:after="0" w:line="142" w:lineRule="exact"/>
              <w:rPr>
                <w:sz w:val="20"/>
                <w:szCs w:val="20"/>
                <w:color w:val="auto"/>
              </w:rPr>
            </w:pPr>
            <w:r>
              <w:rPr>
                <w:rFonts w:ascii="Arial" w:cs="Arial" w:eastAsia="Arial" w:hAnsi="Arial"/>
                <w:sz w:val="14"/>
                <w:szCs w:val="14"/>
                <w:b w:val="1"/>
                <w:bCs w:val="1"/>
                <w:color w:val="auto"/>
              </w:rPr>
              <w:t>Principal Occupation</w:t>
            </w:r>
          </w:p>
        </w:tc>
        <w:tc>
          <w:tcPr>
            <w:tcW w:w="11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Director Since</w:t>
            </w:r>
          </w:p>
        </w:tc>
        <w:tc>
          <w:tcPr>
            <w:tcW w:w="2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8"/>
              </w:rPr>
              <w:t>A</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Teruaki Aoki</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President of Sony University of Sony Corporation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Chairman and Chief Executive Officer of the</w:t>
            </w:r>
          </w:p>
        </w:tc>
        <w:tc>
          <w:tcPr>
            <w:tcW w:w="1020" w:type="dxa"/>
            <w:vAlign w:val="bottom"/>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color w:val="auto"/>
              </w:rPr>
              <w:t>Company</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Chairman of Lam Research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Robert L. Bailey</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Chairman of PMC-Sierra, Inc.</w:t>
            </w:r>
          </w:p>
        </w:tc>
        <w:tc>
          <w:tcPr>
            <w:tcW w:w="102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Former Chief Financial Officer of Avago</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Technologies Limited</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w w:val="96"/>
              </w:rPr>
              <w:t>Former President and Chief Executive Officer of</w:t>
            </w:r>
          </w:p>
        </w:tc>
        <w:tc>
          <w:tcPr>
            <w:tcW w:w="1020" w:type="dxa"/>
            <w:vAlign w:val="bottom"/>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color w:val="auto"/>
              </w:rPr>
              <w:t>CSK Auto Corporation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Chairman, President and Chief Executive Officer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ADC Telecommunications, Inc.</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60" w:right="3900" w:firstLine="789"/>
        <w:spacing w:after="0" w:line="563" w:lineRule="auto"/>
        <w:tabs>
          <w:tab w:leader="none" w:pos="169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 Audit Committee, C = Compensation Committee, G = Governance Committee Set forth below are the principal occupations of the nominees for at least the past five years:</w:t>
      </w:r>
    </w:p>
    <w:p>
      <w:pPr>
        <w:spacing w:after="0" w:line="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i w:val="1"/>
          <w:iCs w:val="1"/>
          <w:color w:val="auto"/>
        </w:rPr>
        <w:t xml:space="preserve">Teruaki Aoki </w:t>
      </w:r>
      <w:r>
        <w:rPr>
          <w:rFonts w:ascii="Arial" w:cs="Arial" w:eastAsia="Arial" w:hAnsi="Arial"/>
          <w:sz w:val="16"/>
          <w:szCs w:val="16"/>
          <w:color w:val="auto"/>
        </w:rPr>
        <w:t>has served as President of Sony University of Sony Corporation since April 2005. Dr. Aoki has been associated with Sony since 1970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executive 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Life Associate of the Kellogg School of Management of Northwestern University. Dr. Aoki currently serves on the board of Citizen Holdings Co., Ltd. and has served on the board of Kellogg School of Management of Northwestern University during the past five years. Dr. Aoki is the Chairman of the Board's Compensation Committee.</w:t>
      </w:r>
    </w:p>
    <w:p>
      <w:pPr>
        <w:spacing w:after="0" w:line="174" w:lineRule="exact"/>
        <w:rPr>
          <w:sz w:val="20"/>
          <w:szCs w:val="20"/>
          <w:color w:val="auto"/>
        </w:rPr>
      </w:pPr>
    </w:p>
    <w:p>
      <w:pPr>
        <w:jc w:val="both"/>
        <w:ind w:firstLine="508"/>
        <w:spacing w:after="0" w:line="268" w:lineRule="auto"/>
        <w:rPr>
          <w:sz w:val="20"/>
          <w:szCs w:val="20"/>
          <w:color w:val="auto"/>
        </w:rPr>
      </w:pPr>
      <w:r>
        <w:rPr>
          <w:rFonts w:ascii="Arial" w:cs="Arial" w:eastAsia="Arial" w:hAnsi="Arial"/>
          <w:sz w:val="18"/>
          <w:szCs w:val="18"/>
          <w:color w:val="auto"/>
        </w:rPr>
        <w:t>Dr. Aoki's experience with Sony over the past 40 years has given him expertise in international business, operations, management and the technology industry.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ind w:firstLine="446"/>
        <w:spacing w:after="0" w:line="291" w:lineRule="auto"/>
        <w:rPr>
          <w:sz w:val="20"/>
          <w:szCs w:val="20"/>
          <w:color w:val="auto"/>
        </w:rPr>
      </w:pPr>
      <w:r>
        <w:rPr>
          <w:rFonts w:ascii="Arial" w:cs="Arial" w:eastAsia="Arial" w:hAnsi="Arial"/>
          <w:sz w:val="16"/>
          <w:szCs w:val="16"/>
          <w:i w:val="1"/>
          <w:iCs w:val="1"/>
          <w:color w:val="auto"/>
        </w:rPr>
        <w:t xml:space="preserve">Steven R. Appleton </w:t>
      </w:r>
      <w:r>
        <w:rPr>
          <w:rFonts w:ascii="Arial" w:cs="Arial" w:eastAsia="Arial" w:hAnsi="Arial"/>
          <w:sz w:val="16"/>
          <w:szCs w:val="16"/>
          <w:color w:val="auto"/>
        </w:rPr>
        <w:t>joined the Company in February 1983 and has served in various capacities with the Company and its subsidiaries. Mr. Appleton first</w:t>
      </w:r>
      <w:r>
        <w:rPr>
          <w:rFonts w:ascii="Arial" w:cs="Arial" w:eastAsia="Arial" w:hAnsi="Arial"/>
          <w:sz w:val="16"/>
          <w:szCs w:val="16"/>
          <w:i w:val="1"/>
          <w:iCs w:val="1"/>
          <w:color w:val="auto"/>
        </w:rPr>
        <w:t xml:space="preserve"> </w:t>
      </w:r>
      <w:r>
        <w:rPr>
          <w:rFonts w:ascii="Arial" w:cs="Arial" w:eastAsia="Arial" w:hAnsi="Arial"/>
          <w:sz w:val="16"/>
          <w:szCs w:val="16"/>
          <w:color w:val="auto"/>
        </w:rPr>
        <w:t>became an officer of the Company in August 1989 and has served in various officer 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Since June 2007, Mr. Appleton served as the Company's Chief Executive Officer and Chairman of the Board. Mr. Appleton has served on the Board of Directors of National Semiconductor Corporation since 2001. Mr. Appleton holds a BA in Business Management from Boise State University.</w:t>
      </w:r>
    </w:p>
    <w:p>
      <w:pPr>
        <w:spacing w:after="0" w:line="174" w:lineRule="exact"/>
        <w:rPr>
          <w:sz w:val="20"/>
          <w:szCs w:val="20"/>
          <w:color w:val="auto"/>
        </w:rPr>
      </w:pPr>
    </w:p>
    <w:p>
      <w:pPr>
        <w:jc w:val="both"/>
        <w:ind w:firstLine="546"/>
        <w:spacing w:after="0" w:line="332" w:lineRule="auto"/>
        <w:rPr>
          <w:sz w:val="20"/>
          <w:szCs w:val="20"/>
          <w:color w:val="auto"/>
        </w:rPr>
      </w:pPr>
      <w:r>
        <w:rPr>
          <w:rFonts w:ascii="Arial" w:cs="Arial" w:eastAsia="Arial" w:hAnsi="Arial"/>
          <w:sz w:val="16"/>
          <w:szCs w:val="16"/>
          <w:color w:val="auto"/>
        </w:rPr>
        <w:t>Mr. Appleton has been with the Company for over 25 years and his experiences have given him extensive expertise in the Company's business and operations. He has also developed expertise in the areas of finance, corporate development, corporate governance, business strategy and management.</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i w:val="1"/>
          <w:iCs w:val="1"/>
          <w:color w:val="auto"/>
        </w:rPr>
        <w:t xml:space="preserve">James W. Bagley </w:t>
      </w:r>
      <w:r>
        <w:rPr>
          <w:rFonts w:ascii="Arial" w:cs="Arial" w:eastAsia="Arial" w:hAnsi="Arial"/>
          <w:sz w:val="18"/>
          <w:szCs w:val="18"/>
          <w:color w:val="auto"/>
        </w:rPr>
        <w:t>became the Executive Chairman of Lam Research Corporation ("Lam"), a supplier of semiconductor manufacturing equipment,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2005. From August 1997 through June 2005, Mr. Bagley served as the Chairman and Chief Executive Officer of Lam. Mr. Bagley currently serves as a member of the Board of Directors of Teradyne, Inc. He has served on the Company's Board of Directors since June 1997. Mr. Bagley holds a MS and BS in Electrical Engineering from Mississippi State University.</w:t>
      </w:r>
    </w:p>
    <w:p>
      <w:pPr>
        <w:spacing w:after="0" w:line="197"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Mr. Bagley's experience as CEO and Chairman of a leading semiconductor manufacturer supplier has given him expertise in the semiconductor industry as well business operations, management and finance.</w:t>
      </w:r>
    </w:p>
    <w:p>
      <w:pPr>
        <w:spacing w:after="0" w:line="18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Robert L. Bailey </w:t>
      </w:r>
      <w:r>
        <w:rPr>
          <w:rFonts w:ascii="Arial" w:cs="Arial" w:eastAsia="Arial" w:hAnsi="Arial"/>
          <w:sz w:val="18"/>
          <w:szCs w:val="18"/>
          <w:color w:val="auto"/>
        </w:rPr>
        <w:t>currently is Chairman of the Board of Directors of PMC-Sierra ("PMC") since 2005 and also served as PMC's Chairman from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2000 until February 2003. Mr. Bailey has been a director of PMC since October 1996. He also served as the President and Chief Executive Officer of PMC from July 1997 until May 2008. PMC is a leading provider of broadband communication and semiconductor storage solutions for the Internet. Mr. Bailey currently serves on the Board of Directors of Entropic Communications, Inc. Mr. Bailey holds a BS degree in Electrical Engineering from the University of Bridgeport and an MBA from the University of Dallas.</w:t>
      </w:r>
    </w:p>
    <w:p>
      <w:pPr>
        <w:spacing w:after="0" w:line="197" w:lineRule="exact"/>
        <w:rPr>
          <w:sz w:val="20"/>
          <w:szCs w:val="20"/>
          <w:color w:val="auto"/>
        </w:rPr>
      </w:pPr>
    </w:p>
    <w:p>
      <w:pPr>
        <w:jc w:val="both"/>
        <w:ind w:firstLine="520"/>
        <w:spacing w:after="0" w:line="268" w:lineRule="auto"/>
        <w:rPr>
          <w:sz w:val="20"/>
          <w:szCs w:val="20"/>
          <w:color w:val="auto"/>
        </w:rPr>
      </w:pPr>
      <w:r>
        <w:rPr>
          <w:rFonts w:ascii="Arial" w:cs="Arial" w:eastAsia="Arial" w:hAnsi="Arial"/>
          <w:sz w:val="18"/>
          <w:szCs w:val="18"/>
          <w:color w:val="auto"/>
        </w:rPr>
        <w:t>Mr. Bailey's experience as CEO and Chairman of a leading technology company has given him expertise in the technology industry as well business operations, finance, corporate development, corporate governance and management.</w:t>
      </w:r>
    </w:p>
    <w:p>
      <w:pPr>
        <w:spacing w:after="0" w:line="186"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industrial and consumer applications, from December 2005 to August 2008. Prior to that, she served as the Senior Vice President, Finance, of Lam from June 2004 to January 2005 and as Lam's Chief Financial Officer from May 1997 to May 2004. Ms. Johnson holds a degree in Accounting from the University of Buenos Aires and currently serves on the Board of Directors for Intersil Corporation. Ms. Johnson is the Chairman of the Board's Audit Committee.</w:t>
      </w:r>
    </w:p>
    <w:p>
      <w:pPr>
        <w:spacing w:after="0" w:line="167" w:lineRule="exact"/>
        <w:rPr>
          <w:sz w:val="20"/>
          <w:szCs w:val="20"/>
          <w:color w:val="auto"/>
        </w:rPr>
      </w:pPr>
    </w:p>
    <w:p>
      <w:pPr>
        <w:jc w:val="both"/>
        <w:ind w:firstLine="451"/>
        <w:spacing w:after="0" w:line="268" w:lineRule="auto"/>
        <w:rPr>
          <w:sz w:val="20"/>
          <w:szCs w:val="20"/>
          <w:color w:val="auto"/>
        </w:rPr>
      </w:pPr>
      <w:r>
        <w:rPr>
          <w:rFonts w:ascii="Arial" w:cs="Arial" w:eastAsia="Arial" w:hAnsi="Arial"/>
          <w:sz w:val="18"/>
          <w:szCs w:val="18"/>
          <w:color w:val="auto"/>
        </w:rPr>
        <w:t>Ms. Johnson's experience as the CFO of several technology companies has given her expertise in finance, corporate development, corporate governance, management and operations.</w:t>
      </w:r>
    </w:p>
    <w:p>
      <w:pPr>
        <w:spacing w:after="0" w:line="186"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was the President and Chief Executive Officer of CSK Auto Corporation ("CSK"), a specialty retailer of automotive aftermarket parts,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August 2007 to July 2008. Prior to his appointment at CSK, Mr. Mondry served as the Chief Executive Officer of CompUSA Inc. from November 2003 to May 2006. Mr. Mondry joined CompUSA in 1990. Mr. Mondry has served on the board of Golfsmith, Inc. during the past five years. Mr. Mondry is the Chairman of the Board's Governance Committee and Presiding Director.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ind w:left="600"/>
        <w:spacing w:after="0"/>
        <w:rPr>
          <w:sz w:val="20"/>
          <w:szCs w:val="20"/>
          <w:color w:val="auto"/>
        </w:rPr>
      </w:pPr>
      <w:r>
        <w:rPr>
          <w:rFonts w:ascii="Arial" w:cs="Arial" w:eastAsia="Arial" w:hAnsi="Arial"/>
          <w:sz w:val="16"/>
          <w:szCs w:val="16"/>
          <w:color w:val="auto"/>
        </w:rPr>
        <w:t>Mr. Mondry's experience as the CEO of various retailers has given him expertise in operations, management, finance and corporate development.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Mondry's retail expertise is especially relevant to the Company's Lexar and Crucial business.</w:t>
      </w:r>
    </w:p>
    <w:p>
      <w:pPr>
        <w:spacing w:after="0" w:line="219"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is currently Chairman, President and Chief Executive Officer of ADC Tele-communications, Inc. ("ADC"), a supplier of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products and services. Mr. Switz has been President and Chief Executive Officer of ADC since August 2003 and Chairman since July 2008. He has been with ADC since 1994 and prior to his current position, served ADC as Executive Vice President and Chief Financial Officer. Mr. Switz holds an MBA from the University of Bridgeport as well as a degree in Marketing/Economics from Quinnipiac University. Mr. Switz currently serves on the Board of Directors for ADC and Broadcom Corporation.</w:t>
      </w:r>
    </w:p>
    <w:p>
      <w:pPr>
        <w:spacing w:after="0" w:line="197"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8"/>
          <w:szCs w:val="18"/>
          <w:color w:val="auto"/>
        </w:rPr>
        <w:t>Mr. Switz' experience as CEO and Chairman of a leading technology company has given him expertise in the technology industry as well business operations, finance, corporate development, corporate governance and management.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 xml:space="preserve">The Board of Directors has adopted a Code of Business Conduct and Ethics that is applicable to all directors, officers and employees of the Company. A copy of the Micron Code of Business Conduct and Ethics is available on the Company's website at </w:t>
      </w:r>
      <w:r>
        <w:rPr>
          <w:rFonts w:ascii="Arial" w:cs="Arial" w:eastAsia="Arial" w:hAnsi="Arial"/>
          <w:sz w:val="16"/>
          <w:szCs w:val="16"/>
          <w:i w:val="1"/>
          <w:iCs w:val="1"/>
          <w:color w:val="auto"/>
        </w:rPr>
        <w:t>www.micron.com/code</w:t>
      </w:r>
      <w:r>
        <w:rPr>
          <w:rFonts w:ascii="Arial" w:cs="Arial" w:eastAsia="Arial" w:hAnsi="Arial"/>
          <w:sz w:val="16"/>
          <w:szCs w:val="16"/>
          <w:color w:val="auto"/>
        </w:rPr>
        <w:t xml:space="preserve"> and is also available in print upon request. Any amendments or waivers of the Code of Business Conduct and Ethics will also be posted on the Company's website within four business days of the amendment or waiver as required by applicable rules and regulations of the Securities and Exchange Commission ("SEC") and the Listing Rules of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On October 12, 2010, the Board of Directors determined that directors Aoki, Bailey, Johnson, Mondry and Switz qualify as independent directors. In determining the independence of our directors, the Board of Directors has adopted independence standards that mirror exactly the criteria specified by applicable laws and regulations of the SEC and the Listing Rules of NASDAQ. None of these directors have a relationship with the Company, other than any relationship that is categorically not material under the guidelines referenced above and other than as disclosed in this Proxy Statement under "Compensation of Directors" and "Certain Relationships and Related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Mr. Appleton serves as the Company's Chairman and CEO. The Company does not have a fixed policy on whether the roles of chairman and CEO should be separate or combined. The decision is based on the best interests of the Company and its shareholders under the circumstances existing at the time. The Board believes that Mr. Appleton's unique knowledge of the Company's business and the opportunities and challenges it faces best position him to develop agendas that ensure the Board's time and attention are focused on the issues that matter most to the Company. Each year the Board appoints an independent Presiding Director to oversee meetings of the independent directors and act as a liaison between the Board and CEO.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 Assessment Role</w:t>
      </w:r>
    </w:p>
    <w:p>
      <w:pPr>
        <w:spacing w:after="0" w:line="23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Board of Directors is responsible for overseeing the major risks facing the Company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and the steps management has taken to monitor, control, and report such exposures. The Compensation Committee oversees management of risks relating to the Company's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6"/>
          <w:szCs w:val="16"/>
          <w:color w:val="auto"/>
        </w:rPr>
        <w:t>We have assessed the Company's compensation programs and have concluded that our compensation policies and practices do not create risks that are reasonably likely to have a material adverse effect on the Company. The Company's management worked with Mercer, its outside compensation consultant, to assess the Company's compensation programs to determine if the programs' provisions and operations create undesired or unintentional risk of a material nature.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Although we reviewed all compensation programs, we focused on the programs with variability of payout, with the ability of a participant to directly affect payout and the controls on participant action and payout. In most cases, the Company's compensation policies and practices are centrally designed and administered, and are substantially the same at each business unit. Certain internal groups have different or supplemental compensation programs tailored to their specific operations and goals, and programs may differ by country due to variations in local laws and customs.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31" w:lineRule="exact"/>
        <w:rPr>
          <w:sz w:val="20"/>
          <w:szCs w:val="20"/>
          <w:color w:val="auto"/>
        </w:rPr>
      </w:pPr>
    </w:p>
    <w:p>
      <w:pPr>
        <w:jc w:val="both"/>
        <w:ind w:firstLine="439"/>
        <w:spacing w:after="0" w:line="289" w:lineRule="auto"/>
        <w:rPr>
          <w:sz w:val="20"/>
          <w:szCs w:val="20"/>
          <w:color w:val="auto"/>
        </w:rPr>
      </w:pPr>
      <w:r>
        <w:rPr>
          <w:rFonts w:ascii="Arial" w:cs="Arial" w:eastAsia="Arial" w:hAnsi="Arial"/>
          <w:sz w:val="16"/>
          <w:szCs w:val="16"/>
          <w:color w:val="auto"/>
        </w:rPr>
        <w:t>The Board of Directors of the Company held five meetings during fiscal 2010. The Board of Directors met in Executive Session four times during fiscal 2010. In fiscal 2010, the Board of Directors had a standing Audit Committee, Governance Committee and Compensation Committee. During fiscal 2010, the Audit Committee met nine times, the Compensation Committee met five times and the Governance Committee met two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2010. All incumbent directors who served on the Compensation or Audit Committee attended 75% or more of the total number of committee meetings during fiscal 2010. Messrs. Bailey and Switz were unable to attend 75% or more of the total number of Governance Committee meetings during fiscal 2010. All directors attended the Company's Annual Meeting of Shareholders in 2009. The Company encourages director attendance at the Annual Meeting of Shareholders.</w:t>
      </w:r>
    </w:p>
    <w:p>
      <w:pPr>
        <w:spacing w:after="0" w:line="172"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 xml:space="preserve">The Audit Committee, the Governance Committee and the Compensation Committee each have written charters that comply with federal and NASDAQ rules relating to corporate governance matters. Copies of the committee charters as well as the Company's Corporate Governance Guidelines are available on the Company's website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are also available in print upon request to corporatesecretary@micron.com. The Board has determined that all the members of the Audit Committee, the Governance Committee, and the Compensation Committee satisfy the independence requirements of applicable federal laws and the Listing Rules of NASDAQ for such committees.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firstLine="442"/>
        <w:spacing w:after="0" w:line="268" w:lineRule="auto"/>
        <w:rPr>
          <w:sz w:val="20"/>
          <w:szCs w:val="20"/>
          <w:color w:val="auto"/>
        </w:rPr>
      </w:pPr>
      <w:r>
        <w:rPr>
          <w:rFonts w:ascii="Arial" w:cs="Arial" w:eastAsia="Arial" w:hAnsi="Arial"/>
          <w:sz w:val="18"/>
          <w:szCs w:val="18"/>
          <w:color w:val="auto"/>
        </w:rPr>
        <w:t>The Company's Corporate Governance Guidelines specify a mandatory retirement age of 70 for members of its Board of Directors. In October 2009, the Board waived this requirement with respect to Mr. Bagley.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431"/>
        <w:spacing w:after="0" w:line="288" w:lineRule="auto"/>
        <w:rPr>
          <w:sz w:val="20"/>
          <w:szCs w:val="20"/>
          <w:color w:val="auto"/>
        </w:rPr>
      </w:pPr>
      <w:r>
        <w:rPr>
          <w:rFonts w:ascii="Arial" w:cs="Arial" w:eastAsia="Arial" w:hAnsi="Arial"/>
          <w:sz w:val="16"/>
          <w:szCs w:val="16"/>
          <w:color w:val="auto"/>
        </w:rPr>
        <w:t xml:space="preserve">Ms. Johnson and Messrs. Bailey and Switz currently serve on the Audit Committee. In October 2010, Ms. Johnson was appointed Chairman of the Audit Committee, replacing Mr. Switz, who served as Chairman from October 2007 through October 2010. The Board has determined that Ms. Johnson and Messrs. Bailey and Switz each qualifies as an "audit committee financial expert" for purposes of the rules and regulations of the SEC. The purpose of the Audit Committee is to assist the Board in overseeing and monitoring (i) the integrity of the Company's financial statements, (ii) the performance of the Company's internal audit function, (iii) the performance of the Company's Independent Registered Public Accounting Firm, (iv) the qualifications and independence of the Company's Independent Registered Public Accounting Firm and (v) the Company's compliance with legal and regulatory requirements. The Audit Committee is also responsible for preparing the Audit Committee report that is included in the Company's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to corporatesecretary@micron.com.</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 xml:space="preserve">Dr. Aoki, Ms. Johnson, and Messrs. Bailey, Mondry and Switz currently serve on the Governance Committee. Mr. Mondry has served as Chairman of the Governance Committee since October 2009. The responsibilities of the Governance Committee include assisting the Board in discharging its duties with respect to (i) the identification and selection of nominees to the Company's Board of Directors, (ii) director compensation and (iii) the development of Corporate Governance Guidelines for the Company. The complete duties and responsibilities of the Governance Committee are set forth in its written charter, which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to corporatesecretary@micron.com.</w:t>
      </w:r>
    </w:p>
    <w:p>
      <w:pPr>
        <w:spacing w:after="0" w:line="170" w:lineRule="exact"/>
        <w:rPr>
          <w:sz w:val="20"/>
          <w:szCs w:val="20"/>
          <w:color w:val="auto"/>
        </w:rPr>
      </w:pPr>
    </w:p>
    <w:p>
      <w:pPr>
        <w:jc w:val="both"/>
        <w:ind w:firstLine="520"/>
        <w:spacing w:after="0" w:line="289" w:lineRule="auto"/>
        <w:rPr>
          <w:sz w:val="20"/>
          <w:szCs w:val="20"/>
          <w:color w:val="auto"/>
        </w:rPr>
      </w:pPr>
      <w:r>
        <w:rPr>
          <w:rFonts w:ascii="Arial" w:cs="Arial" w:eastAsia="Arial" w:hAnsi="Arial"/>
          <w:sz w:val="16"/>
          <w:szCs w:val="16"/>
          <w:color w:val="auto"/>
        </w:rPr>
        <w:t>The Governance Committee is responsible for identifying nominees for the Company's Board of Directors. There are no minimum qualifications that nominees must possess, however,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the Company and its operations; familiarity with accounting rules and practices; and "independence" as defined and required by the Listing Rules of NASDAQ and relevant rules and regulations of the SEC. The Board of Directors has determined that it would be advisable to add additional members to the Board. To that end, the Governance Committee works with a third party executive search firm to assist them in the identification and evaluation of potential candidates to the Company's Board of Directors. It is currently anticipated that additional members may join the Company's Board of Directors in 2011.</w:t>
      </w:r>
    </w:p>
    <w:p>
      <w:pPr>
        <w:spacing w:after="0" w:line="172"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the Company's Corporate Secretary at corporatesecretary@micron.com. The Company's Bylaws contain the provisions that address the process by which a shareholder may nominate an individual to stand for election to the Company's Board of Directors. A copy of the Company's Bylaws can be found on the Corporate Governance page of its website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available in print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upon request to corporatesecretary@micron.com. During fiscal 2010, the Company did not receive any director nominations from shareholders.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auto"/>
        </w:rPr>
        <w:t xml:space="preserve">Dr. Aoki and Mr. Mondry currently serve on the Compensation Committee of the Board of Directors. Dr. Aoki has served as the Chairman of the Compensation Committee since October 2009. The Compensation Committee is responsible for reviewing and approving the compensation of the Company's officers. See the "Compensation Discussion and Analysis" and the "Report of the Compensation Committee on Executive Compensation" for information regarding how the Compensation Committee sets executive compensation levels. The complete duties of the Compensation Committee are set forth in its written charter, which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to corporatesecretary@micron.com.</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8"/>
          <w:szCs w:val="18"/>
          <w:color w:val="auto"/>
        </w:rPr>
        <w:t>In October 2010, Mr. Mondry was appointed Presiding Director of the Company's Board of Directors and will chair executive session meetings of the board (meetings in which only non-employee directors are present) for fiscal 2011.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225" w:lineRule="exact"/>
        <w:rPr>
          <w:sz w:val="20"/>
          <w:szCs w:val="20"/>
          <w:color w:val="auto"/>
        </w:rPr>
      </w:pPr>
    </w:p>
    <w:p>
      <w:pPr>
        <w:jc w:val="both"/>
        <w:ind w:firstLine="1012"/>
        <w:spacing w:after="0" w:line="268" w:lineRule="auto"/>
        <w:rPr>
          <w:sz w:val="20"/>
          <w:szCs w:val="20"/>
          <w:color w:val="auto"/>
        </w:rPr>
      </w:pPr>
      <w:r>
        <w:rPr>
          <w:rFonts w:ascii="Arial" w:cs="Arial" w:eastAsia="Arial" w:hAnsi="Arial"/>
          <w:sz w:val="18"/>
          <w:szCs w:val="18"/>
          <w:color w:val="auto"/>
        </w:rPr>
        <w:t>Shareholders and interested parties wishing to communicate with the Company's Board of Directors may contact Mr. Mondry at presidingdirector@micron.com.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Governance Committee of the Board of Directors oversees the setting of compensation for the Company's non-employee members of its Board of Directors. At the end of fiscal 2009, the Governance Committee reviewed recent developments and trends in the area of director compensation with Mercer, the Company's outside compensation consultant, and concluded that changes to director compensation levels at the Company were not needed. At the end of fiscal 2010, the Governance Committee engaged Mercer to review and evaluate director compensation for fiscal 2011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Compensation Discussion and Analysis." In October 2010, upon completion of its review and evaluation, the Governance Committee recommended to the Board increases in (i) the annual retainer paid to non-employee directors, (ii) the fee paid to the Chairman of the Audit Committee and (iii) the fee paid to the Presiding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3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i w:val="1"/>
          <w:iCs w:val="1"/>
          <w:color w:val="auto"/>
        </w:rPr>
        <w:t xml:space="preserve">Annual Retainer. </w:t>
      </w:r>
      <w:r>
        <w:rPr>
          <w:rFonts w:ascii="Arial" w:cs="Arial" w:eastAsia="Arial" w:hAnsi="Arial"/>
          <w:sz w:val="18"/>
          <w:szCs w:val="18"/>
          <w:color w:val="auto"/>
        </w:rPr>
        <w:t>Directors who are not employees of the Company are entitled to receive an annual retainer of $75,000. The amount of the annual retainer</w:t>
      </w:r>
      <w:r>
        <w:rPr>
          <w:rFonts w:ascii="Arial" w:cs="Arial" w:eastAsia="Arial" w:hAnsi="Arial"/>
          <w:sz w:val="18"/>
          <w:szCs w:val="18"/>
          <w:i w:val="1"/>
          <w:iCs w:val="1"/>
          <w:color w:val="auto"/>
        </w:rPr>
        <w:t xml:space="preserve"> </w:t>
      </w:r>
      <w:r>
        <w:rPr>
          <w:rFonts w:ascii="Arial" w:cs="Arial" w:eastAsia="Arial" w:hAnsi="Arial"/>
          <w:sz w:val="18"/>
          <w:szCs w:val="18"/>
          <w:color w:val="auto"/>
        </w:rPr>
        <w:t>was increased from $50,000 to $75,000 in October 2010. In light of the global economic crisis, the Company's directors reduced their annual retainer by 20%. Pursuant to the Company's 2008 Director's Compensation Plan ("DCP"), non-employee directors may elect to take some or all of their annual retainer in the form of cash, shares of Common Stock or deferred rights to receive Common Stock upon termination as a director. During the period from October 1, 2009 to September 30, 2010, Ms. Johnson received 5,256 shares of Common Stock under the DCP in lieu of cash. During the same period, Mr. Bagley deferred the receipt of 956 shares of Common Stock under the DCP in lieu of cash. Directors who are employees of the Company receive no additional or special remuneration for their service as directors.</w:t>
      </w:r>
    </w:p>
    <w:p>
      <w:pPr>
        <w:spacing w:after="0" w:line="201"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Set forth below are the amounts received by directors for their service as committee chair or Presiding Director in fiscal 2010 and the amounts that are expected to be received in fiscal 2011:</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17,500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20,000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Governance Committee Chair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Presiding Director</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r>
    </w:tbl>
    <w:p>
      <w:pPr>
        <w:spacing w:after="0" w:line="201" w:lineRule="exact"/>
        <w:rPr>
          <w:sz w:val="20"/>
          <w:szCs w:val="20"/>
          <w:color w:val="auto"/>
        </w:rPr>
      </w:pPr>
    </w:p>
    <w:p>
      <w:pPr>
        <w:jc w:val="both"/>
        <w:ind w:right="20" w:firstLine="375"/>
        <w:spacing w:after="0" w:line="268" w:lineRule="auto"/>
        <w:rPr>
          <w:sz w:val="20"/>
          <w:szCs w:val="20"/>
          <w:color w:val="auto"/>
        </w:rPr>
      </w:pPr>
      <w:r>
        <w:rPr>
          <w:rFonts w:ascii="Arial" w:cs="Arial" w:eastAsia="Arial" w:hAnsi="Arial"/>
          <w:sz w:val="18"/>
          <w:szCs w:val="18"/>
          <w:color w:val="auto"/>
        </w:rPr>
        <w:t>Except for the foregoing, directors do not receive any additional or special remuneration for their service on any of the committees established by the Board of Directors.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also reimburses directors for travel and lodging expenses, if any, incurred in connection with attendance at Board of Directors' meetings.</w:t>
      </w:r>
    </w:p>
    <w:p>
      <w:pPr>
        <w:spacing w:after="0" w:line="248" w:lineRule="exact"/>
        <w:rPr>
          <w:sz w:val="20"/>
          <w:szCs w:val="20"/>
          <w:color w:val="auto"/>
        </w:rPr>
      </w:pPr>
    </w:p>
    <w:p>
      <w:pPr>
        <w:jc w:val="both"/>
        <w:ind w:firstLine="387"/>
        <w:spacing w:after="0" w:line="289" w:lineRule="auto"/>
        <w:rPr>
          <w:sz w:val="20"/>
          <w:szCs w:val="20"/>
          <w:color w:val="auto"/>
        </w:rPr>
      </w:pPr>
      <w:r>
        <w:rPr>
          <w:rFonts w:ascii="Arial" w:cs="Arial" w:eastAsia="Arial" w:hAnsi="Arial"/>
          <w:sz w:val="16"/>
          <w:szCs w:val="16"/>
          <w:i w:val="1"/>
          <w:iCs w:val="1"/>
          <w:color w:val="auto"/>
        </w:rPr>
        <w:t xml:space="preserve">Equity Award. </w:t>
      </w:r>
      <w:r>
        <w:rPr>
          <w:rFonts w:ascii="Arial" w:cs="Arial" w:eastAsia="Arial" w:hAnsi="Arial"/>
          <w:sz w:val="16"/>
          <w:szCs w:val="16"/>
          <w:color w:val="auto"/>
        </w:rPr>
        <w:t>A "targeted value" for annual non-employee director equity compensation is established each year. Following discussions with Mercer,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determined that such targeted value for fiscal 2010 should remain at the level set in 2008 of $225,000. Based on this amount, the Board approved an award of 28,231 shares of restricted Common Stock to each of the directors, derived by dividing the targeted value of $225,000 by the Fair Market Value, as defined under the Company's equity plans, of the Company's Common Stock. For purposes of the Company's equity plans, "Fair Market Value" equals the closing price of the Company's Common Stock on the last trading day prior to the date of grant. The restrictions on the shares awarded for fiscal 2010 lapse for 50% of such shares on the first anniversary of the date of grant and will lapse for the remaining 50% on the second anniversary of the date of grant (the "Vesting Period"). Notwithstanding the foregoing, the restrictions as to the fiscal 2010 shares will lapse for 100% of such shares in the event a director either reaches the mandatory retirement age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8"/>
          <w:szCs w:val="18"/>
          <w:color w:val="auto"/>
        </w:rPr>
        <w:t>retires from the Board during the Vesting Period having achieved a minimum of three years of service with the Board of Directors prior to the effective date of his or her retirement.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total compensation earned by the Company's non-employee directors in fiscal 2010.</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Fees Earned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or Paid in</w:t>
            </w:r>
          </w:p>
        </w:tc>
        <w:tc>
          <w:tcPr>
            <w:tcW w:w="16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Awards(1)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Compensation(2)</w:t>
            </w:r>
          </w:p>
        </w:tc>
        <w:tc>
          <w:tcPr>
            <w:tcW w:w="16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287,418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271,495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271,389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Robert E. Switz</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225,001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289,168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0" w:lineRule="auto"/>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October 6, 2009, each director who was not an employee of the Company was granted 28,231 shares of restricted stock or restricted stock units with a grant date fair value, as determined in accordance with Financial Accounting Standards Board Accounting Statements Codification Topic 718 ("ASC 718"), of $225,001 ($7.97 per share). For information on the restrictions associated with these awards, see "Elements of Director Compensation—Equity Awards" above. Specific amounts expensed for each director vary as a result of the director's holdings, length of service and age. Any dividends payable with respect to the Company's Common Stock will be payable with respect to all awards of restricted stock. The total number of outstanding restricted shares and options held as of September 2, 2010, for each non-employee director was as follows:</w:t>
      </w:r>
    </w:p>
    <w:p>
      <w:pPr>
        <w:spacing w:after="0" w:line="222"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w w:val="92"/>
              </w:rPr>
              <w:t>Options*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2"/>
              </w:rPr>
              <w:t>Restricted Stock</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53,343</w:t>
            </w: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Teruaki Aoki**</w:t>
            </w:r>
          </w:p>
        </w:tc>
        <w:tc>
          <w:tcPr>
            <w:tcW w:w="114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53,343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53,343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Robert E. Switz</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53,343</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0" w:hanging="539"/>
        <w:spacing w:after="0" w:line="332" w:lineRule="auto"/>
        <w:tabs>
          <w:tab w:leader="none" w:pos="3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options are fully vested and exercisable. Option expiration dates range from October 2010 to September 2013. Prior to fiscal 2005, directors' annual equity awards were comprised exclusively of stock options.</w:t>
      </w:r>
    </w:p>
    <w:p>
      <w:pPr>
        <w:spacing w:after="0" w:line="153" w:lineRule="exact"/>
        <w:rPr>
          <w:sz w:val="20"/>
          <w:szCs w:val="20"/>
          <w:color w:val="auto"/>
        </w:rPr>
      </w:pPr>
    </w:p>
    <w:p>
      <w:pPr>
        <w:ind w:left="3400" w:hanging="539"/>
        <w:spacing w:after="0"/>
        <w:tabs>
          <w:tab w:leader="none" w:pos="3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Dr. Aoki received restricted stock units in lieu of restricted stock.</w:t>
      </w:r>
    </w:p>
    <w:p>
      <w:pPr>
        <w:spacing w:after="0" w:line="238"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amounts incurred to cover tax services provided by Deloitte Touche Tohmatsu Japan ("Deloitte") and the gross-up provided to Dr. Aoki to cover the taxes on the services provided by Deloitte.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ind w:left="446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following table sets forth security ownership information of the Company's Common Stock as of the Record Date (October 18, 2010), based on the most current information provided to the Company by the beneficial owners, available to the Company from its own records or provided in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61"/>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16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Shares Owned(1)</w:t>
            </w:r>
          </w:p>
        </w:tc>
        <w:tc>
          <w:tcPr>
            <w:tcW w:w="160" w:type="dxa"/>
            <w:vAlign w:val="bottom"/>
          </w:tcPr>
          <w:p>
            <w:pPr>
              <w:spacing w:after="0"/>
              <w:rPr>
                <w:sz w:val="14"/>
                <w:szCs w:val="14"/>
                <w:color w:val="auto"/>
              </w:rPr>
            </w:pPr>
          </w:p>
        </w:tc>
        <w:tc>
          <w:tcPr>
            <w:tcW w:w="1320" w:type="dxa"/>
            <w:vAlign w:val="bottom"/>
          </w:tcPr>
          <w:p>
            <w:pPr>
              <w:jc w:val="right"/>
              <w:ind w:right="15"/>
              <w:spacing w:after="0"/>
              <w:rPr>
                <w:sz w:val="20"/>
                <w:szCs w:val="20"/>
                <w:color w:val="auto"/>
              </w:rPr>
            </w:pPr>
            <w:r>
              <w:rPr>
                <w:rFonts w:ascii="Arial" w:cs="Arial" w:eastAsia="Arial" w:hAnsi="Arial"/>
                <w:sz w:val="14"/>
                <w:szCs w:val="14"/>
                <w:b w:val="1"/>
                <w:bCs w:val="1"/>
                <w:color w:val="auto"/>
                <w:w w:val="95"/>
              </w:rPr>
              <w:t>Right to Acquire(2)</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Class(3)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BlackRock, Inc.(4)</w:t>
            </w:r>
          </w:p>
        </w:tc>
        <w:tc>
          <w:tcPr>
            <w:tcW w:w="180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70,514,879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70,514,879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1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New York, NY 10022</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320" w:type="dxa"/>
            <w:vAlign w:val="bottom"/>
            <w:gridSpan w:val="4"/>
          </w:tcPr>
          <w:p>
            <w:pPr>
              <w:spacing w:after="0"/>
              <w:rPr>
                <w:sz w:val="20"/>
                <w:szCs w:val="20"/>
                <w:color w:val="auto"/>
              </w:rPr>
            </w:pPr>
            <w:r>
              <w:rPr>
                <w:rFonts w:ascii="Arial" w:cs="Arial" w:eastAsia="Arial" w:hAnsi="Arial"/>
                <w:sz w:val="18"/>
                <w:szCs w:val="18"/>
                <w:color w:val="auto"/>
              </w:rPr>
              <w:t>FMR LLC(5)</w:t>
            </w:r>
          </w:p>
        </w:tc>
        <w:tc>
          <w:tcPr>
            <w:tcW w:w="1160" w:type="dxa"/>
            <w:vAlign w:val="bottom"/>
          </w:tcPr>
          <w:p>
            <w:pPr>
              <w:jc w:val="right"/>
              <w:spacing w:after="0"/>
              <w:rPr>
                <w:sz w:val="20"/>
                <w:szCs w:val="20"/>
                <w:color w:val="auto"/>
              </w:rPr>
            </w:pPr>
            <w:r>
              <w:rPr>
                <w:rFonts w:ascii="Arial" w:cs="Arial" w:eastAsia="Arial" w:hAnsi="Arial"/>
                <w:sz w:val="18"/>
                <w:szCs w:val="18"/>
                <w:color w:val="auto"/>
              </w:rPr>
              <w:t>127,572,027</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127,572,027</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82 Devonshire Street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Boston, MA 02109</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Intel Corporation(6)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66,500,875</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66,500,875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2200 Mission College Boulevard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Santa Clara, CA 95054-1549</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320" w:type="dxa"/>
            <w:vAlign w:val="bottom"/>
            <w:gridSpan w:val="4"/>
          </w:tcPr>
          <w:p>
            <w:pPr>
              <w:spacing w:after="0"/>
              <w:rPr>
                <w:sz w:val="20"/>
                <w:szCs w:val="20"/>
                <w:color w:val="auto"/>
              </w:rPr>
            </w:pPr>
            <w:r>
              <w:rPr>
                <w:rFonts w:ascii="Arial" w:cs="Arial" w:eastAsia="Arial" w:hAnsi="Arial"/>
                <w:sz w:val="18"/>
                <w:szCs w:val="18"/>
                <w:color w:val="auto"/>
              </w:rPr>
              <w:t>STMicroelectronics, N.V.(7)</w:t>
            </w:r>
          </w:p>
        </w:tc>
        <w:tc>
          <w:tcPr>
            <w:tcW w:w="1160" w:type="dxa"/>
            <w:vAlign w:val="bottom"/>
          </w:tcPr>
          <w:p>
            <w:pPr>
              <w:jc w:val="right"/>
              <w:spacing w:after="0"/>
              <w:rPr>
                <w:sz w:val="20"/>
                <w:szCs w:val="20"/>
                <w:color w:val="auto"/>
              </w:rPr>
            </w:pPr>
            <w:r>
              <w:rPr>
                <w:rFonts w:ascii="Arial" w:cs="Arial" w:eastAsia="Arial" w:hAnsi="Arial"/>
                <w:sz w:val="18"/>
                <w:szCs w:val="18"/>
                <w:color w:val="auto"/>
              </w:rPr>
              <w:t>66,882,942</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66,882,942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Chemin Du Cham-DesFilles, 39</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1228 Plan-Les-Ouates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Geneva, Switzerland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4"/>
          </w:tcPr>
          <w:p>
            <w:pPr>
              <w:spacing w:after="0"/>
              <w:rPr>
                <w:sz w:val="20"/>
                <w:szCs w:val="20"/>
                <w:color w:val="auto"/>
              </w:rPr>
            </w:pPr>
            <w:r>
              <w:rPr>
                <w:rFonts w:ascii="Arial" w:cs="Arial" w:eastAsia="Arial" w:hAnsi="Arial"/>
                <w:sz w:val="18"/>
                <w:szCs w:val="18"/>
                <w:color w:val="auto"/>
              </w:rPr>
              <w:t>Teruaki Aoki</w:t>
            </w:r>
          </w:p>
        </w:tc>
        <w:tc>
          <w:tcPr>
            <w:tcW w:w="1160" w:type="dxa"/>
            <w:vAlign w:val="bottom"/>
          </w:tcPr>
          <w:p>
            <w:pPr>
              <w:jc w:val="right"/>
              <w:spacing w:after="0"/>
              <w:rPr>
                <w:sz w:val="20"/>
                <w:szCs w:val="20"/>
                <w:color w:val="auto"/>
              </w:rPr>
            </w:pPr>
            <w:r>
              <w:rPr>
                <w:rFonts w:ascii="Arial" w:cs="Arial" w:eastAsia="Arial" w:hAnsi="Arial"/>
                <w:sz w:val="18"/>
                <w:szCs w:val="18"/>
                <w:color w:val="auto"/>
              </w:rPr>
              <w:t>59,702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64,077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R. Appleton(8)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2,705,750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5,003,209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James W. Bagley</w:t>
            </w:r>
          </w:p>
        </w:tc>
        <w:tc>
          <w:tcPr>
            <w:tcW w:w="1160" w:type="dxa"/>
            <w:vAlign w:val="bottom"/>
          </w:tcPr>
          <w:p>
            <w:pPr>
              <w:jc w:val="right"/>
              <w:spacing w:after="0"/>
              <w:rPr>
                <w:sz w:val="20"/>
                <w:szCs w:val="20"/>
                <w:color w:val="auto"/>
              </w:rPr>
            </w:pPr>
            <w:r>
              <w:rPr>
                <w:rFonts w:ascii="Arial" w:cs="Arial" w:eastAsia="Arial" w:hAnsi="Arial"/>
                <w:sz w:val="18"/>
                <w:szCs w:val="18"/>
                <w:color w:val="auto"/>
              </w:rPr>
              <w:t>151,516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91,925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243,441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D. Mark Durcan(9)</w:t>
            </w:r>
          </w:p>
        </w:tc>
        <w:tc>
          <w:tcPr>
            <w:tcW w:w="1160" w:type="dxa"/>
            <w:vAlign w:val="bottom"/>
          </w:tcPr>
          <w:p>
            <w:pPr>
              <w:jc w:val="right"/>
              <w:spacing w:after="0"/>
              <w:rPr>
                <w:sz w:val="20"/>
                <w:szCs w:val="20"/>
                <w:color w:val="auto"/>
              </w:rPr>
            </w:pPr>
            <w:r>
              <w:rPr>
                <w:rFonts w:ascii="Arial" w:cs="Arial" w:eastAsia="Arial" w:hAnsi="Arial"/>
                <w:sz w:val="18"/>
                <w:szCs w:val="18"/>
                <w:color w:val="auto"/>
              </w:rPr>
              <w:t>1,083,506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1,363,750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2,447,256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465,750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1,023,075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Mercedes Johnson</w:t>
            </w:r>
          </w:p>
        </w:tc>
        <w:tc>
          <w:tcPr>
            <w:tcW w:w="1160" w:type="dxa"/>
            <w:vAlign w:val="bottom"/>
          </w:tcPr>
          <w:p>
            <w:pPr>
              <w:jc w:val="right"/>
              <w:spacing w:after="0"/>
              <w:rPr>
                <w:sz w:val="20"/>
                <w:szCs w:val="20"/>
                <w:color w:val="auto"/>
              </w:rPr>
            </w:pPr>
            <w:r>
              <w:rPr>
                <w:rFonts w:ascii="Arial" w:cs="Arial" w:eastAsia="Arial" w:hAnsi="Arial"/>
                <w:sz w:val="18"/>
                <w:szCs w:val="18"/>
                <w:color w:val="auto"/>
              </w:rPr>
              <w:t>151,584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169,084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Mario Licciardello</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Lawrence N. Mondry</w:t>
            </w:r>
          </w:p>
        </w:tc>
        <w:tc>
          <w:tcPr>
            <w:tcW w:w="1160" w:type="dxa"/>
            <w:vAlign w:val="bottom"/>
          </w:tcPr>
          <w:p>
            <w:pPr>
              <w:jc w:val="right"/>
              <w:spacing w:after="0"/>
              <w:rPr>
                <w:sz w:val="20"/>
                <w:szCs w:val="20"/>
                <w:color w:val="auto"/>
              </w:rPr>
            </w:pPr>
            <w:r>
              <w:rPr>
                <w:rFonts w:ascii="Arial" w:cs="Arial" w:eastAsia="Arial" w:hAnsi="Arial"/>
                <w:sz w:val="18"/>
                <w:szCs w:val="18"/>
                <w:color w:val="auto"/>
              </w:rPr>
              <w:t>149,016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166,516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641,850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994,773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Robert E. Switz</w:t>
            </w:r>
          </w:p>
        </w:tc>
        <w:tc>
          <w:tcPr>
            <w:tcW w:w="1160" w:type="dxa"/>
            <w:vAlign w:val="bottom"/>
          </w:tcPr>
          <w:p>
            <w:pPr>
              <w:jc w:val="right"/>
              <w:spacing w:after="0"/>
              <w:rPr>
                <w:sz w:val="20"/>
                <w:szCs w:val="20"/>
                <w:color w:val="auto"/>
              </w:rPr>
            </w:pPr>
            <w:r>
              <w:rPr>
                <w:rFonts w:ascii="Arial" w:cs="Arial" w:eastAsia="Arial" w:hAnsi="Arial"/>
                <w:sz w:val="18"/>
                <w:szCs w:val="18"/>
                <w:color w:val="auto"/>
              </w:rPr>
              <w:t>115,891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120,266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persons)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7,555,814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14,605,845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252"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 October 18, 2010.</w:t>
      </w:r>
    </w:p>
    <w:p>
      <w:pPr>
        <w:spacing w:after="0" w:line="238"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left="168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BlackRock Inc. has sole voting and dispositive power as to 70,514,879 shares. This information was taken from Schedule 13G dated December 31, 2009.</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FMR LLC has sole power to vote as to 2,028,730 shares and sole power to dispose or direct the disposition of 127,572,027 shares. This information was taken from Schedule 13G dated February 16, 2010.</w:t>
      </w:r>
    </w:p>
    <w:p>
      <w:pPr>
        <w:spacing w:after="0" w:line="199"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 Corporation ("Intel") has sole voting and dispositive power as to 5,071 shares and shared voting and dispositive power as to 66,495,804 shares. By reason of the provisions of Rule 13d-3 under the Securities Exchange Act, Intel Corporation is deemed to own beneficially the shares of Issuer that are owned by Intel Technology Asia Pte Ltd, a wholly-owned subsidiary of Intel Corporation. Intel Technology Asia Pte Ltd owns 66,495,804 shares of Micron Technology, Inc.</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 Microelectronics, N.V. ("ST") has sole voting and dispositive power as to 66,882,942 shares.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53,000 shares beneficially owned by Mesa L.P.</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284,653 shares beneficially owned by C &amp; E Partners L.P. and 3,101 shares beneficially owned by Mr. Durcan's spouse.</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9" w:lineRule="exact"/>
        <w:rPr>
          <w:sz w:val="20"/>
          <w:szCs w:val="20"/>
          <w:color w:val="auto"/>
        </w:rPr>
      </w:pPr>
    </w:p>
    <w:p>
      <w:pPr>
        <w:jc w:val="both"/>
        <w:ind w:firstLine="651"/>
        <w:spacing w:after="0" w:line="256"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Throughout this discussion, those individuals named in the "Fiscal 2010 Summary Compensation Table" are referred to as our "Named Executive Officers" and the Compensation Committee of the Board of Directors is referred to as the "Committee."</w:t>
      </w:r>
    </w:p>
    <w:p>
      <w:pPr>
        <w:spacing w:after="0" w:line="197"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Mario Licciardello, one of the Company's Named Executive Officers, joined the Company in May 2010 as a result of the Company's acquisition of Numonyx Holdings B.V. (the "Numonyx Acquisition"). Mr. Licciardello's compensation for fiscal 2010 was determined by Numonyx prior to the consummation of the Numonyx Acquisition. Pursuant to the Numonyx Acquisition agreements, which were approved by the Company's Board of Directors, the Company assumed the compensation obligations of Numonyx to Mr. Licciardello. As a result, the following discussion related to the Company's compensation practices for its executive officers does not apply to Mr. Licciardello's fiscal 2010 compensation. Mr. Licciardello's fiscal 2011 compensation will be determined by the Committee in accordance with the practices outlined below and the terms of Mr. Licciardello's employment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31" w:lineRule="exact"/>
        <w:rPr>
          <w:sz w:val="20"/>
          <w:szCs w:val="20"/>
          <w:color w:val="auto"/>
        </w:rPr>
      </w:pPr>
    </w:p>
    <w:p>
      <w:pPr>
        <w:jc w:val="both"/>
        <w:ind w:firstLine="475"/>
        <w:spacing w:after="0" w:line="291" w:lineRule="auto"/>
        <w:rPr>
          <w:sz w:val="20"/>
          <w:szCs w:val="20"/>
          <w:color w:val="auto"/>
        </w:rPr>
      </w:pPr>
      <w:r>
        <w:rPr>
          <w:rFonts w:ascii="Arial" w:cs="Arial" w:eastAsia="Arial" w:hAnsi="Arial"/>
          <w:sz w:val="16"/>
          <w:szCs w:val="16"/>
          <w:color w:val="auto"/>
        </w:rPr>
        <w:t>Our executive compensation program is administered by the Committee, which is composed entirely of independent directors (as defined in the Listing Rules of NASDAQ as well as applicable federal law). The Committee is comprised of Dr. Aoki and Mr. Mondry. The Committee assists the Board of Directors in discharging its responsibilities with respect to the compensation of the Company's officers. The Committee has direct responsibility to review and approve corporate goals and objectives used to determine the chief executive officer's compensation, evaluate his performance in light of such goals and objectives, and determine and approve his compensation level based on this evaluation. The Committee also reviews the evaluation process and compensation structure for the Company's other officers, including the other Named Executive Officers, and approves their compensation.</w:t>
      </w:r>
    </w:p>
    <w:p>
      <w:pPr>
        <w:spacing w:after="0" w:line="17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Committee annually engages an outside compensation consultant, currently Mercer. The Committee also works closely with the Company's chief executive officer. A more complete description of the Committee's responsibilities is provided in the Committee's Charter approved by the Board of Directors, which can be found on the Company's website (</w:t>
      </w:r>
      <w:r>
        <w:rPr>
          <w:rFonts w:ascii="Arial" w:cs="Arial" w:eastAsia="Arial" w:hAnsi="Arial"/>
          <w:sz w:val="18"/>
          <w:szCs w:val="18"/>
          <w:i w:val="1"/>
          <w:iCs w:val="1"/>
          <w:color w:val="auto"/>
        </w:rPr>
        <w:t>www.micron.com</w:t>
      </w:r>
      <w:r>
        <w:rPr>
          <w:rFonts w:ascii="Arial" w:cs="Arial" w:eastAsia="Arial" w:hAnsi="Arial"/>
          <w:sz w:val="18"/>
          <w:szCs w:val="18"/>
          <w:color w:val="auto"/>
        </w:rPr>
        <w:t>) in the governance section.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more complete description of the role of the chief executive officer and Mercer in the compensation process is described later in this Compensation Discussion and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of our Executive Compensation Program</w:t>
      </w:r>
    </w:p>
    <w:p>
      <w:pPr>
        <w:spacing w:after="0" w:line="231"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performance-based restricted stock and stock options), that align the interests of executives with those of our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31"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against the Market Data (as defined below) and reviewed by the Committee for each of the primary elements of compensation.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jc w:val="both"/>
        <w:ind w:firstLine="399"/>
        <w:spacing w:after="0" w:line="223" w:lineRule="auto"/>
        <w:rPr>
          <w:sz w:val="20"/>
          <w:szCs w:val="20"/>
          <w:color w:val="auto"/>
        </w:rPr>
      </w:pPr>
      <w:r>
        <w:rPr>
          <w:rFonts w:ascii="Arial" w:cs="Arial" w:eastAsia="Arial" w:hAnsi="Arial"/>
          <w:sz w:val="18"/>
          <w:szCs w:val="18"/>
          <w:color w:val="auto"/>
        </w:rPr>
        <w:t>As an approximation of reasonableness, the Committee typically looks to the Market Data median. The Committee also reviews Market Data values at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Base salaries are generally targeted to approximate the median of the Market Data but may be above or below depending upon an executive's contributions, experience, performance and service.</w:t>
      </w:r>
    </w:p>
    <w:p>
      <w:pPr>
        <w:spacing w:after="0" w:line="210" w:lineRule="exact"/>
        <w:rPr>
          <w:sz w:val="20"/>
          <w:szCs w:val="20"/>
          <w:color w:val="auto"/>
        </w:rPr>
      </w:pPr>
    </w:p>
    <w:p>
      <w:pPr>
        <w:jc w:val="both"/>
        <w:ind w:firstLine="390"/>
        <w:spacing w:after="0" w:line="284"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 Although we review the short-</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term incentive opportunities against the Market Data at the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(median)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values, the opportunities are not necessarily limited to any particular data point. Please see the discussion under the heading "Fiscal 2010 short-term incentive awards."</w:t>
      </w:r>
    </w:p>
    <w:p>
      <w:pPr>
        <w:spacing w:after="0" w:line="212" w:lineRule="exact"/>
        <w:rPr>
          <w:sz w:val="20"/>
          <w:szCs w:val="20"/>
          <w:color w:val="auto"/>
        </w:rPr>
      </w:pPr>
    </w:p>
    <w:p>
      <w:pPr>
        <w:jc w:val="both"/>
        <w:ind w:firstLine="370"/>
        <w:spacing w:after="0" w:line="288" w:lineRule="auto"/>
        <w:rPr>
          <w:sz w:val="20"/>
          <w:szCs w:val="20"/>
          <w:color w:val="auto"/>
        </w:rPr>
      </w:pPr>
      <w:r>
        <w:rPr>
          <w:rFonts w:ascii="Arial" w:cs="Arial" w:eastAsia="Arial" w:hAnsi="Arial"/>
          <w:sz w:val="16"/>
          <w:szCs w:val="16"/>
          <w:color w:val="auto"/>
        </w:rPr>
        <w:t>With respect to long-term incentive compensation, we believe such compensation should be tied to the success of the Company and increases in shareholder value. Accordingly, we make "performance-based" equity awards a significant component of our executive compensation program. The performance-based equity awards we use are restricted stock with restrictions that lapse upon the achievement of certain goals and stock options that vest over time and increase in value only if the Company's results drive increases in its stock price. To ensure our long-term incentive program helps retain executives, we also believe it is appropriate to have "time-based" equity awards as a component of the program. The time-based equity instrument we use is restricted stock with restrictions that lapse based on continued service with the Company. The Committee works with Mercer to determine the allocation and type of performance- and time-based awards to grant each fiscal year. The Committee currently believes that a 50-25-25 split between stock options, performance-based restricted stock and time-based restricted stock, respectively, strikes the right balance between reward for long-term Company success and retentive effect. Despite the 25-25 split in value for restricted shares, the actual number of restricted shares awarded with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jc w:val="both"/>
        <w:spacing w:after="0" w:line="294" w:lineRule="auto"/>
        <w:rPr>
          <w:sz w:val="20"/>
          <w:szCs w:val="20"/>
          <w:color w:val="auto"/>
        </w:rPr>
      </w:pPr>
      <w:r>
        <w:rPr>
          <w:rFonts w:ascii="Arial" w:cs="Arial" w:eastAsia="Arial" w:hAnsi="Arial"/>
          <w:sz w:val="16"/>
          <w:szCs w:val="16"/>
          <w:color w:val="auto"/>
        </w:rPr>
        <w:t>performance-based restrictions will not be the same as the number of such shares awarded having time-based restrictions because there is a "probability-of-achievement" discount applied to the value ascribed to performance-based restricted shares. This results in the actual number of shares in the two categories being different from one another with the number of performance-based shares exceeding the number of time-based shares. The Company uses a 20% discount in calculating the number of performance-based restricted shares. For information on how the number of award shares is calculated and the application of the probability-of-achievement discount, please see the discussion below on "Fiscal 2010 long-term equity incentives."</w:t>
      </w:r>
    </w:p>
    <w:p>
      <w:pPr>
        <w:spacing w:after="0" w:line="170"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We believe it is important to retain flexibility in determining the compensation of our officers and, when appropriate, to deviate from the Market Data median due to factors such as:</w:t>
      </w:r>
    </w:p>
    <w:p>
      <w:pPr>
        <w:spacing w:after="0" w:line="199" w:lineRule="exact"/>
        <w:rPr>
          <w:sz w:val="20"/>
          <w:szCs w:val="20"/>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the other officers within the Company and as compared to similarly situated officers within the Compensation Peer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past and anticipated contributions by an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the other officers within the Company and as compared to officers within the Compensation Peer Group.</w:t>
      </w:r>
    </w:p>
    <w:p>
      <w:pPr>
        <w:spacing w:after="0" w:line="186"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shareholders should understand that even though the Committee manages compensation in accordance with such guiding principles, officer compensation may vary, above or below the median, or a range from the median, year over year.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jc w:val="both"/>
        <w:ind w:right="20" w:firstLine="549"/>
        <w:spacing w:after="0" w:line="268"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short-term incentive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25"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Executive perquisites, which for us are minor in scope and amount, are also reviewed but are not considered to be material elements of compensation. We also believe it is appropriate for the Named Executive Officers to participate on the same terms and conditions as all other employees of the Company in programs and benefits that are offered to the employee population at large. Generally, these programs consist of medical, dental, vision, short-term and long-term disability, life insurance, time-off with pay and a 401(k) retirement program. These benefits are viewed as important for competitive purposes but not material to the overall cost of an executive compensation package offered to our Named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jc w:val="both"/>
        <w:ind w:firstLine="415"/>
        <w:spacing w:after="0" w:line="302" w:lineRule="auto"/>
        <w:rPr>
          <w:sz w:val="20"/>
          <w:szCs w:val="20"/>
          <w:color w:val="auto"/>
        </w:rPr>
      </w:pPr>
      <w:r>
        <w:rPr>
          <w:rFonts w:ascii="Arial" w:cs="Arial" w:eastAsia="Arial" w:hAnsi="Arial"/>
          <w:sz w:val="15"/>
          <w:szCs w:val="15"/>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should align executives' interests with those of the Company's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fiscal 2010, the total direct compensation approved by the Committee with respect to our</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Named Executive Officers, other than Mr. Licciardello, was within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to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range, with Messrs. Foster and Durcan below the Market Data median and Messrs. Appleton and Shirley above the Market Data median for similarly situated executives.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data is gathered by Mercer from proxy statements of the Compensation Peer Group and from published compensation surveys.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Survey data may vary from year to year. For fiscal 2010, Mercer used the CHiPS Executive and Senior Management Total Compensation Survey, Radford Executive Survey and Buck Executive Total Direct Compensation Survey. We believe these surveys are particularly relevant for high technology companies given the high level of participation by such companies in the survey.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Data is also gathered from proxy statements and other documents that are filed with the SEC to develop the Compensation Peer Group data.</w:t>
      </w:r>
    </w:p>
    <w:p>
      <w:pPr>
        <w:spacing w:after="0" w:line="248"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Mercer works with the Committee and our management team, including our chief executive officer,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one-fourth to double the size of Micron and have a high degree of business match. We believe our custom peer group is comprised of companies that are likely to be our competitors for executive talent.</w:t>
      </w:r>
    </w:p>
    <w:p>
      <w:pPr>
        <w:spacing w:after="0" w:line="174" w:lineRule="exact"/>
        <w:rPr>
          <w:sz w:val="20"/>
          <w:szCs w:val="20"/>
          <w:color w:val="auto"/>
        </w:rPr>
      </w:pPr>
    </w:p>
    <w:p>
      <w:pPr>
        <w:jc w:val="both"/>
        <w:ind w:firstLine="421"/>
        <w:spacing w:after="0" w:line="289" w:lineRule="auto"/>
        <w:rPr>
          <w:sz w:val="20"/>
          <w:szCs w:val="20"/>
          <w:color w:val="auto"/>
        </w:rPr>
      </w:pPr>
      <w:r>
        <w:rPr>
          <w:rFonts w:ascii="Arial" w:cs="Arial" w:eastAsia="Arial" w:hAnsi="Arial"/>
          <w:sz w:val="16"/>
          <w:szCs w:val="16"/>
          <w:color w:val="auto"/>
        </w:rPr>
        <w:t>Each year we reevaluate the composition of our Compensation Peer Group to ensure that it reflects industry or economic changes that may have occurred during the fiscal year, such as, changes in business strategies, operations, revenues, product lines or availability of information. For fiscal 2010, the Compensation Peer Group of companies changed from the group used for fiscal 2009, with the addition of Marvell Technology Group Ltd and ON Semiconductor Corporation and the removal, due to bankruptcy, of Spansion, Inc. As a result of these changes, the Company's Compensation Peer Group for 2010 consisted of: Advanced Micro Devices, Inc., Agilent Technologies, Inc., Analog Devices, Inc., Applied Materials, Inc., Broadcom Corporation, Infineon Technologies AG, Marvell Technology Group Ltd, National Semiconductor Corporation, Nvidia Corporation, ON Semiconductor Corporation, QUALCOMM Incorporated, SanDisk Corporation, STMicroelectronics N.V. and Texas Instruments Incorporated. These companies are referred to in the compensation discussion and analysis as the "Compensation Peer Group."</w:t>
      </w:r>
    </w:p>
    <w:p>
      <w:pPr>
        <w:spacing w:after="0" w:line="172" w:lineRule="exact"/>
        <w:rPr>
          <w:sz w:val="20"/>
          <w:szCs w:val="20"/>
          <w:color w:val="auto"/>
        </w:rPr>
      </w:pPr>
    </w:p>
    <w:p>
      <w:pPr>
        <w:jc w:val="both"/>
        <w:ind w:firstLine="415"/>
        <w:spacing w:after="0" w:line="268" w:lineRule="auto"/>
        <w:rPr>
          <w:sz w:val="20"/>
          <w:szCs w:val="20"/>
          <w:color w:val="auto"/>
        </w:rPr>
      </w:pPr>
      <w:r>
        <w:rPr>
          <w:rFonts w:ascii="Arial" w:cs="Arial" w:eastAsia="Arial" w:hAnsi="Arial"/>
          <w:sz w:val="18"/>
          <w:szCs w:val="18"/>
          <w:color w:val="auto"/>
        </w:rPr>
        <w:t>When collecting and assessing market compensation data we collect data based on job descriptions first. This permits the Committee to "match" positions held by our executives with those of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194"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8"/>
          <w:szCs w:val="18"/>
          <w:color w:val="auto"/>
        </w:rPr>
        <w:t>The relevant survey and Compensation Peer Group data for fiscal 2010 were weighted equally and are collectively referred to throughout this discussion as the "Market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31" w:lineRule="exact"/>
        <w:rPr>
          <w:sz w:val="20"/>
          <w:szCs w:val="20"/>
          <w:color w:val="auto"/>
        </w:rPr>
      </w:pPr>
    </w:p>
    <w:p>
      <w:pPr>
        <w:jc w:val="both"/>
        <w:ind w:right="20" w:firstLine="446"/>
        <w:spacing w:after="0" w:line="332" w:lineRule="auto"/>
        <w:rPr>
          <w:sz w:val="20"/>
          <w:szCs w:val="20"/>
          <w:color w:val="auto"/>
        </w:rPr>
      </w:pPr>
      <w:r>
        <w:rPr>
          <w:rFonts w:ascii="Arial" w:cs="Arial" w:eastAsia="Arial" w:hAnsi="Arial"/>
          <w:sz w:val="16"/>
          <w:szCs w:val="16"/>
          <w:color w:val="auto"/>
        </w:rPr>
        <w:t>As mentioned previously, the Committee annually engages a compensation consultant, currently Mercer, to provide a comprehensive review of cash and non-cash elements, and also to review payment data, both historical and trend data, with respect to all of the Company's officers.</w:t>
      </w:r>
    </w:p>
    <w:p>
      <w:pPr>
        <w:spacing w:after="0" w:line="139" w:lineRule="exact"/>
        <w:rPr>
          <w:sz w:val="20"/>
          <w:szCs w:val="20"/>
          <w:color w:val="auto"/>
        </w:rPr>
      </w:pPr>
    </w:p>
    <w:p>
      <w:pPr>
        <w:jc w:val="both"/>
        <w:ind w:firstLine="352"/>
        <w:spacing w:after="0" w:line="255" w:lineRule="auto"/>
        <w:rPr>
          <w:sz w:val="20"/>
          <w:szCs w:val="20"/>
          <w:color w:val="auto"/>
        </w:rPr>
      </w:pPr>
      <w:r>
        <w:rPr>
          <w:rFonts w:ascii="Arial" w:cs="Arial" w:eastAsia="Arial" w:hAnsi="Arial"/>
          <w:sz w:val="18"/>
          <w:szCs w:val="18"/>
          <w:color w:val="auto"/>
        </w:rPr>
        <w:t>The Committee has established procedures that it considers adequate to ensure that Mercer's advice to the Committee remains objective and is not influenced by the Company's management. These procedures include: a direct reporting relationship to the Committee; a provision in the Committee's engagement letter with Mercer specifying what information, data, and recommendations can be shared with management; and an annual update to the Committee on Mercer's relationship with the Company, including a summary of the work performed for the Company during the preceding 12 months. The specific activities that Mercer undertakes for the Company include:</w:t>
      </w:r>
    </w:p>
    <w:p>
      <w:pPr>
        <w:spacing w:after="0" w:line="21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Executive Compensation Peer Group and recommend any changes in its members,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benchmark total direct compensation levels (salary, short-term incentives, long-term incentives and total direct compensation) of the Micron executive team using several data sources,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 the Committee meetings in which executive compensation matters are discussed.</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Company paid Mercer a total of $314,864 in fiscal 2010 for services provided to the Committee and the Company. Of this amount $73,279 was paid as a result of the work Mercer performed for the Committee, $117,309 was paid as a result of the work Mercer performed related to the Company's 401(k) Plan and other human resource functions and $124,276 was paid for employee medical insurance. The decision to use Mercer for services other than those provided to the Committee was made by the Company's management and was not approved by the Committee. Mercer is a wholly-owned subsidiary of Marsh &amp; McLennan Companies Inc. ("MMC"). The Company paid MMC $46,770 in fiscal 2010 for insurance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31" w:lineRule="exact"/>
        <w:rPr>
          <w:sz w:val="20"/>
          <w:szCs w:val="20"/>
          <w:color w:val="auto"/>
        </w:rPr>
      </w:pPr>
    </w:p>
    <w:p>
      <w:pPr>
        <w:jc w:val="both"/>
        <w:ind w:right="20" w:firstLine="382"/>
        <w:spacing w:after="0" w:line="268" w:lineRule="auto"/>
        <w:rPr>
          <w:sz w:val="20"/>
          <w:szCs w:val="20"/>
          <w:color w:val="auto"/>
        </w:rPr>
      </w:pPr>
      <w:r>
        <w:rPr>
          <w:rFonts w:ascii="Arial" w:cs="Arial" w:eastAsia="Arial" w:hAnsi="Arial"/>
          <w:sz w:val="18"/>
          <w:szCs w:val="18"/>
          <w:color w:val="auto"/>
        </w:rPr>
        <w:t>The Committee reviews the compensation of our executive officers on an annual basis in connection with the annual financial results for the fiscal year just ended and projections for the current fiscal year.</w:t>
      </w:r>
    </w:p>
    <w:p>
      <w:pPr>
        <w:spacing w:after="0" w:line="187" w:lineRule="exact"/>
        <w:rPr>
          <w:sz w:val="20"/>
          <w:szCs w:val="20"/>
          <w:color w:val="auto"/>
        </w:rPr>
      </w:pPr>
    </w:p>
    <w:p>
      <w:pPr>
        <w:jc w:val="both"/>
        <w:ind w:firstLine="365"/>
        <w:spacing w:after="0"/>
        <w:rPr>
          <w:sz w:val="20"/>
          <w:szCs w:val="20"/>
          <w:color w:val="auto"/>
        </w:rPr>
      </w:pPr>
      <w:r>
        <w:rPr>
          <w:rFonts w:ascii="Arial" w:cs="Arial" w:eastAsia="Arial" w:hAnsi="Arial"/>
          <w:sz w:val="17"/>
          <w:szCs w:val="17"/>
          <w:color w:val="auto"/>
        </w:rPr>
        <w:t>Mercer reviews and identifies the most recent available data and identifies the Market Data for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(i.e. median)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with respect to each position or rank. Mercer compares the Company's compensation data, both as to elements and amounts to be paid or potential value to be delivered, with that of the Market Data and reports its findings to the chief executive officer and the Committee chair. The Company's chief executive officer works with Mercer by providing Company financial data with respect to the most-recently completed fiscal year. The chief executive officer also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8"/>
          <w:szCs w:val="18"/>
          <w:color w:val="auto"/>
        </w:rPr>
        <w:t>reviews projected Company financial results for the current fiscal year and the Company's strategic business plan. The chief executive officer makes suggestions as to base salary, recommends a potential set of Company-wide and/or business unit metrics and targets for the current fiscal year with respect to short-term incentives and offers suggestions as to long-term incentive compensation for the Named Executive Officers other than himself. He makes no recommendations as to his own level of compensation.</w:t>
      </w:r>
    </w:p>
    <w:p>
      <w:pPr>
        <w:spacing w:after="0" w:line="197" w:lineRule="exact"/>
        <w:rPr>
          <w:sz w:val="20"/>
          <w:szCs w:val="20"/>
          <w:color w:val="auto"/>
        </w:rPr>
      </w:pPr>
    </w:p>
    <w:p>
      <w:pPr>
        <w:jc w:val="both"/>
        <w:ind w:firstLine="583"/>
        <w:spacing w:after="0" w:line="312" w:lineRule="auto"/>
        <w:rPr>
          <w:sz w:val="20"/>
          <w:szCs w:val="20"/>
          <w:color w:val="auto"/>
        </w:rPr>
      </w:pPr>
      <w:r>
        <w:rPr>
          <w:rFonts w:ascii="Arial" w:cs="Arial" w:eastAsia="Arial" w:hAnsi="Arial"/>
          <w:sz w:val="15"/>
          <w:szCs w:val="15"/>
          <w:color w:val="auto"/>
        </w:rPr>
        <w:t>The Committee reviews the Market Data, discusses the Market Data with the chief executive officer and with Mercer, discusses individual officer performance based on input from the chief executive officer and, without the chief executive officer present, discusses the chief executive officer's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 deviating, as appropriate, from the Market Data based on the factors described earlier.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charts show the compensation mix for the Company's CEO and for CEO's in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148590</wp:posOffset>
            </wp:positionV>
            <wp:extent cx="6629400" cy="2418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940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2010 base salaries</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Market Data median. At the completion of fiscal 2009, the Market Data showed that the base salaries of all of the Named Executive Officers, other than Mr. Licciardello, were within +/- 10% from the median for their positions or ranks. The Committee determined, following a recommendation by the chief executive officer and upon review by Mercer, to leave unchanged the base salary for all of the Company's officers. The Committee also reviewed Market Data related to CEO and CFO compensation and determined to leave those salaries unchanged for fiscal 2010.</w:t>
      </w:r>
    </w:p>
    <w:p>
      <w:pPr>
        <w:spacing w:after="0" w:line="170" w:lineRule="exact"/>
        <w:rPr>
          <w:sz w:val="20"/>
          <w:szCs w:val="20"/>
          <w:color w:val="auto"/>
        </w:rPr>
      </w:pPr>
    </w:p>
    <w:p>
      <w:pPr>
        <w:jc w:val="both"/>
        <w:ind w:firstLine="522"/>
        <w:spacing w:after="0" w:line="268" w:lineRule="auto"/>
        <w:rPr>
          <w:sz w:val="20"/>
          <w:szCs w:val="20"/>
          <w:color w:val="auto"/>
        </w:rPr>
      </w:pPr>
      <w:r>
        <w:rPr>
          <w:rFonts w:ascii="Arial" w:cs="Arial" w:eastAsia="Arial" w:hAnsi="Arial"/>
          <w:sz w:val="18"/>
          <w:szCs w:val="18"/>
          <w:color w:val="auto"/>
        </w:rPr>
        <w:t>In light of the impact of the global financial and economic crisis on the Company's operations, in October 2008, the Committee implemented a 20% reduction in the base salaries of all the Company's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officers. In addition, in January 2009, Messrs. Appleton and Durcan reduced their base salary by an additional 10%. Officers' salaries were reinstated to their full amounts in March 2010 and in April 2010 the Committee approved a supplemental bonus to each of the Company's officers who participated in the pay reduction. See "Other" below for additional information on the supplemental bonus.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2010 short-term incentive awards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Executive Officer Performance Incentive Plan</w:t>
      </w:r>
    </w:p>
    <w:p>
      <w:pPr>
        <w:spacing w:after="0" w:line="225" w:lineRule="exact"/>
        <w:rPr>
          <w:sz w:val="20"/>
          <w:szCs w:val="20"/>
          <w:color w:val="auto"/>
        </w:rPr>
      </w:pPr>
    </w:p>
    <w:p>
      <w:pPr>
        <w:jc w:val="both"/>
        <w:ind w:firstLine="409"/>
        <w:spacing w:after="0" w:line="255" w:lineRule="auto"/>
        <w:rPr>
          <w:sz w:val="20"/>
          <w:szCs w:val="20"/>
          <w:color w:val="auto"/>
        </w:rPr>
      </w:pPr>
      <w:r>
        <w:rPr>
          <w:rFonts w:ascii="Arial" w:cs="Arial" w:eastAsia="Arial" w:hAnsi="Arial"/>
          <w:sz w:val="18"/>
          <w:szCs w:val="18"/>
          <w:color w:val="auto"/>
        </w:rPr>
        <w:t>Annual short-term incentive awards are paid in cash and made to the Company's officers under the Executive Officer Performance Incentive Plan ("EIP"). The short-term incentive "opportunity" ("Target Award") for each officer is stated in terms of a specified percentage of such officer's base salary and is designed to reward participants for the achievement of specified short-term business-unit and/or Company-wide financial, operational or strategic goals. The Committee believes the pre-determined goals, regardless of whether tied to business unit or Company-wide performance, promote the Company's long-term success and shareholder value.</w:t>
      </w:r>
    </w:p>
    <w:p>
      <w:pPr>
        <w:spacing w:after="0" w:line="197" w:lineRule="exact"/>
        <w:rPr>
          <w:sz w:val="20"/>
          <w:szCs w:val="20"/>
          <w:color w:val="auto"/>
        </w:rPr>
      </w:pPr>
    </w:p>
    <w:p>
      <w:pPr>
        <w:jc w:val="both"/>
        <w:ind w:firstLine="431"/>
        <w:spacing w:after="0" w:line="268" w:lineRule="auto"/>
        <w:rPr>
          <w:sz w:val="20"/>
          <w:szCs w:val="20"/>
          <w:color w:val="auto"/>
        </w:rPr>
      </w:pPr>
      <w:r>
        <w:rPr>
          <w:rFonts w:ascii="Arial" w:cs="Arial" w:eastAsia="Arial" w:hAnsi="Arial"/>
          <w:sz w:val="18"/>
          <w:szCs w:val="18"/>
          <w:color w:val="auto"/>
        </w:rPr>
        <w:t>In October 2009, and in accordance with the provisions of the EIP, the Committee met and established goals for fiscal 2010. The fiscal 2010 goals, all of which were subject to the profitability goal identified in (a) below, included the following:</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Company profitability by end of fiscal 2010,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cumulative operating cash flow levels for the third and fourth fiscal quarters of 2010 of certain specified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budget expenses that do not exceed a certain specified level of revenue,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a certain specified level of revenue from the sale of new products.</w:t>
      </w:r>
    </w:p>
    <w:p>
      <w:pPr>
        <w:spacing w:after="0" w:line="225" w:lineRule="exact"/>
        <w:rPr>
          <w:sz w:val="20"/>
          <w:szCs w:val="20"/>
          <w:color w:val="auto"/>
        </w:rPr>
      </w:pPr>
    </w:p>
    <w:p>
      <w:pPr>
        <w:jc w:val="both"/>
        <w:ind w:firstLine="545"/>
        <w:spacing w:after="0" w:line="254" w:lineRule="auto"/>
        <w:rPr>
          <w:sz w:val="20"/>
          <w:szCs w:val="20"/>
          <w:color w:val="auto"/>
        </w:rPr>
      </w:pPr>
      <w:r>
        <w:rPr>
          <w:rFonts w:ascii="Arial" w:cs="Arial" w:eastAsia="Arial" w:hAnsi="Arial"/>
          <w:sz w:val="18"/>
          <w:szCs w:val="18"/>
          <w:color w:val="auto"/>
        </w:rPr>
        <w:t>The corporate goals of profitability, cash flow levels, and selling, general and administrative expenses were chosen due to their direct correlation to shareholder value creation. The new product revenue goal was chosen primarily for its potential indirect positive impact on the Company's business and results. The target incentive amounts that could be payable under the EIP for achievement of the fiscal 2010 goals are shown in the columns "Estimated Future Payouts under Non-Equity Incentive Plan Awards" of the "Grants of Plan-Based Awards in Fiscal 2010" table. The target payout requires a significant level of effort without assurance of goal achievement. The fiscal 2010 goals did not include a threshold level so that there would be no payout unless the goal was fully achieved.</w:t>
      </w:r>
    </w:p>
    <w:p>
      <w:pPr>
        <w:spacing w:after="0" w:line="198" w:lineRule="exact"/>
        <w:rPr>
          <w:sz w:val="20"/>
          <w:szCs w:val="20"/>
          <w:color w:val="auto"/>
        </w:rPr>
      </w:pPr>
    </w:p>
    <w:p>
      <w:pPr>
        <w:jc w:val="both"/>
        <w:ind w:firstLine="504"/>
        <w:spacing w:after="0" w:line="210" w:lineRule="auto"/>
        <w:rPr>
          <w:sz w:val="20"/>
          <w:szCs w:val="20"/>
          <w:color w:val="auto"/>
        </w:rPr>
      </w:pPr>
      <w:r>
        <w:rPr>
          <w:rFonts w:ascii="Arial" w:cs="Arial" w:eastAsia="Arial" w:hAnsi="Arial"/>
          <w:sz w:val="18"/>
          <w:szCs w:val="18"/>
          <w:color w:val="auto"/>
        </w:rPr>
        <w:t>The Target Awards established for fiscal 2010 for the Named Executive Officers, other than Mr. Licciardello, were measured against the Market Data median. As previously discussed, although we review the short-term incentive opportunities against the Market Data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(i.e. median)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the opportunities are not necessarily limited to the median of Market Data, but considered within the factors described under the section labeled "Reasonable" above. Actual results drive payouts and the Company pays for achievement of the pre-determined goals. For fiscal 2010, the following Target Awards were established:</w:t>
      </w:r>
    </w:p>
    <w:p>
      <w:pPr>
        <w:spacing w:after="0" w:line="237"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Appleton—150%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Durcan—120%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Foster—100% of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Shirley—100% of base salary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jc w:val="both"/>
        <w:ind w:firstLine="393"/>
        <w:spacing w:after="0" w:line="268" w:lineRule="auto"/>
        <w:rPr>
          <w:sz w:val="20"/>
          <w:szCs w:val="20"/>
          <w:color w:val="auto"/>
        </w:rPr>
      </w:pPr>
      <w:r>
        <w:rPr>
          <w:rFonts w:ascii="Arial" w:cs="Arial" w:eastAsia="Arial" w:hAnsi="Arial"/>
          <w:sz w:val="18"/>
          <w:szCs w:val="18"/>
          <w:color w:val="auto"/>
        </w:rPr>
        <w:t>The following table shows the weighting of Messrs. Appleton, Durcan, Foster and Shirley's Target Awards among the various goals. The weightings reflect the officer's responsibilities and ability to affect the attainment of the goal.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EIP Weightings (as % of Target Incentive)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(b)</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Selling,</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Operating</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General &amp;</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Cash</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New Product</w:t>
            </w: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33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Profitability</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Flow</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Expenses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8"/>
              </w:rPr>
              <w:t>10%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D. Mark Durcan</w:t>
            </w:r>
          </w:p>
        </w:tc>
        <w:tc>
          <w:tcPr>
            <w:tcW w:w="436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w w:val="88"/>
              </w:rPr>
              <w:t>10%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4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8"/>
              </w:rPr>
              <w:t>15%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Brian M. Shirley</w:t>
            </w:r>
          </w:p>
        </w:tc>
        <w:tc>
          <w:tcPr>
            <w:tcW w:w="436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410"/>
        <w:spacing w:after="0" w:line="268" w:lineRule="auto"/>
        <w:rPr>
          <w:sz w:val="20"/>
          <w:szCs w:val="20"/>
          <w:color w:val="auto"/>
        </w:rPr>
      </w:pPr>
      <w:r>
        <w:rPr>
          <w:rFonts w:ascii="Arial" w:cs="Arial" w:eastAsia="Arial" w:hAnsi="Arial"/>
          <w:sz w:val="18"/>
          <w:szCs w:val="18"/>
          <w:color w:val="auto"/>
        </w:rPr>
        <w:t>Following a review of fiscal 2010 results, the Committee determined that the goals (a), (b) and (c) were achieved and that goal (d) was not achieved. As a result of meeting these goals Messrs. Appleton, Durcan, Foster and Shirley received bonuses in the following amounts: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418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Bonus</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Steven R. Appleton</w:t>
            </w:r>
          </w:p>
        </w:tc>
        <w:tc>
          <w:tcPr>
            <w:tcW w:w="4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1,282,500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 Mark Durcan</w:t>
            </w:r>
          </w:p>
        </w:tc>
        <w:tc>
          <w:tcPr>
            <w:tcW w:w="5260" w:type="dxa"/>
            <w:vAlign w:val="bottom"/>
            <w:gridSpan w:val="3"/>
          </w:tcPr>
          <w:p>
            <w:pPr>
              <w:jc w:val="right"/>
              <w:ind w:right="160"/>
              <w:spacing w:after="0"/>
              <w:rPr>
                <w:sz w:val="20"/>
                <w:szCs w:val="20"/>
                <w:color w:val="auto"/>
              </w:rPr>
            </w:pPr>
            <w:r>
              <w:rPr>
                <w:rFonts w:ascii="Arial" w:cs="Arial" w:eastAsia="Arial" w:hAnsi="Arial"/>
                <w:sz w:val="18"/>
                <w:szCs w:val="18"/>
                <w:color w:val="auto"/>
              </w:rPr>
              <w:t>612,000</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5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405,000</w:t>
            </w: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Brian M. Shirley</w:t>
            </w:r>
          </w:p>
        </w:tc>
        <w:tc>
          <w:tcPr>
            <w:tcW w:w="5260" w:type="dxa"/>
            <w:vAlign w:val="bottom"/>
            <w:gridSpan w:val="3"/>
          </w:tcPr>
          <w:p>
            <w:pPr>
              <w:jc w:val="right"/>
              <w:ind w:right="160"/>
              <w:spacing w:after="0"/>
              <w:rPr>
                <w:sz w:val="20"/>
                <w:szCs w:val="20"/>
                <w:color w:val="auto"/>
              </w:rPr>
            </w:pPr>
            <w:r>
              <w:rPr>
                <w:rFonts w:ascii="Arial" w:cs="Arial" w:eastAsia="Arial" w:hAnsi="Arial"/>
                <w:sz w:val="18"/>
                <w:szCs w:val="18"/>
                <w:color w:val="auto"/>
              </w:rPr>
              <w:t>363,000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amounts are included in the "Fiscal 2010 Summary Compensation Table" in the column "Non-Equity Incentive Plan Compensation."</w:t>
      </w:r>
    </w:p>
    <w:p>
      <w:pPr>
        <w:spacing w:after="0" w:line="248"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The EIP calls for certain performance goals to be modified with respect to major corporate transactions if permitted by Section 162(m) of the Code. These events are more fully described in the EIP. Additionally, the Committee has the discretion to modify performance goals with respect to Target Awards that are not intended to satisfy Section 162(m) if the Committee determines that due to changes in business, operations, corporate or capital structure of the Company,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 In fiscal 2010, the Committee did not exercise any such negative discretion.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In light of the global financial crisis, in October 2008, the Committee implemented a 20% reduction in the base salaries of all of the Company's officers. In January 2009, Messrs. Appleton and Durcan reduced their base salaries by an additional 10%. In addition, the EIP was suspended in fiscal 2009 and no bonuses were paid for fiscal 2009 performance. In April 2010, the Committee approved the payment of a supplemental bonus to each of the Company's officers in an amount equal to the amount that the officer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8"/>
          <w:szCs w:val="18"/>
          <w:color w:val="auto"/>
        </w:rPr>
        <w:t>had forgone as a result of base salary reductions implemented in 2008 and 2009. Pursuant to this supplemental bonus, the following Named Executive Officers received:</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Supplemental Bonus</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Steven R. Appleton</w:t>
            </w:r>
          </w:p>
        </w:tc>
        <w:tc>
          <w:tcPr>
            <w:tcW w:w="3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 Mark Durcan</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240,000</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129,000</w:t>
            </w: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Brian M. Shirley</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139,000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amounts are included in the "Fiscal 2010 Summary Compensation Table" in the column entitled "Non-Equity Incentive Plan Compensation."</w:t>
      </w:r>
    </w:p>
    <w:p>
      <w:pPr>
        <w:spacing w:after="0" w:line="248"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As a result of the Company achieving historical highs for revenue, income and cash flows in fiscal 2010, the Committee awarded the Company's officers supplemental bonuses for extraordinary achievement. These bonuses are not intended to qualify for favorable tax treatment under Section 162(m). Pursuant to this supplemental bonus, the following Named Executive Officers received:</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4"/>
              </w:rPr>
              <w:t>Named Executive Officer</w:t>
            </w: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Supplemental Bonus</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Steven R. Appleton</w:t>
            </w:r>
          </w:p>
        </w:tc>
        <w:tc>
          <w:tcPr>
            <w:tcW w:w="3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 Mark Durcan</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216,000</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135,000</w:t>
            </w: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Brian M. Shirley</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145,200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amounts are included in the "Fiscal 2010 Summary Compensation Table" in the column entitled "Non-Equity Incentive Plan Compensation."</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2010 long-term equity incentives</w:t>
      </w:r>
    </w:p>
    <w:p>
      <w:pPr>
        <w:spacing w:after="0" w:line="225" w:lineRule="exact"/>
        <w:rPr>
          <w:sz w:val="20"/>
          <w:szCs w:val="20"/>
          <w:color w:val="auto"/>
        </w:rPr>
      </w:pPr>
    </w:p>
    <w:p>
      <w:pPr>
        <w:jc w:val="both"/>
        <w:ind w:firstLine="535"/>
        <w:spacing w:after="0" w:line="289" w:lineRule="auto"/>
        <w:rPr>
          <w:sz w:val="20"/>
          <w:szCs w:val="20"/>
          <w:color w:val="auto"/>
        </w:rPr>
      </w:pPr>
      <w:r>
        <w:rPr>
          <w:rFonts w:ascii="Arial" w:cs="Arial" w:eastAsia="Arial" w:hAnsi="Arial"/>
          <w:sz w:val="16"/>
          <w:szCs w:val="16"/>
          <w:color w:val="auto"/>
        </w:rPr>
        <w:t>Pursuant to the Company's objective to provide a competitive compensation package, with variable compensation being a significant portion of such package, the Company provided the Named Executive Officers, other than Mr. Licciardello, with equity awards in fiscal 2010. In connection therewith, the Committee reviewed the Market Data for the Compensation Peer Group for fiscal 2009, and found that 86% of the companies in the Compensation Peer Group used stock options, 43% of the companies used time-based restricted shares and 29% also used performance-based restricted shares as compensation vehicles for their executives. The Committee discussed the merits of performance-based awards, such as stock options and performance-based restricted stock, and how they aligned with maximizing shareholder value. Consistent with our guiding principles of being competitive with our Compensation Peer Group so as to retain qualified individuals, the Committee approved equity awards for fiscal 2010 that were comprised of 50% stock options, 25% performance- based restricted stock and 25% time-based restricted stock.</w:t>
      </w:r>
    </w:p>
    <w:p>
      <w:pPr>
        <w:spacing w:after="0" w:line="172" w:lineRule="exact"/>
        <w:rPr>
          <w:sz w:val="20"/>
          <w:szCs w:val="20"/>
          <w:color w:val="auto"/>
        </w:rPr>
      </w:pPr>
    </w:p>
    <w:p>
      <w:pPr>
        <w:jc w:val="both"/>
        <w:ind w:firstLine="386"/>
        <w:spacing w:after="0" w:line="289" w:lineRule="auto"/>
        <w:rPr>
          <w:sz w:val="20"/>
          <w:szCs w:val="20"/>
          <w:color w:val="auto"/>
        </w:rPr>
      </w:pPr>
      <w:r>
        <w:rPr>
          <w:rFonts w:ascii="Arial" w:cs="Arial" w:eastAsia="Arial" w:hAnsi="Arial"/>
          <w:sz w:val="16"/>
          <w:szCs w:val="16"/>
          <w:color w:val="auto"/>
        </w:rPr>
        <w:t>With respect to the time-based restricted stock awards for fiscal 2010, the restrictions lapse as to one-fourth of the shares on each anniversary of the date of grant. With respect to the stock option awards for fiscal 2010, the options vest as to one-fourth of the shares on each anniversary of the date of grant. With respect to the performance-based restricted stock awards granted in fiscal 2010, the restrictions will lapse if the Company achieves a certain percentage return on assets ("ROA") over a consecutive rolling four-quarter period between the beginning of fiscal 2010 and the end of fiscal 2012 (the "Share Performance Period"). The achievement during the Share Performance Period of a lower threshold ROA percentage will result in the restrictions lapsing as to one-half of the fiscal 2010 performance-based shares. The achievement during the Share Performance Period of the target ROA percentage will result in the restrictions lapsing as to all of the fiscal 2010 performance-based shares. Both the threshold and target ROA percentages require significant effort with the achievement of neither ROA percentage being assured. In the absence of at least the threshold ROA percentage being achieved during the Share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8"/>
          <w:szCs w:val="18"/>
          <w:color w:val="auto"/>
        </w:rPr>
        <w:t>Performance Period, the restrictions will not lapse and all of the fiscal 2010 performance-based shares set forth in the column titled "Estimated Future Payouts under Equity Incentive Plan Awards-Target" of the "Grants of Plan-Based Awards in Fiscal 2010" table will be forfeited. In determining the amount of the long-term equity incentive awards to be received by Mr. Appleton for fiscal 2010, the Committee reviewed the Market Data. While the Market Data showed that Mr. Appleton's then current long-term equity incentive opportunity based on value was approximately 25% above the median, the Committee decided to keep the value of Mr. Appleton's targeted long-term equity incentive award for fiscal 2010 targeted at $6,500,000. Mr. Appleton's long-term incentive award value has not changed since fiscal 2007.</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elements and amounts of Mr. Appleton's long-term incentive award for fiscal 2010:</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Security</w:t>
            </w:r>
          </w:p>
        </w:tc>
        <w:tc>
          <w:tcPr>
            <w:tcW w:w="200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 of Options/Shares*</w:t>
            </w:r>
          </w:p>
        </w:tc>
        <w:tc>
          <w:tcPr>
            <w:tcW w:w="1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3,237,051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Time-based Restricted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218,000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1,626,280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Performance-based Restricted Stock</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1,623,840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6,487,171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840" w:hanging="550"/>
        <w:spacing w:after="0" w:line="291" w:lineRule="auto"/>
        <w:tabs>
          <w:tab w:leader="none" w:pos="2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Option amount for Mr. Appleton was calculated by dividing $3,250,000 (50% of $6,500,000) by the estimated fair value of the Company's stock options at the time of the Committee's meeting on executive compensation. The time-based restricted share amount for Mr. Appleton was calculated by dividing $1,625,000 (25% of $6,500,000) by $7.46, the approximate fair market value of the Company's Common Stock at the time of the Committee's meeting on executive compensation. The performance-based restricted share amount for Mr. Appleton was calculated by dividing $1,625,000 (25% of $6,500,000) by $5.97 (20% discount to the $7.46 share price).</w:t>
      </w:r>
    </w:p>
    <w:p>
      <w:pPr>
        <w:spacing w:after="0" w:line="174" w:lineRule="exact"/>
        <w:rPr>
          <w:sz w:val="20"/>
          <w:szCs w:val="20"/>
          <w:color w:val="auto"/>
        </w:rPr>
      </w:pPr>
    </w:p>
    <w:p>
      <w:pPr>
        <w:jc w:val="both"/>
        <w:ind w:firstLine="484"/>
        <w:spacing w:after="0" w:line="294" w:lineRule="auto"/>
        <w:rPr>
          <w:sz w:val="20"/>
          <w:szCs w:val="20"/>
          <w:color w:val="auto"/>
        </w:rPr>
      </w:pPr>
      <w:r>
        <w:rPr>
          <w:rFonts w:ascii="Arial" w:cs="Arial" w:eastAsia="Arial" w:hAnsi="Arial"/>
          <w:sz w:val="16"/>
          <w:szCs w:val="16"/>
          <w:color w:val="auto"/>
        </w:rPr>
        <w:t>Information related to Mr. Appleton's long-term incentive award also is included in the "Grants of Plan-Based Awards in Fiscal 2010"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Value differences between the amounts stated above and what is found in the "Grants of Plan-Based Awards Table in Fiscal 2010" are attributable to the 20% discount applied to the performance-based shares and the full fair value under ASC Topic 718.</w:t>
      </w:r>
    </w:p>
    <w:p>
      <w:pPr>
        <w:spacing w:after="0" w:line="170" w:lineRule="exact"/>
        <w:rPr>
          <w:sz w:val="20"/>
          <w:szCs w:val="20"/>
          <w:color w:val="auto"/>
        </w:rPr>
      </w:pPr>
    </w:p>
    <w:p>
      <w:pPr>
        <w:jc w:val="both"/>
        <w:ind w:firstLine="418"/>
        <w:spacing w:after="0" w:line="286" w:lineRule="auto"/>
        <w:rPr>
          <w:sz w:val="20"/>
          <w:szCs w:val="20"/>
          <w:color w:val="auto"/>
        </w:rPr>
      </w:pPr>
      <w:r>
        <w:rPr>
          <w:rFonts w:ascii="Arial" w:cs="Arial" w:eastAsia="Arial" w:hAnsi="Arial"/>
          <w:sz w:val="16"/>
          <w:szCs w:val="16"/>
          <w:color w:val="auto"/>
        </w:rPr>
        <w:t>In determining the amount of the long-term equity incentive award for Messrs. Appleton, Durcan, Foster and Shirley, the Committee reviewed the Market Data and information provided by Mr. Appleton related to the officer's performance and a recommendation as to the amount of the award. For fiscal 2010, the</w:t>
      </w:r>
    </w:p>
    <w:p>
      <w:pPr>
        <w:jc w:val="both"/>
        <w:spacing w:after="0" w:line="189" w:lineRule="auto"/>
        <w:rPr>
          <w:sz w:val="20"/>
          <w:szCs w:val="20"/>
          <w:color w:val="auto"/>
        </w:rPr>
      </w:pPr>
      <w:r>
        <w:rPr>
          <w:rFonts w:ascii="Arial" w:cs="Arial" w:eastAsia="Arial" w:hAnsi="Arial"/>
          <w:sz w:val="18"/>
          <w:szCs w:val="18"/>
          <w:color w:val="auto"/>
        </w:rPr>
        <w:t>long term equity incentive awards approved by the Committee for each of Messrs. Appleton, Durcan, Foster and Shirley fell between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Market Data for their position or rank. The share amounts for the other Named Executive Officers were calculated in the same fashion and appear in the same columns as were used for Mr. Appleton in the "Grants of Plan-Based Awards in Fiscal 2010" table.</w:t>
      </w:r>
    </w:p>
    <w:p>
      <w:pPr>
        <w:spacing w:after="0" w:line="210"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6"/>
          <w:szCs w:val="16"/>
          <w:color w:val="auto"/>
        </w:rPr>
        <w:t>The Company has not and does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(which typically occurs approximately within the week following the Company's announcement of its results for the fiscal year). Historically, long-term incentive grants to the Named Executive Officers are approved by the Committee on the same day as the grants to other officers and the exercise price of stock options is equal to the fair market value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jc w:val="both"/>
        <w:spacing w:after="0" w:line="332" w:lineRule="auto"/>
        <w:rPr>
          <w:sz w:val="20"/>
          <w:szCs w:val="20"/>
          <w:color w:val="auto"/>
        </w:rPr>
      </w:pPr>
      <w:r>
        <w:rPr>
          <w:rFonts w:ascii="Arial" w:cs="Arial" w:eastAsia="Arial" w:hAnsi="Arial"/>
          <w:sz w:val="16"/>
          <w:szCs w:val="16"/>
          <w:color w:val="auto"/>
        </w:rPr>
        <w:t>Company's Common Stock as defined by the applicable Company equity plan pursuant to which the award is granted. For purposes of the Company's equity plans, fair market value is defined as the closing price as quoted on NASDAQ for the last market trading day prior to the date of grant.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fiscal 2010 employee benefits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provides medical, dental, disability, life insurance and defined contribution retirement benefit programs, in which substantially all U.S. employees, including the Named Executive Officers, other than Mr. Licciardello, are entitled to participate. The role of these plans is to provide a competitive level of health, welfare and retirement benefits to substantially all employees.</w:t>
      </w:r>
    </w:p>
    <w:p>
      <w:pPr>
        <w:spacing w:after="0" w:line="19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i w:val="1"/>
          <w:iCs w:val="1"/>
          <w:color w:val="auto"/>
        </w:rPr>
        <w:t xml:space="preserve">U.S. Time off with Pay. </w:t>
      </w:r>
      <w:r>
        <w:rPr>
          <w:rFonts w:ascii="Arial" w:cs="Arial" w:eastAsia="Arial" w:hAnsi="Arial"/>
          <w:sz w:val="18"/>
          <w:szCs w:val="18"/>
          <w:color w:val="auto"/>
        </w:rPr>
        <w:t>In addition to cash and equity compensation programs, the Named Executive Officers participate in various other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plans, including, but not limited to, a time-off plan. Under the time-off plan, all employees of the Company, including the Named Executive Officers, are allowed to accumulate up to 999 hours of time-off to be used for vacation, holiday, sick time, emergencies and personal needs. Until January 2009, amounts accumulated in excess of 999 hours, if any, were paid out as regular compensation to participants, including the Named Executive Officers, and, with respect to the latter are included in the "Summary Compensation Table." Thereafter, the Company altered its time-off program and no longer pays compensation for amounts over 999 hours.</w:t>
      </w:r>
    </w:p>
    <w:p>
      <w:pPr>
        <w:spacing w:after="0" w:line="198"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i w:val="1"/>
          <w:iCs w:val="1"/>
          <w:color w:val="auto"/>
        </w:rPr>
        <w:t xml:space="preserve">U.S. 401(k) Retirement Benefits. </w:t>
      </w:r>
      <w:r>
        <w:rPr>
          <w:rFonts w:ascii="Arial" w:cs="Arial" w:eastAsia="Arial" w:hAnsi="Arial"/>
          <w:sz w:val="18"/>
          <w:szCs w:val="18"/>
          <w:color w:val="auto"/>
        </w:rPr>
        <w:t>The Company provides retirement benefits to its employees, including the Named Executive Officers, under its tax-qualified 401(k) plan. Due to market conditions, in March 2009, the Company suspended making matching contributions. The Company expects to reinstate making its matching contributions in January 2011. The Named Executive Officers participate in the 401(k) plan on the same terms as all other Company employees.</w:t>
      </w:r>
    </w:p>
    <w:p>
      <w:pPr>
        <w:spacing w:after="0" w:line="197" w:lineRule="exact"/>
        <w:rPr>
          <w:sz w:val="20"/>
          <w:szCs w:val="20"/>
          <w:color w:val="auto"/>
        </w:rPr>
      </w:pPr>
    </w:p>
    <w:p>
      <w:pPr>
        <w:jc w:val="both"/>
        <w:ind w:firstLine="481"/>
        <w:spacing w:after="0" w:line="289" w:lineRule="auto"/>
        <w:rPr>
          <w:sz w:val="20"/>
          <w:szCs w:val="20"/>
          <w:color w:val="auto"/>
        </w:rPr>
      </w:pPr>
      <w:r>
        <w:rPr>
          <w:rFonts w:ascii="Arial" w:cs="Arial" w:eastAsia="Arial" w:hAnsi="Arial"/>
          <w:sz w:val="16"/>
          <w:szCs w:val="16"/>
          <w:i w:val="1"/>
          <w:iCs w:val="1"/>
          <w:color w:val="auto"/>
        </w:rPr>
        <w:t xml:space="preserve">Mr. Licciardello's Benefits. </w:t>
      </w:r>
      <w:r>
        <w:rPr>
          <w:rFonts w:ascii="Arial" w:cs="Arial" w:eastAsia="Arial" w:hAnsi="Arial"/>
          <w:sz w:val="16"/>
          <w:szCs w:val="16"/>
          <w:color w:val="auto"/>
        </w:rPr>
        <w:t>Mr. Licciardello is employed in Switzerland and so does not receive the U.S. benefits described above. He also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many of the benefit programs typical to the Company's employees in Switzerland. Due to his age, Numonyx was unable to obtain accident, life or disability insurance for Mr. Licciardello at a cost acceptable to Numonyx. As a result, Numonyx self-insured these risks. The Company is still self-insuring these risks while investigating alternative arrangements. In addition, due to his age, Mr. Licciardello did not qualify for Numonyx's Swiss pension arrangements. In lieu of participation in a pension arrangement, Mr. Licciardello is paid an additional CHF 1,250 (approximately $1,230) per month. Mr. Licciardello also receives a meal allowance of CHF 300 (approximately $295) per month and a housing allowance of CHF 6,000 (approximately $5,906) per month. The first CHF 3,000 of the housing allowance is tax exempt and the Company grosses up the remaining CHF 3,000 for taxes. All amounts shown in U.S. dollars reflect a conversion rate of 0.98435, which was the exchange rate for Swiss francs to U.S. dollars on September 2,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have established stock ownership guidelines for our officers and directors. The Committee believes that officers will more effectively manage the Company in the best interests of the shareholders if they are also shareholders. The minimum ownership guideline for officers ranges from 10,000 to 90,000 shares, depending on the officer's position with the Company. Officers are given five years to meet the ownership guidelines. The Governance Committee reviews the Ownership Guidelines and monitors each covered executive's progress toward, and continued compliance with, the guidelines. Sales restrictions may be imposed upon the Company's officers and directors if the stock ownership guidelines are not met. For fiscal 2010, all officers were in compliance with the guidelines.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left="360"/>
        <w:spacing w:after="0"/>
        <w:rPr>
          <w:sz w:val="20"/>
          <w:szCs w:val="20"/>
          <w:color w:val="auto"/>
        </w:rPr>
      </w:pPr>
      <w:r>
        <w:rPr>
          <w:rFonts w:ascii="Arial" w:cs="Arial" w:eastAsia="Arial" w:hAnsi="Arial"/>
          <w:sz w:val="18"/>
          <w:szCs w:val="18"/>
          <w:color w:val="auto"/>
        </w:rPr>
        <w:t>The following table shows the guidelines for each of the Named Executive Officer's and their share holdings as of October 18, 2010.</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6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Share Holdings</w:t>
            </w: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Guideline</w:t>
            </w:r>
          </w:p>
        </w:tc>
        <w:tc>
          <w:tcPr>
            <w:tcW w:w="0" w:type="dxa"/>
            <w:vAlign w:val="bottom"/>
          </w:tcPr>
          <w:p>
            <w:pPr>
              <w:spacing w:after="0"/>
              <w:rPr>
                <w:sz w:val="1"/>
                <w:szCs w:val="1"/>
                <w:color w:val="auto"/>
              </w:rPr>
            </w:pPr>
          </w:p>
        </w:tc>
      </w:tr>
      <w:tr>
        <w:trPr>
          <w:trHeight w:val="142"/>
        </w:trPr>
        <w:tc>
          <w:tcPr>
            <w:tcW w:w="5540" w:type="dxa"/>
            <w:vAlign w:val="bottom"/>
            <w:gridSpan w:val="4"/>
            <w:vMerge w:val="continue"/>
          </w:tcPr>
          <w:p>
            <w:pPr>
              <w:spacing w:after="0"/>
              <w:rPr>
                <w:sz w:val="12"/>
                <w:szCs w:val="12"/>
                <w:color w:val="auto"/>
              </w:rPr>
            </w:pPr>
          </w:p>
        </w:tc>
        <w:tc>
          <w:tcPr>
            <w:tcW w:w="114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w w:val="94"/>
              </w:rPr>
              <w:t>Common Stock*</w:t>
            </w:r>
          </w:p>
        </w:tc>
        <w:tc>
          <w:tcPr>
            <w:tcW w:w="160" w:type="dxa"/>
            <w:vAlign w:val="bottom"/>
          </w:tcPr>
          <w:p>
            <w:pPr>
              <w:spacing w:after="0"/>
              <w:rPr>
                <w:sz w:val="12"/>
                <w:szCs w:val="12"/>
                <w:color w:val="auto"/>
              </w:rPr>
            </w:pPr>
          </w:p>
        </w:tc>
        <w:tc>
          <w:tcPr>
            <w:tcW w:w="12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93"/>
              </w:rPr>
              <w:t>Restricted 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940" w:type="dxa"/>
            <w:vAlign w:val="bottom"/>
            <w:gridSpan w:val="2"/>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1,395,877</w:t>
            </w: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901,582</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1140" w:type="dxa"/>
            <w:vAlign w:val="bottom"/>
          </w:tcPr>
          <w:p>
            <w:pPr>
              <w:jc w:val="right"/>
              <w:spacing w:after="0"/>
              <w:rPr>
                <w:sz w:val="20"/>
                <w:szCs w:val="20"/>
                <w:color w:val="auto"/>
              </w:rPr>
            </w:pPr>
            <w:r>
              <w:rPr>
                <w:rFonts w:ascii="Arial" w:cs="Arial" w:eastAsia="Arial" w:hAnsi="Arial"/>
                <w:sz w:val="18"/>
                <w:szCs w:val="18"/>
                <w:color w:val="auto"/>
              </w:rPr>
              <w:t>655,283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428,223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Mario Licciardello</w:t>
            </w:r>
          </w:p>
        </w:tc>
        <w:tc>
          <w:tcPr>
            <w:tcW w:w="1140" w:type="dxa"/>
            <w:vAlign w:val="bottom"/>
          </w:tcPr>
          <w:p>
            <w:pPr>
              <w:jc w:val="right"/>
              <w:spacing w:after="0"/>
              <w:rPr>
                <w:sz w:val="20"/>
                <w:szCs w:val="20"/>
                <w:color w:val="auto"/>
              </w:rPr>
            </w:pPr>
            <w:r>
              <w:rPr>
                <w:rFonts w:ascii="Arial" w:cs="Arial" w:eastAsia="Arial" w:hAnsi="Arial"/>
                <w:sz w:val="18"/>
                <w:szCs w:val="18"/>
                <w:color w:val="auto"/>
              </w:rPr>
              <w:t>85,692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shares held directly and indirectly by Named Executive Officer.</w:t>
      </w:r>
    </w:p>
    <w:p>
      <w:pPr>
        <w:spacing w:after="0" w:line="252" w:lineRule="exact"/>
        <w:rPr>
          <w:sz w:val="20"/>
          <w:szCs w:val="20"/>
          <w:color w:val="auto"/>
        </w:rPr>
      </w:pPr>
    </w:p>
    <w:p>
      <w:pPr>
        <w:ind w:left="1680" w:hanging="531"/>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time-based and performance-based restricted stock which is subject to forfeiture.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31" w:lineRule="exact"/>
        <w:rPr>
          <w:sz w:val="20"/>
          <w:szCs w:val="20"/>
          <w:color w:val="auto"/>
        </w:rPr>
      </w:pPr>
    </w:p>
    <w:p>
      <w:pPr>
        <w:jc w:val="both"/>
        <w:ind w:firstLine="511"/>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the Named Executive Officers. Qualifying performance-based compensation is not subject to the deduction limit if certain requirements are met. Historically, we have structured the key component of our long-term incentives in the form of stock option grants or performance-based restricted stock awards to comply with the statute. Awards under the Company's EIP also are generally designed to comply with the statute. Although the Committee believes it is important to preserve the deductibility of compensation under Section 162(m) whenever practicable, it reserves the right to grant or approve compensation or awards that may be non-deductible when it believes such compensation or awards are in the best interests of the Company and its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31" w:lineRule="exact"/>
        <w:rPr>
          <w:sz w:val="20"/>
          <w:szCs w:val="20"/>
          <w:color w:val="auto"/>
        </w:rPr>
      </w:pPr>
    </w:p>
    <w:p>
      <w:pPr>
        <w:jc w:val="both"/>
        <w:ind w:firstLine="406"/>
        <w:spacing w:after="0" w:line="254" w:lineRule="auto"/>
        <w:rPr>
          <w:sz w:val="20"/>
          <w:szCs w:val="20"/>
          <w:color w:val="auto"/>
        </w:rPr>
      </w:pPr>
      <w:r>
        <w:rPr>
          <w:rFonts w:ascii="Arial" w:cs="Arial" w:eastAsia="Arial" w:hAnsi="Arial"/>
          <w:sz w:val="18"/>
          <w:szCs w:val="18"/>
          <w:color w:val="auto"/>
        </w:rPr>
        <w:t>The Company has entered into a severance agreement with each of the Company's Named Executive Officers. Mr. Licciardello's severance agreement was entered into by Numonyx prior to the consummation of the Numonyx Acquisition and is still in effect. We believe severance agreements are in the best interests of the Company and its shareholders because they are necessary to attract and retain qualified executive talent, promote candid discussion among the officers of the Company, help provide for a smooth transition when there is a change in management, provide the officer with benefits in consideration of a promise not to compete with the Company after termination of employment with the Company and release the Company, officers, directors, employees and agents from any and all claims.</w:t>
      </w:r>
    </w:p>
    <w:p>
      <w:pPr>
        <w:spacing w:after="0" w:line="198"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Estimated payments as of the end of fiscal 2010 under the severance agreements can be found in the "Voluntary or Involuntary Termination of Employment" table.</w:t>
      </w:r>
    </w:p>
    <w:p>
      <w:pPr>
        <w:spacing w:after="0" w:line="186"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i w:val="1"/>
          <w:iCs w:val="1"/>
          <w:color w:val="auto"/>
        </w:rPr>
        <w:t xml:space="preserve">Standard Severance Agreement (Named Executive Officers except Mr. Licciardello). </w:t>
      </w:r>
      <w:r>
        <w:rPr>
          <w:rFonts w:ascii="Arial" w:cs="Arial" w:eastAsia="Arial" w:hAnsi="Arial"/>
          <w:sz w:val="16"/>
          <w:szCs w:val="16"/>
          <w:color w:val="auto"/>
        </w:rPr>
        <w:t>Each of our Named Executive Officers, except Mr. Licciardello, has a</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severance agreement in place with the Company (the "Severance Agreements"). In general, the Severance Agreements provide for severance payments upon termination of employment with the Company for any reason, including death, voluntary or involuntary termination or termination with or without cause.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170" w:lineRule="exact"/>
        <w:rPr>
          <w:sz w:val="20"/>
          <w:szCs w:val="20"/>
          <w:color w:val="auto"/>
        </w:rPr>
      </w:pPr>
    </w:p>
    <w:p>
      <w:pPr>
        <w:jc w:val="both"/>
        <w:ind w:firstLine="426"/>
        <w:spacing w:after="0" w:line="259" w:lineRule="auto"/>
        <w:rPr>
          <w:sz w:val="20"/>
          <w:szCs w:val="20"/>
          <w:color w:val="auto"/>
        </w:rPr>
      </w:pPr>
      <w:r>
        <w:rPr>
          <w:rFonts w:ascii="Arial" w:cs="Arial" w:eastAsia="Arial" w:hAnsi="Arial"/>
          <w:sz w:val="18"/>
          <w:szCs w:val="18"/>
          <w:color w:val="auto"/>
        </w:rPr>
        <w:t>Provided an officer complies with post-employment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bonuses, executive bonuses, benefits and continued vesting of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both"/>
        <w:spacing w:after="0" w:line="298" w:lineRule="auto"/>
        <w:rPr>
          <w:sz w:val="20"/>
          <w:szCs w:val="20"/>
          <w:color w:val="auto"/>
        </w:rPr>
      </w:pPr>
      <w:r>
        <w:rPr>
          <w:rFonts w:ascii="Arial" w:cs="Arial" w:eastAsia="Arial" w:hAnsi="Arial"/>
          <w:sz w:val="16"/>
          <w:szCs w:val="16"/>
          <w:color w:val="auto"/>
        </w:rPr>
        <w:t>granted stock options and restricted shares. With respect to short-term incentive awards and long-term equity awards that are performance-based, the officer is entitled to receive such awards only if the goals are achieved before or during the applicable Transition Period. Such terminated officers are not entitled to receive any new awards under the Company's equity plans or EIP or to the payment of any compensation that would be deferred past the Transition Period due to payment criteria of an incentive program, as those criteria exist as of the Termination Date.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Confidentiality obligations related to the Company's proprietary and confidential information that last indefinitely.</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nondisparagement and confidentiality obligation surrounding the reasons for, and circumstances of, the officer's termination of employment or change in officer status that lasts indefinitely. However, the Company may disclose such information as it determines, in its sole discretion, is either required by law to be disclosed or necessary to be disclosed to serve a valid business purpose.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the Company's employees and business partners.</w:t>
      </w:r>
    </w:p>
    <w:p>
      <w:pPr>
        <w:spacing w:after="0" w:line="225"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Upon receipt of all benefits under the Severance Agreement, the officer and Company are considered to have settled, waived, and voluntarily released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19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i w:val="1"/>
          <w:iCs w:val="1"/>
          <w:color w:val="auto"/>
        </w:rPr>
        <w:t xml:space="preserve">Mr. Licciardello's Numonyx Severance Agreement. </w:t>
      </w:r>
      <w:r>
        <w:rPr>
          <w:rFonts w:ascii="Arial" w:cs="Arial" w:eastAsia="Arial" w:hAnsi="Arial"/>
          <w:sz w:val="18"/>
          <w:szCs w:val="18"/>
          <w:color w:val="auto"/>
        </w:rPr>
        <w:t>Mr. Licciardello's Severance Agreement (the "Numonyx Severance Agreement") was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him and Numonyx and is still in effect. The Numonyx Severance Agreement expires in accordance with its terms on May 7, 2011, which is the one-year anniversary of the Numonyx Acquisition. The Numonyx Severance Agreement provides for different severance benefits depending on the nature of Mr. Licciardello's termination:</w:t>
      </w:r>
    </w:p>
    <w:p>
      <w:pPr>
        <w:spacing w:after="0" w:line="224"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 without Severance Cause, Resignation for Good Reason</w:t>
      </w:r>
      <w:r>
        <w:rPr>
          <w:rFonts w:ascii="Arial" w:cs="Arial" w:eastAsia="Arial" w:hAnsi="Arial"/>
          <w:sz w:val="16"/>
          <w:szCs w:val="16"/>
          <w:color w:val="auto"/>
        </w:rPr>
        <w:t>: If Mr. Licciardello's employment ends as a result of his termination without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"Severance Cause" or his resignation with "Good Reason," then he is entitled to the following: (a) a cash amount equal to two times the aggregate</w:t>
      </w:r>
    </w:p>
    <w:p>
      <w:pPr>
        <w:spacing w:after="0" w:line="32" w:lineRule="exact"/>
        <w:rPr>
          <w:rFonts w:ascii="Arial" w:cs="Arial" w:eastAsia="Arial" w:hAnsi="Arial"/>
          <w:sz w:val="16"/>
          <w:szCs w:val="16"/>
          <w:color w:val="auto"/>
        </w:rPr>
      </w:pPr>
    </w:p>
    <w:p>
      <w:pPr>
        <w:jc w:val="both"/>
        <w:ind w:left="1080"/>
        <w:spacing w:after="0" w:line="292" w:lineRule="auto"/>
        <w:rPr>
          <w:rFonts w:ascii="Arial" w:cs="Arial" w:eastAsia="Arial" w:hAnsi="Arial"/>
          <w:sz w:val="16"/>
          <w:szCs w:val="16"/>
          <w:color w:val="auto"/>
        </w:rPr>
      </w:pPr>
      <w:r>
        <w:rPr>
          <w:rFonts w:ascii="Arial" w:cs="Arial" w:eastAsia="Arial" w:hAnsi="Arial"/>
          <w:sz w:val="16"/>
          <w:szCs w:val="16"/>
          <w:color w:val="auto"/>
        </w:rPr>
        <w:t>of: (i) one year's base salary and (ii) his annual target bonus for the year in which the termination occurs; and (b) immediate vesting of his unvested equity awards and continued exercisability of any stock options until the earlier of (i) the first anniversary of the date of the termination of his employment and (ii) the expiration of the stock option. The Numonyx Severance Agreement defines "Severance Cause" as various forms of material misconduct and defines "Good Reason" as breach of the terms of Mr. Licciardello's employment agreement or various forms of material reduction in Mr. Licciardello's duties or terms of employment and compensation.</w:t>
      </w:r>
    </w:p>
    <w:p>
      <w:pPr>
        <w:spacing w:after="0" w:line="18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for Severance Cause and Resignation without Good Reason</w:t>
      </w:r>
      <w:r>
        <w:rPr>
          <w:rFonts w:ascii="Arial" w:cs="Arial" w:eastAsia="Arial" w:hAnsi="Arial"/>
          <w:sz w:val="18"/>
          <w:szCs w:val="18"/>
          <w:color w:val="auto"/>
        </w:rPr>
        <w:t>: If Mr. Licciardello's employment ends as a result of his termination for "Severance Cause" or his resignation without "Good Reason," then he is generally entitled only to those payments he is entitled to under law (including earned but unpaid salary and bonus, and legitimate business expenses not yet reimbursed).</w:t>
      </w:r>
    </w:p>
    <w:p>
      <w:pPr>
        <w:spacing w:after="0" w:line="207"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Mr. Licciardello's employment ends as a result of becoming disabled, then he is generally entitled to: (a) those payments he is entitled to under law (including earned but unpaid salary and bonus, and legitimate business expenses not yet reimbursed); and</w:t>
      </w:r>
    </w:p>
    <w:p>
      <w:pPr>
        <w:ind w:left="1080"/>
        <w:spacing w:after="0"/>
        <w:rPr>
          <w:rFonts w:ascii="Arial" w:cs="Arial" w:eastAsia="Arial" w:hAnsi="Arial"/>
          <w:sz w:val="16"/>
          <w:szCs w:val="16"/>
          <w:color w:val="auto"/>
        </w:rPr>
      </w:pPr>
      <w:r>
        <w:rPr>
          <w:rFonts w:ascii="Arial" w:cs="Arial" w:eastAsia="Arial" w:hAnsi="Arial"/>
          <w:sz w:val="18"/>
          <w:szCs w:val="18"/>
          <w:color w:val="auto"/>
        </w:rPr>
        <w:t>(b) a pro rata portion of his annual target bonus for the year in which the termination occurs.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Change-in-Control Arrangements</w:t>
      </w:r>
    </w:p>
    <w:p>
      <w:pPr>
        <w:spacing w:after="0" w:line="231" w:lineRule="exact"/>
        <w:rPr>
          <w:sz w:val="20"/>
          <w:szCs w:val="20"/>
          <w:color w:val="auto"/>
        </w:rPr>
      </w:pPr>
    </w:p>
    <w:p>
      <w:pPr>
        <w:jc w:val="both"/>
        <w:ind w:firstLine="543"/>
        <w:spacing w:after="0" w:line="291" w:lineRule="auto"/>
        <w:rPr>
          <w:sz w:val="20"/>
          <w:szCs w:val="20"/>
          <w:color w:val="auto"/>
        </w:rPr>
      </w:pPr>
      <w:r>
        <w:rPr>
          <w:rFonts w:ascii="Arial" w:cs="Arial" w:eastAsia="Arial" w:hAnsi="Arial"/>
          <w:sz w:val="16"/>
          <w:szCs w:val="16"/>
          <w:color w:val="auto"/>
        </w:rPr>
        <w:t>The Company does not have separate change-in-control agreements for its executive officers or directors. The Severance Agreements and Numonyx Severance Agreement described above provide for transitional benefits in the event of termination of employment, including following a change in control. In addition, under the terms of the Company's equity compensation plans, equity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change-in-control of the Company is in the best interest of the Company and its shareholders. Estimated value that the Named Executive Officers could receive from the Company's change-in-control provisions can be found in the "Change-in-Control" table on page 34.</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Dr. Teruaki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No members of the Compensation Committee (Dr. Aoki and Mr. Mondry) are or have been officers or employees of the Company or any of its subsidiaries. During fiscal 2010, no executive officer of the Company served on the Compensation Committee (or equivalent), or the board of directors of another entity whose executive officer(s) served on the Company's Compensation Committee or on the Board of Directors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left="3280"/>
        <w:spacing w:after="0"/>
        <w:rPr>
          <w:sz w:val="20"/>
          <w:szCs w:val="20"/>
          <w:color w:val="auto"/>
        </w:rPr>
      </w:pPr>
      <w:r>
        <w:rPr>
          <w:rFonts w:ascii="Arial" w:cs="Arial" w:eastAsia="Arial" w:hAnsi="Arial"/>
          <w:sz w:val="18"/>
          <w:szCs w:val="18"/>
          <w:b w:val="1"/>
          <w:bCs w:val="1"/>
          <w:color w:val="auto"/>
        </w:rPr>
        <w:t>FISCAL 2010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the Company's Named Executive Officers in fiscal 2010, 2009 and 2008.</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4"/>
              </w:rPr>
              <w:t>Salary(1)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Bonus(2)</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Compensation(4)</w:t>
            </w: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Compensation(5)</w:t>
            </w:r>
          </w:p>
        </w:tc>
        <w:tc>
          <w:tcPr>
            <w:tcW w:w="16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Steven R. Appleton</w:t>
            </w: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2010</w:t>
            </w:r>
          </w:p>
        </w:tc>
        <w:tc>
          <w:tcPr>
            <w:tcW w:w="160" w:type="dxa"/>
            <w:vAlign w:val="bottom"/>
            <w:gridSpan w:val="2"/>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  806,405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$ 807,500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$ 3,655,400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$ 3,237,051</w:t>
            </w:r>
          </w:p>
        </w:tc>
        <w:tc>
          <w:tcPr>
            <w:tcW w:w="28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1,282,500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$ 9,788,856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731,865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3,637,760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3,793,402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22,959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8,185,986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(Principal Executive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7,312,505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49,392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8,311,897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D.</w:t>
            </w:r>
          </w:p>
        </w:tc>
        <w:tc>
          <w:tcPr>
            <w:tcW w:w="21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Mark Durcan</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2010</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507,692</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456,000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1,693,420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1,494,327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612,000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4,763,439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President and Chief</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462,231</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1,680,000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1,752,223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2,178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3,896,632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Operating Officer</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2008</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600,000</w:t>
            </w: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3,375,011</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233,712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9,200</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4,217,923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Ronald C. Foster(6)</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404,654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1,126,460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997,532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3,197,646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Financial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375,923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1,120,000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1,167,378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2,671,382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(Principal Financial Officer)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186,923</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100,260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1,125,011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740,515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420,615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2,675,355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gridSpan w:val="3"/>
          </w:tcPr>
          <w:p>
            <w:pPr>
              <w:spacing w:after="0" w:line="138" w:lineRule="exact"/>
              <w:rPr>
                <w:sz w:val="20"/>
                <w:szCs w:val="20"/>
                <w:color w:val="auto"/>
              </w:rPr>
            </w:pPr>
            <w:r>
              <w:rPr>
                <w:rFonts w:ascii="Arial" w:cs="Arial" w:eastAsia="Arial" w:hAnsi="Arial"/>
                <w:sz w:val="14"/>
                <w:szCs w:val="14"/>
                <w:color w:val="auto"/>
              </w:rPr>
              <w:t>Mario Licciardello</w:t>
            </w: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2010</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165,118</w:t>
            </w: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3,959,874</w:t>
            </w: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498,868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37,602</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4,661,462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Vice President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Wireless Solutions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Brian M. Shirley</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433,452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842,980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745,192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2,668,824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Vice President of</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400,589</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837,760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876,112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2,116,639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DRAM Solutions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436,000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1,687,511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113,399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2,246,110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320" w:hanging="531"/>
        <w:spacing w:after="0" w:line="233" w:lineRule="auto"/>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light of the impact of the global financial crisis on the Company's operations, in October 2008, the Company implemented a 20% reduction in the base salaries of all the Company's officers. In addition, in January 2009, Messrs. Appleton and Durcan reduced their base salary by an additional 10%. In March 2010, the officers' full salary was reinstated.</w:t>
      </w:r>
    </w:p>
    <w:p>
      <w:pPr>
        <w:spacing w:after="0" w:line="165" w:lineRule="exact"/>
        <w:rPr>
          <w:rFonts w:ascii="Arial" w:cs="Arial" w:eastAsia="Arial" w:hAnsi="Arial"/>
          <w:sz w:val="14"/>
          <w:szCs w:val="14"/>
          <w:color w:val="auto"/>
        </w:rPr>
      </w:pPr>
    </w:p>
    <w:p>
      <w:pPr>
        <w:jc w:val="both"/>
        <w:ind w:left="1320"/>
        <w:spacing w:after="0" w:line="288" w:lineRule="auto"/>
        <w:rPr>
          <w:rFonts w:ascii="Arial" w:cs="Arial" w:eastAsia="Arial" w:hAnsi="Arial"/>
          <w:sz w:val="14"/>
          <w:szCs w:val="14"/>
          <w:color w:val="auto"/>
        </w:rPr>
      </w:pPr>
      <w:r>
        <w:rPr>
          <w:rFonts w:ascii="Arial" w:cs="Arial" w:eastAsia="Arial" w:hAnsi="Arial"/>
          <w:sz w:val="12"/>
          <w:szCs w:val="12"/>
          <w:color w:val="auto"/>
        </w:rPr>
        <w:t>Mr. Licciardello joined the Company in May 2010 following the Company's acquisition of Numonyx. Mr. Licciardello is paid in Swiss francs and his annual base salary is CHF 525,000; the amount shown for 2010 reflects his prorated salary. Dollar amounts shown for Mr. Licciardello in the Fiscal 2010 Summary Compensation Table and related footnotes have been calculated using the conversion ratio of 0.922251, which is the average daily exchange rate for the period from May 7, 2010 to September 2, 2010.</w:t>
      </w:r>
    </w:p>
    <w:p>
      <w:pPr>
        <w:spacing w:after="0" w:line="83" w:lineRule="exact"/>
        <w:rPr>
          <w:rFonts w:ascii="Arial" w:cs="Arial" w:eastAsia="Arial" w:hAnsi="Arial"/>
          <w:sz w:val="14"/>
          <w:szCs w:val="14"/>
          <w:color w:val="auto"/>
        </w:rPr>
      </w:pPr>
    </w:p>
    <w:p>
      <w:pPr>
        <w:ind w:left="1320" w:right="20" w:hanging="531"/>
        <w:spacing w:after="0" w:line="239" w:lineRule="auto"/>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amounts paid in fiscal 2010 pursuant to a supplemental bonus for the Company's officers for extraordinary achievement in fiscal 2010. Pursuant to this program, Mr. Appleton received $427,500, Mr. Durcan received $216,000, Mr. Foster received $135,000 and Mr. Shirley received $145,200.</w:t>
      </w:r>
    </w:p>
    <w:p>
      <w:pPr>
        <w:spacing w:after="0" w:line="179" w:lineRule="exact"/>
        <w:rPr>
          <w:rFonts w:ascii="Arial" w:cs="Arial" w:eastAsia="Arial" w:hAnsi="Arial"/>
          <w:sz w:val="14"/>
          <w:szCs w:val="14"/>
          <w:color w:val="auto"/>
        </w:rPr>
      </w:pPr>
    </w:p>
    <w:p>
      <w:pPr>
        <w:ind w:left="1320"/>
        <w:spacing w:after="0" w:line="318" w:lineRule="auto"/>
        <w:rPr>
          <w:rFonts w:ascii="Arial" w:cs="Arial" w:eastAsia="Arial" w:hAnsi="Arial"/>
          <w:sz w:val="14"/>
          <w:szCs w:val="14"/>
          <w:color w:val="auto"/>
        </w:rPr>
      </w:pPr>
      <w:r>
        <w:rPr>
          <w:rFonts w:ascii="Arial" w:cs="Arial" w:eastAsia="Arial" w:hAnsi="Arial"/>
          <w:sz w:val="12"/>
          <w:szCs w:val="12"/>
          <w:color w:val="auto"/>
        </w:rPr>
        <w:t>Also includes bonus amounts paid in April 2010 to team members, including the Company's officers, whose base salary was reduced in fiscal 2009 in response to the global financial crisis. Pursuant to this program, Mr. Appleton received $380,000, Mr. Durcan received $240,000, Mr. Foster received $129,000 and Mr. Shirley received $139,000.</w:t>
      </w:r>
    </w:p>
    <w:p>
      <w:pPr>
        <w:spacing w:after="0" w:line="120" w:lineRule="exact"/>
        <w:rPr>
          <w:rFonts w:ascii="Arial" w:cs="Arial" w:eastAsia="Arial" w:hAnsi="Arial"/>
          <w:sz w:val="14"/>
          <w:szCs w:val="14"/>
          <w:color w:val="auto"/>
        </w:rPr>
      </w:pPr>
    </w:p>
    <w:p>
      <w:pPr>
        <w:ind w:left="1320"/>
        <w:spacing w:after="0"/>
        <w:rPr>
          <w:rFonts w:ascii="Arial" w:cs="Arial" w:eastAsia="Arial" w:hAnsi="Arial"/>
          <w:sz w:val="14"/>
          <w:szCs w:val="14"/>
          <w:color w:val="auto"/>
        </w:rPr>
      </w:pPr>
      <w:r>
        <w:rPr>
          <w:rFonts w:ascii="Arial" w:cs="Arial" w:eastAsia="Arial" w:hAnsi="Arial"/>
          <w:sz w:val="14"/>
          <w:szCs w:val="14"/>
          <w:color w:val="auto"/>
        </w:rPr>
        <w:t>The 2008 amount for Mr. Foster includes a signing bonus of $50,000 and the taxes associated with the signing bonus of $50,260.</w:t>
      </w:r>
    </w:p>
    <w:p>
      <w:pPr>
        <w:spacing w:after="0" w:line="122" w:lineRule="exact"/>
        <w:rPr>
          <w:rFonts w:ascii="Arial" w:cs="Arial" w:eastAsia="Arial" w:hAnsi="Arial"/>
          <w:sz w:val="14"/>
          <w:szCs w:val="14"/>
          <w:color w:val="auto"/>
        </w:rPr>
      </w:pPr>
    </w:p>
    <w:p>
      <w:pPr>
        <w:ind w:left="1320" w:right="20" w:hanging="531"/>
        <w:spacing w:after="0" w:line="239" w:lineRule="auto"/>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Assumptions used in determining the fair values of these option awards is set forth in the "Equity Plans" notes to the Company's financial statements included in its annual reports on Form 10-K for fiscal 2010, 2009 and 2008, which are incorporated herein by reference.</w:t>
      </w:r>
    </w:p>
    <w:p>
      <w:pPr>
        <w:spacing w:after="0" w:line="111" w:lineRule="exact"/>
        <w:rPr>
          <w:rFonts w:ascii="Arial" w:cs="Arial" w:eastAsia="Arial" w:hAnsi="Arial"/>
          <w:sz w:val="14"/>
          <w:szCs w:val="14"/>
          <w:color w:val="auto"/>
        </w:rPr>
      </w:pPr>
    </w:p>
    <w:p>
      <w:pPr>
        <w:jc w:val="both"/>
        <w:ind w:left="1320" w:hanging="531"/>
        <w:spacing w:after="0" w:line="288" w:lineRule="auto"/>
        <w:tabs>
          <w:tab w:leader="none" w:pos="13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 amounts shown for Messrs. Appleton, Durcan, Foster and Shirley were paid pursuant to the Executive Officer Incentive Plan ("EIP") and relate to the achievement of certain performance milestones. In light of the Company's financial results, in fiscal 2008, Mr. Appleton declined amounts earned under the EIP. In fiscal 2009, the EIP was suspended and no payments were made to the Named Executive Officers. For Mr. Licciardello, amount shown was paid pursuant to Numonyx Employee Bonus Plan.</w:t>
      </w:r>
    </w:p>
    <w:p>
      <w:pPr>
        <w:spacing w:after="0" w:line="83" w:lineRule="exact"/>
        <w:rPr>
          <w:rFonts w:ascii="Arial" w:cs="Arial" w:eastAsia="Arial" w:hAnsi="Arial"/>
          <w:sz w:val="12"/>
          <w:szCs w:val="12"/>
          <w:color w:val="auto"/>
        </w:rPr>
      </w:pPr>
    </w:p>
    <w:p>
      <w:pPr>
        <w:ind w:left="1320" w:hanging="531"/>
        <w:spacing w:after="0"/>
        <w:tabs>
          <w:tab w:leader="none" w:pos="1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shown reflect the following compensation for each Named Executive Officer:</w:t>
      </w:r>
    </w:p>
    <w:p>
      <w:pPr>
        <w:spacing w:after="0" w:line="338" w:lineRule="exact"/>
        <w:rPr>
          <w:rFonts w:ascii="Arial" w:cs="Arial" w:eastAsia="Arial" w:hAnsi="Arial"/>
          <w:sz w:val="14"/>
          <w:szCs w:val="14"/>
          <w:color w:val="auto"/>
        </w:rPr>
      </w:pPr>
    </w:p>
    <w:p>
      <w:pPr>
        <w:jc w:val="both"/>
        <w:ind w:left="2400" w:hanging="530"/>
        <w:spacing w:after="0" w:line="233" w:lineRule="auto"/>
        <w:tabs>
          <w:tab w:leader="none" w:pos="24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Company's 401(k) plan. No matching contributions were made in fiscal 2010. For fiscal 2009, the contribution for Messrs. Appleton, Durcan, Foster and Shirley was $2,178. For fiscal 2008, the matching contribution for Messrs. Appleton, Durcan and Shirley was $9,200 and for Mr. Foster $2,013.</w:t>
      </w:r>
    </w:p>
    <w:p>
      <w:pPr>
        <w:spacing w:after="0" w:line="111" w:lineRule="exact"/>
        <w:rPr>
          <w:rFonts w:ascii="Arial" w:cs="Arial" w:eastAsia="Arial" w:hAnsi="Arial"/>
          <w:sz w:val="14"/>
          <w:szCs w:val="14"/>
          <w:color w:val="auto"/>
        </w:rPr>
      </w:pPr>
    </w:p>
    <w:p>
      <w:pPr>
        <w:ind w:left="2400" w:hanging="530"/>
        <w:spacing w:after="0" w:line="239" w:lineRule="auto"/>
        <w:tabs>
          <w:tab w:leader="none" w:pos="24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Under the Company's time-off plan, unused time-off in excess of 999 hours cannot be carried forward and prior to January 2009 was paid out in cash. In fiscal 2009 and 2008, Mr. Appleton received $20,781 and $40,192, respectively, under the time off plan.</w:t>
      </w:r>
    </w:p>
    <w:p>
      <w:pPr>
        <w:spacing w:after="0" w:line="111" w:lineRule="exact"/>
        <w:rPr>
          <w:rFonts w:ascii="Arial" w:cs="Arial" w:eastAsia="Arial" w:hAnsi="Arial"/>
          <w:sz w:val="14"/>
          <w:szCs w:val="14"/>
          <w:color w:val="auto"/>
        </w:rPr>
      </w:pPr>
    </w:p>
    <w:p>
      <w:pPr>
        <w:ind w:left="2400" w:right="20" w:hanging="530"/>
        <w:spacing w:after="0" w:line="318" w:lineRule="auto"/>
        <w:tabs>
          <w:tab w:leader="none" w:pos="24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Mr. Foster was reimbursed for relocation expenses of $5,903 and $253,891 in fiscal 2009 and 2008, respectively, related to his move from California to Idaho. Also included in Mr. Foster's fiscal 2008 amount are taxes associated with the relocation expenses in the amounts of $164,711.</w:t>
      </w:r>
    </w:p>
    <w:p>
      <w:pPr>
        <w:spacing w:after="0" w:line="66" w:lineRule="exact"/>
        <w:rPr>
          <w:rFonts w:ascii="Arial" w:cs="Arial" w:eastAsia="Arial" w:hAnsi="Arial"/>
          <w:sz w:val="12"/>
          <w:szCs w:val="12"/>
          <w:color w:val="auto"/>
        </w:rPr>
      </w:pPr>
    </w:p>
    <w:p>
      <w:pPr>
        <w:ind w:left="2400" w:right="20" w:hanging="530"/>
        <w:spacing w:after="0" w:line="318" w:lineRule="auto"/>
        <w:tabs>
          <w:tab w:leader="none" w:pos="2400" w:val="left"/>
        </w:tabs>
        <w:numPr>
          <w:ilvl w:val="1"/>
          <w:numId w:val="22"/>
        </w:numPr>
        <w:rPr>
          <w:rFonts w:ascii="Arial" w:cs="Arial" w:eastAsia="Arial" w:hAnsi="Arial"/>
          <w:sz w:val="12"/>
          <w:szCs w:val="12"/>
          <w:color w:val="auto"/>
        </w:rPr>
      </w:pPr>
      <w:r>
        <w:rPr>
          <w:rFonts w:ascii="Arial" w:cs="Arial" w:eastAsia="Arial" w:hAnsi="Arial"/>
          <w:sz w:val="12"/>
          <w:szCs w:val="12"/>
          <w:color w:val="auto"/>
        </w:rPr>
        <w:t>Mr. Licciardello's amount includes a meal allowance of $1,132, a pension allowance of $4,717 and a housing allowance of $31,752. Additional information on Mr. Licciardello's benefits is included in the "Compensation Analysis and Discussion" under the heading "Other fiscal 2010 employee benefits."</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341" w:right="239" w:bottom="1440" w:gutter="0" w:footer="0" w:header="0"/>
        </w:sectPr>
      </w:pPr>
    </w:p>
    <w:bookmarkStart w:id="29" w:name="page30"/>
    <w:bookmarkEnd w:id="29"/>
    <w:p>
      <w:pPr>
        <w:ind w:left="1680" w:right="20" w:hanging="531"/>
        <w:spacing w:after="0" w:line="239" w:lineRule="auto"/>
        <w:tabs>
          <w:tab w:leader="none" w:pos="16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Foster joined the Company as Chief Financial Officer on April 1, 2008. Mr. Foster's base salary for fiscal 2008 was $450,000. Amount shown for fiscal 2008 reflects prorated salary.</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 IN FISCAL 2010</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plan-based award grants to the Company's Named Executive Officers in fiscal 2010.</w:t>
      </w:r>
    </w:p>
    <w:p>
      <w:pPr>
        <w:spacing w:after="0" w:line="3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78"/>
              </w:rPr>
              <w:t>Close</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Awards(1)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Plan Awards(2)</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jc w:val="right"/>
              <w:ind w:right="92"/>
              <w:spacing w:after="0" w:line="149" w:lineRule="exact"/>
              <w:rPr>
                <w:sz w:val="20"/>
                <w:szCs w:val="20"/>
                <w:color w:val="auto"/>
              </w:rPr>
            </w:pPr>
            <w:r>
              <w:rPr>
                <w:rFonts w:ascii="Arial" w:cs="Arial" w:eastAsia="Arial" w:hAnsi="Arial"/>
                <w:sz w:val="14"/>
                <w:szCs w:val="14"/>
                <w:b w:val="1"/>
                <w:bCs w:val="1"/>
                <w:color w:val="auto"/>
              </w:rPr>
              <w:t>Plan</w:t>
            </w:r>
          </w:p>
        </w:tc>
        <w:tc>
          <w:tcPr>
            <w:tcW w:w="80" w:type="dxa"/>
            <w:vAlign w:val="bottom"/>
            <w:vMerge w:val="restart"/>
          </w:tcPr>
          <w:p>
            <w:pPr>
              <w:spacing w:after="0"/>
              <w:rPr>
                <w:sz w:val="2"/>
                <w:szCs w:val="2"/>
                <w:color w:val="auto"/>
              </w:rPr>
            </w:pPr>
          </w:p>
        </w:tc>
        <w:tc>
          <w:tcPr>
            <w:tcW w:w="580" w:type="dxa"/>
            <w:vAlign w:val="bottom"/>
            <w:vMerge w:val="restart"/>
          </w:tcPr>
          <w:p>
            <w:pPr>
              <w:ind w:left="100"/>
              <w:spacing w:after="0" w:line="149" w:lineRule="exact"/>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80" w:type="dxa"/>
            <w:vAlign w:val="bottom"/>
            <w:vMerge w:val="restart"/>
          </w:tcPr>
          <w:p>
            <w:pPr>
              <w:spacing w:after="0"/>
              <w:rPr>
                <w:sz w:val="2"/>
                <w:szCs w:val="2"/>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vMerge w:val="restart"/>
          </w:tcPr>
          <w:p>
            <w:pPr>
              <w:spacing w:after="0"/>
              <w:rPr>
                <w:sz w:val="2"/>
                <w:szCs w:val="2"/>
                <w:color w:val="auto"/>
              </w:rPr>
            </w:pPr>
          </w:p>
        </w:tc>
        <w:tc>
          <w:tcPr>
            <w:tcW w:w="5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3"/>
              </w:rPr>
              <w:t>Price of</w:t>
            </w:r>
          </w:p>
        </w:tc>
        <w:tc>
          <w:tcPr>
            <w:tcW w:w="6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on Grant</w:t>
            </w:r>
          </w:p>
        </w:tc>
        <w:tc>
          <w:tcPr>
            <w:tcW w:w="80" w:type="dxa"/>
            <w:vAlign w:val="bottom"/>
            <w:vMerge w:val="restart"/>
          </w:tcPr>
          <w:p>
            <w:pPr>
              <w:spacing w:after="0"/>
              <w:rPr>
                <w:sz w:val="2"/>
                <w:szCs w:val="2"/>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units) and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Date</w:t>
            </w:r>
          </w:p>
        </w:tc>
        <w:tc>
          <w:tcPr>
            <w:tcW w:w="13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9"/>
              </w:rPr>
              <w:t>Threshold   Target</w:t>
            </w:r>
          </w:p>
        </w:tc>
        <w:tc>
          <w:tcPr>
            <w:tcW w:w="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Max</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Units(3)</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Options(4)</w:t>
            </w: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Date</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Option(5)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0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Steven R.</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Appleton</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2004 Plan</w:t>
            </w:r>
          </w:p>
        </w:tc>
        <w:tc>
          <w:tcPr>
            <w:tcW w:w="6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136,000</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272,000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$ 2,029,120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0"/>
              </w:rPr>
              <w:t>Chief Executive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2004 Plan</w:t>
            </w:r>
          </w:p>
        </w:tc>
        <w:tc>
          <w:tcPr>
            <w:tcW w:w="6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218,000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1,626,280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2001 Plan</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821,000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3,237,051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136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$1,425,000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4"/>
                <w:szCs w:val="14"/>
                <w:color w:val="auto"/>
              </w:rPr>
              <w:t>D. Mark Durcan</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2"/>
              </w:rPr>
              <w:t>2004 Plan</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w w:val="88"/>
              </w:rPr>
              <w:t>10/05/09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63,000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126,000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939,960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President and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2"/>
              </w:rPr>
              <w:t>2004 Plan</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88"/>
              </w:rPr>
              <w:t>10/05/09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101,000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753,460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Operating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2"/>
              </w:rPr>
              <w:t>2001 Plan</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w w:val="88"/>
              </w:rPr>
              <w:t>10/05/09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379,000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1,494,327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EIP</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w w:val="88"/>
              </w:rPr>
              <w:t>10/05/09</w:t>
            </w:r>
          </w:p>
        </w:tc>
        <w:tc>
          <w:tcPr>
            <w:tcW w:w="1360" w:type="dxa"/>
            <w:vAlign w:val="bottom"/>
            <w:gridSpan w:val="5"/>
          </w:tcPr>
          <w:p>
            <w:pPr>
              <w:jc w:val="right"/>
              <w:ind w:right="20"/>
              <w:spacing w:after="0"/>
              <w:rPr>
                <w:sz w:val="20"/>
                <w:szCs w:val="20"/>
                <w:color w:val="auto"/>
              </w:rPr>
            </w:pPr>
            <w:r>
              <w:rPr>
                <w:rFonts w:ascii="Arial" w:cs="Arial" w:eastAsia="Arial" w:hAnsi="Arial"/>
                <w:sz w:val="14"/>
                <w:szCs w:val="14"/>
                <w:color w:val="auto"/>
              </w:rPr>
              <w:t>720,000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2"/>
              </w:rPr>
              <w:t>Ronald C. Foster</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2004 Plan</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626,640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Chief Financial</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2004 Plan</w:t>
            </w:r>
          </w:p>
        </w:tc>
        <w:tc>
          <w:tcPr>
            <w:tcW w:w="6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67,000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499,820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2001 Plan</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997,532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136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450,000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020" w:type="dxa"/>
            <w:vAlign w:val="bottom"/>
            <w:gridSpan w:val="3"/>
          </w:tcPr>
          <w:p>
            <w:pPr>
              <w:spacing w:after="0"/>
              <w:rPr>
                <w:sz w:val="20"/>
                <w:szCs w:val="20"/>
                <w:color w:val="auto"/>
              </w:rPr>
            </w:pPr>
            <w:r>
              <w:rPr>
                <w:rFonts w:ascii="Arial" w:cs="Arial" w:eastAsia="Arial" w:hAnsi="Arial"/>
                <w:sz w:val="14"/>
                <w:szCs w:val="14"/>
                <w:color w:val="auto"/>
              </w:rPr>
              <w:t>Mario</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Licciardello</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NMX EIP</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88"/>
              </w:rPr>
              <w:t>05/07/10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130,860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1,145,025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Vice President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NMX EIP</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88"/>
              </w:rPr>
              <w:t>05/07/10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321,697</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2,814,849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Wireless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Solutions</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w w:val="96"/>
              </w:rPr>
              <w:t>NMX EB</w:t>
            </w:r>
          </w:p>
        </w:tc>
        <w:tc>
          <w:tcPr>
            <w:tcW w:w="66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88"/>
              </w:rPr>
              <w:t>05/07/10</w:t>
            </w:r>
          </w:p>
        </w:tc>
        <w:tc>
          <w:tcPr>
            <w:tcW w:w="1360" w:type="dxa"/>
            <w:vAlign w:val="bottom"/>
            <w:gridSpan w:val="5"/>
          </w:tcPr>
          <w:p>
            <w:pPr>
              <w:jc w:val="right"/>
              <w:ind w:right="20"/>
              <w:spacing w:after="0" w:line="159" w:lineRule="exact"/>
              <w:rPr>
                <w:sz w:val="20"/>
                <w:szCs w:val="20"/>
                <w:color w:val="auto"/>
              </w:rPr>
            </w:pPr>
            <w:r>
              <w:rPr>
                <w:rFonts w:ascii="Arial" w:cs="Arial" w:eastAsia="Arial" w:hAnsi="Arial"/>
                <w:sz w:val="14"/>
                <w:szCs w:val="14"/>
                <w:color w:val="auto"/>
              </w:rPr>
              <w:t>639,828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Brian M. Shirley</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2004 Plan</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469,980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Vice President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2004 Plan</w:t>
            </w:r>
          </w:p>
        </w:tc>
        <w:tc>
          <w:tcPr>
            <w:tcW w:w="6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373,000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DRAM</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Solutions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2001 Plan</w:t>
            </w:r>
          </w:p>
        </w:tc>
        <w:tc>
          <w:tcPr>
            <w:tcW w:w="6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88"/>
              </w:rPr>
              <w:t>10/05/09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189,000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745,192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8"/>
              </w:rPr>
              <w:t>10/05/09</w:t>
            </w:r>
          </w:p>
        </w:tc>
        <w:tc>
          <w:tcPr>
            <w:tcW w:w="136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484,000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680" w:hanging="531"/>
        <w:spacing w:after="0" w:line="278" w:lineRule="auto"/>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 Messrs. Appleton, Durcan, Foster and Shirley, represents bonus target amounts set in fiscal 2010 under the Executive Officer Incentive Plan ("EIP"). Payment of bonuses under the EIP is dependent upon meeting specified performance goals. Target amounts represent the aggregate amount that would have been paid upon the successful achievement of the goals assigned to the Named Executive Officer. For Mr. Licciardello, represents amount paid under the Numonyx Employee Bonus Plan. Mr. Licciardello is paid in Swiss francs. Amount shown is based on conversion rate from September 2, 2010, of 0.98435.</w:t>
      </w:r>
    </w:p>
    <w:p>
      <w:pPr>
        <w:spacing w:after="0" w:line="89" w:lineRule="exact"/>
        <w:rPr>
          <w:rFonts w:ascii="Arial" w:cs="Arial" w:eastAsia="Arial" w:hAnsi="Arial"/>
          <w:sz w:val="12"/>
          <w:szCs w:val="12"/>
          <w:color w:val="auto"/>
        </w:rPr>
      </w:pPr>
    </w:p>
    <w:p>
      <w:pPr>
        <w:jc w:val="both"/>
        <w:ind w:left="1680" w:hanging="531"/>
        <w:spacing w:after="0" w:line="230" w:lineRule="auto"/>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Messrs. Appleton, Durcan, Foster and Shirley, represents restricted stock awarded in fiscal 2010 under the 2004 Equity Incentive Plan (the "2004 Plan") with performance-based restrictions. Information related to the performance-based restrictions associated with these shares is contained in Compensation Discussion and Analysis. Target amounts represent the maximum number of shares that may be awarded. For Mr. Licciardello, represents shares issued under Numonyx Equity Incentive Plan. Mr. Licciardello's award was assumed by the Company in connection with its acquisition of Numonyx.</w:t>
      </w:r>
    </w:p>
    <w:p>
      <w:pPr>
        <w:spacing w:after="0" w:line="112" w:lineRule="exact"/>
        <w:rPr>
          <w:rFonts w:ascii="Arial" w:cs="Arial" w:eastAsia="Arial" w:hAnsi="Arial"/>
          <w:sz w:val="14"/>
          <w:szCs w:val="14"/>
          <w:color w:val="auto"/>
        </w:rPr>
      </w:pPr>
    </w:p>
    <w:p>
      <w:pPr>
        <w:ind w:left="1680" w:hanging="531"/>
        <w:spacing w:after="0" w:line="318" w:lineRule="auto"/>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 Messrs. Appleton, Durcan, Foster and Shirley, represents restricted stock awarded in fiscal 2010 under the 2004 Plan with time-based restrictions. Time-based restrictions lapse in four equal installments over a four-year period from the date of the award. For Mr. Licciardello, represents shares issued under Numonyx Equity Incentive Plan.</w:t>
      </w:r>
    </w:p>
    <w:p>
      <w:pPr>
        <w:spacing w:after="0" w:line="66"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Messrs. Appleton, Durcan, Foster and Shirley, represents options awarded pursuant to the Company's 2001 Stock Option Plan (the "2001 Plan"). All options have a term of six years and vest in equal installments over a four year period.</w:t>
      </w:r>
    </w:p>
    <w:p>
      <w:pPr>
        <w:spacing w:after="0" w:line="111" w:lineRule="exact"/>
        <w:rPr>
          <w:rFonts w:ascii="Arial" w:cs="Arial" w:eastAsia="Arial" w:hAnsi="Arial"/>
          <w:sz w:val="14"/>
          <w:szCs w:val="14"/>
          <w:color w:val="auto"/>
        </w:rPr>
      </w:pPr>
    </w:p>
    <w:p>
      <w:pPr>
        <w:jc w:val="both"/>
        <w:ind w:left="1680" w:hanging="531"/>
        <w:spacing w:after="0" w:line="226" w:lineRule="auto"/>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expense shown for stock awards is based solely on the fair value as of the date of grant, disregarding any assumptions as to estimated forfeitures based on continued service. No other assumptions are used in the expense calculation for the stock awards. Under the Company's equity plans, fair market value is defined as the closing price on the last trading day prior to the date of grant. For purposes of the Company's equity plans and the calculation of "Grant Date Fair Value," the fair market value of the Company's Common Stock on the date of grant referenced in this table for October 5, 2009, was $7.46 (the closing price on October 2, 2009) and for May 7, 2010, was $8.75 (the closing price on May 6, 2010). The closing price of the Company's Common Stock on the date of grant referenced in this table was $7.97 on October 5, 2009, and $8.57 on May 7, 2010. Assumptions used in determining the fair values of these option awards is set forth in the "Equity Plans" note to the Company's financial statements included in its annual report on Form 10-K for fiscal 2010.</w:t>
      </w:r>
    </w:p>
    <w:p>
      <w:pPr>
        <w:spacing w:after="0" w:line="191"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8"/>
          <w:szCs w:val="18"/>
          <w:b w:val="1"/>
          <w:bCs w:val="1"/>
          <w:color w:val="auto"/>
        </w:rPr>
        <w:t xml:space="preserve">Plan Information: </w:t>
      </w:r>
      <w:r>
        <w:rPr>
          <w:rFonts w:ascii="Arial" w:cs="Arial" w:eastAsia="Arial" w:hAnsi="Arial"/>
          <w:sz w:val="18"/>
          <w:szCs w:val="18"/>
          <w:color w:val="auto"/>
        </w:rPr>
        <w:t>In fiscal 2010, compensatory awards were made to the Named Executive Officers pursuant to the EIP and the 2004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"2004 Plan"). The EIP was approved by the Company's shareholders in 2004 and 2009. The purpose of the EIP is to attract, retain and reward qualified executives who are important to the Company's success by providing performance-based, incentive cash awards for outstanding performance at the individual, business-unit and Company-wide level. The purpose of the 2004 Plan is to promote the Company's success by linking the personal interests of its employees, officers, directors and consultants to those of the Company's shareholders, and by providing participants with an incentive for outstanding performance. Permissible awards under the 2004</w:t>
      </w:r>
    </w:p>
    <w:p>
      <w:pPr>
        <w:sectPr>
          <w:pgSz w:w="11900" w:h="16838" w:orient="portrait"/>
          <w:cols w:equalWidth="0" w:num="1">
            <w:col w:w="11420"/>
          </w:cols>
          <w:pgMar w:left="240" w:top="129" w:right="2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30" w:name="page31"/>
    <w:bookmarkEnd w:id="30"/>
    <w:p>
      <w:pPr>
        <w:jc w:val="both"/>
        <w:spacing w:after="0" w:line="268" w:lineRule="auto"/>
        <w:rPr>
          <w:sz w:val="20"/>
          <w:szCs w:val="20"/>
          <w:color w:val="auto"/>
        </w:rPr>
      </w:pPr>
      <w:r>
        <w:rPr>
          <w:rFonts w:ascii="Arial" w:cs="Arial" w:eastAsia="Arial" w:hAnsi="Arial"/>
          <w:sz w:val="18"/>
          <w:szCs w:val="18"/>
          <w:color w:val="auto"/>
        </w:rPr>
        <w:t>Plan include: options, restricted stock, restricted stock units, stock appreciation rights, deferred stock units and dividend equivalent rights. The Company has issued options, restricted stock and restricted stock units under the 2004 Plan.</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8"/>
          <w:szCs w:val="18"/>
          <w:b w:val="1"/>
          <w:bCs w:val="1"/>
          <w:color w:val="auto"/>
        </w:rPr>
        <w:t xml:space="preserve">Lapsing of Restrictions Associated with Restricted Stock Awards: </w:t>
      </w:r>
      <w:r>
        <w:rPr>
          <w:rFonts w:ascii="Arial" w:cs="Arial" w:eastAsia="Arial" w:hAnsi="Arial"/>
          <w:sz w:val="18"/>
          <w:szCs w:val="18"/>
          <w:color w:val="auto"/>
        </w:rPr>
        <w:t>The restrictions associated with the restricted stock granted to the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include both time-based restrictions and performance-based restrictions. Time-based restrictions applicable to awards made after fiscal 2006 lapse in four equal installments over a four-year period. For information on the restrictions associated with performance-based awards, see the Compensation Discussion and Analysis.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Issuance of Performance-based Awards:</w:t>
      </w:r>
    </w:p>
    <w:p>
      <w:pPr>
        <w:spacing w:after="0" w:line="231"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Since fiscal 2006, the Company's executive officers have been granted restricted stock with performance-based restrictions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a minimum specified return on invested capital ("ROIC") or return on assets ("ROA") goal. Pursuant to ASC Topic 718, the Company incurs an expense for performance-based restricted stock when it is probable that the goals associated with the shares will be met. Expenses are not incurred or are reversed when a determination is made that achievement of the goals is not probable. In 2008, the Company reversed expenses recorded for performance-based restricted stock granted in fiscal 2007. In 2009, the Company reversed expenses recorded for performance-based restricted stock granted in fiscal 2008 and did not record any expenses for the awards granted in fiscal 2009. In fiscal 2010, the Company determined that the achievement of the goals associated with the performance-based restricted stock granted in fiscal 2008, 2009 and 2010 was probable and recorded the full expense for those grants. The performance-based restricted stock granted in fiscal 2008 and 2009 for Named Executive Officers vested on July 1, 2010, and the performance-based restricted stock granted in fiscal 2010 vested on October 11, 2010.</w:t>
      </w:r>
    </w:p>
    <w:p>
      <w:pPr>
        <w:spacing w:after="0" w:line="174"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Set forth below is information on total restricted stock award expenses recorded in the Company's financial statements for fiscal 2010, 2009 and 2008 for the Named Executive Officers.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Performance-based</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Time-based Stock</w:t>
            </w:r>
          </w:p>
        </w:tc>
        <w:tc>
          <w:tcPr>
            <w:tcW w:w="160" w:type="dxa"/>
            <w:vAlign w:val="bottom"/>
          </w:tcPr>
          <w:p>
            <w:pPr>
              <w:spacing w:after="0"/>
              <w:rPr>
                <w:sz w:val="14"/>
                <w:szCs w:val="14"/>
                <w:color w:val="auto"/>
              </w:rPr>
            </w:pPr>
          </w:p>
        </w:tc>
        <w:tc>
          <w:tcPr>
            <w:tcW w:w="21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Award Expense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Reversal)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Award Expense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2,423,589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8,112,100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10,535,689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2,113,395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(1,242,918)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870,477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2,245,375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1,242,918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(1,300,316)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 Mark Durcan</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1,243,294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3,746,810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4,990,104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1,224,336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(574,885)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649,451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1,327,955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574,885</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(600,486)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1,302,354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1,874,365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(105,346)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Mario Licciardello</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300,302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187,341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487,643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1,873,405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2,412,660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(287,443)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287,443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(269,885)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581,054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The performance milestones related to the payment of bonuses under the EIP for fiscal 2010, 2009 and 2008 were partially achieved or not</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at all. As a result, bonuses for those fiscal years were not paid out at the levels indicated in the columns labeled "Estimated Future Payouts under Non-equity Incentive Plan Awards" on the "Grants of Plan-Based Awards in Fiscal 2010" table. The EIP was suspended in 2009 and no bonuses were paid. The actual amount of the EIP bonuses paid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jc w:val="both"/>
        <w:spacing w:after="0" w:line="268" w:lineRule="auto"/>
        <w:rPr>
          <w:sz w:val="20"/>
          <w:szCs w:val="20"/>
          <w:color w:val="auto"/>
        </w:rPr>
      </w:pPr>
      <w:r>
        <w:rPr>
          <w:rFonts w:ascii="Arial" w:cs="Arial" w:eastAsia="Arial" w:hAnsi="Arial"/>
          <w:sz w:val="18"/>
          <w:szCs w:val="18"/>
          <w:color w:val="auto"/>
        </w:rPr>
        <w:t>fiscal 2010, 2009 and 2008 performance are included in the "Fiscal 2010 Summary Compensation Table" in the column labeled "Non-Equity Plan Incentive Compensation." The performance milestones related to the EIP are discussed in the Compensation Discussion and Analysis.</w:t>
      </w:r>
    </w:p>
    <w:p>
      <w:pPr>
        <w:spacing w:after="0" w:line="186"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In light of the Company achieving historical highs for revenue, income and cash flows in fiscal 2010, the Company's officers received supplemental bonuses for extraordinary achievement in October 2010. The amounts awarded pursuant to this supplemental bonus are included in the "Fiscal 2010 Summary Compensation Table" in the column "Bonus."</w:t>
      </w:r>
    </w:p>
    <w:p>
      <w:pPr>
        <w:spacing w:after="0" w:line="188" w:lineRule="exact"/>
        <w:rPr>
          <w:sz w:val="20"/>
          <w:szCs w:val="20"/>
          <w:color w:val="auto"/>
        </w:rPr>
      </w:pPr>
    </w:p>
    <w:p>
      <w:pPr>
        <w:jc w:val="both"/>
        <w:ind w:right="20" w:firstLine="373"/>
        <w:spacing w:after="0" w:line="275" w:lineRule="auto"/>
        <w:rPr>
          <w:sz w:val="20"/>
          <w:szCs w:val="20"/>
          <w:color w:val="auto"/>
        </w:rPr>
      </w:pPr>
      <w:r>
        <w:rPr>
          <w:rFonts w:ascii="Arial" w:cs="Arial" w:eastAsia="Arial" w:hAnsi="Arial"/>
          <w:sz w:val="18"/>
          <w:szCs w:val="18"/>
          <w:b w:val="1"/>
          <w:bCs w:val="1"/>
          <w:color w:val="auto"/>
        </w:rPr>
        <w:t xml:space="preserve">Stock Option Vesting: </w:t>
      </w:r>
      <w:r>
        <w:rPr>
          <w:rFonts w:ascii="Arial" w:cs="Arial" w:eastAsia="Arial" w:hAnsi="Arial"/>
          <w:sz w:val="18"/>
          <w:szCs w:val="18"/>
          <w:color w:val="auto"/>
        </w:rPr>
        <w:t>Since September 2004, options granted by the Company generally vest in four equal installments over a four-year period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have a term of six years.</w:t>
      </w:r>
    </w:p>
    <w:p>
      <w:pPr>
        <w:spacing w:after="0" w:line="174"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b w:val="1"/>
          <w:bCs w:val="1"/>
          <w:color w:val="auto"/>
        </w:rPr>
        <w:t xml:space="preserve">Determination of Stock-based Compensation: </w:t>
      </w:r>
      <w:r>
        <w:rPr>
          <w:rFonts w:ascii="Arial" w:cs="Arial" w:eastAsia="Arial" w:hAnsi="Arial"/>
          <w:sz w:val="16"/>
          <w:szCs w:val="16"/>
          <w:color w:val="auto"/>
        </w:rPr>
        <w:t>Under the provisions of ASC Topic 718, stock-based compensation cost is estimated at the grant date</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fair value of the award and is recognized as expense ratably over the requisite service period of the award. Determining the appropriate fair 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68"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The estimated life of options granted in or after 2009 was based, in part, on historical experience and on the terms and conditions of the options. The estimate lives of options granted prior to 2009 were based on the simplified method provided by the SEC. Forfeiture rates are derived from historical experience and the terms and conditions of the options. For stock-based compensation awards with graded vesting that were granted after 2005, the Company recognizes compensation expense using the straight-line amortization method.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8"/>
          <w:szCs w:val="18"/>
          <w:b w:val="1"/>
          <w:bCs w:val="1"/>
          <w:color w:val="auto"/>
        </w:rPr>
        <w:t>OUTSTANDING EQUITY AWARDS AT 2010 FISCAL YEAR-END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shares held by the Company's Named Executive Officers as of September 2, 2010.</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w w:val="86"/>
              </w:rPr>
              <w:t>Stock Awards</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Shares or</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Unearned Shares,</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Units of</w:t>
            </w:r>
          </w:p>
        </w:tc>
        <w:tc>
          <w:tcPr>
            <w:tcW w:w="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Units of</w:t>
            </w: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 That</w:t>
            </w:r>
          </w:p>
        </w:tc>
        <w:tc>
          <w:tcPr>
            <w:tcW w:w="8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Stock That</w:t>
            </w: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or 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Have Not</w:t>
            </w:r>
          </w:p>
        </w:tc>
        <w:tc>
          <w:tcPr>
            <w:tcW w:w="1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Have Not</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4"/>
                <w:szCs w:val="14"/>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Vested(1)</w:t>
            </w:r>
          </w:p>
        </w:tc>
        <w:tc>
          <w:tcPr>
            <w:tcW w:w="16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8"/>
              </w:rPr>
              <w:t>Vested</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Not Vested(1)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86"/>
              </w:rPr>
              <w:t>Steven R. Appleton</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21.11</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9/21/2011</w:t>
            </w:r>
          </w:p>
        </w:tc>
        <w:tc>
          <w:tcPr>
            <w:tcW w:w="11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47,125(2)</w:t>
            </w:r>
          </w:p>
        </w:tc>
        <w:tc>
          <w:tcPr>
            <w:tcW w:w="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321,864</w:t>
            </w:r>
          </w:p>
        </w:tc>
        <w:tc>
          <w:tcPr>
            <w:tcW w:w="1580" w:type="dxa"/>
            <w:vAlign w:val="bottom"/>
            <w:gridSpan w:val="4"/>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272,000(3) $</w:t>
            </w: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1,857,760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Chief Executive</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17.43</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9/10/2012</w:t>
            </w:r>
          </w:p>
        </w:tc>
        <w:tc>
          <w:tcPr>
            <w:tcW w:w="11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151,163(4)</w:t>
            </w: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1,032,443</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4/22/2013</w:t>
            </w:r>
          </w:p>
        </w:tc>
        <w:tc>
          <w:tcPr>
            <w:tcW w:w="11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270,750(5)</w:t>
            </w: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1,849,223</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9/23/2013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218,000(6)</w:t>
            </w: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1,488,940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3/29/2014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410,250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1,230,750(7)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821,000(8)</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10/5/2015</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1080" w:type="dxa"/>
            <w:vAlign w:val="bottom"/>
            <w:gridSpan w:val="3"/>
          </w:tcPr>
          <w:p>
            <w:pPr>
              <w:spacing w:after="0"/>
              <w:rPr>
                <w:sz w:val="20"/>
                <w:szCs w:val="20"/>
                <w:color w:val="auto"/>
              </w:rPr>
            </w:pPr>
            <w:r>
              <w:rPr>
                <w:rFonts w:ascii="Arial" w:cs="Arial" w:eastAsia="Arial" w:hAnsi="Arial"/>
                <w:sz w:val="14"/>
                <w:szCs w:val="14"/>
                <w:color w:val="auto"/>
              </w:rPr>
              <w:t>D. Mark Durcan</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21.11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9/21/2011</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21,750(2)</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148,553</w:t>
            </w:r>
          </w:p>
        </w:tc>
        <w:tc>
          <w:tcPr>
            <w:tcW w:w="1480" w:type="dxa"/>
            <w:vAlign w:val="bottom"/>
            <w:gridSpan w:val="3"/>
          </w:tcPr>
          <w:p>
            <w:pPr>
              <w:jc w:val="right"/>
              <w:ind w:right="60"/>
              <w:spacing w:after="0"/>
              <w:rPr>
                <w:sz w:val="20"/>
                <w:szCs w:val="20"/>
                <w:color w:val="auto"/>
              </w:rPr>
            </w:pPr>
            <w:r>
              <w:rPr>
                <w:rFonts w:ascii="Arial" w:cs="Arial" w:eastAsia="Arial" w:hAnsi="Arial"/>
                <w:sz w:val="14"/>
                <w:szCs w:val="14"/>
                <w:color w:val="auto"/>
              </w:rPr>
              <w:t>126,000(3)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860,580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President and</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9/10/2012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11,250(11)</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76,838</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Operating</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Officer</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4/22/2013</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69,445(12)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474,309</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14.35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9/23/2013</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125,250(5)</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855,458</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15.91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3/29/2014</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101,000(6)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689,830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130,000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12.03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10/1/2010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189,500</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568,500(7)</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4.48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379,000(8)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7.46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10/5/2015</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Ronald C. Foster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150,000(9)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4/1/2014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41,877(10)</w:t>
            </w:r>
          </w:p>
        </w:tc>
        <w:tc>
          <w:tcPr>
            <w:tcW w:w="80" w:type="dxa"/>
            <w:vAlign w:val="bottom"/>
            <w:tcBorders>
              <w:right w:val="single" w:sz="8" w:color="CCEEFF"/>
            </w:tcBorders>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286,020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84,000(3)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573,720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Chief Financial</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126,250</w:t>
            </w:r>
          </w:p>
        </w:tc>
        <w:tc>
          <w:tcPr>
            <w:tcW w:w="11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378,750(7)</w:t>
            </w: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4.48</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10/3/2014</w:t>
            </w:r>
          </w:p>
        </w:tc>
        <w:tc>
          <w:tcPr>
            <w:tcW w:w="11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83,250(5)</w:t>
            </w: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568,598</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1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253,000(8)</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10/5/2015</w:t>
            </w:r>
          </w:p>
        </w:tc>
        <w:tc>
          <w:tcPr>
            <w:tcW w:w="11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67,000(6)</w:t>
            </w: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457,610</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4"/>
            <w:vMerge w:val="continue"/>
            <w:shd w:val="clear" w:color="auto" w:fill="CCEEFF"/>
          </w:tcPr>
          <w:p>
            <w:pPr>
              <w:spacing w:after="0"/>
              <w:rPr>
                <w:sz w:val="17"/>
                <w:szCs w:val="17"/>
                <w:color w:val="auto"/>
              </w:rPr>
            </w:pPr>
          </w:p>
        </w:tc>
        <w:tc>
          <w:tcPr>
            <w:tcW w:w="500" w:type="dxa"/>
            <w:vAlign w:val="bottom"/>
            <w:tcBorders>
              <w:bottom w:val="single" w:sz="8" w:color="CCEEFF"/>
            </w:tcBorders>
            <w:gridSpan w:val="2"/>
            <w:vMerge w:val="continue"/>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1160" w:type="dxa"/>
            <w:vAlign w:val="bottom"/>
            <w:tcBorders>
              <w:bottom w:val="single" w:sz="8" w:color="CCEEFF"/>
            </w:tcBorders>
            <w:gridSpan w:val="3"/>
            <w:vMerge w:val="continue"/>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1080" w:type="dxa"/>
            <w:vAlign w:val="bottom"/>
            <w:gridSpan w:val="3"/>
          </w:tcPr>
          <w:p>
            <w:pPr>
              <w:spacing w:after="0"/>
              <w:rPr>
                <w:sz w:val="20"/>
                <w:szCs w:val="20"/>
                <w:color w:val="auto"/>
              </w:rPr>
            </w:pPr>
            <w:r>
              <w:rPr>
                <w:rFonts w:ascii="Arial" w:cs="Arial" w:eastAsia="Arial" w:hAnsi="Arial"/>
                <w:sz w:val="14"/>
                <w:szCs w:val="14"/>
                <w:color w:val="auto"/>
                <w:w w:val="97"/>
              </w:rPr>
              <w:t>Mario Licciardello</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215,537(9)</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1,472,118</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87,677(13)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598,834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8"/>
              </w:rPr>
              <w:t>Vice President of</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Wireless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Solutions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50,100</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10/18/2010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9,800(2)</w:t>
            </w:r>
          </w:p>
        </w:tc>
        <w:tc>
          <w:tcPr>
            <w:tcW w:w="80" w:type="dxa"/>
            <w:vAlign w:val="bottom"/>
            <w:tcBorders>
              <w:right w:val="single" w:sz="8" w:color="CCEEFF"/>
            </w:tcBorders>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66,934</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63,000(3)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430,290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88"/>
              </w:rPr>
              <w:t>Vice President of</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13.23</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9/15/2011</w:t>
            </w:r>
          </w:p>
        </w:tc>
        <w:tc>
          <w:tcPr>
            <w:tcW w:w="11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34,723(12)</w:t>
            </w: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237,158</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DRAM</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Solutions</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70,100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9/21/2011</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62,250(5)</w:t>
            </w: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425,168</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12/16/2011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50,000(6)</w:t>
            </w:r>
          </w:p>
        </w:tc>
        <w:tc>
          <w:tcPr>
            <w:tcW w:w="80" w:type="dxa"/>
            <w:vAlign w:val="bottom"/>
            <w:tcBorders>
              <w:righ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341,500</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10/16/2012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5/5/2013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11/19/2013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9/1/2014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94,750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284,250(7)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189,000(8)</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10/5/2015</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by $6.83, the closing price of the Company's common stock on September 2,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on September 26, 2010.</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ROA goal by the fourth fiscal quarter of 2012. The metric was met in the fourth fiscal quarter of 2010 and the shares were released on October 11, 2010.</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9, 2010 and October 9,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3, 2010, October 3, 2011 and October 3,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5, 2010, October 5, 2011, October 5, 2012 and October 5, 2013.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vest in equal installments on October 3, 2010, October 3, 2011 and October 3,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vest in equal installments on October 5, 2010, October 5, 2011, October 5, 2012 and October 5, 2013.</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vest in equal installments on April 1, 2011 and April 1,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April 1, 2011 and April 1,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on August 27,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8, 2010 and October 8, 2011.</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revenue goal for the fiscal year of 2010 and 2011. The metric for fiscal year 2010 was met and 50% of the shares will lapse on December 31, 2010.</w:t>
      </w:r>
    </w:p>
    <w:p>
      <w:pPr>
        <w:sectPr>
          <w:pgSz w:w="11900" w:h="16838" w:orient="portrait"/>
          <w:cols w:equalWidth="0" w:num="1">
            <w:col w:w="11420"/>
          </w:cols>
          <w:pgMar w:left="240" w:top="341"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OPTION EXERCISES AND STOCK VESTED IN FISCAL 2010</w:t>
      </w:r>
    </w:p>
    <w:p>
      <w:pPr>
        <w:spacing w:after="0" w:line="231" w:lineRule="exact"/>
        <w:rPr>
          <w:sz w:val="20"/>
          <w:szCs w:val="20"/>
          <w:color w:val="auto"/>
        </w:rPr>
      </w:pPr>
    </w:p>
    <w:p>
      <w:pPr>
        <w:ind w:firstLine="374"/>
        <w:spacing w:after="0" w:line="268" w:lineRule="auto"/>
        <w:rPr>
          <w:sz w:val="20"/>
          <w:szCs w:val="20"/>
          <w:color w:val="auto"/>
        </w:rPr>
      </w:pPr>
      <w:r>
        <w:rPr>
          <w:rFonts w:ascii="Arial" w:cs="Arial" w:eastAsia="Arial" w:hAnsi="Arial"/>
          <w:sz w:val="18"/>
          <w:szCs w:val="18"/>
          <w:color w:val="auto"/>
        </w:rPr>
        <w:t>The following table sets forth information related to the number of restricted shares held by each of the Named Executive Officers that vested in fiscal 2010 and the value realized. No options were exercised by the Named Executive Officers in fiscal 2010.</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161"/>
        </w:trPr>
        <w:tc>
          <w:tcPr>
            <w:tcW w:w="6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on Vesting(1)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1,041,864</w:t>
            </w:r>
          </w:p>
        </w:tc>
        <w:tc>
          <w:tcPr>
            <w:tcW w:w="11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8,713,682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1140" w:type="dxa"/>
            <w:vAlign w:val="bottom"/>
          </w:tcPr>
          <w:p>
            <w:pPr>
              <w:jc w:val="right"/>
              <w:spacing w:after="0"/>
              <w:rPr>
                <w:sz w:val="20"/>
                <w:szCs w:val="20"/>
                <w:color w:val="auto"/>
              </w:rPr>
            </w:pPr>
            <w:r>
              <w:rPr>
                <w:rFonts w:ascii="Arial" w:cs="Arial" w:eastAsia="Arial" w:hAnsi="Arial"/>
                <w:sz w:val="18"/>
                <w:szCs w:val="18"/>
                <w:color w:val="auto"/>
              </w:rPr>
              <w:t>491,084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4,089,206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3"/>
          </w:tcPr>
          <w:p>
            <w:pPr>
              <w:ind w:left="160"/>
              <w:spacing w:after="0"/>
              <w:rPr>
                <w:sz w:val="20"/>
                <w:szCs w:val="20"/>
                <w:color w:val="auto"/>
              </w:rPr>
            </w:pPr>
            <w:r>
              <w:rPr>
                <w:rFonts w:ascii="Arial" w:cs="Arial" w:eastAsia="Arial" w:hAnsi="Arial"/>
                <w:sz w:val="18"/>
                <w:szCs w:val="18"/>
                <w:color w:val="auto"/>
              </w:rPr>
              <w:t>President and Chief Operating Officer</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Mario Licciardello</w:t>
            </w:r>
          </w:p>
        </w:tc>
        <w:tc>
          <w:tcPr>
            <w:tcW w:w="1140" w:type="dxa"/>
            <w:vAlign w:val="bottom"/>
          </w:tcPr>
          <w:p>
            <w:pPr>
              <w:jc w:val="right"/>
              <w:spacing w:after="0"/>
              <w:rPr>
                <w:sz w:val="20"/>
                <w:szCs w:val="20"/>
                <w:color w:val="auto"/>
              </w:rPr>
            </w:pPr>
            <w:r>
              <w:rPr>
                <w:rFonts w:ascii="Arial" w:cs="Arial" w:eastAsia="Arial" w:hAnsi="Arial"/>
                <w:sz w:val="18"/>
                <w:szCs w:val="18"/>
                <w:color w:val="auto"/>
              </w:rPr>
              <w:t>149,343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1,448,627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3"/>
          </w:tcPr>
          <w:p>
            <w:pPr>
              <w:ind w:left="160"/>
              <w:spacing w:after="0"/>
              <w:rPr>
                <w:sz w:val="20"/>
                <w:szCs w:val="20"/>
                <w:color w:val="auto"/>
              </w:rPr>
            </w:pPr>
            <w:r>
              <w:rPr>
                <w:rFonts w:ascii="Arial" w:cs="Arial" w:eastAsia="Arial" w:hAnsi="Arial"/>
                <w:sz w:val="18"/>
                <w:szCs w:val="18"/>
                <w:color w:val="auto"/>
              </w:rPr>
              <w:t>Vice President of Wireless Solutions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1,996,825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DRAM Solutions</w:t>
            </w: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of the shares on the vesting date.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jc w:val="both"/>
        <w:ind w:firstLine="380"/>
        <w:spacing w:after="0" w:line="306" w:lineRule="auto"/>
        <w:rPr>
          <w:sz w:val="20"/>
          <w:szCs w:val="20"/>
          <w:color w:val="auto"/>
        </w:rPr>
      </w:pPr>
      <w:r>
        <w:rPr>
          <w:rFonts w:ascii="Arial" w:cs="Arial" w:eastAsia="Arial" w:hAnsi="Arial"/>
          <w:sz w:val="16"/>
          <w:szCs w:val="16"/>
          <w:color w:val="auto"/>
        </w:rPr>
        <w:t>The following tables quantify the estimated payments and benefits for each of the Named Executive Officers pursuant to the Severance Agreements and the Numonyx Severance Agreement described in the "Severance Agreements" section of the "Compensation Discussion and Analysis." The amounts were calculated as if the Named Executive Officers separated from service on September 2, 2010, the last day of fiscal 2010.</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U.S.-based Named Executive Officers</w:t>
      </w:r>
    </w:p>
    <w:p>
      <w:pPr>
        <w:spacing w:after="0" w:line="231"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For U.S.-based Named Executive officers (which excludes Mr. Licciardello), the "Salary" portion of severance payments are paid on the Company's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officer's separation from service. The remaining payments would then be paid according to the Company's regular payroll schedule.</w:t>
      </w:r>
    </w:p>
    <w:p>
      <w:pPr>
        <w:spacing w:after="0" w:line="167"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the Company's first fiscal quarter.</w:t>
      </w:r>
    </w:p>
    <w:p>
      <w:pPr>
        <w:spacing w:after="0" w:line="194"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"Cash in Lieu of Benefits" portion of the severance payments is calculated based on the difference between the amount of premiums the U.S.-based Named Executive Officer paid each month for benefits coverage as an employee of the Company and the estimated premiums the U.S.-based Named Executive Officer would need to pay each month for the same or similar coverage as a former employee of the Company. This monthly amount is multiplied by the number of months in the U.S.-based Named Executive Officer's Transition Period and is grossed-up for taxes. All gross-up calculations and payments are based on the standard supplemental withholding rates provided by federal and state guidelines. The Company does not use the U.S.-based Named Executive Officer's actual tax rate for these calculations. The "Cash in Lieu of Benefits" payment is made within 30 days after the officer's separation from service,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jc w:val="both"/>
        <w:spacing w:after="0" w:line="268" w:lineRule="auto"/>
        <w:rPr>
          <w:sz w:val="20"/>
          <w:szCs w:val="20"/>
          <w:color w:val="auto"/>
        </w:rPr>
      </w:pPr>
      <w:r>
        <w:rPr>
          <w:rFonts w:ascii="Arial" w:cs="Arial" w:eastAsia="Arial" w:hAnsi="Arial"/>
          <w:sz w:val="18"/>
          <w:szCs w:val="18"/>
          <w:color w:val="auto"/>
        </w:rPr>
        <w:t>subject to the possibility of a six-month delay that may be required by Section 409A of the Code. If Section 409A imposes a six-month delay, the payment would be made to the officer on the first day of the seventh month following the officer's separation from service.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Mr. Licciardello</w:t>
      </w:r>
    </w:p>
    <w:p>
      <w:pPr>
        <w:spacing w:after="0" w:line="231"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Mr. Licciardello's severance entitlement varies based on the reason for the termination of his employment. For purposes of the following table, the Company has presumed that Mr. Licciardello's employment was terminated without "Severance Cause" or that he resigned for "Good Reason" because that would result in the greatest payment to him.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or Involuntary Termination of Employment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Extended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Extended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Cash in Lieu</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2"/>
              </w:rPr>
              <w:t>of Benefits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Salary(1)</w:t>
            </w:r>
          </w:p>
        </w:tc>
        <w:tc>
          <w:tcPr>
            <w:tcW w:w="16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rPr>
              <w:t>Bonus(2)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Payment(3)</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Period(4)</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Vesting(5)</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Awards(6)</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96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  950,000</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$ 1,282,500</w:t>
            </w:r>
          </w:p>
        </w:tc>
        <w:tc>
          <w:tcPr>
            <w:tcW w:w="2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68,451</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$ 1,822,470</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$ 1,826,728</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$ 1,857,760</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$ 7,807,909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Chief Executive Officer</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 Mark Durcan</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847,498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920,153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860,580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3,888,099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President and Chief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Operating Officer</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754,788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446,943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573,720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2,690,101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Mario Licciardello</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1,033,568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1,279,655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1,472,118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598,834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4,384,175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Vice President of</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gridSpan w:val="2"/>
          </w:tcPr>
          <w:p>
            <w:pPr>
              <w:ind w:left="160"/>
              <w:spacing w:after="0"/>
              <w:rPr>
                <w:sz w:val="20"/>
                <w:szCs w:val="20"/>
                <w:color w:val="auto"/>
              </w:rPr>
            </w:pPr>
            <w:r>
              <w:rPr>
                <w:rFonts w:ascii="Arial" w:cs="Arial" w:eastAsia="Arial" w:hAnsi="Arial"/>
                <w:sz w:val="18"/>
                <w:szCs w:val="18"/>
                <w:color w:val="auto"/>
              </w:rPr>
              <w:t>Wireless Solutions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484,804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430,290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2,198,742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DRAM Solutions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32"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12 months of the Named Executive Officer's monthly salary, except with respect to Mr. Licciardello. Represents two years salary for Mr. Licciardello (CHF 525,000 × 2 × .98435 (Swiss franc to the U.S. dollar exchange rate on September 2, 2010)).</w:t>
      </w:r>
    </w:p>
    <w:p>
      <w:pPr>
        <w:spacing w:after="0" w:line="166"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payment of bonuses under the EIP for the Named Executive Officers, other than Mr. Licciardello. For Mr. Licciardello, represents payment of two years target bonus (CHF 650,000 × 2 × .98435 (Swiss franc to the U.S. dollar exchange rate on September 2, 2010)).</w:t>
      </w:r>
    </w:p>
    <w:p>
      <w:pPr>
        <w:spacing w:after="0" w:line="207"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 cash payment for an amount estimated to allow the Named Executive Officer to purchase during the Transition Period benefits similar to those he received while an employee of the Company. The amount listed includes a gross-up calculation for the tax impact of the payment.</w:t>
      </w:r>
    </w:p>
    <w:p>
      <w:pPr>
        <w:spacing w:after="0" w:line="207" w:lineRule="exact"/>
        <w:rPr>
          <w:rFonts w:ascii="Arial" w:cs="Arial" w:eastAsia="Arial" w:hAnsi="Arial"/>
          <w:sz w:val="18"/>
          <w:szCs w:val="18"/>
          <w:color w:val="auto"/>
        </w:rPr>
      </w:pPr>
    </w:p>
    <w:p>
      <w:pPr>
        <w:jc w:val="both"/>
        <w:ind w:left="1680" w:hanging="531"/>
        <w:spacing w:after="0" w:line="255"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and exercise period for stock options provided by the Named Executive Officer's 12-month Transition Period. The fair value of each option award is estimated as of September 2, 2010, using the Black-Scholes model. Expected volatility is based on the implied volatility from traded options on the Company's stock and historical volatility. The expected term is based on the shorter of length of the Transition Period or remaining life of the option. The risk-free rates are based on the U.S. Treasury yield.</w:t>
      </w:r>
    </w:p>
    <w:p>
      <w:pPr>
        <w:spacing w:after="0" w:line="223"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value resulting from the additional vesting of restricted shares pursuant to the Named Executive Officer's 12-month Transition Period, except with respect to Mr. Licciardello for whom vesting is immediate. The amount shown is calculated as the number of shares multiplied by $6.83 per share, the Company's closing stock price on September 2, 2010.</w:t>
      </w:r>
    </w:p>
    <w:p>
      <w:pPr>
        <w:spacing w:after="0" w:line="174"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performance-based goals have been established on a long-term basis using a four-quarter rolling average. Due to the Company's performance in recent fiscal quarters, the Company has assumed for purposes of this presentation that the performance-based goals related to these shares would have been met during the Named Executive Officer's 12-month Transition Period, except with respect to Mr. Licciardello for whom vesting is immediate.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Change-in-Control</w:t>
      </w:r>
    </w:p>
    <w:p>
      <w:pPr>
        <w:spacing w:after="0" w:line="231" w:lineRule="exact"/>
        <w:rPr>
          <w:sz w:val="20"/>
          <w:szCs w:val="20"/>
          <w:color w:val="auto"/>
        </w:rPr>
      </w:pPr>
    </w:p>
    <w:p>
      <w:pPr>
        <w:jc w:val="both"/>
        <w:ind w:firstLine="564"/>
        <w:spacing w:after="0" w:line="290" w:lineRule="auto"/>
        <w:rPr>
          <w:sz w:val="20"/>
          <w:szCs w:val="20"/>
          <w:color w:val="auto"/>
        </w:rPr>
      </w:pPr>
      <w:r>
        <w:rPr>
          <w:rFonts w:ascii="Arial" w:cs="Arial" w:eastAsia="Arial" w:hAnsi="Arial"/>
          <w:sz w:val="16"/>
          <w:szCs w:val="16"/>
          <w:color w:val="auto"/>
        </w:rPr>
        <w:t>The Company does not have change-in-control arrangements for its Named Executive Officers. However, the Severance Agreements and Numonyx Severance Agreement described above provide for transitional benefits in the event of termination of employment, whether or not the termination is in connection with a change in control. In addition, under the Company's equity plans, upon a change in control, outstanding time-based awards automatically become fully vested or the applicable restrictions lapse and outstanding performance-based awards are treated as if all required performance goals were satisfied and are paid within 30 days on a pro-rata basis based on the amount of the performance period completed as of the date of the change in control. A change in control is generally defined as a change in the majority of the Board's directors within a specified time period or the acquisition of 35% or more of the Company's outstanding Common Stock. A corporate transaction is generally defined as merger or sale of substantially all of the Company's assets.</w:t>
      </w:r>
    </w:p>
    <w:p>
      <w:pPr>
        <w:spacing w:after="0" w:line="172" w:lineRule="exact"/>
        <w:rPr>
          <w:sz w:val="20"/>
          <w:szCs w:val="20"/>
          <w:color w:val="auto"/>
        </w:rPr>
      </w:pPr>
    </w:p>
    <w:p>
      <w:pPr>
        <w:jc w:val="both"/>
        <w:ind w:firstLine="521"/>
        <w:spacing w:after="0" w:line="268"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 and is paid within 30 days.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 sets forth the estimated benefits payable to the Named Executive Officers assuming a change in control or corporate transaction occurred on September 2, 2010. We have assumed for simplicity of presentation that benefits earned as of September 2, 2010, would have equaled benefits earned as of the end of the preceding month in the event of a change of control.</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86"/>
              <w:spacing w:after="0" w:line="149" w:lineRule="exact"/>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rPr>
              <w:t>Bonus(1)</w:t>
            </w:r>
          </w:p>
        </w:tc>
        <w:tc>
          <w:tcPr>
            <w:tcW w:w="160" w:type="dxa"/>
            <w:vAlign w:val="bottom"/>
          </w:tcPr>
          <w:p>
            <w:pPr>
              <w:spacing w:after="0"/>
              <w:rPr>
                <w:sz w:val="14"/>
                <w:szCs w:val="14"/>
                <w:color w:val="auto"/>
              </w:rPr>
            </w:pPr>
          </w:p>
        </w:tc>
        <w:tc>
          <w:tcPr>
            <w:tcW w:w="960" w:type="dxa"/>
            <w:vAlign w:val="bottom"/>
          </w:tcPr>
          <w:p>
            <w:pPr>
              <w:jc w:val="right"/>
              <w:ind w:right="106"/>
              <w:spacing w:after="0"/>
              <w:rPr>
                <w:sz w:val="20"/>
                <w:szCs w:val="20"/>
                <w:color w:val="auto"/>
              </w:rPr>
            </w:pPr>
            <w:r>
              <w:rPr>
                <w:rFonts w:ascii="Arial" w:cs="Arial" w:eastAsia="Arial" w:hAnsi="Arial"/>
                <w:sz w:val="14"/>
                <w:szCs w:val="14"/>
                <w:b w:val="1"/>
                <w:bCs w:val="1"/>
                <w:color w:val="auto"/>
              </w:rPr>
              <w:t>Options(2)</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Stock(3)</w:t>
            </w:r>
          </w:p>
        </w:tc>
        <w:tc>
          <w:tcPr>
            <w:tcW w:w="18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3"/>
              </w:rPr>
              <w:t>$1,282,500</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2,892,263</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6,550,230</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10,724,993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 Mark Durcan</w:t>
            </w:r>
          </w:p>
        </w:tc>
        <w:tc>
          <w:tcPr>
            <w:tcW w:w="880" w:type="dxa"/>
            <w:vAlign w:val="bottom"/>
          </w:tcPr>
          <w:p>
            <w:pPr>
              <w:jc w:val="right"/>
              <w:spacing w:after="0"/>
              <w:rPr>
                <w:sz w:val="20"/>
                <w:szCs w:val="20"/>
                <w:color w:val="auto"/>
              </w:rPr>
            </w:pPr>
            <w:r>
              <w:rPr>
                <w:rFonts w:ascii="Arial" w:cs="Arial" w:eastAsia="Arial" w:hAnsi="Arial"/>
                <w:sz w:val="18"/>
                <w:szCs w:val="18"/>
                <w:color w:val="auto"/>
              </w:rPr>
              <w:t>612,000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1,335,975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3,105,567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5,053,542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President and Chief Operating Officer</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Foster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1,019,063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1,885,947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3,310,010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Mario Licciardello</w:t>
            </w:r>
          </w:p>
        </w:tc>
        <w:tc>
          <w:tcPr>
            <w:tcW w:w="880" w:type="dxa"/>
            <w:vAlign w:val="bottom"/>
          </w:tcPr>
          <w:p>
            <w:pPr>
              <w:jc w:val="right"/>
              <w:spacing w:after="0"/>
              <w:rPr>
                <w:sz w:val="20"/>
                <w:szCs w:val="20"/>
                <w:color w:val="auto"/>
              </w:rPr>
            </w:pPr>
            <w:r>
              <w:rPr>
                <w:rFonts w:ascii="Arial" w:cs="Arial" w:eastAsia="Arial" w:hAnsi="Arial"/>
                <w:sz w:val="18"/>
                <w:szCs w:val="18"/>
                <w:color w:val="auto"/>
              </w:rPr>
              <w:t>1,279,655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2,070,952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3,350,607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Vice President of Wireless Solutions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667,988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1,501,050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2,532,038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DRAM Solutions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payment of bonuses under the EIP for the Named Executive Officers, other than Mr. Licciardello. For Mr. Licciardello, represents payment of two years target bonus (CHF 650,000 × 2 × .98435 (Swiss franc to the U.S. Dollar exchange rate on September 2, 2010)).</w:t>
      </w:r>
    </w:p>
    <w:p>
      <w:pPr>
        <w:spacing w:after="0" w:line="221"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acceleration of vesting for all outstanding options. Amount shown is calculated as the excess of $6.83, the closing price of the Company's stock on September 2, 2010, over the accelerated option's exercise price.</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lapsing of all restrictions associated with the shares. Amount shown is calculated as the number of shares on which restrictions would lapse multiplied by $6.83 per share, the Company's closing stock price on September 2, 2010.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557"/>
        <w:spacing w:after="0" w:line="268" w:lineRule="auto"/>
        <w:rPr>
          <w:sz w:val="20"/>
          <w:szCs w:val="20"/>
          <w:color w:val="auto"/>
        </w:rPr>
      </w:pPr>
      <w:r>
        <w:rPr>
          <w:rFonts w:ascii="Arial" w:cs="Arial" w:eastAsia="Arial" w:hAnsi="Arial"/>
          <w:sz w:val="18"/>
          <w:szCs w:val="18"/>
          <w:color w:val="auto"/>
        </w:rPr>
        <w:t>The following table provides information as of September 2, 2010, regarding Common Stock that may be issued pursuant to the Company's equity compensation plans: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Number Of Securities</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Securities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Remaining Available For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Equity Compensation Plans</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(Excluding Securities</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Reflected in Column (a))</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Equity Compensation Plans Approved by Shareholders(1)</w:t>
            </w: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82,652,058</w:t>
            </w:r>
          </w:p>
        </w:tc>
        <w:tc>
          <w:tcPr>
            <w:tcW w:w="3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11.79</w:t>
            </w:r>
          </w:p>
        </w:tc>
        <w:tc>
          <w:tcPr>
            <w:tcW w:w="2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47,739,015</w:t>
            </w:r>
          </w:p>
        </w:tc>
        <w:tc>
          <w:tcPr>
            <w:tcW w:w="1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color w:val="auto"/>
                <w:w w:val="97"/>
              </w:rPr>
              <w:t>Equity Compensation Plans Not Approved by Shareholders(2)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38,351,700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13.41</w:t>
            </w:r>
          </w:p>
        </w:tc>
        <w:tc>
          <w:tcPr>
            <w:tcW w:w="160" w:type="dxa"/>
            <w:vAlign w:val="bottom"/>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10,129,330</w:t>
            </w:r>
          </w:p>
        </w:tc>
        <w:tc>
          <w:tcPr>
            <w:tcW w:w="1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Totals(3)</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121,003,758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12.30</w:t>
            </w:r>
          </w:p>
        </w:tc>
        <w:tc>
          <w:tcPr>
            <w:tcW w:w="20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57,868,345</w:t>
            </w:r>
          </w:p>
        </w:tc>
        <w:tc>
          <w:tcPr>
            <w:tcW w:w="16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hanging="531"/>
        <w:spacing w:after="0" w:line="270" w:lineRule="auto"/>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shares issuable or available pursuant to the Company's 1994 Stock Option Plan (the "1994 Plan"), 2000 Lexar Stock Option Plan (the "2000 Lexar Plan"), 2001 Stock Option Plan (the "2001 Plan"), 2004 Equity Incentive Plan (the "2004 Plan"), 2007 Equity Incentive Plan (the "2007 Plan") and Numonyx Plan. The 2004 Plan and the 2007 Plan provide for a maximum term for options and SARs of six years, all other Company equity plans provide for a maximum option term of 10 years. The 2004 Plan, the 2007 Plan and the Numonyx Plan are the Company's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the Company's equity plans contain provisions that are commonly known as "liberal share counting provisions" or permit the grant of discounted options or SARs.</w:t>
      </w:r>
    </w:p>
    <w:p>
      <w:pPr>
        <w:spacing w:after="0" w:line="94" w:lineRule="exact"/>
        <w:rPr>
          <w:rFonts w:ascii="Arial" w:cs="Arial" w:eastAsia="Arial" w:hAnsi="Arial"/>
          <w:sz w:val="12"/>
          <w:szCs w:val="12"/>
          <w:color w:val="auto"/>
        </w:rPr>
      </w:pPr>
    </w:p>
    <w:p>
      <w:pPr>
        <w:jc w:val="both"/>
        <w:ind w:left="1680" w:hanging="531"/>
        <w:spacing w:after="0" w:line="278" w:lineRule="auto"/>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shares issuable or available pursuant to the Company's Nonstatutory Stock Option Plan (the "NSOP"), 1997 Nonstatutory Stock Option Plan (the "1997 Plan"), 1998 Nonstatutory Stock Option Plan (the "1998 Plan") and the 2002 Employee Inducement Stock Option Plan (the "2002 Plan"). Options granted under the aforementioned plans have terms ranging from six to ten years. The exercise price and the vesting schedule of the options granted under these plans are determined by the administrators of the plans or the Company's Board of Directors. Executive officers and directors do not participate in the aforementioned plans.</w:t>
      </w:r>
    </w:p>
    <w:p>
      <w:pPr>
        <w:spacing w:after="0" w:line="89" w:lineRule="exact"/>
        <w:rPr>
          <w:rFonts w:ascii="Arial" w:cs="Arial" w:eastAsia="Arial" w:hAnsi="Arial"/>
          <w:sz w:val="12"/>
          <w:szCs w:val="12"/>
          <w:color w:val="auto"/>
        </w:rPr>
      </w:pPr>
    </w:p>
    <w:p>
      <w:pPr>
        <w:ind w:left="1680" w:hanging="531"/>
        <w:spacing w:after="0"/>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following table contains further information as to awards outstanding and available for issuance under each of the Company's equity plans.</w:t>
      </w:r>
    </w:p>
    <w:p>
      <w:pPr>
        <w:spacing w:after="0" w:line="189"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(a)</w:t>
            </w: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Available for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61"/>
        </w:trPr>
        <w:tc>
          <w:tcPr>
            <w:tcW w:w="2320" w:type="dxa"/>
            <w:vAlign w:val="bottom"/>
            <w:gridSpan w:val="5"/>
          </w:tcPr>
          <w:p>
            <w:pPr>
              <w:spacing w:after="0"/>
              <w:rPr>
                <w:sz w:val="20"/>
                <w:szCs w:val="20"/>
                <w:color w:val="auto"/>
              </w:rPr>
            </w:pPr>
            <w:r>
              <w:rPr>
                <w:rFonts w:ascii="Arial" w:cs="Arial" w:eastAsia="Arial" w:hAnsi="Arial"/>
                <w:sz w:val="14"/>
                <w:szCs w:val="14"/>
                <w:b w:val="1"/>
                <w:bCs w:val="1"/>
                <w:color w:val="auto"/>
              </w:rPr>
              <w:t>Equity Plan</w:t>
            </w: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Outstanding Awards</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0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Approved Plans</w:t>
            </w: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ind w:left="100"/>
              <w:spacing w:after="0" w:line="149" w:lineRule="exact"/>
              <w:rPr>
                <w:sz w:val="20"/>
                <w:szCs w:val="20"/>
                <w:color w:val="auto"/>
              </w:rPr>
            </w:pPr>
            <w:r>
              <w:rPr>
                <w:rFonts w:ascii="Arial" w:cs="Arial" w:eastAsia="Arial" w:hAnsi="Arial"/>
                <w:sz w:val="14"/>
                <w:szCs w:val="14"/>
                <w:color w:val="auto"/>
                <w:w w:val="83"/>
              </w:rPr>
              <w:t>1994</w:t>
            </w: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14,166,523</w:t>
            </w:r>
          </w:p>
        </w:tc>
        <w:tc>
          <w:tcPr>
            <w:tcW w:w="160" w:type="dxa"/>
            <w:vAlign w:val="bottom"/>
          </w:tcPr>
          <w:p>
            <w:pPr>
              <w:spacing w:after="0"/>
              <w:rPr>
                <w:sz w:val="12"/>
                <w:szCs w:val="12"/>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3"/>
              </w:rPr>
              <w:t>2000</w:t>
            </w:r>
          </w:p>
        </w:tc>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Lexar Plan</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1,320,954</w:t>
            </w:r>
          </w:p>
        </w:tc>
        <w:tc>
          <w:tcPr>
            <w:tcW w:w="16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ind w:left="100"/>
              <w:spacing w:after="0" w:line="149" w:lineRule="exact"/>
              <w:rPr>
                <w:sz w:val="20"/>
                <w:szCs w:val="20"/>
                <w:color w:val="auto"/>
              </w:rPr>
            </w:pPr>
            <w:r>
              <w:rPr>
                <w:rFonts w:ascii="Arial" w:cs="Arial" w:eastAsia="Arial" w:hAnsi="Arial"/>
                <w:sz w:val="14"/>
                <w:szCs w:val="14"/>
                <w:color w:val="auto"/>
                <w:w w:val="83"/>
              </w:rPr>
              <w:t>2001</w:t>
            </w: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38,308,298</w:t>
            </w:r>
          </w:p>
        </w:tc>
        <w:tc>
          <w:tcPr>
            <w:tcW w:w="1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2,124,340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3"/>
              </w:rPr>
              <w:t>2004</w:t>
            </w:r>
          </w:p>
        </w:tc>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10,893,914(1)</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19,972,621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ind w:left="100"/>
              <w:spacing w:after="0" w:line="149" w:lineRule="exact"/>
              <w:rPr>
                <w:sz w:val="20"/>
                <w:szCs w:val="20"/>
                <w:color w:val="auto"/>
              </w:rPr>
            </w:pPr>
            <w:r>
              <w:rPr>
                <w:rFonts w:ascii="Arial" w:cs="Arial" w:eastAsia="Arial" w:hAnsi="Arial"/>
                <w:sz w:val="14"/>
                <w:szCs w:val="14"/>
                <w:color w:val="auto"/>
                <w:w w:val="83"/>
              </w:rPr>
              <w:t>2007</w:t>
            </w: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15,515,352(2)</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19,390,738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rPr>
              <w:t>Numonyx Plan</w:t>
            </w:r>
          </w:p>
        </w:tc>
        <w:tc>
          <w:tcPr>
            <w:tcW w:w="1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2,447,017(3)</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6,251,316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gridSpan w:val="4"/>
            <w:vMerge w:val="restart"/>
          </w:tcPr>
          <w:p>
            <w:pPr>
              <w:ind w:left="200"/>
              <w:spacing w:after="0"/>
              <w:rPr>
                <w:sz w:val="20"/>
                <w:szCs w:val="20"/>
                <w:color w:val="auto"/>
              </w:rPr>
            </w:pPr>
            <w:r>
              <w:rPr>
                <w:rFonts w:ascii="Arial" w:cs="Arial" w:eastAsia="Arial" w:hAnsi="Arial"/>
                <w:sz w:val="14"/>
                <w:szCs w:val="14"/>
                <w:color w:val="auto"/>
              </w:rPr>
              <w:t>Approved Plan Total</w:t>
            </w: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82,652,058</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47,739,015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Not Approved Plans</w:t>
            </w: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NSOP</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36,873,783</w:t>
            </w:r>
          </w:p>
        </w:tc>
        <w:tc>
          <w:tcPr>
            <w:tcW w:w="1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9,098,700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3"/>
              </w:rPr>
              <w:t>1997</w:t>
            </w:r>
          </w:p>
        </w:tc>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446,849</w:t>
            </w: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ind w:left="100"/>
              <w:spacing w:after="0" w:line="149" w:lineRule="exact"/>
              <w:rPr>
                <w:sz w:val="20"/>
                <w:szCs w:val="20"/>
                <w:color w:val="auto"/>
              </w:rPr>
            </w:pPr>
            <w:r>
              <w:rPr>
                <w:rFonts w:ascii="Arial" w:cs="Arial" w:eastAsia="Arial" w:hAnsi="Arial"/>
                <w:sz w:val="14"/>
                <w:szCs w:val="14"/>
                <w:color w:val="auto"/>
                <w:w w:val="83"/>
              </w:rPr>
              <w:t>1998</w:t>
            </w: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Plan</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1,031,068</w:t>
            </w:r>
          </w:p>
        </w:tc>
        <w:tc>
          <w:tcPr>
            <w:tcW w:w="1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24,145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3"/>
              </w:rPr>
              <w:t>2002</w:t>
            </w:r>
          </w:p>
        </w:tc>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gridSpan w:val="4"/>
            <w:vMerge w:val="restart"/>
          </w:tcPr>
          <w:p>
            <w:pPr>
              <w:ind w:left="200"/>
              <w:spacing w:after="0"/>
              <w:rPr>
                <w:sz w:val="20"/>
                <w:szCs w:val="20"/>
                <w:color w:val="auto"/>
              </w:rPr>
            </w:pPr>
            <w:r>
              <w:rPr>
                <w:rFonts w:ascii="Arial" w:cs="Arial" w:eastAsia="Arial" w:hAnsi="Arial"/>
                <w:sz w:val="14"/>
                <w:szCs w:val="14"/>
                <w:color w:val="auto"/>
              </w:rPr>
              <w:t>Not Approved Plan Total</w:t>
            </w: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38,351,700</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10,129,330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gridSpan w:val="4"/>
            <w:shd w:val="clear" w:color="auto" w:fill="CCEEFF"/>
          </w:tcPr>
          <w:p>
            <w:pPr>
              <w:ind w:left="300"/>
              <w:spacing w:after="0" w:line="144" w:lineRule="exact"/>
              <w:rPr>
                <w:sz w:val="20"/>
                <w:szCs w:val="20"/>
                <w:color w:val="auto"/>
              </w:rPr>
            </w:pPr>
            <w:r>
              <w:rPr>
                <w:rFonts w:ascii="Arial" w:cs="Arial" w:eastAsia="Arial" w:hAnsi="Arial"/>
                <w:sz w:val="14"/>
                <w:szCs w:val="14"/>
                <w:color w:val="auto"/>
              </w:rPr>
              <w:t>Grand Total</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121,003,758</w:t>
            </w: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57,868,345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0" w:hanging="539"/>
        <w:spacing w:after="0"/>
        <w:tabs>
          <w:tab w:leader="none" w:pos="3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399,791 restricted stock units.</w:t>
      </w:r>
    </w:p>
    <w:p>
      <w:pPr>
        <w:spacing w:after="0" w:line="122" w:lineRule="exact"/>
        <w:rPr>
          <w:rFonts w:ascii="Arial" w:cs="Arial" w:eastAsia="Arial" w:hAnsi="Arial"/>
          <w:sz w:val="14"/>
          <w:szCs w:val="14"/>
          <w:color w:val="auto"/>
        </w:rPr>
      </w:pPr>
    </w:p>
    <w:p>
      <w:pPr>
        <w:ind w:left="3400" w:hanging="539"/>
        <w:spacing w:after="0"/>
        <w:tabs>
          <w:tab w:leader="none" w:pos="3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1,754,054 restricted stock units and 52,999 shares of deferred stock rights.</w:t>
      </w:r>
    </w:p>
    <w:p>
      <w:pPr>
        <w:spacing w:after="0" w:line="122" w:lineRule="exact"/>
        <w:rPr>
          <w:rFonts w:ascii="Arial" w:cs="Arial" w:eastAsia="Arial" w:hAnsi="Arial"/>
          <w:sz w:val="14"/>
          <w:szCs w:val="14"/>
          <w:color w:val="auto"/>
        </w:rPr>
      </w:pPr>
    </w:p>
    <w:p>
      <w:pPr>
        <w:ind w:left="3400" w:hanging="539"/>
        <w:spacing w:after="0"/>
        <w:tabs>
          <w:tab w:leader="none" w:pos="3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RSUs.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Related party transactions are reviewed by the Company's Board of Directors. Related parties include the Company's directors and officers, their family members and affiliates and beneficial owners. In cases where the related party is a director, that director does not participate in the review of the proposed transaction. In reviewing a proposed related party transaction, the Board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the Company and the related party.</w:t>
      </w:r>
    </w:p>
    <w:p>
      <w:pPr>
        <w:spacing w:after="0" w:line="174"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During fiscal 2010, the Company paid $55 million to Lam Research Corporation ("Lam") for semiconductor manufacturing equipment and related services. During fiscal 2010, the Company received payments of $121 thousand from Lam for semiconductor manufacturing equipment. Mr. Bagley is the Executive Chairman of Lam.</w:t>
      </w:r>
    </w:p>
    <w:p>
      <w:pPr>
        <w:spacing w:after="0" w:line="194"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During fiscal 2010, the Grove Hotel and Qwest Arena in Boise, Idaho, received approximately $147 thousand for business conducted with the Company. The Company uses the Grove Hotel for business visitors and conferences, and leases a suite for events at the Qwest Arena. Mr. Appleton has an interest in a limited liability company that is a minority owner of the Grove Hotel and Qwest Arena.</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Transactions in Connection with the Acquisition of Numonyx Holdings B.V.</w:t>
      </w:r>
    </w:p>
    <w:p>
      <w:pPr>
        <w:spacing w:after="0" w:line="231"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auto"/>
        </w:rPr>
        <w:t>On May 7, 2010 (the "Acquisition Date"), the Company acquired Numonyx Holdings B.V. ("Numonyx") through the issuance of 137.7 million shares of its common stock to, among others, Intel Corporation ("Intel") and STMicroelectronics N.V. ("STMicro"). Through the transaction, both Intel and STMicro became beneficial owners of more than 5% of the Company's outstanding common stock. The shares of common stock issued are restricted from sale until after November 6, 2010. In addition, 21.0 million of the shares of stock issued were placed in escrow as partial security for, among others, Intel and STMicro's indemnity obligations. The shares in escrow may be sold after November 6, 2010.</w:t>
      </w:r>
    </w:p>
    <w:p>
      <w:pPr>
        <w:spacing w:after="0" w:line="170" w:lineRule="exact"/>
        <w:rPr>
          <w:sz w:val="20"/>
          <w:szCs w:val="20"/>
          <w:color w:val="auto"/>
        </w:rPr>
      </w:pPr>
    </w:p>
    <w:p>
      <w:pPr>
        <w:jc w:val="both"/>
        <w:ind w:firstLine="390"/>
        <w:spacing w:after="0" w:line="291" w:lineRule="auto"/>
        <w:rPr>
          <w:sz w:val="20"/>
          <w:szCs w:val="20"/>
          <w:color w:val="auto"/>
        </w:rPr>
      </w:pPr>
      <w:r>
        <w:rPr>
          <w:rFonts w:ascii="Arial" w:cs="Arial" w:eastAsia="Arial" w:hAnsi="Arial"/>
          <w:sz w:val="16"/>
          <w:szCs w:val="16"/>
          <w:color w:val="auto"/>
        </w:rPr>
        <w:t>When Numonyx was formed in 2008, Intel and STMicro contributed existing facilities of which some were located on campuses that continue to be owned and operated by those companies. The acquired Numonyx operations have long-term lease arrangements at those facilities, facilities cost-sharing arrangements and product testing arrangements. Under these arrangements, the Company paid STMicro and Intel $19 million and $1 million, respectively, from the Acquisition Date through the end of fiscal year 2010. Also in connection with the acquisition of Numonyx, the Company received payments from Intel and STMicro of $6 million and $3 million, respectively, for reimbursements under arrangements for facility cost sharing, product design and process development and for sales of equipment from the Acquisition Date through the end of fiscal 2010.</w:t>
      </w:r>
    </w:p>
    <w:p>
      <w:pPr>
        <w:spacing w:after="0" w:line="174" w:lineRule="exact"/>
        <w:rPr>
          <w:sz w:val="20"/>
          <w:szCs w:val="20"/>
          <w:color w:val="auto"/>
        </w:rPr>
      </w:pPr>
    </w:p>
    <w:p>
      <w:pPr>
        <w:jc w:val="both"/>
        <w:ind w:firstLine="494"/>
        <w:spacing w:after="0" w:line="256" w:lineRule="auto"/>
        <w:rPr>
          <w:sz w:val="20"/>
          <w:szCs w:val="20"/>
          <w:color w:val="auto"/>
        </w:rPr>
      </w:pPr>
      <w:r>
        <w:rPr>
          <w:rFonts w:ascii="Arial" w:cs="Arial" w:eastAsia="Arial" w:hAnsi="Arial"/>
          <w:sz w:val="18"/>
          <w:szCs w:val="18"/>
          <w:color w:val="auto"/>
        </w:rPr>
        <w:t>Concurrent with the Numonyx acquisition, the Company entered into an agreement with STMicro that required the Company to assume, under certain conditions, STMicro's guarantee of an outstanding $250 million loan owed by Hynix-Numonyx Semiconductor Ltd., due in periodic installments from 2014 through 2016. Under the agreements, on August 31, 2010, the conditions for the guarantee were satisfied and the Company deposited $250 million into a pledged account to collateralize the guarantee of the loan.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Transactions with Intel</w:t>
      </w:r>
    </w:p>
    <w:p>
      <w:pPr>
        <w:spacing w:after="0" w:line="231"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Company has two joint ventures with Intel: IM Flash Technologies, LLC ("IMFT") and IM Flash Singapore LLP ("IMFS") (collectively "IM Flash"), to manufacture NAND Flash memory products. IMFT and IMFS are each governed by a Board of Managers, the number of which adjusts depending on the parties' ownership interest. As of September 2, 2010, the Company owned 51% and Intel owned 49% of IMFT and the Company owned 57% and Intel owned 43% of IMFS. In the first quarter of 2011,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Company contributed $392 million to IMFS and Intel did not make any contribution, increasing the Company's ownership interest in IMFS to 71% and gave it a majority of the seats of the Board of Managers of IMFS. IM Flash's distributions to, and contributions from, Intel were $52 million and $14 million, respectively, from the Acquisition Date through the end of fiscal year 2010.</w:t>
      </w:r>
    </w:p>
    <w:p>
      <w:pPr>
        <w:spacing w:after="0" w:line="194" w:lineRule="exact"/>
        <w:rPr>
          <w:sz w:val="20"/>
          <w:szCs w:val="20"/>
          <w:color w:val="auto"/>
        </w:rPr>
      </w:pPr>
    </w:p>
    <w:p>
      <w:pPr>
        <w:jc w:val="both"/>
        <w:ind w:firstLine="435"/>
        <w:spacing w:after="0" w:line="298" w:lineRule="auto"/>
        <w:rPr>
          <w:sz w:val="20"/>
          <w:szCs w:val="20"/>
          <w:color w:val="auto"/>
        </w:rPr>
      </w:pPr>
      <w:r>
        <w:rPr>
          <w:rFonts w:ascii="Arial" w:cs="Arial" w:eastAsia="Arial" w:hAnsi="Arial"/>
          <w:sz w:val="16"/>
          <w:szCs w:val="16"/>
          <w:color w:val="auto"/>
        </w:rPr>
        <w:t>IM Flash manufactures NAND Flash memory products using designs the Company developed with Intel. The Company generally shares product designs and other research and development ("R&amp;D") costs equally with Intel under product design and process development agreements. As a result, R&amp;D expenses were reduced by reimbursements from Intel of $32 million for the period from the Acquisition Date through the end of fiscal year 2010. As of September 2, 2010, the Company had a receivable of $30 million from Intel and a payable of $16 million under this agreement.</w:t>
      </w:r>
    </w:p>
    <w:p>
      <w:pPr>
        <w:spacing w:after="0" w:line="167"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IM Flash sells products to the joint venture partners generally in proportion to their ownership interests at long-term negotiated prices approximating cost. IM Flash sales to Intel were $250 million from the Acquisition Date through the end of fiscal year 2010. IM Flash receivables and payables related to Intel were as follows (in millions):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Intel:</w:t>
            </w:r>
          </w:p>
        </w:tc>
        <w:tc>
          <w:tcPr>
            <w:tcW w:w="1920" w:type="dxa"/>
            <w:vAlign w:val="bottom"/>
            <w:shd w:val="clear" w:color="auto" w:fill="CCEEFF"/>
          </w:tcPr>
          <w:p>
            <w:pPr>
              <w:spacing w:after="0"/>
              <w:rPr>
                <w:sz w:val="18"/>
                <w:szCs w:val="18"/>
                <w:color w:val="auto"/>
              </w:rPr>
            </w:pPr>
          </w:p>
        </w:tc>
      </w:tr>
      <w:tr>
        <w:trPr>
          <w:trHeight w:val="216"/>
        </w:trPr>
        <w:tc>
          <w:tcPr>
            <w:tcW w:w="49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920" w:type="dxa"/>
            <w:vAlign w:val="bottom"/>
          </w:tcPr>
          <w:p>
            <w:pPr>
              <w:jc w:val="right"/>
              <w:ind w:right="72"/>
              <w:spacing w:after="0"/>
              <w:rPr>
                <w:sz w:val="20"/>
                <w:szCs w:val="20"/>
                <w:color w:val="auto"/>
              </w:rPr>
            </w:pPr>
            <w:r>
              <w:rPr>
                <w:rFonts w:ascii="Arial" w:cs="Arial" w:eastAsia="Arial" w:hAnsi="Arial"/>
                <w:sz w:val="18"/>
                <w:szCs w:val="18"/>
                <w:color w:val="auto"/>
              </w:rPr>
              <w:t>$  128</w:t>
            </w:r>
          </w:p>
        </w:tc>
      </w:tr>
      <w:tr>
        <w:trPr>
          <w:trHeight w:val="216"/>
        </w:trPr>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design and process development activities</w:t>
            </w:r>
          </w:p>
        </w:tc>
        <w:tc>
          <w:tcPr>
            <w:tcW w:w="1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Payables to Intel for various services</w:t>
            </w:r>
          </w:p>
        </w:tc>
        <w:tc>
          <w:tcPr>
            <w:tcW w:w="1920" w:type="dxa"/>
            <w:vAlign w:val="bottom"/>
          </w:tcPr>
          <w:p>
            <w:pPr>
              <w:jc w:val="right"/>
              <w:ind w:right="72"/>
              <w:spacing w:after="0"/>
              <w:rPr>
                <w:sz w:val="20"/>
                <w:szCs w:val="20"/>
                <w:color w:val="auto"/>
              </w:rPr>
            </w:pPr>
            <w:r>
              <w:rPr>
                <w:rFonts w:ascii="Arial" w:cs="Arial" w:eastAsia="Arial" w:hAnsi="Arial"/>
                <w:sz w:val="18"/>
                <w:szCs w:val="18"/>
                <w:color w:val="auto"/>
              </w:rPr>
              <w:t>2</w:t>
            </w:r>
          </w:p>
        </w:tc>
      </w:tr>
    </w:tbl>
    <w:p>
      <w:pPr>
        <w:spacing w:after="0" w:line="201"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From the Acquisition Date through the end of fiscal year 2010, the Company made payments to Intel of $13 million for purchases of semiconductor products and had cash receipts of $1 million from Intel for sales of DRAM products.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416"/>
        <w:spacing w:after="0" w:line="291" w:lineRule="auto"/>
        <w:rPr>
          <w:sz w:val="20"/>
          <w:szCs w:val="20"/>
          <w:color w:val="auto"/>
        </w:rPr>
      </w:pPr>
      <w:r>
        <w:rPr>
          <w:rFonts w:ascii="Arial" w:cs="Arial" w:eastAsia="Arial" w:hAnsi="Arial"/>
          <w:sz w:val="16"/>
          <w:szCs w:val="16"/>
          <w:color w:val="auto"/>
        </w:rPr>
        <w:t>Section 16(a) of the Securities and Exchange Act of 1934 (the "Exchange Act") requires the Company's directors and executive officers, and persons who own beneficially more than 10% of the Common Stock of the Company, to file reports of ownership and changes of ownership with the Securities and Exchange Commission and the NASDAQ. Copies of all filed reports are required to be furnished to the Company pursuant to Section 16(a) of the Exchange Act. Based solely on the reports received by the Company and on written representations from reporting persons, the Company believes that with the exception of a Form 4 related to a sale under a 10b5-1 Trading Plan for Mr. Bailey, all directors, executive officers, and greater than 10% beneficial owners complied with all applicable filing requirements during the fiscal year ended September 2, 2010. Mr. Bailey's filing was one day late as a result of an administrative error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PROPOSAL 2—APPROVAL OF AN AMENDMENT TO THE 2007 EQUITY INCENTIVE PLAN</w:t>
      </w:r>
    </w:p>
    <w:p>
      <w:pPr>
        <w:spacing w:after="0" w:line="231"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The 2007 Equity Incentive Plan was adopted by the Board of Directors on October 9, 2007. On October 11, 2010, the Board approved an amendment to the plan to increase the number of shares reserved for issuance thereunder from 40,000,000 to 60,000,000 shares, subject to shareholder approval. As of October 18, 2010, there were approximately 21,000 employees and six non-employee directors eligible to participate in the 2007 Equity Incentive Plan. Officers are not eligible to participate in the 2007 Equity Incentive Plan. On October 18, 2010, the closing price of the Company's Common Stock was $7.53.</w:t>
      </w:r>
    </w:p>
    <w:p>
      <w:pPr>
        <w:spacing w:after="0" w:line="167"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this Proxy Statement as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The purpose of the plan is to promote the Company's success by linking the personal interests of its employees, non-employee directors and consultants to those of the Company's shareholders, and by providing participants with an incentive for outstanding performance. Officers of the Company are not eligible to participate in the plan.</w:t>
      </w:r>
    </w:p>
    <w:p>
      <w:pPr>
        <w:spacing w:after="0" w:line="194" w:lineRule="exact"/>
        <w:rPr>
          <w:sz w:val="20"/>
          <w:szCs w:val="20"/>
          <w:color w:val="auto"/>
        </w:rPr>
      </w:pPr>
    </w:p>
    <w:p>
      <w:pPr>
        <w:ind w:left="360"/>
        <w:spacing w:after="0"/>
        <w:tabs>
          <w:tab w:leader="none" w:pos="1940" w:val="left"/>
        </w:tabs>
        <w:rPr>
          <w:sz w:val="20"/>
          <w:szCs w:val="20"/>
          <w:color w:val="auto"/>
        </w:rPr>
      </w:pPr>
      <w:r>
        <w:rPr>
          <w:rFonts w:ascii="Arial" w:cs="Arial" w:eastAsia="Arial" w:hAnsi="Arial"/>
          <w:sz w:val="18"/>
          <w:szCs w:val="18"/>
          <w:i w:val="1"/>
          <w:iCs w:val="1"/>
          <w:color w:val="auto"/>
        </w:rPr>
        <w:t>Permissible Awards.</w:t>
      </w:r>
      <w:r>
        <w:rPr>
          <w:sz w:val="20"/>
          <w:szCs w:val="20"/>
          <w:color w:val="auto"/>
        </w:rPr>
        <w:tab/>
      </w:r>
      <w:r>
        <w:rPr>
          <w:rFonts w:ascii="Arial" w:cs="Arial" w:eastAsia="Arial" w:hAnsi="Arial"/>
          <w:sz w:val="16"/>
          <w:szCs w:val="16"/>
          <w:color w:val="auto"/>
        </w:rPr>
        <w:t>The plan authorizes the grant of awards in any of the following forms: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Options to purchase shares of Common Stock, which may be nonstatutory stock options or incentive stock options under the U.S. Internal Revenue Code of 1986, as amended (the "Code"). The exercise price of an option granted under the plan may not be less than the fair market value of the Company's Common Stock on the date of grant. Options granted under the plan will have a term of six years.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excess, if any, of the fair market value of one share of Common Stock on the date of exercise, over the base price of the stock appreciation right.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shares, which are units valued by reference to a designated number of shares of Common Stock to be paid upon the attainment of performance goals set by the Compensation Committee of the Board of Directors (the "Committee").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equivalent rights, which entitle the participant to payments in cash or property calculated by reference to the amount of dividends paid on the shares of stock underlying an award.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right or interest relating to Stock or cash.</w:t>
      </w:r>
    </w:p>
    <w:p>
      <w:pPr>
        <w:spacing w:after="0" w:line="225" w:lineRule="exact"/>
        <w:rPr>
          <w:sz w:val="20"/>
          <w:szCs w:val="20"/>
          <w:color w:val="auto"/>
        </w:rPr>
      </w:pPr>
    </w:p>
    <w:p>
      <w:pPr>
        <w:ind w:firstLine="516"/>
        <w:spacing w:after="0" w:line="268" w:lineRule="auto"/>
        <w:rPr>
          <w:sz w:val="20"/>
          <w:szCs w:val="20"/>
          <w:color w:val="auto"/>
        </w:rPr>
      </w:pPr>
      <w:r>
        <w:rPr>
          <w:rFonts w:ascii="Arial" w:cs="Arial" w:eastAsia="Arial" w:hAnsi="Arial"/>
          <w:sz w:val="18"/>
          <w:szCs w:val="18"/>
          <w:color w:val="auto"/>
        </w:rPr>
        <w:t>All awards will be evidenced by a written award certificate between the Company and the participant, which will include such provisions as may be specified by the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Shares Available for Awards</w:t>
      </w:r>
    </w:p>
    <w:p>
      <w:pPr>
        <w:spacing w:after="0" w:line="231"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 xml:space="preserve">Subject to adjustment as provided in the plan, and to the shareholders' approval of the proposed plan amendment to increase the plan share reserve, the aggregate number of shares of Common Stock reserved and available for issuance pursuant to awards granted under the plan is 60,000,000 (including the 20,000,000 shares proposed to be added). The maximum number of shares that may be issued to one person upon exercise of incentive stock options granted under the plan is 2,000,000. </w:t>
      </w:r>
      <w:r>
        <w:rPr>
          <w:rFonts w:ascii="Arial" w:cs="Arial" w:eastAsia="Arial" w:hAnsi="Arial"/>
          <w:sz w:val="16"/>
          <w:szCs w:val="16"/>
          <w:i w:val="1"/>
          <w:iCs w:val="1"/>
          <w:color w:val="auto"/>
        </w:rPr>
        <w:t>Each share issued pursuant to "full value" awards, such as restricted stock, unrestricted stock, restricted stock units, deferred stock</w:t>
      </w:r>
      <w:r>
        <w:rPr>
          <w:rFonts w:ascii="Arial" w:cs="Arial" w:eastAsia="Arial" w:hAnsi="Arial"/>
          <w:sz w:val="16"/>
          <w:szCs w:val="16"/>
          <w:color w:val="auto"/>
        </w:rPr>
        <w:t xml:space="preserve"> </w:t>
      </w:r>
      <w:r>
        <w:rPr>
          <w:rFonts w:ascii="Arial" w:cs="Arial" w:eastAsia="Arial" w:hAnsi="Arial"/>
          <w:sz w:val="16"/>
          <w:szCs w:val="16"/>
          <w:i w:val="1"/>
          <w:iCs w:val="1"/>
          <w:color w:val="auto"/>
        </w:rPr>
        <w:t>units, performance shares, or other stock-based awards payable in stock, reduces the number of shares available for grant by two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31" w:lineRule="exact"/>
        <w:rPr>
          <w:sz w:val="20"/>
          <w:szCs w:val="20"/>
          <w:color w:val="auto"/>
        </w:rPr>
      </w:pPr>
    </w:p>
    <w:p>
      <w:pPr>
        <w:jc w:val="both"/>
        <w:ind w:firstLine="404"/>
        <w:spacing w:after="0" w:line="256"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plan to any one person during any one calendar year is 2,000,000. The maximum number of shares of Common Stock that may be granted under the plan in the form of restricted stock, restricted stock units, deferred stock units, performance shares or other stock-based awards under the plan to any one person during any one calendar year is 2,000,000.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plan will be administered by the Committee. The Committee will have the authority to designate participants; determine the type or types of awards to be granted to each participant and the number, terms and conditions thereof; establish, adopt or revise any rules and regulations as it may deem advisable to administer the plan; and make all other decisions and determinations that may be required under the plan. The Board of Directors may at any time administer the plan. If it does so, it will have all the powers of the Committee under the plan.</w:t>
      </w:r>
    </w:p>
    <w:p>
      <w:pPr>
        <w:spacing w:after="0" w:line="197" w:lineRule="exact"/>
        <w:rPr>
          <w:sz w:val="20"/>
          <w:szCs w:val="20"/>
          <w:color w:val="auto"/>
        </w:rPr>
      </w:pPr>
    </w:p>
    <w:p>
      <w:pPr>
        <w:jc w:val="both"/>
        <w:ind w:firstLine="428"/>
        <w:spacing w:after="0" w:line="256" w:lineRule="auto"/>
        <w:rPr>
          <w:sz w:val="20"/>
          <w:szCs w:val="20"/>
          <w:color w:val="auto"/>
        </w:rPr>
      </w:pPr>
      <w:r>
        <w:rPr>
          <w:rFonts w:ascii="Arial" w:cs="Arial" w:eastAsia="Arial" w:hAnsi="Arial"/>
          <w:sz w:val="18"/>
          <w:szCs w:val="18"/>
          <w:color w:val="auto"/>
        </w:rPr>
        <w:t>In September 2008, the Board of Directors created a director compensation sub-plan of the 2007 Equity Incentive Plan for awards to the Company's non-employee directors. Awards granted to the Company's non-employee directors will be made only in accordance with the parameters of the Company's director compensation plan, or any successor program for the compensation of non-employee directors as in effect from time to time. The Committee may not make discretionary grants under the director compensation plan to non-employee directors.</w:t>
      </w:r>
    </w:p>
    <w:p>
      <w:pPr>
        <w:spacing w:after="0" w:line="197"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31"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The 2007 Equity Incentive Plan is designed to comply with Code Section 162(m) so that grants of market-priced options and stock appreciation rights under the plan, and other awards that are conditioned on performance goals as described below, will be excluded from the calculation of annual compensation for purposes of Code Section 162(m) and will be fully deductible. While the Committee believes it is important to preserve the deductibility of compensation under Code Section 162(m) generally, the Board and the Committee reserve the right to grant or approve awards or compensation that is non-deductible.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jc w:val="both"/>
        <w:ind w:firstLine="535"/>
        <w:spacing w:after="0" w:line="332"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8"/>
          <w:szCs w:val="18"/>
          <w:color w:val="auto"/>
        </w:rPr>
        <w:t>performance goals for the award. Performance goals for such awards shall be based on one or more of the following financial, strategic and operational business criteria:</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expenses, including research and development and selling, general and administrative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86"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the Company, waive the achievement of any specified goal.</w:t>
      </w:r>
    </w:p>
    <w:p>
      <w:pPr>
        <w:spacing w:after="0" w:line="161" w:lineRule="exact"/>
        <w:rPr>
          <w:sz w:val="20"/>
          <w:szCs w:val="20"/>
          <w:color w:val="auto"/>
        </w:rPr>
      </w:pPr>
    </w:p>
    <w:p>
      <w:pPr>
        <w:jc w:val="both"/>
        <w:ind w:firstLine="536"/>
        <w:spacing w:after="0" w:line="289" w:lineRule="auto"/>
        <w:rPr>
          <w:sz w:val="20"/>
          <w:szCs w:val="20"/>
          <w:color w:val="auto"/>
        </w:rPr>
      </w:pPr>
      <w:r>
        <w:rPr>
          <w:rFonts w:ascii="Arial" w:cs="Arial" w:eastAsia="Arial" w:hAnsi="Arial"/>
          <w:sz w:val="16"/>
          <w:szCs w:val="16"/>
          <w:color w:val="auto"/>
        </w:rPr>
        <w:t>The Committee may determine that any evaluation of performance will include, exclude or otherwise equitably adjust for unusual and non-recurring financial events such as asset write-downs or impairment charges; litigation or claim judgments or settlements; the effect of changes in tax laws or accounting 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However, in order to meet the requirements of Section 162(m), in the event the Committee determines to include or exclude such unusual and nonrecurring events when measuring actual results,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31" w:lineRule="exact"/>
        <w:rPr>
          <w:sz w:val="20"/>
          <w:szCs w:val="20"/>
          <w:color w:val="auto"/>
        </w:rPr>
      </w:pPr>
    </w:p>
    <w:p>
      <w:pPr>
        <w:jc w:val="both"/>
        <w:ind w:firstLine="402"/>
        <w:spacing w:after="0" w:line="332" w:lineRule="auto"/>
        <w:rPr>
          <w:sz w:val="20"/>
          <w:szCs w:val="20"/>
          <w:color w:val="auto"/>
        </w:rPr>
      </w:pPr>
      <w:r>
        <w:rPr>
          <w:rFonts w:ascii="Arial" w:cs="Arial" w:eastAsia="Arial" w:hAnsi="Arial"/>
          <w:sz w:val="16"/>
          <w:szCs w:val="16"/>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where the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2" w:name="page43"/>
    <w:bookmarkEnd w:id="42"/>
    <w:p>
      <w:pPr>
        <w:jc w:val="both"/>
        <w:spacing w:after="0" w:line="298" w:lineRule="auto"/>
        <w:rPr>
          <w:sz w:val="20"/>
          <w:szCs w:val="20"/>
          <w:color w:val="auto"/>
        </w:rPr>
      </w:pPr>
      <w:r>
        <w:rPr>
          <w:rFonts w:ascii="Arial" w:cs="Arial" w:eastAsia="Arial" w:hAnsi="Arial"/>
          <w:sz w:val="16"/>
          <w:szCs w:val="16"/>
          <w:color w:val="auto"/>
        </w:rPr>
        <w:t>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31"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Unless otherwise provided in an award certificate or other governing document, upon the occurrence of a "change in control" of the Company (as defined in the 2007 Equity Incentive Plan), all outstanding options, stock appreciation rights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70"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 In addition, the Committee may in its discretion accelerate awards for any other reason; provided, however, that the Committee shall not exercise such discretion with respect to restricted stock or restricted stock units that in the aggregate exceed 5% of the shares available for issuance under the plan (excluding from this calculation restricted shares or restricted stock units granted to non-employee directors or accelerations of vesting upon a change in control or other corporate transaction or restructuring, or a participant's termination of employment or separation from service resulting from death or disability or for the convenience or in the bests interests of the Company). The Committee may discriminate among participants or among awards in exercising such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31" w:lineRule="exact"/>
        <w:rPr>
          <w:sz w:val="20"/>
          <w:szCs w:val="20"/>
          <w:color w:val="auto"/>
        </w:rPr>
      </w:pPr>
    </w:p>
    <w:p>
      <w:pPr>
        <w:jc w:val="both"/>
        <w:ind w:firstLine="354"/>
        <w:spacing w:after="0" w:line="254" w:lineRule="auto"/>
        <w:rPr>
          <w:sz w:val="20"/>
          <w:szCs w:val="20"/>
          <w:color w:val="auto"/>
        </w:rPr>
      </w:pPr>
      <w:r>
        <w:rPr>
          <w:rFonts w:ascii="Arial" w:cs="Arial" w:eastAsia="Arial" w:hAnsi="Arial"/>
          <w:sz w:val="18"/>
          <w:szCs w:val="18"/>
          <w:color w:val="auto"/>
        </w:rPr>
        <w:t>In the event of a stock split, a dividend payable in shares of Common Stock, a spin-off, an extraordinary cash dividend, a combination or consolidation of the Common Stock into a lesser number of shares, or another equity restructuring that causes the per-share value of the Common Stock to change, the share authorization limits under the plan will automatically be adjusted proportionately, and the shares then subject to each award will automatically be adjusted proportionately without any change in the aggregate purchase price for such award. If the Company is involved in another corporate transaction or event that affects the Common Stock, such as a recapitalization, reorganization, merger or consolidation, the Committee may adjust outstanding awards to preserve the benefits or potential benefits of the awards.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31"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The 2007 Equity Incentive Plan was approved by the Company's Board of Directors in October 2007 and was submitted to the Company's shareholders at the 2008 Annual Meeting. The 2007 Equity Incentive Plan has a term of ten years, unless earlier terminated by the Board or the Committee. The Board or the Committee may, at any time and from time to time, terminate or amend the plan, but if an amendment to the plan would materially increase the number of shares of stock issuable under the plan, expand the types of awards provided under the plan, materially expand the class of participants eligible to participate in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plan, materially extend the term of the plan or otherwise constitute a material amendment requiring shareholder approval under applicable listing requirements, laws, policies or regulations, then such amendment will be subject to shareholder approval. No termination or amendment of the plan may adversely affect any award previously granted under the plan without the written consent of the participant.</w:t>
      </w:r>
    </w:p>
    <w:p>
      <w:pPr>
        <w:spacing w:after="0" w:line="194"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and, unless approved by the shareholders or otherwise permitted by the anti-dilution provisions of the plan, the exercise price of an outstanding option may not be reduced, directly or indirectly, and the original term of an option may not be extended.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31" w:lineRule="exact"/>
        <w:rPr>
          <w:sz w:val="20"/>
          <w:szCs w:val="20"/>
          <w:color w:val="auto"/>
        </w:rPr>
      </w:pPr>
    </w:p>
    <w:p>
      <w:pPr>
        <w:jc w:val="both"/>
        <w:ind w:right="20" w:firstLine="415"/>
        <w:spacing w:after="0" w:line="335" w:lineRule="auto"/>
        <w:rPr>
          <w:sz w:val="20"/>
          <w:szCs w:val="20"/>
          <w:color w:val="auto"/>
        </w:rPr>
      </w:pPr>
      <w:r>
        <w:rPr>
          <w:rFonts w:ascii="Arial" w:cs="Arial" w:eastAsia="Arial" w:hAnsi="Arial"/>
          <w:sz w:val="15"/>
          <w:szCs w:val="15"/>
          <w:color w:val="auto"/>
        </w:rPr>
        <w:t>As indicated above under "Termination and Amendment," outstanding stock options and SARs cannot be repriced, directly or indirectly, without the prior consent of the Company's shareholders. The exchange of an "underwater" option (i.e., an option having an exercise price in excess of the current market value of the underling stock) for another award would be considered an indirect repricing and would, therefore, require the prior consent of the Company's shareholders.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31"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plan and the subsequent sale of Common Stock acquired under the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197"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There typically will be no federal income tax consequences to the optionee or to the Company upon the grant or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If the optionee holds the option shares for the required holding period of at least two years after the date the option was granted and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72" w:lineRule="exact"/>
        <w:rPr>
          <w:sz w:val="20"/>
          <w:szCs w:val="20"/>
          <w:color w:val="auto"/>
        </w:rPr>
      </w:pPr>
    </w:p>
    <w:p>
      <w:pPr>
        <w:jc w:val="both"/>
        <w:ind w:firstLine="492"/>
        <w:spacing w:after="0" w:line="332"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receiving a stock appreciation right will not recognize income, and the Company will not be allowed a tax</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at the time the award is granted. When the participant exercises the stock appreciation right, the amount of cash and the fair market value of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8"/>
          <w:szCs w:val="18"/>
          <w:color w:val="auto"/>
        </w:rPr>
        <w:t>shares of Common Stock received will be ordinary income to the participant and the Company will be allowed as a corresponding federal income tax deduction at that time.</w:t>
      </w:r>
    </w:p>
    <w:p>
      <w:pPr>
        <w:spacing w:after="0" w:line="186"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the income to the date of grant as described below,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74"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recognize income, and the Company will not be allowed a tax deduction, at the time a restricted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issuance of shares of Common Stock in settlement of a restricted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i w:val="1"/>
          <w:iCs w:val="1"/>
          <w:color w:val="auto"/>
        </w:rPr>
        <w:t xml:space="preserve">Deferred Stock Units. </w:t>
      </w:r>
      <w:r>
        <w:rPr>
          <w:rFonts w:ascii="Arial" w:cs="Arial" w:eastAsia="Arial" w:hAnsi="Arial"/>
          <w:sz w:val="16"/>
          <w:szCs w:val="16"/>
          <w:color w:val="auto"/>
        </w:rPr>
        <w:t>A participant will not recognize income, and the Company will not be allowed a tax deduction, at the time a deferred stock unit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Upon issuance of shares of Common Stock in settlement of a deferred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167"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97" w:lineRule="exact"/>
        <w:rPr>
          <w:sz w:val="20"/>
          <w:szCs w:val="20"/>
          <w:color w:val="auto"/>
        </w:rPr>
      </w:pPr>
    </w:p>
    <w:p>
      <w:pPr>
        <w:jc w:val="both"/>
        <w:ind w:firstLine="438"/>
        <w:spacing w:after="0" w:line="291" w:lineRule="auto"/>
        <w:rPr>
          <w:sz w:val="20"/>
          <w:szCs w:val="20"/>
          <w:color w:val="auto"/>
        </w:rPr>
      </w:pPr>
      <w:r>
        <w:rPr>
          <w:rFonts w:ascii="Arial" w:cs="Arial" w:eastAsia="Arial" w:hAnsi="Arial"/>
          <w:sz w:val="16"/>
          <w:szCs w:val="16"/>
          <w:i w:val="1"/>
          <w:iCs w:val="1"/>
          <w:color w:val="auto"/>
        </w:rPr>
        <w:t xml:space="preserve">Code Section 409A. </w:t>
      </w:r>
      <w:r>
        <w:rPr>
          <w:rFonts w:ascii="Arial" w:cs="Arial" w:eastAsia="Arial" w:hAnsi="Arial"/>
          <w:sz w:val="16"/>
          <w:szCs w:val="16"/>
          <w:color w:val="auto"/>
        </w:rPr>
        <w:t>The plan permits the grant of various types of incentive awards, which may or may not be exempt from Code Section 409A. If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subject to Section 409A, and if the requirements of Section 409A are not met, the taxable events as described above could apply earlier than described, and could result in the imposition of additional taxes and penalties. Restricted stock awards, and stock options and stock appreciation rights that comply with the terms of the plan are designed to be exempt from the application of Code Section 409A. Restricted stock units, deferred stock units and performance shares granted under the plan would be subject to Section 409A unless they are designed to satisfy the short-term deferral exemption from such law. If not exempt, such awards must be specially designed to meet the requirements of Section 409A in order to avoid early taxation and penalties.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Approval of the amendment to the 2007 Equity Incentive Plan will require the affirmative vote of the holders of a majority of the shares of Common Stock that are represented in person or by proxy at the 2010 Annual Meeting. If the amendment to the 2007 Equity Incentive Plan is approved by the shareholders, it will be effective as of the date of the 2010 Annual Meeting. If shareholders do not approve the amendment to the 2007 Equity Incentive Plan, it will not become effective.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approval of the amendment to the 2007 Equity Incentive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PROPOSAL 3—RATIFICATION OF PRICEWATERHOUSECOOPERS LLP</w:t>
      </w:r>
    </w:p>
    <w:p>
      <w:pPr>
        <w:spacing w:after="0" w:line="231"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The Audit Committee of the Board has retained PricewaterhouseCoopers LLP ("PwC") as the Company's Independent Registered Public Accounting Firm to audit the consolidated financial statements of the Company for the fiscal year ending September 1, 2011. PwC and its predecessor, Coopers and Lybrand LLP, have been the Company's Independent Registered Public Accounting Firm since fiscal 1985. If the ratification of PwC's appointment is not approved by a majority of the shares voting thereon, the Audit Committee may reconsider its decision to appoint PwC as the Company's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charged to the Company for services performed by PwC for fiscal 2010 and 2009 were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129"/>
        </w:trPr>
        <w:tc>
          <w:tcPr>
            <w:tcW w:w="24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5"/>
          </w:tcPr>
          <w:p>
            <w:pPr>
              <w:ind w:left="40"/>
              <w:spacing w:after="0" w:line="129" w:lineRule="exact"/>
              <w:rPr>
                <w:sz w:val="20"/>
                <w:szCs w:val="20"/>
                <w:color w:val="auto"/>
              </w:rPr>
            </w:pPr>
            <w:r>
              <w:rPr>
                <w:rFonts w:ascii="Arial" w:cs="Arial" w:eastAsia="Arial" w:hAnsi="Arial"/>
                <w:sz w:val="14"/>
                <w:szCs w:val="14"/>
                <w:b w:val="1"/>
                <w:bCs w:val="1"/>
                <w:color w:val="auto"/>
              </w:rPr>
              <w:t>(amounts in</w:t>
            </w:r>
          </w:p>
        </w:tc>
      </w:tr>
      <w:tr>
        <w:trPr>
          <w:trHeight w:val="161"/>
        </w:trPr>
        <w:tc>
          <w:tcPr>
            <w:tcW w:w="2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All other fees(3)</w:t>
            </w:r>
          </w:p>
        </w:tc>
        <w:tc>
          <w:tcPr>
            <w:tcW w:w="14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5.5</w:t>
            </w:r>
          </w:p>
        </w:tc>
      </w:tr>
      <w:tr>
        <w:trPr>
          <w:trHeight w:val="27"/>
        </w:trPr>
        <w:tc>
          <w:tcPr>
            <w:tcW w:w="24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2840" w:hanging="550"/>
        <w:spacing w:after="0" w:line="259" w:lineRule="auto"/>
        <w:tabs>
          <w:tab w:leader="none" w:pos="2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fees related to the audit of the Company's financial statements, fees for services provided in connection with statutory and regulatory filings and fees for attestation services related to the Company's internal control over financial reporting as required by the Sarbanes-Oxley Act of 2002.</w:t>
      </w:r>
    </w:p>
    <w:p>
      <w:pPr>
        <w:spacing w:after="0" w:line="221" w:lineRule="exact"/>
        <w:rPr>
          <w:rFonts w:ascii="Arial" w:cs="Arial" w:eastAsia="Arial" w:hAnsi="Arial"/>
          <w:sz w:val="18"/>
          <w:szCs w:val="18"/>
          <w:color w:val="auto"/>
        </w:rPr>
      </w:pPr>
    </w:p>
    <w:p>
      <w:pPr>
        <w:jc w:val="both"/>
        <w:ind w:left="2840" w:hanging="550"/>
        <w:spacing w:after="0" w:line="254" w:lineRule="auto"/>
        <w:tabs>
          <w:tab w:leader="none" w:pos="2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fiscal 2010, primarily reflects fees for due diligence matters in connection with the acquisition of Numonyx and Transform Solar Pty Limited and audits of supply arrangements. For fiscal 2009, primarily reflects fees for audits of supply arrangements, audits of carve-out financial statements in connection with the Company's sale of a 65% interest in Aptina Imaging, due diligence in connection with the Company's activities related to mergers and acquisitions and consultation concerning the application of financial accounting standards in connection with the Company's partnering arrangements.</w:t>
      </w:r>
    </w:p>
    <w:p>
      <w:pPr>
        <w:spacing w:after="0" w:line="211" w:lineRule="exact"/>
        <w:rPr>
          <w:rFonts w:ascii="Arial" w:cs="Arial" w:eastAsia="Arial" w:hAnsi="Arial"/>
          <w:sz w:val="18"/>
          <w:szCs w:val="18"/>
          <w:color w:val="auto"/>
        </w:rPr>
      </w:pPr>
    </w:p>
    <w:p>
      <w:pPr>
        <w:ind w:left="2840" w:hanging="550"/>
        <w:spacing w:after="0" w:line="268" w:lineRule="auto"/>
        <w:tabs>
          <w:tab w:leader="none" w:pos="2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reflects fees for Numonyx integration support services provided in connection with the acquisition of Numonyx.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31" w:lineRule="exact"/>
        <w:rPr>
          <w:sz w:val="20"/>
          <w:szCs w:val="20"/>
          <w:color w:val="auto"/>
        </w:rPr>
      </w:pPr>
    </w:p>
    <w:p>
      <w:pPr>
        <w:jc w:val="both"/>
        <w:ind w:firstLine="542"/>
        <w:spacing w:after="0" w:line="298" w:lineRule="auto"/>
        <w:rPr>
          <w:sz w:val="20"/>
          <w:szCs w:val="20"/>
          <w:color w:val="auto"/>
        </w:rPr>
      </w:pPr>
      <w:r>
        <w:rPr>
          <w:rFonts w:ascii="Arial" w:cs="Arial" w:eastAsia="Arial" w:hAnsi="Arial"/>
          <w:sz w:val="16"/>
          <w:szCs w:val="16"/>
          <w:color w:val="auto"/>
        </w:rPr>
        <w:t xml:space="preserve">The Audit Committee Charter provides that the Audit Committee will pre-approve all audit and non-audit services provided to the Company by the independent auditors, except for such de minimis non-audit services for which the pre-approved requirements are waived in accordance with the rules and regulations of the SEC. A copy of the Audit Committee charter is available on the Company's website at </w:t>
      </w:r>
      <w:r>
        <w:rPr>
          <w:rFonts w:ascii="Arial" w:cs="Arial" w:eastAsia="Arial" w:hAnsi="Arial"/>
          <w:sz w:val="16"/>
          <w:szCs w:val="16"/>
          <w:i w:val="1"/>
          <w:iCs w:val="1"/>
          <w:color w:val="auto"/>
        </w:rPr>
        <w:t>www.micron.com</w:t>
      </w:r>
      <w:r>
        <w:rPr>
          <w:rFonts w:ascii="Arial" w:cs="Arial" w:eastAsia="Arial" w:hAnsi="Arial"/>
          <w:sz w:val="16"/>
          <w:szCs w:val="16"/>
          <w:color w:val="auto"/>
        </w:rPr>
        <w:t>. In fiscal 2010 and 2009, all audit and non-audit services provided by PwC were approved by the Audit Committee in advance of services being provided.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2010. The Board of Directors determined that each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97"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The purpose of the Audit Committee is to assist the Board in overseeing and monitoring (i) the integrity of the Company's financial statements, (ii) the performance of the Company's internal audit function, (iii) the performance of the Company's Independent Registered Public Accounting Firm, (iv) the qualifications and independence of the Company's Independent Registered Public Accounting Firm, and (v) the Company's compliance with legal and regulatory requirements.</w:t>
      </w:r>
    </w:p>
    <w:p>
      <w:pPr>
        <w:spacing w:after="0" w:line="197" w:lineRule="exact"/>
        <w:rPr>
          <w:sz w:val="20"/>
          <w:szCs w:val="20"/>
          <w:color w:val="auto"/>
        </w:rPr>
      </w:pPr>
    </w:p>
    <w:p>
      <w:pPr>
        <w:jc w:val="both"/>
        <w:ind w:firstLine="556"/>
        <w:spacing w:after="0" w:line="289" w:lineRule="auto"/>
        <w:rPr>
          <w:sz w:val="20"/>
          <w:szCs w:val="20"/>
          <w:color w:val="auto"/>
        </w:rPr>
      </w:pPr>
      <w:r>
        <w:rPr>
          <w:rFonts w:ascii="Arial" w:cs="Arial" w:eastAsia="Arial" w:hAnsi="Arial"/>
          <w:sz w:val="16"/>
          <w:szCs w:val="16"/>
          <w:color w:val="auto"/>
        </w:rPr>
        <w:t xml:space="preserve">The Audit Committee has reviewed and discussed the Company's audited financial statements with the Company's management, which has primary responsibility for such financial statements. PricewaterhouseCoopers LLP ("PwC"), the Company's Independent Registered Public Accounting Firm for fiscal 2010,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the Company, as described above, is compatible with PwC's independence.</w:t>
      </w:r>
    </w:p>
    <w:p>
      <w:pPr>
        <w:spacing w:after="0" w:line="172"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the Company's audited consolidated financial statements in the Company's Annual Report on Form 10-K for fiscal 2010; appointed PwC as the Independent Registered Public Accounting Firm of the Company for the Company's fiscal year ending September 1, 2011, and approved and authorized PwC to carry out and perform certain specified non-audit services for the Company in fiscal 2011.</w:t>
      </w:r>
    </w:p>
    <w:p>
      <w:pPr>
        <w:spacing w:after="0" w:line="19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the Company's consolidated financial statements and for the reporting process in general, and (ii) establishing and maintaining internal controls. Similarly, it is the responsibility of the Independent Registered Public Accounting Firm, and not the Audit Committee, to conduct the audit of the Company's consolidated financial statements and express an opinion as to the conformity of the financial statements with accounting principles generally accepted in the United States.</w:t>
      </w:r>
    </w:p>
    <w:p>
      <w:pPr>
        <w:spacing w:after="0" w:line="16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Robert E. Switz</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December 16, 2010. The Proxy Statement and Annual Report on Form 10-K are available at www.proxydocs.com/mu.</w:t>
      </w:r>
    </w:p>
    <w:p>
      <w:pPr>
        <w:spacing w:after="0" w:line="186"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As permitted by rules recently adopted by the Securities and Exchange Commission,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31"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Company is allowed and intends to deliver only one copy of the notice regarding the Internet availability of proxy materials or set of one Annual Report on Form 10-K and one Proxy Statement to multiple registered shareholders sharing an address who have received prior notice of our intent to deliver such notice or report and proxy statement per address, so long as the Company has not received contrary instructions from one or more of such shareholders. This practice is commonly referred to as "householding." Householding reduces the volume of duplicate information received at your household and the cost to the Company of preparing and mailing duplicate materials.</w:t>
      </w:r>
    </w:p>
    <w:p>
      <w:pPr>
        <w:spacing w:after="0" w:line="197" w:lineRule="exact"/>
        <w:rPr>
          <w:sz w:val="20"/>
          <w:szCs w:val="20"/>
          <w:color w:val="auto"/>
        </w:rPr>
      </w:pPr>
    </w:p>
    <w:p>
      <w:pPr>
        <w:jc w:val="both"/>
        <w:ind w:firstLine="503"/>
        <w:spacing w:after="0" w:line="288" w:lineRule="auto"/>
        <w:rPr>
          <w:sz w:val="20"/>
          <w:szCs w:val="20"/>
          <w:color w:val="auto"/>
        </w:rPr>
      </w:pPr>
      <w:r>
        <w:rPr>
          <w:rFonts w:ascii="Arial" w:cs="Arial" w:eastAsia="Arial" w:hAnsi="Arial"/>
          <w:sz w:val="16"/>
          <w:szCs w:val="16"/>
          <w:color w:val="auto"/>
        </w:rPr>
        <w:t>If you share an address with other registered shareholders and your household receives one copy of the notice of Internet availability or of this Proxy Statement and 2010 Annual Report on Form 10-K and you decide you want a separate copy of this Proxy Statement and 2010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74"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Additionally, the Company has been notified that certain banks, brokers and other nominees will household the Company's annual reports and proxy statements for shareholders who hold in street names and have consented to householding. In this case, you may request an individual copy of this Proxy Statement and 2010 Annual Report on Form 10-K by contacting your bank, broker or other nominee.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DEADLINE FOR RECEIPT OF SHAREHOLDER PROPOSALS FOR 2011 ANNUAL MEETING</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Proposals of shareholders of the Company which are intended to be presented at the Company's 2011 Annual Meeting of Shareholders must be received by the Company at its principal executive offices located at 8000 South Federal Way, Boise, Idaho 83716-9632, no later than June 30, 2011, and must also be in compliance with the Company's Restated Certificate of Incorporation and its Bylaws and with applicable laws and regulations in order to be included in the Proxy Statement and form of proxy relating to that meeting. Proposals which are received after June 30, 2011, will be untimely and will not be considered at the meeting.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November 5, 2010</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left="1030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94" w:lineRule="exact"/>
        <w:rPr>
          <w:sz w:val="20"/>
          <w:szCs w:val="20"/>
          <w:color w:val="auto"/>
        </w:rPr>
      </w:pPr>
    </w:p>
    <w:p>
      <w:pPr>
        <w:ind w:left="540" w:firstLine="378"/>
        <w:spacing w:after="0" w:line="268" w:lineRule="auto"/>
        <w:tabs>
          <w:tab w:leader="none" w:pos="12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85" w:lineRule="exact"/>
        <w:rPr>
          <w:rFonts w:ascii="Arial" w:cs="Arial" w:eastAsia="Arial" w:hAnsi="Arial"/>
          <w:sz w:val="18"/>
          <w:szCs w:val="18"/>
          <w:color w:val="auto"/>
        </w:rPr>
      </w:pPr>
    </w:p>
    <w:p>
      <w:pPr>
        <w:jc w:val="both"/>
        <w:ind w:left="540" w:firstLine="491"/>
        <w:spacing w:after="0" w:line="259" w:lineRule="auto"/>
        <w:tabs>
          <w:tab w:leader="none" w:pos="140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194" w:lineRule="exact"/>
        <w:rPr>
          <w:rFonts w:ascii="Arial" w:cs="Arial" w:eastAsia="Arial" w:hAnsi="Arial"/>
          <w:sz w:val="18"/>
          <w:szCs w:val="18"/>
          <w:color w:val="auto"/>
        </w:rPr>
      </w:pPr>
    </w:p>
    <w:p>
      <w:pPr>
        <w:jc w:val="both"/>
        <w:ind w:left="540" w:firstLine="532"/>
        <w:spacing w:after="0" w:line="298" w:lineRule="auto"/>
        <w:tabs>
          <w:tab w:leader="none" w:pos="1454" w:val="left"/>
        </w:tabs>
        <w:numPr>
          <w:ilvl w:val="3"/>
          <w:numId w:val="34"/>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jc w:val="both"/>
        <w:ind w:left="1080" w:firstLine="569"/>
        <w:spacing w:after="0" w:line="290" w:lineRule="auto"/>
        <w:tabs>
          <w:tab w:leader="none" w:pos="1919" w:val="left"/>
        </w:tabs>
        <w:numPr>
          <w:ilvl w:val="4"/>
          <w:numId w:val="35"/>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both"/>
        <w:ind w:left="540" w:firstLine="417"/>
        <w:spacing w:after="0" w:line="290" w:lineRule="auto"/>
        <w:tabs>
          <w:tab w:leader="none" w:pos="1254" w:val="left"/>
        </w:tabs>
        <w:numPr>
          <w:ilvl w:val="3"/>
          <w:numId w:val="36"/>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2" w:lineRule="exact"/>
        <w:rPr>
          <w:rFonts w:ascii="Arial" w:cs="Arial" w:eastAsia="Arial" w:hAnsi="Arial"/>
          <w:sz w:val="16"/>
          <w:szCs w:val="16"/>
          <w:color w:val="auto"/>
        </w:rPr>
      </w:pPr>
    </w:p>
    <w:p>
      <w:pPr>
        <w:jc w:val="both"/>
        <w:ind w:left="540" w:firstLine="360"/>
        <w:spacing w:after="0" w:line="285" w:lineRule="auto"/>
        <w:tabs>
          <w:tab w:leader="none" w:pos="1242"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5" w:lineRule="exact"/>
        <w:rPr>
          <w:rFonts w:ascii="Arial" w:cs="Arial" w:eastAsia="Arial" w:hAnsi="Arial"/>
          <w:sz w:val="16"/>
          <w:szCs w:val="16"/>
          <w:color w:val="auto"/>
        </w:rPr>
      </w:pPr>
    </w:p>
    <w:p>
      <w:pPr>
        <w:ind w:left="1240" w:hanging="340"/>
        <w:spacing w:after="0"/>
        <w:tabs>
          <w:tab w:leader="none" w:pos="12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jc w:val="both"/>
        <w:ind w:firstLine="449"/>
        <w:spacing w:after="0" w:line="259" w:lineRule="auto"/>
        <w:tabs>
          <w:tab w:leader="none" w:pos="8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0" w:name="page51"/>
    <w:bookmarkEnd w:id="50"/>
    <w:p>
      <w:pPr>
        <w:jc w:val="both"/>
        <w:ind w:firstLine="386"/>
        <w:spacing w:after="0" w:line="288" w:lineRule="auto"/>
        <w:tabs>
          <w:tab w:leader="none" w:pos="732" w:val="left"/>
        </w:tabs>
        <w:numPr>
          <w:ilvl w:val="1"/>
          <w:numId w:val="40"/>
        </w:numPr>
        <w:rPr>
          <w:rFonts w:ascii="Arial" w:cs="Arial" w:eastAsia="Arial" w:hAnsi="Arial"/>
          <w:sz w:val="16"/>
          <w:szCs w:val="16"/>
          <w:color w:val="auto"/>
        </w:rPr>
      </w:pPr>
      <w:r>
        <w:rPr>
          <w:rFonts w:ascii="Arial" w:cs="Arial" w:eastAsia="Arial" w:hAnsi="Arial"/>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3" w:lineRule="exact"/>
        <w:rPr>
          <w:rFonts w:ascii="Arial" w:cs="Arial" w:eastAsia="Arial" w:hAnsi="Arial"/>
          <w:sz w:val="16"/>
          <w:szCs w:val="16"/>
          <w:color w:val="auto"/>
        </w:rPr>
      </w:pPr>
    </w:p>
    <w:p>
      <w:pPr>
        <w:ind w:left="700" w:hanging="34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jc w:val="both"/>
        <w:ind w:firstLine="518"/>
        <w:spacing w:after="0" w:line="289" w:lineRule="auto"/>
        <w:tabs>
          <w:tab w:leader="none" w:pos="906" w:val="left"/>
        </w:tabs>
        <w:numPr>
          <w:ilvl w:val="2"/>
          <w:numId w:val="41"/>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72" w:lineRule="exact"/>
        <w:rPr>
          <w:sz w:val="20"/>
          <w:szCs w:val="20"/>
          <w:color w:val="auto"/>
        </w:rPr>
      </w:pPr>
    </w:p>
    <w:p>
      <w:pPr>
        <w:ind w:left="700" w:hanging="341"/>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firstLine="453"/>
        <w:spacing w:after="0" w:line="268" w:lineRule="auto"/>
        <w:tabs>
          <w:tab w:leader="none" w:pos="816" w:val="left"/>
        </w:tabs>
        <w:numPr>
          <w:ilvl w:val="2"/>
          <w:numId w:val="42"/>
        </w:numPr>
        <w:rPr>
          <w:rFonts w:ascii="Arial" w:cs="Arial" w:eastAsia="Arial" w:hAnsi="Arial"/>
          <w:sz w:val="18"/>
          <w:szCs w:val="18"/>
          <w:color w:val="auto"/>
        </w:rPr>
      </w:pPr>
      <w:r>
        <w:rPr>
          <w:rFonts w:ascii="Arial" w:cs="Arial" w:eastAsia="Arial" w:hAnsi="Arial"/>
          <w:sz w:val="18"/>
          <w:szCs w:val="18"/>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85" w:lineRule="exact"/>
        <w:rPr>
          <w:rFonts w:ascii="Arial" w:cs="Arial" w:eastAsia="Arial" w:hAnsi="Arial"/>
          <w:sz w:val="18"/>
          <w:szCs w:val="18"/>
          <w:color w:val="auto"/>
        </w:rPr>
      </w:pPr>
    </w:p>
    <w:p>
      <w:pPr>
        <w:ind w:firstLine="393"/>
        <w:spacing w:after="0" w:line="268" w:lineRule="auto"/>
        <w:tabs>
          <w:tab w:leader="none" w:pos="7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85" w:lineRule="exact"/>
        <w:rPr>
          <w:rFonts w:ascii="Arial" w:cs="Arial" w:eastAsia="Arial" w:hAnsi="Arial"/>
          <w:sz w:val="18"/>
          <w:szCs w:val="18"/>
          <w:color w:val="auto"/>
        </w:rPr>
      </w:pPr>
    </w:p>
    <w:p>
      <w:pPr>
        <w:jc w:val="both"/>
        <w:ind w:firstLine="385"/>
        <w:spacing w:after="0" w:line="289" w:lineRule="auto"/>
        <w:tabs>
          <w:tab w:leader="none" w:pos="723" w:val="left"/>
        </w:tabs>
        <w:numPr>
          <w:ilvl w:val="1"/>
          <w:numId w:val="42"/>
        </w:numPr>
        <w:rPr>
          <w:rFonts w:ascii="Arial" w:cs="Arial" w:eastAsia="Arial" w:hAnsi="Arial"/>
          <w:sz w:val="16"/>
          <w:szCs w:val="16"/>
          <w:color w:val="auto"/>
        </w:rPr>
      </w:pPr>
      <w:r>
        <w:rPr>
          <w:rFonts w:ascii="Arial" w:cs="Arial" w:eastAsia="Arial" w:hAnsi="Arial"/>
          <w:sz w:val="16"/>
          <w:szCs w:val="16"/>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by such other method as the Committee determines in good faith to be reasonable and in compliance with Code Section 409A.</w:t>
      </w:r>
    </w:p>
    <w:p>
      <w:pPr>
        <w:spacing w:after="0" w:line="225" w:lineRule="exact"/>
        <w:rPr>
          <w:sz w:val="20"/>
          <w:szCs w:val="20"/>
          <w:color w:val="auto"/>
        </w:rPr>
      </w:pPr>
    </w:p>
    <w:p>
      <w:pPr>
        <w:ind w:left="660" w:hanging="301"/>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w:t>
      </w:r>
    </w:p>
    <w:p>
      <w:pPr>
        <w:spacing w:after="0" w:line="225" w:lineRule="exact"/>
        <w:rPr>
          <w:rFonts w:ascii="Arial" w:cs="Arial" w:eastAsia="Arial" w:hAnsi="Arial"/>
          <w:sz w:val="18"/>
          <w:szCs w:val="18"/>
          <w:color w:val="auto"/>
        </w:rPr>
      </w:pPr>
    </w:p>
    <w:p>
      <w:pPr>
        <w:jc w:val="both"/>
        <w:ind w:firstLine="464"/>
        <w:spacing w:after="0" w:line="259" w:lineRule="auto"/>
        <w:tabs>
          <w:tab w:leader="none" w:pos="813" w:val="left"/>
        </w:tabs>
        <w:numPr>
          <w:ilvl w:val="2"/>
          <w:numId w:val="43"/>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94" w:lineRule="exact"/>
        <w:rPr>
          <w:rFonts w:ascii="Arial" w:cs="Arial" w:eastAsia="Arial" w:hAnsi="Arial"/>
          <w:sz w:val="18"/>
          <w:szCs w:val="18"/>
          <w:color w:val="auto"/>
        </w:rPr>
      </w:pPr>
    </w:p>
    <w:p>
      <w:pPr>
        <w:ind w:right="20" w:firstLine="443"/>
        <w:spacing w:after="0" w:line="268" w:lineRule="auto"/>
        <w:tabs>
          <w:tab w:leader="none" w:pos="817"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86" w:lineRule="exact"/>
        <w:rPr>
          <w:sz w:val="20"/>
          <w:szCs w:val="20"/>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 an Affiliate.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firstLine="401"/>
        <w:spacing w:after="0" w:line="268" w:lineRule="auto"/>
        <w:tabs>
          <w:tab w:leader="none" w:pos="734" w:val="left"/>
        </w:tabs>
        <w:numPr>
          <w:ilvl w:val="2"/>
          <w:numId w:val="44"/>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85" w:lineRule="exact"/>
        <w:rPr>
          <w:rFonts w:ascii="Arial" w:cs="Arial" w:eastAsia="Arial" w:hAnsi="Arial"/>
          <w:sz w:val="18"/>
          <w:szCs w:val="18"/>
          <w:color w:val="auto"/>
        </w:rPr>
      </w:pPr>
    </w:p>
    <w:p>
      <w:pPr>
        <w:ind w:firstLine="430"/>
        <w:spacing w:after="0" w:line="268" w:lineRule="auto"/>
        <w:tabs>
          <w:tab w:leader="none" w:pos="785" w:val="left"/>
        </w:tabs>
        <w:numPr>
          <w:ilvl w:val="2"/>
          <w:numId w:val="44"/>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85" w:lineRule="exact"/>
        <w:rPr>
          <w:rFonts w:ascii="Arial" w:cs="Arial" w:eastAsia="Arial" w:hAnsi="Arial"/>
          <w:sz w:val="18"/>
          <w:szCs w:val="18"/>
          <w:color w:val="auto"/>
        </w:rPr>
      </w:pPr>
    </w:p>
    <w:p>
      <w:pPr>
        <w:jc w:val="both"/>
        <w:ind w:firstLine="568"/>
        <w:spacing w:after="0" w:line="259" w:lineRule="auto"/>
        <w:tabs>
          <w:tab w:leader="none" w:pos="975" w:val="left"/>
        </w:tabs>
        <w:numPr>
          <w:ilvl w:val="3"/>
          <w:numId w:val="44"/>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94" w:lineRule="exact"/>
        <w:rPr>
          <w:rFonts w:ascii="Arial" w:cs="Arial" w:eastAsia="Arial" w:hAnsi="Arial"/>
          <w:sz w:val="18"/>
          <w:szCs w:val="18"/>
          <w:color w:val="auto"/>
        </w:rPr>
      </w:pPr>
    </w:p>
    <w:p>
      <w:pPr>
        <w:jc w:val="both"/>
        <w:ind w:firstLine="417"/>
        <w:spacing w:after="0" w:line="298" w:lineRule="auto"/>
        <w:tabs>
          <w:tab w:leader="none" w:pos="7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167" w:lineRule="exact"/>
        <w:rPr>
          <w:sz w:val="20"/>
          <w:szCs w:val="20"/>
          <w:color w:val="auto"/>
        </w:rPr>
      </w:pPr>
    </w:p>
    <w:p>
      <w:pPr>
        <w:ind w:firstLine="413"/>
        <w:spacing w:after="0" w:line="332" w:lineRule="auto"/>
        <w:tabs>
          <w:tab w:leader="none" w:pos="793" w:val="left"/>
        </w:tabs>
        <w:numPr>
          <w:ilvl w:val="4"/>
          <w:numId w:val="45"/>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39" w:lineRule="exact"/>
        <w:rPr>
          <w:rFonts w:ascii="Arial" w:cs="Arial" w:eastAsia="Arial" w:hAnsi="Arial"/>
          <w:sz w:val="16"/>
          <w:szCs w:val="16"/>
          <w:color w:val="auto"/>
        </w:rPr>
      </w:pPr>
    </w:p>
    <w:p>
      <w:pPr>
        <w:ind w:left="740" w:hanging="390"/>
        <w:spacing w:after="0"/>
        <w:tabs>
          <w:tab w:leader="none" w:pos="740" w:val="left"/>
        </w:tabs>
        <w:numPr>
          <w:ilvl w:val="3"/>
          <w:numId w:val="46"/>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13(d)(3) or 14(d)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the 1934 Act.</w:t>
      </w:r>
    </w:p>
    <w:p>
      <w:pPr>
        <w:spacing w:after="0" w:line="218" w:lineRule="exact"/>
        <w:rPr>
          <w:rFonts w:ascii="Arial" w:cs="Arial" w:eastAsia="Arial" w:hAnsi="Arial"/>
          <w:sz w:val="18"/>
          <w:szCs w:val="18"/>
          <w:color w:val="auto"/>
        </w:rPr>
      </w:pPr>
    </w:p>
    <w:p>
      <w:pPr>
        <w:ind w:left="680" w:hanging="365"/>
        <w:spacing w:after="0"/>
        <w:tabs>
          <w:tab w:leader="none" w:pos="6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"Plan" means the Micron Technology, Inc. 2007 Equity Incentive Plan, as amended from time to time.</w:t>
      </w:r>
    </w:p>
    <w:p>
      <w:pPr>
        <w:spacing w:after="0" w:line="225" w:lineRule="exact"/>
        <w:rPr>
          <w:rFonts w:ascii="Arial" w:cs="Arial" w:eastAsia="Arial" w:hAnsi="Arial"/>
          <w:sz w:val="18"/>
          <w:szCs w:val="18"/>
          <w:color w:val="auto"/>
        </w:rPr>
      </w:pPr>
    </w:p>
    <w:p>
      <w:pPr>
        <w:ind w:firstLine="413"/>
        <w:spacing w:after="0" w:line="268" w:lineRule="auto"/>
        <w:tabs>
          <w:tab w:leader="none" w:pos="813" w:val="left"/>
        </w:tabs>
        <w:numPr>
          <w:ilvl w:val="4"/>
          <w:numId w:val="47"/>
        </w:numPr>
        <w:rPr>
          <w:rFonts w:ascii="Arial" w:cs="Arial" w:eastAsia="Arial" w:hAnsi="Arial"/>
          <w:sz w:val="18"/>
          <w:szCs w:val="18"/>
          <w:color w:val="auto"/>
        </w:rPr>
      </w:pPr>
      <w:r>
        <w:rPr>
          <w:rFonts w:ascii="Arial" w:cs="Arial" w:eastAsia="Arial" w:hAnsi="Arial"/>
          <w:sz w:val="18"/>
          <w:szCs w:val="18"/>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85" w:lineRule="exact"/>
        <w:rPr>
          <w:rFonts w:ascii="Arial" w:cs="Arial" w:eastAsia="Arial" w:hAnsi="Arial"/>
          <w:sz w:val="18"/>
          <w:szCs w:val="18"/>
          <w:color w:val="auto"/>
        </w:rPr>
      </w:pPr>
    </w:p>
    <w:p>
      <w:pPr>
        <w:ind w:firstLine="377"/>
        <w:spacing w:after="0" w:line="268" w:lineRule="auto"/>
        <w:tabs>
          <w:tab w:leader="none" w:pos="747" w:val="left"/>
        </w:tabs>
        <w:numPr>
          <w:ilvl w:val="3"/>
          <w:numId w:val="47"/>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2"/>
          <w:numId w:val="47"/>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 forfeiture.</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52" w:name="page53"/>
    <w:bookmarkEnd w:id="52"/>
    <w:p>
      <w:pPr>
        <w:ind w:left="540" w:firstLine="378"/>
        <w:spacing w:after="0" w:line="332" w:lineRule="auto"/>
        <w:tabs>
          <w:tab w:leader="none" w:pos="1307" w:val="left"/>
        </w:tabs>
        <w:numPr>
          <w:ilvl w:val="4"/>
          <w:numId w:val="48"/>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39" w:lineRule="exact"/>
        <w:rPr>
          <w:rFonts w:ascii="Arial" w:cs="Arial" w:eastAsia="Arial" w:hAnsi="Arial"/>
          <w:sz w:val="16"/>
          <w:szCs w:val="16"/>
          <w:color w:val="auto"/>
        </w:rPr>
      </w:pPr>
    </w:p>
    <w:p>
      <w:pPr>
        <w:ind w:left="540" w:firstLine="347"/>
        <w:spacing w:after="0" w:line="268" w:lineRule="auto"/>
        <w:tabs>
          <w:tab w:leader="none" w:pos="1268" w:val="left"/>
        </w:tabs>
        <w:numPr>
          <w:ilvl w:val="3"/>
          <w:numId w:val="49"/>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85" w:lineRule="exact"/>
        <w:rPr>
          <w:rFonts w:ascii="Arial" w:cs="Arial" w:eastAsia="Arial" w:hAnsi="Arial"/>
          <w:sz w:val="18"/>
          <w:szCs w:val="18"/>
          <w:color w:val="auto"/>
        </w:rPr>
      </w:pPr>
    </w:p>
    <w:p>
      <w:pPr>
        <w:ind w:left="540" w:firstLine="425"/>
        <w:spacing w:after="0" w:line="332" w:lineRule="auto"/>
        <w:tabs>
          <w:tab w:leader="none" w:pos="1264" w:val="left"/>
        </w:tabs>
        <w:numPr>
          <w:ilvl w:val="3"/>
          <w:numId w:val="49"/>
        </w:numPr>
        <w:rPr>
          <w:rFonts w:ascii="Arial" w:cs="Arial" w:eastAsia="Arial" w:hAnsi="Arial"/>
          <w:sz w:val="16"/>
          <w:szCs w:val="16"/>
          <w:color w:val="auto"/>
        </w:rPr>
      </w:pPr>
      <w:r>
        <w:rPr>
          <w:rFonts w:ascii="Arial" w:cs="Arial" w:eastAsia="Arial" w:hAnsi="Arial"/>
          <w:sz w:val="16"/>
          <w:szCs w:val="16"/>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39" w:lineRule="exact"/>
        <w:rPr>
          <w:rFonts w:ascii="Arial" w:cs="Arial" w:eastAsia="Arial" w:hAnsi="Arial"/>
          <w:sz w:val="16"/>
          <w:szCs w:val="16"/>
          <w:color w:val="auto"/>
        </w:rPr>
      </w:pPr>
    </w:p>
    <w:p>
      <w:pPr>
        <w:ind w:left="540" w:firstLine="507"/>
        <w:spacing w:after="0" w:line="268" w:lineRule="auto"/>
        <w:tabs>
          <w:tab w:leader="none" w:pos="1364" w:val="left"/>
        </w:tabs>
        <w:numPr>
          <w:ilvl w:val="5"/>
          <w:numId w:val="49"/>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85" w:lineRule="exact"/>
        <w:rPr>
          <w:rFonts w:ascii="Arial" w:cs="Arial" w:eastAsia="Arial" w:hAnsi="Arial"/>
          <w:sz w:val="18"/>
          <w:szCs w:val="18"/>
          <w:color w:val="auto"/>
        </w:rPr>
      </w:pPr>
    </w:p>
    <w:p>
      <w:pPr>
        <w:ind w:left="540" w:firstLine="318"/>
        <w:spacing w:after="0" w:line="332" w:lineRule="auto"/>
        <w:tabs>
          <w:tab w:leader="none" w:pos="1231" w:val="left"/>
        </w:tabs>
        <w:numPr>
          <w:ilvl w:val="1"/>
          <w:numId w:val="50"/>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39" w:lineRule="exact"/>
        <w:rPr>
          <w:rFonts w:ascii="Arial" w:cs="Arial" w:eastAsia="Arial" w:hAnsi="Arial"/>
          <w:sz w:val="16"/>
          <w:szCs w:val="16"/>
          <w:color w:val="auto"/>
        </w:rPr>
      </w:pPr>
    </w:p>
    <w:p>
      <w:pPr>
        <w:jc w:val="both"/>
        <w:ind w:left="540" w:right="20" w:firstLine="411"/>
        <w:spacing w:after="0" w:line="259" w:lineRule="auto"/>
        <w:tabs>
          <w:tab w:leader="none" w:pos="1247" w:val="left"/>
        </w:tabs>
        <w:numPr>
          <w:ilvl w:val="2"/>
          <w:numId w:val="50"/>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94" w:lineRule="exact"/>
        <w:rPr>
          <w:rFonts w:ascii="Arial" w:cs="Arial" w:eastAsia="Arial" w:hAnsi="Arial"/>
          <w:sz w:val="18"/>
          <w:szCs w:val="18"/>
          <w:color w:val="auto"/>
        </w:rPr>
      </w:pPr>
    </w:p>
    <w:p>
      <w:pPr>
        <w:ind w:left="1200" w:hanging="476"/>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240" w:hanging="385"/>
        <w:spacing w:after="0"/>
        <w:tabs>
          <w:tab w:leader="none" w:pos="12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TERM OF PLAN</w:t>
      </w:r>
    </w:p>
    <w:p>
      <w:pPr>
        <w:spacing w:after="0" w:line="219"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1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jc w:val="both"/>
        <w:ind w:firstLine="378"/>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both"/>
        <w:spacing w:after="0" w:line="298" w:lineRule="auto"/>
        <w:rPr>
          <w:sz w:val="20"/>
          <w:szCs w:val="20"/>
          <w:color w:val="auto"/>
        </w:rPr>
      </w:pPr>
      <w:r>
        <w:rPr>
          <w:rFonts w:ascii="Arial" w:cs="Arial" w:eastAsia="Arial" w:hAnsi="Arial"/>
          <w:sz w:val="16"/>
          <w:szCs w:val="16"/>
          <w:color w:val="auto"/>
        </w:rPr>
        <w:t>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6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ACTION AND INTERPRETATIONS BY THE COMMITTEE.</w:t>
      </w:r>
      <w:r>
        <w:rPr>
          <w:rFonts w:ascii="Arial" w:cs="Arial" w:eastAsia="Arial" w:hAnsi="Arial"/>
          <w:sz w:val="16"/>
          <w:szCs w:val="16"/>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72" w:lineRule="exact"/>
        <w:rPr>
          <w:sz w:val="20"/>
          <w:szCs w:val="20"/>
          <w:color w:val="auto"/>
        </w:rPr>
      </w:pPr>
    </w:p>
    <w:p>
      <w:pPr>
        <w:ind w:left="360"/>
        <w:spacing w:after="0"/>
        <w:tabs>
          <w:tab w:leader="none" w:pos="780" w:val="left"/>
          <w:tab w:leader="none" w:pos="3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AUTHORITY OF COMMITTEE.</w:t>
      </w:r>
      <w:r>
        <w:rPr>
          <w:sz w:val="20"/>
          <w:szCs w:val="20"/>
          <w:color w:val="auto"/>
        </w:rPr>
        <w:tab/>
      </w:r>
      <w:r>
        <w:rPr>
          <w:rFonts w:ascii="Arial" w:cs="Arial" w:eastAsia="Arial" w:hAnsi="Arial"/>
          <w:sz w:val="15"/>
          <w:szCs w:val="15"/>
          <w:color w:val="auto"/>
        </w:rPr>
        <w:t>Except as provided below, the Committee has the exclusive power, authority and discretion to:</w:t>
      </w:r>
    </w:p>
    <w:p>
      <w:pPr>
        <w:spacing w:after="0" w:line="225" w:lineRule="exact"/>
        <w:rPr>
          <w:sz w:val="20"/>
          <w:szCs w:val="20"/>
          <w:color w:val="auto"/>
        </w:rPr>
      </w:pPr>
    </w:p>
    <w:p>
      <w:pPr>
        <w:ind w:left="1220" w:hanging="321"/>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25" w:lineRule="exact"/>
        <w:rPr>
          <w:rFonts w:ascii="Arial" w:cs="Arial" w:eastAsia="Arial" w:hAnsi="Arial"/>
          <w:sz w:val="18"/>
          <w:szCs w:val="18"/>
          <w:color w:val="auto"/>
        </w:rPr>
      </w:pPr>
    </w:p>
    <w:p>
      <w:pPr>
        <w:jc w:val="both"/>
        <w:ind w:left="540" w:firstLine="369"/>
        <w:spacing w:after="0" w:line="306" w:lineRule="auto"/>
        <w:tabs>
          <w:tab w:leader="none" w:pos="12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60" w:lineRule="exact"/>
        <w:rPr>
          <w:rFonts w:ascii="Arial" w:cs="Arial" w:eastAsia="Arial" w:hAnsi="Arial"/>
          <w:sz w:val="16"/>
          <w:szCs w:val="16"/>
          <w:color w:val="auto"/>
        </w:rPr>
      </w:pPr>
    </w:p>
    <w:p>
      <w:pPr>
        <w:ind w:left="540" w:firstLine="445"/>
        <w:spacing w:after="0" w:line="268" w:lineRule="auto"/>
        <w:tabs>
          <w:tab w:leader="none" w:pos="13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85" w:lineRule="exact"/>
        <w:rPr>
          <w:rFonts w:ascii="Arial" w:cs="Arial" w:eastAsia="Arial" w:hAnsi="Arial"/>
          <w:sz w:val="18"/>
          <w:szCs w:val="18"/>
          <w:color w:val="auto"/>
        </w:rPr>
      </w:pPr>
    </w:p>
    <w:p>
      <w:pPr>
        <w:ind w:left="540" w:firstLine="371"/>
        <w:spacing w:after="0" w:line="268" w:lineRule="auto"/>
        <w:tabs>
          <w:tab w:leader="none" w:pos="12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86" w:lineRule="exact"/>
        <w:rPr>
          <w:sz w:val="20"/>
          <w:szCs w:val="20"/>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48" w:lineRule="exact"/>
        <w:rPr>
          <w:sz w:val="20"/>
          <w:szCs w:val="20"/>
          <w:color w:val="auto"/>
        </w:rPr>
      </w:pPr>
    </w:p>
    <w:p>
      <w:pPr>
        <w:ind w:left="540" w:firstLine="552"/>
        <w:spacing w:after="0" w:line="268" w:lineRule="auto"/>
        <w:tabs>
          <w:tab w:leader="none" w:pos="14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both"/>
        <w:ind w:left="540" w:firstLine="521"/>
        <w:spacing w:after="0" w:line="259" w:lineRule="auto"/>
        <w:tabs>
          <w:tab w:leader="none" w:pos="14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94"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94"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w:t>
      </w:r>
    </w:p>
    <w:p>
      <w:pPr>
        <w:spacing w:after="0" w:line="3" w:lineRule="exact"/>
        <w:rPr>
          <w:sz w:val="20"/>
          <w:szCs w:val="20"/>
          <w:color w:val="auto"/>
        </w:rPr>
      </w:pPr>
    </w:p>
    <w:p>
      <w:pPr>
        <w:jc w:val="both"/>
        <w:ind w:firstLine="8"/>
        <w:spacing w:after="0" w:line="302" w:lineRule="auto"/>
        <w:tabs>
          <w:tab w:leader="none" w:pos="264"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63"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19"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60,000,000;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97"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86" w:lineRule="exact"/>
        <w:rPr>
          <w:sz w:val="20"/>
          <w:szCs w:val="20"/>
          <w:color w:val="auto"/>
        </w:rPr>
      </w:pPr>
    </w:p>
    <w:p>
      <w:pPr>
        <w:ind w:left="540" w:right="20" w:firstLine="387"/>
        <w:spacing w:after="0" w:line="268" w:lineRule="auto"/>
        <w:tabs>
          <w:tab w:leader="none" w:pos="12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25" w:lineRule="exact"/>
        <w:rPr>
          <w:rFonts w:ascii="Arial" w:cs="Arial" w:eastAsia="Arial" w:hAnsi="Arial"/>
          <w:sz w:val="18"/>
          <w:szCs w:val="18"/>
          <w:color w:val="auto"/>
        </w:rPr>
      </w:pPr>
    </w:p>
    <w:p>
      <w:pPr>
        <w:ind w:left="540" w:firstLine="440"/>
        <w:spacing w:after="0" w:line="268" w:lineRule="auto"/>
        <w:tabs>
          <w:tab w:leader="none" w:pos="1329" w:val="left"/>
        </w:tabs>
        <w:numPr>
          <w:ilvl w:val="2"/>
          <w:numId w:val="59"/>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86"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86" w:lineRule="exact"/>
        <w:rPr>
          <w:sz w:val="20"/>
          <w:szCs w:val="20"/>
          <w:color w:val="auto"/>
        </w:rPr>
      </w:pPr>
    </w:p>
    <w:p>
      <w:pPr>
        <w:ind w:right="20" w:firstLine="392"/>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ind w:right="20"/>
        <w:spacing w:after="0" w:line="332" w:lineRule="auto"/>
        <w:rPr>
          <w:sz w:val="20"/>
          <w:szCs w:val="20"/>
          <w:color w:val="auto"/>
        </w:rPr>
      </w:pPr>
      <w:r>
        <w:rPr>
          <w:rFonts w:ascii="Arial" w:cs="Arial" w:eastAsia="Arial" w:hAnsi="Arial"/>
          <w:sz w:val="16"/>
          <w:szCs w:val="16"/>
          <w:color w:val="auto"/>
        </w:rPr>
        <w:t>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ind w:left="360"/>
        <w:spacing w:after="0"/>
        <w:tabs>
          <w:tab w:leader="none" w:pos="780" w:val="left"/>
          <w:tab w:leader="none" w:pos="17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The Committee is authorized to grant Options to Participants on the following terms and conditions:</w:t>
      </w:r>
    </w:p>
    <w:p>
      <w:pPr>
        <w:spacing w:after="0" w:line="225" w:lineRule="exact"/>
        <w:rPr>
          <w:sz w:val="20"/>
          <w:szCs w:val="20"/>
          <w:color w:val="auto"/>
        </w:rPr>
      </w:pPr>
    </w:p>
    <w:p>
      <w:pPr>
        <w:jc w:val="both"/>
        <w:ind w:left="540" w:firstLine="427"/>
        <w:spacing w:after="0" w:line="370" w:lineRule="auto"/>
        <w:tabs>
          <w:tab w:leader="none" w:pos="1311" w:val="left"/>
        </w:tabs>
        <w:numPr>
          <w:ilvl w:val="2"/>
          <w:numId w:val="60"/>
        </w:numPr>
        <w:rPr>
          <w:rFonts w:ascii="Arial" w:cs="Arial" w:eastAsia="Arial" w:hAnsi="Arial"/>
          <w:sz w:val="15"/>
          <w:szCs w:val="15"/>
          <w:color w:val="auto"/>
        </w:rPr>
      </w:pPr>
      <w:r>
        <w:rPr>
          <w:rFonts w:ascii="Arial" w:cs="Arial" w:eastAsia="Arial" w:hAnsi="Arial"/>
          <w:sz w:val="15"/>
          <w:szCs w:val="15"/>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16" w:lineRule="exact"/>
        <w:rPr>
          <w:rFonts w:ascii="Arial" w:cs="Arial" w:eastAsia="Arial" w:hAnsi="Arial"/>
          <w:sz w:val="15"/>
          <w:szCs w:val="15"/>
          <w:color w:val="auto"/>
        </w:rPr>
      </w:pPr>
    </w:p>
    <w:p>
      <w:pPr>
        <w:ind w:left="540" w:firstLine="370"/>
        <w:spacing w:after="0" w:line="268" w:lineRule="auto"/>
        <w:tabs>
          <w:tab w:leader="none" w:pos="1242"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Section 15.1, the exercise price of an Option may not be reduced, directly or indirectly by cancellation and regrant or otherwise, without the prior approval of the shareholders of the Company.</w:t>
      </w:r>
    </w:p>
    <w:p>
      <w:pPr>
        <w:spacing w:after="0" w:line="185" w:lineRule="exact"/>
        <w:rPr>
          <w:rFonts w:ascii="Arial" w:cs="Arial" w:eastAsia="Arial" w:hAnsi="Arial"/>
          <w:sz w:val="18"/>
          <w:szCs w:val="18"/>
          <w:color w:val="auto"/>
        </w:rPr>
      </w:pPr>
    </w:p>
    <w:p>
      <w:pPr>
        <w:jc w:val="both"/>
        <w:ind w:left="540" w:firstLine="372"/>
        <w:spacing w:after="0" w:line="259" w:lineRule="auto"/>
        <w:tabs>
          <w:tab w:leader="none" w:pos="12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94" w:lineRule="exact"/>
        <w:rPr>
          <w:rFonts w:ascii="Arial" w:cs="Arial" w:eastAsia="Arial" w:hAnsi="Arial"/>
          <w:sz w:val="18"/>
          <w:szCs w:val="18"/>
          <w:color w:val="auto"/>
        </w:rPr>
      </w:pPr>
    </w:p>
    <w:p>
      <w:pPr>
        <w:jc w:val="both"/>
        <w:ind w:left="540" w:firstLine="372"/>
        <w:spacing w:after="0" w:line="259" w:lineRule="auto"/>
        <w:tabs>
          <w:tab w:leader="none" w:pos="1246" w:val="left"/>
        </w:tabs>
        <w:numPr>
          <w:ilvl w:val="1"/>
          <w:numId w:val="61"/>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w:t>
      </w:r>
    </w:p>
    <w:p>
      <w:pPr>
        <w:spacing w:after="0" w:line="194" w:lineRule="exact"/>
        <w:rPr>
          <w:rFonts w:ascii="Arial" w:cs="Arial" w:eastAsia="Arial" w:hAnsi="Arial"/>
          <w:sz w:val="18"/>
          <w:szCs w:val="18"/>
          <w:color w:val="auto"/>
        </w:rPr>
      </w:pPr>
    </w:p>
    <w:p>
      <w:pPr>
        <w:ind w:left="1220" w:hanging="321"/>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TERM. No option granted under the Plan shall be exercisable for more than six years from the Grant Date.</w:t>
      </w:r>
    </w:p>
    <w:p>
      <w:pPr>
        <w:spacing w:after="0" w:line="225" w:lineRule="exact"/>
        <w:rPr>
          <w:rFonts w:ascii="Arial" w:cs="Arial" w:eastAsia="Arial" w:hAnsi="Arial"/>
          <w:sz w:val="18"/>
          <w:szCs w:val="18"/>
          <w:color w:val="auto"/>
        </w:rPr>
      </w:pPr>
    </w:p>
    <w:p>
      <w:pPr>
        <w:ind w:left="540" w:firstLine="395"/>
        <w:spacing w:after="0" w:line="268" w:lineRule="auto"/>
        <w:tabs>
          <w:tab w:leader="none" w:pos="1296"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85" w:lineRule="exact"/>
        <w:rPr>
          <w:rFonts w:ascii="Arial" w:cs="Arial" w:eastAsia="Arial" w:hAnsi="Arial"/>
          <w:sz w:val="18"/>
          <w:szCs w:val="18"/>
          <w:color w:val="auto"/>
        </w:rPr>
      </w:pPr>
    </w:p>
    <w:p>
      <w:pPr>
        <w:ind w:left="540" w:firstLine="485"/>
        <w:spacing w:after="0" w:line="332" w:lineRule="auto"/>
        <w:tabs>
          <w:tab w:leader="none" w:pos="1400" w:val="left"/>
        </w:tabs>
        <w:numPr>
          <w:ilvl w:val="3"/>
          <w:numId w:val="62"/>
        </w:numPr>
        <w:rPr>
          <w:rFonts w:ascii="Arial" w:cs="Arial" w:eastAsia="Arial" w:hAnsi="Arial"/>
          <w:sz w:val="16"/>
          <w:szCs w:val="16"/>
          <w:color w:val="auto"/>
        </w:rPr>
      </w:pPr>
      <w:r>
        <w:rPr>
          <w:rFonts w:ascii="Arial" w:cs="Arial" w:eastAsia="Arial" w:hAnsi="Arial"/>
          <w:sz w:val="16"/>
          <w:szCs w:val="16"/>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INCENTIVE STOCK OPTIONS.</w:t>
      </w:r>
      <w:r>
        <w:rPr>
          <w:rFonts w:ascii="Arial" w:cs="Arial" w:eastAsia="Arial" w:hAnsi="Arial"/>
          <w:sz w:val="16"/>
          <w:szCs w:val="16"/>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19" w:lineRule="exact"/>
        <w:rPr>
          <w:sz w:val="20"/>
          <w:szCs w:val="20"/>
          <w:color w:val="auto"/>
        </w:rPr>
      </w:pPr>
    </w:p>
    <w:p>
      <w:pPr>
        <w:ind w:firstLine="419"/>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86" w:lineRule="exact"/>
        <w:rPr>
          <w:sz w:val="20"/>
          <w:szCs w:val="20"/>
          <w:color w:val="auto"/>
        </w:rPr>
      </w:pPr>
    </w:p>
    <w:p>
      <w:pPr>
        <w:ind w:left="540" w:firstLine="474"/>
        <w:spacing w:after="0" w:line="268" w:lineRule="auto"/>
        <w:tabs>
          <w:tab w:leader="none" w:pos="1375" w:val="left"/>
        </w:tabs>
        <w:numPr>
          <w:ilvl w:val="2"/>
          <w:numId w:val="63"/>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the excess, if any, of:</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5"/>
          <w:numId w:val="63"/>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080" w:firstLine="410"/>
        <w:spacing w:after="0" w:line="268" w:lineRule="auto"/>
        <w:tabs>
          <w:tab w:leader="none" w:pos="1834" w:val="left"/>
        </w:tabs>
        <w:numPr>
          <w:ilvl w:val="6"/>
          <w:numId w:val="63"/>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85" w:lineRule="exact"/>
        <w:rPr>
          <w:rFonts w:ascii="Arial" w:cs="Arial" w:eastAsia="Arial" w:hAnsi="Arial"/>
          <w:sz w:val="18"/>
          <w:szCs w:val="18"/>
          <w:color w:val="auto"/>
        </w:rPr>
      </w:pPr>
    </w:p>
    <w:p>
      <w:pPr>
        <w:ind w:left="540" w:firstLine="494"/>
        <w:spacing w:after="0" w:line="268" w:lineRule="auto"/>
        <w:tabs>
          <w:tab w:leader="none" w:pos="1413" w:val="left"/>
        </w:tabs>
        <w:numPr>
          <w:ilvl w:val="3"/>
          <w:numId w:val="63"/>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Section 15.1, the base price of a SAR may not be reduced, directly or indirectly by cancellation and regrant or otherwise, without the prior approval of the shareholders of the Company.</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TERM. No SAR granted under the Plan shall be exercisable for more than six years from the Grant Date.</w:t>
      </w:r>
    </w:p>
    <w:p>
      <w:pPr>
        <w:spacing w:after="0" w:line="225" w:lineRule="exact"/>
        <w:rPr>
          <w:rFonts w:ascii="Arial" w:cs="Arial" w:eastAsia="Arial" w:hAnsi="Arial"/>
          <w:sz w:val="18"/>
          <w:szCs w:val="18"/>
          <w:color w:val="auto"/>
        </w:rPr>
      </w:pPr>
    </w:p>
    <w:p>
      <w:pPr>
        <w:ind w:left="540" w:firstLine="437"/>
        <w:spacing w:after="0" w:line="268" w:lineRule="auto"/>
        <w:tabs>
          <w:tab w:leader="none" w:pos="1334"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85" w:lineRule="exact"/>
        <w:rPr>
          <w:rFonts w:ascii="Arial" w:cs="Arial" w:eastAsia="Arial" w:hAnsi="Arial"/>
          <w:sz w:val="18"/>
          <w:szCs w:val="18"/>
          <w:color w:val="auto"/>
        </w:rPr>
      </w:pPr>
    </w:p>
    <w:p>
      <w:pPr>
        <w:jc w:val="both"/>
        <w:ind w:left="540" w:firstLine="523"/>
        <w:spacing w:after="0" w:line="306" w:lineRule="auto"/>
        <w:tabs>
          <w:tab w:leader="none" w:pos="1443" w:val="left"/>
        </w:tabs>
        <w:numPr>
          <w:ilvl w:val="4"/>
          <w:numId w:val="64"/>
        </w:numPr>
        <w:rPr>
          <w:rFonts w:ascii="Arial" w:cs="Arial" w:eastAsia="Arial" w:hAnsi="Arial"/>
          <w:sz w:val="16"/>
          <w:szCs w:val="16"/>
          <w:color w:val="auto"/>
        </w:rPr>
      </w:pPr>
      <w:r>
        <w:rPr>
          <w:rFonts w:ascii="Arial" w:cs="Arial" w:eastAsia="Arial" w:hAnsi="Arial"/>
          <w:sz w:val="16"/>
          <w:szCs w:val="16"/>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w:t>
      </w:r>
    </w:p>
    <w:p>
      <w:pPr>
        <w:spacing w:after="0" w:line="21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PERFORMANCE SHARES.</w:t>
      </w:r>
      <w:r>
        <w:rPr>
          <w:rFonts w:ascii="Arial" w:cs="Arial" w:eastAsia="Arial" w:hAnsi="Arial"/>
          <w:sz w:val="18"/>
          <w:szCs w:val="18"/>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97"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sentences shall not apply with respect to an Award of Performance Shares that is intended to be a Qualified Performance-Based Award.</w:t>
      </w:r>
    </w:p>
    <w:p>
      <w:pPr>
        <w:spacing w:after="0" w:line="225"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97" w:lineRule="exact"/>
        <w:rPr>
          <w:sz w:val="20"/>
          <w:szCs w:val="20"/>
          <w:color w:val="auto"/>
        </w:rPr>
      </w:pPr>
    </w:p>
    <w:p>
      <w:pPr>
        <w:jc w:val="both"/>
        <w:ind w:firstLine="459"/>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8"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94"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UNITS</w:t>
      </w:r>
    </w:p>
    <w:p>
      <w:pPr>
        <w:spacing w:after="0" w:line="2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EQUIVALENTS</w:t>
      </w:r>
    </w:p>
    <w:p>
      <w:pPr>
        <w:spacing w:after="0" w:line="21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OF DIVIDEND EQUIVALENTS.</w:t>
      </w:r>
      <w:r>
        <w:rPr>
          <w:rFonts w:ascii="Arial" w:cs="Arial" w:eastAsia="Arial" w:hAnsi="Arial"/>
          <w:sz w:val="16"/>
          <w:szCs w:val="16"/>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 Award</w:t>
      </w:r>
    </w:p>
    <w:p>
      <w:pPr>
        <w:spacing w:after="0" w:line="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Certificate, Dividend Equivalents will be paid or distributed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OR OTHER STOCK-BASED AWARDS</w:t>
      </w:r>
    </w:p>
    <w:p>
      <w:pPr>
        <w:spacing w:after="0" w:line="21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w:t>
      </w:r>
    </w:p>
    <w:p>
      <w:pPr>
        <w:spacing w:after="0" w:line="219"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9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39"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7"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LIMITS ON TRANSFER.</w:t>
      </w:r>
      <w:r>
        <w:rPr>
          <w:rFonts w:ascii="Arial" w:cs="Arial" w:eastAsia="Arial" w:hAnsi="Arial"/>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2" w:lineRule="exact"/>
        <w:rPr>
          <w:sz w:val="20"/>
          <w:szCs w:val="20"/>
          <w:color w:val="auto"/>
        </w:rPr>
      </w:pPr>
    </w:p>
    <w:p>
      <w:pPr>
        <w:jc w:val="both"/>
        <w:ind w:firstLine="500"/>
        <w:spacing w:after="0" w:line="291"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97"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ACCELERATION UPON A CHANGE IN CONTROL.</w:t>
      </w:r>
      <w:r>
        <w:rPr>
          <w:rFonts w:ascii="Arial" w:cs="Arial" w:eastAsia="Arial" w:hAnsi="Arial"/>
          <w:sz w:val="18"/>
          <w:szCs w:val="18"/>
          <w:color w:val="auto"/>
        </w:rPr>
        <w:t xml:space="preserve"> Except as otherwise provided in the Award Certificate or any special Plan document governing an Award, upon the occurrence of a Change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6"/>
          <w:szCs w:val="16"/>
          <w:color w:val="auto"/>
        </w:rPr>
        <w:t>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174" w:lineRule="exact"/>
        <w:rPr>
          <w:sz w:val="20"/>
          <w:szCs w:val="20"/>
          <w:color w:val="auto"/>
        </w:rPr>
      </w:pPr>
    </w:p>
    <w:p>
      <w:pPr>
        <w:jc w:val="both"/>
        <w:ind w:firstLine="365"/>
        <w:spacing w:after="0" w:line="288"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i w:val="1"/>
          <w:iCs w:val="1"/>
          <w:color w:val="auto"/>
        </w:rPr>
        <w:t>ACCELERATION UPON DEATH OR DISABILITY.</w:t>
      </w:r>
      <w:r>
        <w:rPr>
          <w:rFonts w:ascii="Arial" w:cs="Arial" w:eastAsia="Arial" w:hAnsi="Arial"/>
          <w:sz w:val="16"/>
          <w:szCs w:val="16"/>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174"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ACCELERATION FOR ANY OTHER REASON.</w:t>
      </w:r>
      <w:r>
        <w:rPr>
          <w:rFonts w:ascii="Arial" w:cs="Arial" w:eastAsia="Arial" w:hAnsi="Arial"/>
          <w:sz w:val="16"/>
          <w:szCs w:val="16"/>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78"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i w:val="1"/>
          <w:iCs w:val="1"/>
          <w:color w:val="auto"/>
        </w:rPr>
        <w:t>EFFECT OF ACCELERATION.</w:t>
      </w:r>
      <w:r>
        <w:rPr>
          <w:rFonts w:ascii="Arial" w:cs="Arial" w:eastAsia="Arial" w:hAnsi="Arial"/>
          <w:sz w:val="16"/>
          <w:szCs w:val="16"/>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jc w:val="both"/>
        <w:ind w:right="20"/>
        <w:spacing w:after="0" w:line="306" w:lineRule="auto"/>
        <w:rPr>
          <w:sz w:val="20"/>
          <w:szCs w:val="20"/>
          <w:color w:val="auto"/>
        </w:rPr>
      </w:pPr>
      <w:r>
        <w:rPr>
          <w:rFonts w:ascii="Arial" w:cs="Arial" w:eastAsia="Arial" w:hAnsi="Arial"/>
          <w:sz w:val="16"/>
          <w:szCs w:val="16"/>
          <w:color w:val="auto"/>
        </w:rPr>
        <w:t>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14.11. QUALIFIED PERFORMANCE-BASED AWARDS.</w:t>
      </w:r>
    </w:p>
    <w:p>
      <w:pPr>
        <w:spacing w:after="0" w:line="225" w:lineRule="exact"/>
        <w:rPr>
          <w:sz w:val="20"/>
          <w:szCs w:val="20"/>
          <w:color w:val="auto"/>
        </w:rPr>
      </w:pPr>
    </w:p>
    <w:p>
      <w:pPr>
        <w:jc w:val="both"/>
        <w:ind w:left="540" w:firstLine="417"/>
        <w:spacing w:after="0" w:line="259" w:lineRule="auto"/>
        <w:tabs>
          <w:tab w:leader="none" w:pos="12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94" w:lineRule="exact"/>
        <w:rPr>
          <w:rFonts w:ascii="Arial" w:cs="Arial" w:eastAsia="Arial" w:hAnsi="Arial"/>
          <w:sz w:val="18"/>
          <w:szCs w:val="18"/>
          <w:color w:val="auto"/>
        </w:rPr>
      </w:pPr>
    </w:p>
    <w:p>
      <w:pPr>
        <w:jc w:val="both"/>
        <w:ind w:left="540" w:firstLine="613"/>
        <w:spacing w:after="0" w:line="254" w:lineRule="auto"/>
        <w:tabs>
          <w:tab w:leader="none" w:pos="15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12" w:lineRule="exact"/>
        <w:rPr>
          <w:sz w:val="20"/>
          <w:szCs w:val="20"/>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620" w:hanging="532"/>
        <w:spacing w:after="0" w:line="268"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38" w:lineRule="exact"/>
        <w:rPr>
          <w:rFonts w:ascii="Arial" w:cs="Arial" w:eastAsia="Arial" w:hAnsi="Arial"/>
          <w:sz w:val="18"/>
          <w:szCs w:val="18"/>
          <w:color w:val="auto"/>
        </w:rPr>
      </w:pPr>
    </w:p>
    <w:p>
      <w:pPr>
        <w:ind w:left="1620" w:hanging="532"/>
        <w:spacing w:after="0" w:line="332"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39" w:lineRule="exact"/>
        <w:rPr>
          <w:sz w:val="20"/>
          <w:szCs w:val="20"/>
          <w:color w:val="auto"/>
        </w:rPr>
      </w:pPr>
    </w:p>
    <w:p>
      <w:pPr>
        <w:jc w:val="both"/>
        <w:ind w:left="540" w:firstLine="527"/>
        <w:spacing w:after="0" w:line="259" w:lineRule="auto"/>
        <w:rPr>
          <w:sz w:val="20"/>
          <w:szCs w:val="20"/>
          <w:color w:val="auto"/>
        </w:rPr>
      </w:pPr>
      <w:r>
        <w:rPr>
          <w:rFonts w:ascii="Arial" w:cs="Arial" w:eastAsia="Arial" w:hAnsi="Arial"/>
          <w:sz w:val="18"/>
          <w:szCs w:val="18"/>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jc w:val="both"/>
        <w:spacing w:after="0" w:line="335" w:lineRule="auto"/>
        <w:rPr>
          <w:sz w:val="20"/>
          <w:szCs w:val="20"/>
          <w:color w:val="auto"/>
        </w:rPr>
      </w:pPr>
      <w:r>
        <w:rPr>
          <w:rFonts w:ascii="Arial" w:cs="Arial" w:eastAsia="Arial" w:hAnsi="Arial"/>
          <w:sz w:val="15"/>
          <w:szCs w:val="15"/>
          <w:color w:val="auto"/>
        </w:rPr>
        <w:t>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42" w:lineRule="exact"/>
        <w:rPr>
          <w:sz w:val="20"/>
          <w:szCs w:val="20"/>
          <w:color w:val="auto"/>
        </w:rPr>
      </w:pPr>
    </w:p>
    <w:p>
      <w:pPr>
        <w:jc w:val="both"/>
        <w:ind w:firstLine="464"/>
        <w:spacing w:after="0" w:line="288" w:lineRule="auto"/>
        <w:tabs>
          <w:tab w:leader="none" w:pos="821" w:val="left"/>
        </w:tabs>
        <w:numPr>
          <w:ilvl w:val="2"/>
          <w:numId w:val="67"/>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173" w:lineRule="exact"/>
        <w:rPr>
          <w:rFonts w:ascii="Arial" w:cs="Arial" w:eastAsia="Arial" w:hAnsi="Arial"/>
          <w:sz w:val="16"/>
          <w:szCs w:val="16"/>
          <w:color w:val="auto"/>
        </w:rPr>
      </w:pPr>
    </w:p>
    <w:p>
      <w:pPr>
        <w:jc w:val="both"/>
        <w:ind w:firstLine="385"/>
        <w:spacing w:after="0" w:line="289" w:lineRule="auto"/>
        <w:tabs>
          <w:tab w:leader="none" w:pos="719"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2" w:lineRule="exact"/>
        <w:rPr>
          <w:rFonts w:ascii="Arial" w:cs="Arial" w:eastAsia="Arial" w:hAnsi="Arial"/>
          <w:sz w:val="16"/>
          <w:szCs w:val="16"/>
          <w:color w:val="auto"/>
        </w:rPr>
      </w:pPr>
    </w:p>
    <w:p>
      <w:pPr>
        <w:jc w:val="both"/>
        <w:ind w:firstLine="367"/>
        <w:spacing w:after="0" w:line="286" w:lineRule="auto"/>
        <w:tabs>
          <w:tab w:leader="none" w:pos="678"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81" w:lineRule="exact"/>
        <w:rPr>
          <w:rFonts w:ascii="Arial" w:cs="Arial" w:eastAsia="Arial" w:hAnsi="Arial"/>
          <w:sz w:val="16"/>
          <w:szCs w:val="16"/>
          <w:color w:val="auto"/>
        </w:rPr>
      </w:pPr>
    </w:p>
    <w:p>
      <w:pPr>
        <w:ind w:firstLine="386"/>
        <w:spacing w:after="0" w:line="268" w:lineRule="auto"/>
        <w:tabs>
          <w:tab w:leader="none" w:pos="7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63" w:name="page64"/>
    <w:bookmarkEnd w:id="63"/>
    <w:p>
      <w:pPr>
        <w:jc w:val="both"/>
        <w:ind w:left="540" w:firstLine="359"/>
        <w:spacing w:after="0" w:line="283" w:lineRule="auto"/>
        <w:tabs>
          <w:tab w:leader="none" w:pos="1224" w:val="left"/>
        </w:tabs>
        <w:numPr>
          <w:ilvl w:val="1"/>
          <w:numId w:val="70"/>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w:t>
      </w:r>
    </w:p>
    <w:p>
      <w:pPr>
        <w:spacing w:after="0" w:line="2" w:lineRule="exact"/>
        <w:rPr>
          <w:rFonts w:ascii="Arial" w:cs="Arial" w:eastAsia="Arial" w:hAnsi="Arial"/>
          <w:sz w:val="16"/>
          <w:szCs w:val="16"/>
          <w:color w:val="auto"/>
        </w:rPr>
      </w:pPr>
    </w:p>
    <w:p>
      <w:pPr>
        <w:jc w:val="both"/>
        <w:ind w:left="540" w:firstLine="8"/>
        <w:spacing w:after="0" w:line="255" w:lineRule="auto"/>
        <w:tabs>
          <w:tab w:leader="none" w:pos="8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8" w:lineRule="exact"/>
        <w:rPr>
          <w:sz w:val="20"/>
          <w:szCs w:val="20"/>
          <w:color w:val="auto"/>
        </w:rPr>
      </w:pPr>
    </w:p>
    <w:p>
      <w:pPr>
        <w:jc w:val="both"/>
        <w:ind w:firstLine="419"/>
        <w:spacing w:after="0" w:line="290"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72"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i w:val="1"/>
          <w:iCs w:val="1"/>
          <w:color w:val="auto"/>
        </w:rPr>
        <w:t>FORFEITURE EVENTS.</w:t>
      </w:r>
      <w:r>
        <w:rPr>
          <w:rFonts w:ascii="Arial" w:cs="Arial" w:eastAsia="Arial" w:hAnsi="Arial"/>
          <w:sz w:val="16"/>
          <w:szCs w:val="16"/>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70"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219" w:lineRule="exact"/>
        <w:rPr>
          <w:sz w:val="20"/>
          <w:szCs w:val="20"/>
          <w:color w:val="auto"/>
        </w:rPr>
      </w:pPr>
    </w:p>
    <w:p>
      <w:pPr>
        <w:jc w:val="both"/>
        <w:ind w:firstLine="419"/>
        <w:spacing w:after="0" w:line="291"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MANDATORY ADJUSTMENTS.</w:t>
      </w:r>
      <w:r>
        <w:rPr>
          <w:rFonts w:ascii="Arial" w:cs="Arial" w:eastAsia="Arial" w:hAnsi="Arial"/>
          <w:sz w:val="16"/>
          <w:szCs w:val="16"/>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97" w:lineRule="exact"/>
        <w:rPr>
          <w:sz w:val="20"/>
          <w:szCs w:val="20"/>
          <w:color w:val="auto"/>
        </w:rPr>
      </w:pPr>
    </w:p>
    <w:p>
      <w:pPr>
        <w:jc w:val="both"/>
        <w:ind w:firstLine="540"/>
        <w:spacing w:after="0" w:line="288"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9"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w:t>
      </w:r>
    </w:p>
    <w:p>
      <w:pPr>
        <w:spacing w:after="0" w:line="172"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86" w:lineRule="exact"/>
        <w:rPr>
          <w:sz w:val="20"/>
          <w:szCs w:val="20"/>
          <w:color w:val="auto"/>
        </w:rPr>
      </w:pPr>
    </w:p>
    <w:p>
      <w:pPr>
        <w:jc w:val="both"/>
        <w:ind w:left="540" w:firstLine="512"/>
        <w:spacing w:after="0" w:line="298" w:lineRule="auto"/>
        <w:tabs>
          <w:tab w:leader="none" w:pos="1428"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ind w:left="1240" w:hanging="341"/>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540" w:firstLine="375"/>
        <w:spacing w:after="0" w:line="268" w:lineRule="auto"/>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85" w:lineRule="exact"/>
        <w:rPr>
          <w:rFonts w:ascii="Arial" w:cs="Arial" w:eastAsia="Arial" w:hAnsi="Arial"/>
          <w:sz w:val="18"/>
          <w:szCs w:val="18"/>
          <w:color w:val="auto"/>
        </w:rPr>
      </w:pPr>
    </w:p>
    <w:p>
      <w:pPr>
        <w:jc w:val="both"/>
        <w:ind w:left="540" w:firstLine="373"/>
        <w:spacing w:after="0" w:line="294" w:lineRule="auto"/>
        <w:tabs>
          <w:tab w:leader="none" w:pos="1247"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70"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COMPLIANCE AMENDMENTS.</w:t>
      </w:r>
      <w:r>
        <w:rPr>
          <w:rFonts w:ascii="Arial" w:cs="Arial" w:eastAsia="Arial" w:hAnsi="Arial"/>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9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17.3. SPECIAL PROVISIONS RELATED TO SECTION 409A OF THE CODE.</w:t>
      </w:r>
    </w:p>
    <w:p>
      <w:pPr>
        <w:spacing w:after="0" w:line="225" w:lineRule="exact"/>
        <w:rPr>
          <w:sz w:val="20"/>
          <w:szCs w:val="20"/>
          <w:color w:val="auto"/>
        </w:rPr>
      </w:pPr>
    </w:p>
    <w:p>
      <w:pPr>
        <w:jc w:val="both"/>
        <w:ind w:left="540" w:firstLine="401"/>
        <w:spacing w:after="0" w:line="283" w:lineRule="auto"/>
        <w:tabs>
          <w:tab w:leader="none" w:pos="1275"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w:t>
      </w:r>
    </w:p>
    <w:p>
      <w:pPr>
        <w:spacing w:after="0" w:line="1" w:lineRule="exact"/>
        <w:rPr>
          <w:rFonts w:ascii="Arial" w:cs="Arial" w:eastAsia="Arial" w:hAnsi="Arial"/>
          <w:sz w:val="16"/>
          <w:szCs w:val="16"/>
          <w:color w:val="auto"/>
        </w:rPr>
      </w:pPr>
    </w:p>
    <w:p>
      <w:pPr>
        <w:jc w:val="both"/>
        <w:ind w:left="540" w:firstLine="8"/>
        <w:spacing w:after="0" w:line="254" w:lineRule="auto"/>
        <w:tabs>
          <w:tab w:leader="none" w:pos="8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of any Award upon a Change in Control, Disability or separation from service, however defined. If this provision prevents the payment or distribution of any amount or benefit, such payment or distribution shall be made on the next earliest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left="540"/>
        <w:spacing w:after="0"/>
        <w:rPr>
          <w:sz w:val="20"/>
          <w:szCs w:val="20"/>
          <w:color w:val="auto"/>
        </w:rPr>
      </w:pPr>
      <w:r>
        <w:rPr>
          <w:rFonts w:ascii="Arial" w:cs="Arial" w:eastAsia="Arial" w:hAnsi="Arial"/>
          <w:sz w:val="18"/>
          <w:szCs w:val="18"/>
          <w:color w:val="auto"/>
        </w:rPr>
        <w:t>payment or distribution date or event specified in the Award Certificate that is permissible under Section 409A.</w:t>
      </w:r>
    </w:p>
    <w:p>
      <w:pPr>
        <w:spacing w:after="0" w:line="225" w:lineRule="exact"/>
        <w:rPr>
          <w:sz w:val="20"/>
          <w:szCs w:val="20"/>
          <w:color w:val="auto"/>
        </w:rPr>
      </w:pPr>
    </w:p>
    <w:p>
      <w:pPr>
        <w:jc w:val="both"/>
        <w:ind w:left="540" w:firstLine="467"/>
        <w:spacing w:after="0" w:line="306" w:lineRule="auto"/>
        <w:tabs>
          <w:tab w:leader="none" w:pos="1376"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160" w:lineRule="exact"/>
        <w:rPr>
          <w:rFonts w:ascii="Arial" w:cs="Arial" w:eastAsia="Arial" w:hAnsi="Arial"/>
          <w:sz w:val="16"/>
          <w:szCs w:val="16"/>
          <w:color w:val="auto"/>
        </w:rPr>
      </w:pPr>
    </w:p>
    <w:p>
      <w:pPr>
        <w:jc w:val="both"/>
        <w:ind w:left="540" w:firstLine="451"/>
        <w:spacing w:after="0" w:line="255" w:lineRule="auto"/>
        <w:tabs>
          <w:tab w:leader="none" w:pos="13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6" w:lineRule="exact"/>
        <w:rPr>
          <w:rFonts w:ascii="Arial" w:cs="Arial" w:eastAsia="Arial" w:hAnsi="Arial"/>
          <w:sz w:val="18"/>
          <w:szCs w:val="18"/>
          <w:color w:val="auto"/>
        </w:rPr>
      </w:pPr>
    </w:p>
    <w:p>
      <w:pPr>
        <w:jc w:val="both"/>
        <w:ind w:left="1080" w:firstLine="550"/>
        <w:spacing w:after="0" w:line="259" w:lineRule="auto"/>
        <w:tabs>
          <w:tab w:leader="none" w:pos="1895" w:val="left"/>
        </w:tabs>
        <w:numPr>
          <w:ilvl w:val="2"/>
          <w:numId w:val="77"/>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4" w:lineRule="exact"/>
        <w:rPr>
          <w:sz w:val="20"/>
          <w:szCs w:val="20"/>
          <w:color w:val="auto"/>
        </w:rPr>
      </w:pPr>
    </w:p>
    <w:p>
      <w:pPr>
        <w:jc w:val="both"/>
        <w:ind w:left="1080" w:firstLine="529"/>
        <w:spacing w:after="0" w:line="294" w:lineRule="auto"/>
        <w:tabs>
          <w:tab w:leader="none" w:pos="1931"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0"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auto"/>
        </w:rPr>
        <w:t xml:space="preserve">For purposes of this Plan, the term "Specified Employee" has the meaning given such term in Code Section 409A and the final regulations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as permitted in such final regulations, the Company's Specified Employees and its application of the six-month delay rule of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67"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i w:val="1"/>
          <w:iCs w:val="1"/>
          <w:color w:val="auto"/>
        </w:rPr>
        <w:t>WITHHOLDING.</w:t>
      </w:r>
      <w:r>
        <w:rPr>
          <w:rFonts w:ascii="Arial" w:cs="Arial" w:eastAsia="Arial" w:hAnsi="Arial"/>
          <w:sz w:val="16"/>
          <w:szCs w:val="16"/>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72"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94"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1" w:lineRule="exact"/>
        <w:rPr>
          <w:sz w:val="20"/>
          <w:szCs w:val="20"/>
          <w:color w:val="auto"/>
        </w:rPr>
      </w:pPr>
    </w:p>
    <w:p>
      <w:pPr>
        <w:jc w:val="both"/>
        <w:ind w:firstLine="392"/>
        <w:spacing w:after="0" w:line="33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39" w:lineRule="exact"/>
        <w:rPr>
          <w:sz w:val="20"/>
          <w:szCs w:val="20"/>
          <w:color w:val="auto"/>
        </w:rPr>
      </w:pPr>
    </w:p>
    <w:p>
      <w:pPr>
        <w:ind w:left="360"/>
        <w:spacing w:after="0"/>
        <w:tabs>
          <w:tab w:leader="none" w:pos="860" w:val="left"/>
          <w:tab w:leader="none" w:pos="19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i w:val="1"/>
          <w:iCs w:val="1"/>
          <w:color w:val="auto"/>
        </w:rPr>
        <w:t>EXPENSES.</w:t>
      </w:r>
      <w:r>
        <w:rPr>
          <w:sz w:val="20"/>
          <w:szCs w:val="20"/>
          <w:color w:val="auto"/>
        </w:rPr>
        <w:tab/>
      </w:r>
      <w:r>
        <w:rPr>
          <w:rFonts w:ascii="Arial" w:cs="Arial" w:eastAsia="Arial" w:hAnsi="Arial"/>
          <w:sz w:val="15"/>
          <w:szCs w:val="15"/>
          <w:color w:val="auto"/>
        </w:rPr>
        <w:t>The expenses of administering the Plan shall be borne by the Company and its Affiliates.</w:t>
      </w:r>
    </w:p>
    <w:p>
      <w:pPr>
        <w:spacing w:after="0" w:line="225"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17.12. GOVERNMENT AND OTHER REGULATIONS.</w:t>
      </w:r>
    </w:p>
    <w:p>
      <w:pPr>
        <w:spacing w:after="0" w:line="225" w:lineRule="exact"/>
        <w:rPr>
          <w:sz w:val="20"/>
          <w:szCs w:val="20"/>
          <w:color w:val="auto"/>
        </w:rPr>
      </w:pPr>
    </w:p>
    <w:p>
      <w:pPr>
        <w:jc w:val="both"/>
        <w:ind w:left="540" w:firstLine="428"/>
        <w:spacing w:after="0" w:line="255" w:lineRule="auto"/>
        <w:tabs>
          <w:tab w:leader="none" w:pos="1312"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96" w:lineRule="exact"/>
        <w:rPr>
          <w:rFonts w:ascii="Arial" w:cs="Arial" w:eastAsia="Arial" w:hAnsi="Arial"/>
          <w:sz w:val="18"/>
          <w:szCs w:val="18"/>
          <w:color w:val="auto"/>
        </w:rPr>
      </w:pPr>
    </w:p>
    <w:p>
      <w:pPr>
        <w:jc w:val="both"/>
        <w:ind w:left="540" w:firstLine="376"/>
        <w:spacing w:after="0" w:line="288" w:lineRule="auto"/>
        <w:tabs>
          <w:tab w:leader="none" w:pos="125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 w:name="page69"/>
    <w:bookmarkEnd w:id="68"/>
    <w:p>
      <w:pPr>
        <w:ind w:left="540"/>
        <w:spacing w:after="0" w:line="268" w:lineRule="auto"/>
        <w:rPr>
          <w:sz w:val="20"/>
          <w:szCs w:val="20"/>
          <w:color w:val="auto"/>
        </w:rPr>
      </w:pPr>
      <w:r>
        <w:rPr>
          <w:rFonts w:ascii="Arial" w:cs="Arial" w:eastAsia="Arial" w:hAnsi="Arial"/>
          <w:sz w:val="18"/>
          <w:szCs w:val="18"/>
          <w:color w:val="auto"/>
        </w:rPr>
        <w:t>applicable state or foreign law or to take any other action in order to cause the issuance and delivery of such certificates to comply with any such law, regulation or requirement.</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86"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7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 xml:space="preserve">17.16.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1080770" cy="386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080770" cy="386080"/>
                    </a:xfrm>
                    <a:prstGeom prst="rect">
                      <a:avLst/>
                    </a:prstGeom>
                    <a:noFill/>
                  </pic:spPr>
                </pic:pic>
              </a:graphicData>
            </a:graphic>
          </wp:anchor>
        </w:drawing>
        <w:drawing>
          <wp:anchor simplePos="0" relativeHeight="251657728" behindDoc="1" locked="0" layoutInCell="0" allowOverlap="1">
            <wp:simplePos x="0" y="0"/>
            <wp:positionH relativeFrom="page">
              <wp:posOffset>2704465</wp:posOffset>
            </wp:positionH>
            <wp:positionV relativeFrom="page">
              <wp:posOffset>397510</wp:posOffset>
            </wp:positionV>
            <wp:extent cx="20574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Annual Meeting of Shareholders of Micron Technology, Inc.</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Arial" w:cs="Arial" w:eastAsia="Arial" w:hAnsi="Arial"/>
                <w:sz w:val="14"/>
                <w:szCs w:val="14"/>
                <w:color w:val="auto"/>
              </w:rPr>
              <w:t>Date:</w:t>
            </w:r>
          </w:p>
        </w:tc>
        <w:tc>
          <w:tcPr>
            <w:tcW w:w="3440" w:type="dxa"/>
            <w:vAlign w:val="bottom"/>
          </w:tcPr>
          <w:p>
            <w:pPr>
              <w:ind w:left="60"/>
              <w:spacing w:after="0"/>
              <w:rPr>
                <w:sz w:val="20"/>
                <w:szCs w:val="20"/>
                <w:color w:val="auto"/>
              </w:rPr>
            </w:pPr>
            <w:r>
              <w:rPr>
                <w:rFonts w:ascii="Arial" w:cs="Arial" w:eastAsia="Arial" w:hAnsi="Arial"/>
                <w:sz w:val="14"/>
                <w:szCs w:val="14"/>
                <w:color w:val="auto"/>
              </w:rPr>
              <w:t>Thursday, December 16, 2010</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gridSpan w:val="3"/>
          </w:tcPr>
          <w:p>
            <w:pPr>
              <w:ind w:left="60"/>
              <w:spacing w:after="0"/>
              <w:rPr>
                <w:sz w:val="20"/>
                <w:szCs w:val="20"/>
                <w:color w:val="auto"/>
              </w:rPr>
            </w:pPr>
            <w:r>
              <w:rPr>
                <w:rFonts w:ascii="Arial" w:cs="Arial" w:eastAsia="Arial" w:hAnsi="Arial"/>
                <w:sz w:val="14"/>
                <w:szCs w:val="14"/>
                <w:color w:val="auto"/>
              </w:rPr>
              <w:t>Company Headquarters, 8000 South Federal Way, Boise, Idaho 83716-</w:t>
            </w:r>
          </w:p>
        </w:tc>
        <w:tc>
          <w:tcPr>
            <w:tcW w:w="260" w:type="dxa"/>
            <w:vAlign w:val="bottom"/>
          </w:tcPr>
          <w:p>
            <w:pPr>
              <w:spacing w:after="0"/>
              <w:rPr>
                <w:sz w:val="14"/>
                <w:szCs w:val="14"/>
                <w:color w:val="auto"/>
              </w:rPr>
            </w:pPr>
          </w:p>
        </w:tc>
      </w:tr>
      <w:tr>
        <w:trPr>
          <w:trHeight w:val="162"/>
        </w:trPr>
        <w:tc>
          <w:tcPr>
            <w:tcW w:w="480" w:type="dxa"/>
            <w:vAlign w:val="bottom"/>
            <w:gridSpan w:val="2"/>
          </w:tcPr>
          <w:p>
            <w:pPr>
              <w:spacing w:after="0"/>
              <w:rPr>
                <w:sz w:val="20"/>
                <w:szCs w:val="20"/>
                <w:color w:val="auto"/>
              </w:rPr>
            </w:pPr>
            <w:r>
              <w:rPr>
                <w:rFonts w:ascii="Arial" w:cs="Arial" w:eastAsia="Arial" w:hAnsi="Arial"/>
                <w:sz w:val="14"/>
                <w:szCs w:val="14"/>
                <w:color w:val="auto"/>
              </w:rPr>
              <w:t>Place:</w:t>
            </w:r>
          </w:p>
        </w:tc>
        <w:tc>
          <w:tcPr>
            <w:tcW w:w="3440" w:type="dxa"/>
            <w:vAlign w:val="bottom"/>
          </w:tcPr>
          <w:p>
            <w:pPr>
              <w:ind w:left="60"/>
              <w:spacing w:after="0"/>
              <w:rPr>
                <w:sz w:val="20"/>
                <w:szCs w:val="20"/>
                <w:color w:val="auto"/>
              </w:rPr>
            </w:pPr>
            <w:r>
              <w:rPr>
                <w:rFonts w:ascii="Arial" w:cs="Arial" w:eastAsia="Arial" w:hAnsi="Arial"/>
                <w:sz w:val="14"/>
                <w:szCs w:val="14"/>
                <w:color w:val="auto"/>
              </w:rPr>
              <w:t>9632</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2"/>
        </w:trPr>
        <w:tc>
          <w:tcPr>
            <w:tcW w:w="3920" w:type="dxa"/>
            <w:vAlign w:val="bottom"/>
            <w:gridSpan w:val="3"/>
          </w:tcPr>
          <w:p>
            <w:pPr>
              <w:spacing w:after="0"/>
              <w:rPr>
                <w:sz w:val="20"/>
                <w:szCs w:val="20"/>
                <w:color w:val="auto"/>
              </w:rPr>
            </w:pPr>
            <w:r>
              <w:rPr>
                <w:rFonts w:ascii="Arial" w:cs="Arial" w:eastAsia="Arial" w:hAnsi="Arial"/>
                <w:sz w:val="14"/>
                <w:szCs w:val="14"/>
                <w:color w:val="auto"/>
              </w:rPr>
              <w:t>Time:   9:00 am, Mountain Standard Time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01"/>
        </w:trPr>
        <w:tc>
          <w:tcPr>
            <w:tcW w:w="4360" w:type="dxa"/>
            <w:vAlign w:val="bottom"/>
            <w:gridSpan w:val="4"/>
          </w:tcPr>
          <w:p>
            <w:pPr>
              <w:spacing w:after="0"/>
              <w:rPr>
                <w:sz w:val="20"/>
                <w:szCs w:val="20"/>
                <w:color w:val="auto"/>
              </w:rPr>
            </w:pPr>
            <w:r>
              <w:rPr>
                <w:rFonts w:ascii="Arial" w:cs="Arial" w:eastAsia="Arial" w:hAnsi="Arial"/>
                <w:sz w:val="13"/>
                <w:szCs w:val="13"/>
                <w:b w:val="1"/>
                <w:bCs w:val="1"/>
                <w:color w:val="auto"/>
              </w:rPr>
              <w:t>Please make your marks like this: x Use dark black pencil or pen only</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4360" w:type="dxa"/>
            <w:vAlign w:val="bottom"/>
            <w:gridSpan w:val="4"/>
          </w:tcPr>
          <w:p>
            <w:pPr>
              <w:spacing w:after="0"/>
              <w:rPr>
                <w:sz w:val="20"/>
                <w:szCs w:val="20"/>
                <w:color w:val="auto"/>
              </w:rPr>
            </w:pPr>
            <w:r>
              <w:rPr>
                <w:rFonts w:ascii="Arial" w:cs="Arial" w:eastAsia="Arial" w:hAnsi="Arial"/>
                <w:sz w:val="13"/>
                <w:szCs w:val="13"/>
                <w:b w:val="1"/>
                <w:bCs w:val="1"/>
                <w:color w:val="auto"/>
                <w:w w:val="97"/>
              </w:rPr>
              <w:t>The Board of Directors recommends you vote FOR Proposals 1, 2, and 3</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21"/>
        </w:trPr>
        <w:tc>
          <w:tcPr>
            <w:tcW w:w="3920" w:type="dxa"/>
            <w:vAlign w:val="bottom"/>
            <w:gridSpan w:val="3"/>
          </w:tcPr>
          <w:p>
            <w:pPr>
              <w:spacing w:after="0"/>
              <w:rPr>
                <w:sz w:val="20"/>
                <w:szCs w:val="20"/>
                <w:color w:val="auto"/>
              </w:rPr>
            </w:pPr>
            <w:r>
              <w:rPr>
                <w:rFonts w:ascii="Arial" w:cs="Arial" w:eastAsia="Arial" w:hAnsi="Arial"/>
                <w:sz w:val="13"/>
                <w:szCs w:val="13"/>
                <w:color w:val="auto"/>
              </w:rPr>
              <w:t>1. To elect directors to serve for the ensuing year and until their</w:t>
            </w:r>
          </w:p>
        </w:tc>
        <w:tc>
          <w:tcPr>
            <w:tcW w:w="44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For</w:t>
            </w: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w w:val="94"/>
              </w:rPr>
              <w:t>Against Abstain</w:t>
            </w:r>
          </w:p>
        </w:tc>
      </w:tr>
      <w:tr>
        <w:trPr>
          <w:trHeight w:val="152"/>
        </w:trPr>
        <w:tc>
          <w:tcPr>
            <w:tcW w:w="3920" w:type="dxa"/>
            <w:vAlign w:val="bottom"/>
            <w:gridSpan w:val="3"/>
          </w:tcPr>
          <w:p>
            <w:pPr>
              <w:spacing w:after="0"/>
              <w:rPr>
                <w:sz w:val="20"/>
                <w:szCs w:val="20"/>
                <w:color w:val="auto"/>
              </w:rPr>
            </w:pPr>
            <w:r>
              <w:rPr>
                <w:rFonts w:ascii="Arial" w:cs="Arial" w:eastAsia="Arial" w:hAnsi="Arial"/>
                <w:sz w:val="13"/>
                <w:szCs w:val="13"/>
                <w:color w:val="auto"/>
              </w:rPr>
              <w:t>successors are elected and qualified:</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01</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Steven R. Appleton</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Teruaki Aoki</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03</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James W. Bagley</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Robert L. Bailey</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05</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Mercedes Johnson</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06</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Lawrence N. Mondry</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270"/>
        </w:trPr>
        <w:tc>
          <w:tcPr>
            <w:tcW w:w="160" w:type="dxa"/>
            <w:vAlign w:val="bottom"/>
          </w:tcPr>
          <w:p>
            <w:pPr>
              <w:spacing w:after="0"/>
              <w:rPr>
                <w:sz w:val="20"/>
                <w:szCs w:val="20"/>
                <w:color w:val="auto"/>
              </w:rPr>
            </w:pPr>
            <w:r>
              <w:rPr>
                <w:rFonts w:ascii="Arial" w:cs="Arial" w:eastAsia="Arial" w:hAnsi="Arial"/>
                <w:sz w:val="13"/>
                <w:szCs w:val="13"/>
                <w:color w:val="auto"/>
                <w:w w:val="96"/>
              </w:rPr>
              <w:t>07</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Robert E. Switz</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388"/>
        </w:trPr>
        <w:tc>
          <w:tcPr>
            <w:tcW w:w="3920" w:type="dxa"/>
            <w:vAlign w:val="bottom"/>
            <w:gridSpan w:val="3"/>
          </w:tcPr>
          <w:p>
            <w:pPr>
              <w:spacing w:after="0"/>
              <w:rPr>
                <w:sz w:val="20"/>
                <w:szCs w:val="20"/>
                <w:color w:val="auto"/>
              </w:rPr>
            </w:pPr>
            <w:r>
              <w:rPr>
                <w:rFonts w:ascii="Arial" w:cs="Arial" w:eastAsia="Arial" w:hAnsi="Arial"/>
                <w:sz w:val="13"/>
                <w:szCs w:val="13"/>
                <w:color w:val="auto"/>
              </w:rPr>
              <w:t>2.  To approve an amendment to the Company’s 2007 Equity</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135"/>
        </w:trPr>
        <w:tc>
          <w:tcPr>
            <w:tcW w:w="160" w:type="dxa"/>
            <w:vAlign w:val="bottom"/>
          </w:tcPr>
          <w:p>
            <w:pPr>
              <w:spacing w:after="0"/>
              <w:rPr>
                <w:sz w:val="11"/>
                <w:szCs w:val="11"/>
                <w:color w:val="auto"/>
              </w:rPr>
            </w:pPr>
          </w:p>
        </w:tc>
        <w:tc>
          <w:tcPr>
            <w:tcW w:w="37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Incentive Plan to</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37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9"/>
              </w:rPr>
              <w:t>increase the number of shares reserved for issuance thereunder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2"/>
        </w:trPr>
        <w:tc>
          <w:tcPr>
            <w:tcW w:w="160" w:type="dxa"/>
            <w:vAlign w:val="bottom"/>
          </w:tcPr>
          <w:p>
            <w:pPr>
              <w:spacing w:after="0"/>
              <w:rPr>
                <w:sz w:val="13"/>
                <w:szCs w:val="13"/>
                <w:color w:val="auto"/>
              </w:rPr>
            </w:pPr>
          </w:p>
        </w:tc>
        <w:tc>
          <w:tcPr>
            <w:tcW w:w="3760" w:type="dxa"/>
            <w:vAlign w:val="bottom"/>
            <w:gridSpan w:val="2"/>
          </w:tcPr>
          <w:p>
            <w:pPr>
              <w:ind w:left="60"/>
              <w:spacing w:after="0"/>
              <w:rPr>
                <w:sz w:val="20"/>
                <w:szCs w:val="20"/>
                <w:color w:val="auto"/>
              </w:rPr>
            </w:pPr>
            <w:r>
              <w:rPr>
                <w:rFonts w:ascii="Arial" w:cs="Arial" w:eastAsia="Arial" w:hAnsi="Arial"/>
                <w:sz w:val="13"/>
                <w:szCs w:val="13"/>
                <w:color w:val="auto"/>
              </w:rPr>
              <w:t>by 20,000,000</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53"/>
        </w:trPr>
        <w:tc>
          <w:tcPr>
            <w:tcW w:w="3920" w:type="dxa"/>
            <w:vAlign w:val="bottom"/>
            <w:gridSpan w:val="3"/>
          </w:tcPr>
          <w:p>
            <w:pPr>
              <w:spacing w:after="0"/>
              <w:rPr>
                <w:sz w:val="20"/>
                <w:szCs w:val="20"/>
                <w:color w:val="auto"/>
              </w:rPr>
            </w:pPr>
            <w:r>
              <w:rPr>
                <w:rFonts w:ascii="Arial" w:cs="Arial" w:eastAsia="Arial" w:hAnsi="Arial"/>
                <w:sz w:val="13"/>
                <w:szCs w:val="13"/>
                <w:color w:val="auto"/>
                <w:w w:val="99"/>
              </w:rPr>
              <w:t>3.  To ratify the appointment of PricewaterhouseCoopers LLP as the</w:t>
            </w: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40" w:type="dxa"/>
            <w:vAlign w:val="bottom"/>
          </w:tcPr>
          <w:p>
            <w:pPr>
              <w:ind w:left="240"/>
              <w:spacing w:after="0"/>
              <w:rPr>
                <w:sz w:val="20"/>
                <w:szCs w:val="20"/>
                <w:color w:val="auto"/>
              </w:rPr>
            </w:pPr>
            <w:r>
              <w:rPr>
                <w:rFonts w:ascii="Arial" w:cs="Arial" w:eastAsia="Arial" w:hAnsi="Arial"/>
                <w:sz w:val="13"/>
                <w:szCs w:val="13"/>
                <w:color w:val="auto"/>
              </w:rPr>
              <w:t>o</w:t>
            </w:r>
          </w:p>
        </w:tc>
        <w:tc>
          <w:tcPr>
            <w:tcW w:w="260" w:type="dxa"/>
            <w:vAlign w:val="bottom"/>
          </w:tcPr>
          <w:p>
            <w:pPr>
              <w:spacing w:after="0"/>
              <w:rPr>
                <w:sz w:val="20"/>
                <w:szCs w:val="20"/>
                <w:color w:val="auto"/>
              </w:rPr>
            </w:pPr>
            <w:r>
              <w:rPr>
                <w:rFonts w:ascii="Arial" w:cs="Arial" w:eastAsia="Arial" w:hAnsi="Arial"/>
                <w:sz w:val="13"/>
                <w:szCs w:val="13"/>
                <w:color w:val="auto"/>
              </w:rPr>
              <w:t>o</w:t>
            </w:r>
          </w:p>
        </w:tc>
      </w:tr>
      <w:tr>
        <w:trPr>
          <w:trHeight w:val="135"/>
        </w:trPr>
        <w:tc>
          <w:tcPr>
            <w:tcW w:w="160" w:type="dxa"/>
            <w:vAlign w:val="bottom"/>
          </w:tcPr>
          <w:p>
            <w:pPr>
              <w:spacing w:after="0"/>
              <w:rPr>
                <w:sz w:val="11"/>
                <w:szCs w:val="11"/>
                <w:color w:val="auto"/>
              </w:rPr>
            </w:pPr>
          </w:p>
        </w:tc>
        <w:tc>
          <w:tcPr>
            <w:tcW w:w="37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9"/>
              </w:rPr>
              <w:t>Independent Registered Public Accounting Firm of the Company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320" w:type="dxa"/>
            <w:vAlign w:val="bottom"/>
          </w:tcPr>
          <w:p>
            <w:pPr>
              <w:ind w:left="60"/>
              <w:spacing w:after="0" w:line="135" w:lineRule="exact"/>
              <w:rPr>
                <w:sz w:val="20"/>
                <w:szCs w:val="20"/>
                <w:color w:val="auto"/>
              </w:rPr>
            </w:pPr>
            <w:r>
              <w:rPr>
                <w:rFonts w:ascii="Arial" w:cs="Arial" w:eastAsia="Arial" w:hAnsi="Arial"/>
                <w:sz w:val="13"/>
                <w:szCs w:val="13"/>
                <w:color w:val="auto"/>
              </w:rPr>
              <w:t>for</w:t>
            </w:r>
          </w:p>
        </w:tc>
        <w:tc>
          <w:tcPr>
            <w:tcW w:w="3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2"/>
        </w:trPr>
        <w:tc>
          <w:tcPr>
            <w:tcW w:w="160" w:type="dxa"/>
            <w:vAlign w:val="bottom"/>
          </w:tcPr>
          <w:p>
            <w:pPr>
              <w:spacing w:after="0"/>
              <w:rPr>
                <w:sz w:val="13"/>
                <w:szCs w:val="13"/>
                <w:color w:val="auto"/>
              </w:rPr>
            </w:pPr>
          </w:p>
        </w:tc>
        <w:tc>
          <w:tcPr>
            <w:tcW w:w="3760" w:type="dxa"/>
            <w:vAlign w:val="bottom"/>
            <w:gridSpan w:val="2"/>
          </w:tcPr>
          <w:p>
            <w:pPr>
              <w:ind w:left="60"/>
              <w:spacing w:after="0"/>
              <w:rPr>
                <w:sz w:val="20"/>
                <w:szCs w:val="20"/>
                <w:color w:val="auto"/>
              </w:rPr>
            </w:pPr>
            <w:r>
              <w:rPr>
                <w:rFonts w:ascii="Arial" w:cs="Arial" w:eastAsia="Arial" w:hAnsi="Arial"/>
                <w:sz w:val="13"/>
                <w:szCs w:val="13"/>
                <w:color w:val="auto"/>
              </w:rPr>
              <w:t>the fiscal year ending September 1, 2011</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r>
    </w:tbl>
    <w:p>
      <w:pPr>
        <w:spacing w:after="0" w:line="124" w:lineRule="exact"/>
        <w:rPr>
          <w:sz w:val="20"/>
          <w:szCs w:val="20"/>
          <w:color w:val="auto"/>
        </w:rPr>
      </w:pPr>
    </w:p>
    <w:p>
      <w:pPr>
        <w:jc w:val="center"/>
        <w:ind w:left="20" w:right="160"/>
        <w:spacing w:after="0" w:line="254" w:lineRule="auto"/>
        <w:rPr>
          <w:sz w:val="20"/>
          <w:szCs w:val="20"/>
          <w:color w:val="auto"/>
        </w:rPr>
      </w:pPr>
      <w:r>
        <w:rPr>
          <w:sz w:val="1"/>
          <w:szCs w:val="1"/>
          <w:color w:val="auto"/>
        </w:rPr>
        <w:drawing>
          <wp:inline distT="0" distB="0" distL="0" distR="0">
            <wp:extent cx="85725" cy="1028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4"/>
          <w:szCs w:val="14"/>
          <w:color w:val="auto"/>
        </w:rPr>
        <w:t xml:space="preserve"> Please separate carefully at the perforation and return just this portion in the envelope provided. </w:t>
      </w:r>
      <w:r>
        <w:rPr>
          <w:sz w:val="1"/>
          <w:szCs w:val="1"/>
          <w:color w:val="auto"/>
        </w:rPr>
        <w:drawing>
          <wp:inline distT="0" distB="0" distL="0" distR="0">
            <wp:extent cx="85725" cy="1028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right="1720"/>
        <w:spacing w:after="0" w:line="285" w:lineRule="auto"/>
        <w:rPr>
          <w:sz w:val="20"/>
          <w:szCs w:val="20"/>
          <w:color w:val="auto"/>
        </w:rPr>
      </w:pPr>
      <w:r>
        <w:rPr>
          <w:rFonts w:ascii="Arial" w:cs="Arial" w:eastAsia="Arial" w:hAnsi="Arial"/>
          <w:sz w:val="14"/>
          <w:szCs w:val="14"/>
          <w:b w:val="1"/>
          <w:bCs w:val="1"/>
          <w:color w:val="auto"/>
        </w:rPr>
        <w:t>Authorized Signatures - This section must be completed for your instructions to be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20574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-233680</wp:posOffset>
            </wp:positionV>
            <wp:extent cx="20574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43"/>
        </w:trPr>
        <w:tc>
          <w:tcPr>
            <w:tcW w:w="2540" w:type="dxa"/>
            <w:vAlign w:val="bottom"/>
            <w:tcBorders>
              <w:top w:val="single" w:sz="8" w:color="auto"/>
            </w:tcBorders>
          </w:tcPr>
          <w:p>
            <w:pPr>
              <w:ind w:left="840"/>
              <w:spacing w:after="0"/>
              <w:rPr>
                <w:sz w:val="20"/>
                <w:szCs w:val="20"/>
                <w:color w:val="auto"/>
              </w:rPr>
            </w:pPr>
            <w:r>
              <w:rPr>
                <w:rFonts w:ascii="Arial" w:cs="Arial" w:eastAsia="Arial" w:hAnsi="Arial"/>
                <w:sz w:val="11"/>
                <w:szCs w:val="11"/>
                <w:color w:val="auto"/>
              </w:rPr>
              <w:t>Please Sign Here</w:t>
            </w:r>
          </w:p>
        </w:tc>
        <w:tc>
          <w:tcPr>
            <w:tcW w:w="280" w:type="dxa"/>
            <w:vAlign w:val="bottom"/>
          </w:tcPr>
          <w:p>
            <w:pPr>
              <w:spacing w:after="0"/>
              <w:rPr>
                <w:sz w:val="12"/>
                <w:szCs w:val="12"/>
                <w:color w:val="auto"/>
              </w:rPr>
            </w:pPr>
          </w:p>
        </w:tc>
        <w:tc>
          <w:tcPr>
            <w:tcW w:w="1980" w:type="dxa"/>
            <w:vAlign w:val="bottom"/>
            <w:tcBorders>
              <w:top w:val="single" w:sz="8" w:color="auto"/>
            </w:tcBorders>
          </w:tcPr>
          <w:p>
            <w:pPr>
              <w:ind w:left="520"/>
              <w:spacing w:after="0"/>
              <w:rPr>
                <w:sz w:val="20"/>
                <w:szCs w:val="20"/>
                <w:color w:val="auto"/>
              </w:rPr>
            </w:pPr>
            <w:r>
              <w:rPr>
                <w:rFonts w:ascii="Arial" w:cs="Arial" w:eastAsia="Arial" w:hAnsi="Arial"/>
                <w:sz w:val="11"/>
                <w:szCs w:val="11"/>
                <w:color w:val="auto"/>
              </w:rPr>
              <w:t>Please Date Above</w:t>
            </w:r>
          </w:p>
        </w:tc>
      </w:tr>
      <w:tr>
        <w:trPr>
          <w:trHeight w:val="235"/>
        </w:trPr>
        <w:tc>
          <w:tcPr>
            <w:tcW w:w="2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r>
        <w:trPr>
          <w:trHeight w:val="123"/>
        </w:trPr>
        <w:tc>
          <w:tcPr>
            <w:tcW w:w="2540" w:type="dxa"/>
            <w:vAlign w:val="bottom"/>
          </w:tcPr>
          <w:p>
            <w:pPr>
              <w:ind w:left="840"/>
              <w:spacing w:after="0" w:line="123" w:lineRule="exact"/>
              <w:rPr>
                <w:sz w:val="20"/>
                <w:szCs w:val="20"/>
                <w:color w:val="auto"/>
              </w:rPr>
            </w:pPr>
            <w:r>
              <w:rPr>
                <w:rFonts w:ascii="Arial" w:cs="Arial" w:eastAsia="Arial" w:hAnsi="Arial"/>
                <w:sz w:val="11"/>
                <w:szCs w:val="11"/>
                <w:color w:val="auto"/>
              </w:rPr>
              <w:t>Please Sign Here</w:t>
            </w:r>
          </w:p>
        </w:tc>
        <w:tc>
          <w:tcPr>
            <w:tcW w:w="280" w:type="dxa"/>
            <w:vAlign w:val="bottom"/>
          </w:tcPr>
          <w:p>
            <w:pPr>
              <w:spacing w:after="0"/>
              <w:rPr>
                <w:sz w:val="10"/>
                <w:szCs w:val="10"/>
                <w:color w:val="auto"/>
              </w:rPr>
            </w:pPr>
          </w:p>
        </w:tc>
        <w:tc>
          <w:tcPr>
            <w:tcW w:w="1980" w:type="dxa"/>
            <w:vAlign w:val="bottom"/>
          </w:tcPr>
          <w:p>
            <w:pPr>
              <w:ind w:left="520"/>
              <w:spacing w:after="0" w:line="123" w:lineRule="exact"/>
              <w:rPr>
                <w:sz w:val="20"/>
                <w:szCs w:val="20"/>
                <w:color w:val="auto"/>
              </w:rPr>
            </w:pPr>
            <w:r>
              <w:rPr>
                <w:rFonts w:ascii="Arial" w:cs="Arial" w:eastAsia="Arial" w:hAnsi="Arial"/>
                <w:sz w:val="11"/>
                <w:szCs w:val="11"/>
                <w:color w:val="auto"/>
              </w:rPr>
              <w:t>Please Date Above</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Annual Meeting of Shareholders of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-585470</wp:posOffset>
            </wp:positionV>
            <wp:extent cx="1423670" cy="403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3670" cy="403225"/>
                    </a:xfrm>
                    <a:prstGeom prst="rect">
                      <a:avLst/>
                    </a:prstGeom>
                    <a:noFill/>
                  </pic:spPr>
                </pic:pic>
              </a:graphicData>
            </a:graphic>
          </wp:anchor>
        </w:drawing>
      </w:r>
    </w:p>
    <w:p>
      <w:pPr>
        <w:jc w:val="center"/>
        <w:ind w:left="-19" w:right="880"/>
        <w:spacing w:after="0" w:line="235" w:lineRule="auto"/>
        <w:rPr>
          <w:sz w:val="20"/>
          <w:szCs w:val="20"/>
          <w:color w:val="auto"/>
        </w:rPr>
      </w:pPr>
      <w:r>
        <w:rPr>
          <w:rFonts w:ascii="Arial" w:cs="Arial" w:eastAsia="Arial" w:hAnsi="Arial"/>
          <w:sz w:val="22"/>
          <w:szCs w:val="22"/>
          <w:b w:val="1"/>
          <w:bCs w:val="1"/>
          <w:color w:val="auto"/>
        </w:rPr>
        <w:t>Technology, Inc. to be held Thursday, December 16, 2010 For Holders as of October 18, 2010</w:t>
      </w:r>
    </w:p>
    <w:p>
      <w:pPr>
        <w:spacing w:after="0" w:line="153" w:lineRule="exact"/>
        <w:rPr>
          <w:sz w:val="20"/>
          <w:szCs w:val="20"/>
          <w:color w:val="auto"/>
        </w:rPr>
      </w:pPr>
    </w:p>
    <w:p>
      <w:pPr>
        <w:ind w:left="860"/>
        <w:spacing w:after="0"/>
        <w:rPr>
          <w:sz w:val="20"/>
          <w:szCs w:val="20"/>
          <w:color w:val="auto"/>
        </w:rPr>
      </w:pPr>
      <w:r>
        <w:rPr>
          <w:sz w:val="1"/>
          <w:szCs w:val="1"/>
          <w:color w:val="auto"/>
        </w:rPr>
        <w:drawing>
          <wp:inline distT="0" distB="0" distL="0" distR="0">
            <wp:extent cx="248920"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8920" cy="240030"/>
                    </a:xfrm>
                    <a:prstGeom prst="rect">
                      <a:avLst/>
                    </a:prstGeom>
                    <a:noFill/>
                    <a:ln>
                      <a:noFill/>
                    </a:ln>
                  </pic:spPr>
                </pic:pic>
              </a:graphicData>
            </a:graphic>
          </wp:inline>
        </w:drawing>
      </w:r>
      <w:r>
        <w:rPr>
          <w:rFonts w:ascii="Arial" w:cs="Arial" w:eastAsia="Arial" w:hAnsi="Arial"/>
          <w:sz w:val="20"/>
          <w:szCs w:val="20"/>
          <w:b w:val="1"/>
          <w:bCs w:val="1"/>
          <w:u w:val="single" w:color="auto"/>
          <w:color w:val="auto"/>
        </w:rPr>
        <w:t xml:space="preserve">INTERNET            </w:t>
      </w:r>
      <w:r>
        <w:rPr>
          <w:sz w:val="1"/>
          <w:szCs w:val="1"/>
          <w:color w:val="auto"/>
        </w:rPr>
        <w:drawing>
          <wp:inline distT="0" distB="0" distL="0" distR="0">
            <wp:extent cx="257175" cy="19748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197485"/>
                    </a:xfrm>
                    <a:prstGeom prst="rect">
                      <a:avLst/>
                    </a:prstGeom>
                    <a:noFill/>
                    <a:ln>
                      <a:noFill/>
                    </a:ln>
                  </pic:spPr>
                </pic:pic>
              </a:graphicData>
            </a:graphic>
          </wp:inline>
        </w:drawing>
      </w:r>
      <w:r>
        <w:rPr>
          <w:rFonts w:ascii="Arial" w:cs="Arial" w:eastAsia="Arial" w:hAnsi="Arial"/>
          <w:sz w:val="20"/>
          <w:szCs w:val="20"/>
          <w:b w:val="1"/>
          <w:bCs w:val="1"/>
          <w:u w:val="single" w:color="auto"/>
          <w:color w:val="auto"/>
        </w:rPr>
        <w:t>TELEPHONE</w:t>
      </w:r>
    </w:p>
    <w:p>
      <w:pPr>
        <w:ind w:left="3740"/>
        <w:spacing w:after="0"/>
        <w:rPr>
          <w:sz w:val="20"/>
          <w:szCs w:val="20"/>
          <w:color w:val="auto"/>
        </w:rPr>
      </w:pPr>
      <w:r>
        <w:rPr>
          <w:rFonts w:ascii="Arial" w:cs="Arial" w:eastAsia="Arial" w:hAnsi="Arial"/>
          <w:sz w:val="18"/>
          <w:szCs w:val="18"/>
          <w:b w:val="1"/>
          <w:bCs w:val="1"/>
          <w:color w:val="auto"/>
        </w:rPr>
        <w:t>1-866-586-3108</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Go To</w:t>
      </w:r>
    </w:p>
    <w:p>
      <w:pPr>
        <w:spacing w:after="0" w:line="238" w:lineRule="auto"/>
        <w:rPr>
          <w:sz w:val="20"/>
          <w:szCs w:val="20"/>
          <w:color w:val="auto"/>
        </w:rPr>
      </w:pPr>
      <w:r>
        <w:rPr>
          <w:rFonts w:ascii="Arial" w:cs="Arial" w:eastAsia="Arial" w:hAnsi="Arial"/>
          <w:sz w:val="18"/>
          <w:szCs w:val="18"/>
          <w:b w:val="1"/>
          <w:bCs w:val="1"/>
          <w:color w:val="auto"/>
        </w:rPr>
        <w:t>www.proxypush.com/mu</w:t>
      </w:r>
    </w:p>
    <w:p>
      <w:pPr>
        <w:spacing w:after="0"/>
        <w:tabs>
          <w:tab w:leader="none" w:pos="2720" w:val="left"/>
        </w:tabs>
        <w:rPr>
          <w:sz w:val="20"/>
          <w:szCs w:val="20"/>
          <w:color w:val="auto"/>
        </w:rPr>
      </w:pPr>
      <w:r>
        <w:rPr>
          <w:rFonts w:ascii="Arial" w:cs="Arial" w:eastAsia="Arial" w:hAnsi="Arial"/>
          <w:sz w:val="16"/>
          <w:szCs w:val="16"/>
          <w:color w:val="auto"/>
        </w:rPr>
        <w:t>· Cast your vote online.</w:t>
      </w:r>
      <w:r>
        <w:rPr>
          <w:sz w:val="20"/>
          <w:szCs w:val="20"/>
          <w:color w:val="auto"/>
        </w:rPr>
        <w:tab/>
      </w:r>
      <w:r>
        <w:rPr>
          <w:rFonts w:ascii="Arial" w:cs="Arial" w:eastAsia="Arial" w:hAnsi="Arial"/>
          <w:sz w:val="16"/>
          <w:szCs w:val="16"/>
          <w:color w:val="auto"/>
        </w:rPr>
        <w:t>· Use any touch-tone telephone.</w:t>
      </w:r>
    </w:p>
    <w:p>
      <w:pPr>
        <w:spacing w:after="0" w:line="6" w:lineRule="exact"/>
        <w:rPr>
          <w:sz w:val="20"/>
          <w:szCs w:val="20"/>
          <w:color w:val="auto"/>
        </w:rPr>
      </w:pPr>
    </w:p>
    <w:p>
      <w:pPr>
        <w:ind w:left="2220"/>
        <w:spacing w:after="0"/>
        <w:tabs>
          <w:tab w:leader="none" w:pos="2720" w:val="left"/>
        </w:tabs>
        <w:rPr>
          <w:sz w:val="20"/>
          <w:szCs w:val="20"/>
          <w:color w:val="auto"/>
        </w:rPr>
      </w:pPr>
      <w:r>
        <w:rPr>
          <w:rFonts w:ascii="Arial" w:cs="Arial" w:eastAsia="Arial" w:hAnsi="Arial"/>
          <w:sz w:val="18"/>
          <w:szCs w:val="18"/>
          <w:b w:val="1"/>
          <w:bCs w:val="1"/>
          <w:color w:val="auto"/>
        </w:rPr>
        <w:t>OR</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b w:val="1"/>
          <w:bCs w:val="1"/>
          <w:color w:val="auto"/>
        </w:rPr>
        <w:t>Have your Proxy Card ready.</w:t>
      </w:r>
    </w:p>
    <w:p>
      <w:pPr>
        <w:spacing w:after="0" w:line="8"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w w:val="99"/>
              </w:rPr>
              <w:t>· Follow the simple recorded</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gridSpan w:val="2"/>
          </w:tcPr>
          <w:p>
            <w:pPr>
              <w:ind w:left="140"/>
              <w:spacing w:after="0"/>
              <w:rPr>
                <w:sz w:val="20"/>
                <w:szCs w:val="20"/>
                <w:color w:val="auto"/>
              </w:rPr>
            </w:pPr>
            <w:r>
              <w:rPr>
                <w:rFonts w:ascii="Arial" w:cs="Arial" w:eastAsia="Arial" w:hAnsi="Arial"/>
                <w:sz w:val="16"/>
                <w:szCs w:val="16"/>
                <w:color w:val="auto"/>
              </w:rPr>
              <w:t>instructions.</w:t>
            </w:r>
          </w:p>
        </w:tc>
        <w:tc>
          <w:tcPr>
            <w:tcW w:w="0" w:type="dxa"/>
            <w:vAlign w:val="bottom"/>
          </w:tcPr>
          <w:p>
            <w:pPr>
              <w:spacing w:after="0"/>
              <w:rPr>
                <w:sz w:val="1"/>
                <w:szCs w:val="1"/>
                <w:color w:val="auto"/>
              </w:rPr>
            </w:pPr>
          </w:p>
        </w:tc>
      </w:tr>
      <w:tr>
        <w:trPr>
          <w:trHeight w:val="465"/>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20"/>
                <w:szCs w:val="20"/>
                <w:b w:val="1"/>
                <w:bCs w:val="1"/>
                <w:color w:val="auto"/>
              </w:rPr>
              <w:t>MAIL</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rPr>
              <w:t>OR</w:t>
            </w:r>
          </w:p>
        </w:tc>
        <w:tc>
          <w:tcPr>
            <w:tcW w:w="3440" w:type="dxa"/>
            <w:vAlign w:val="bottom"/>
            <w:gridSpan w:val="4"/>
          </w:tcPr>
          <w:p>
            <w:pPr>
              <w:ind w:left="240"/>
              <w:spacing w:after="0"/>
              <w:rPr>
                <w:sz w:val="20"/>
                <w:szCs w:val="20"/>
                <w:color w:val="auto"/>
              </w:rPr>
            </w:pPr>
            <w:r>
              <w:rPr>
                <w:rFonts w:ascii="Arial" w:cs="Arial" w:eastAsia="Arial" w:hAnsi="Arial"/>
                <w:sz w:val="16"/>
                <w:szCs w:val="16"/>
                <w:color w:val="auto"/>
              </w:rPr>
              <w:t>· Mark, sign and date your Proxy Card.</w:t>
            </w:r>
          </w:p>
        </w:tc>
        <w:tc>
          <w:tcPr>
            <w:tcW w:w="0" w:type="dxa"/>
            <w:vAlign w:val="bottom"/>
          </w:tcPr>
          <w:p>
            <w:pPr>
              <w:spacing w:after="0"/>
              <w:rPr>
                <w:sz w:val="1"/>
                <w:szCs w:val="1"/>
                <w:color w:val="auto"/>
              </w:rPr>
            </w:pPr>
          </w:p>
        </w:tc>
      </w:tr>
      <w:tr>
        <w:trPr>
          <w:trHeight w:val="118"/>
        </w:trPr>
        <w:tc>
          <w:tcPr>
            <w:tcW w:w="500" w:type="dxa"/>
            <w:vAlign w:val="bottom"/>
            <w:vMerge w:val="continue"/>
          </w:tcPr>
          <w:p>
            <w:pPr>
              <w:spacing w:after="0"/>
              <w:rPr>
                <w:sz w:val="10"/>
                <w:szCs w:val="10"/>
                <w:color w:val="auto"/>
              </w:rPr>
            </w:pPr>
          </w:p>
        </w:tc>
        <w:tc>
          <w:tcPr>
            <w:tcW w:w="32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3120" w:type="dxa"/>
            <w:vAlign w:val="bottom"/>
            <w:gridSpan w:val="3"/>
            <w:vMerge w:val="restart"/>
          </w:tcPr>
          <w:p>
            <w:pPr>
              <w:ind w:left="40"/>
              <w:spacing w:after="0"/>
              <w:rPr>
                <w:sz w:val="20"/>
                <w:szCs w:val="20"/>
                <w:color w:val="auto"/>
              </w:rPr>
            </w:pPr>
            <w:r>
              <w:rPr>
                <w:rFonts w:ascii="Arial" w:cs="Arial" w:eastAsia="Arial" w:hAnsi="Arial"/>
                <w:sz w:val="16"/>
                <w:szCs w:val="16"/>
                <w:color w:val="auto"/>
              </w:rPr>
              <w:t>Detach your Proxy Card.</w:t>
            </w:r>
          </w:p>
        </w:tc>
        <w:tc>
          <w:tcPr>
            <w:tcW w:w="0" w:type="dxa"/>
            <w:vAlign w:val="bottom"/>
          </w:tcPr>
          <w:p>
            <w:pPr>
              <w:spacing w:after="0"/>
              <w:rPr>
                <w:sz w:val="1"/>
                <w:szCs w:val="1"/>
                <w:color w:val="auto"/>
              </w:rPr>
            </w:pPr>
          </w:p>
        </w:tc>
      </w:tr>
      <w:tr>
        <w:trPr>
          <w:trHeight w:val="89"/>
        </w:trPr>
        <w:tc>
          <w:tcPr>
            <w:tcW w:w="5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3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-629920</wp:posOffset>
            </wp:positionV>
            <wp:extent cx="257175" cy="2489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ind w:left="1680" w:right="540" w:hanging="107"/>
        <w:spacing w:after="0" w:line="270" w:lineRule="auto"/>
        <w:rPr>
          <w:sz w:val="20"/>
          <w:szCs w:val="20"/>
          <w:color w:val="auto"/>
        </w:rPr>
      </w:pPr>
      <w:r>
        <w:rPr>
          <w:rFonts w:ascii="Arial" w:cs="Arial" w:eastAsia="Arial" w:hAnsi="Arial"/>
          <w:sz w:val="16"/>
          <w:szCs w:val="16"/>
          <w:color w:val="auto"/>
        </w:rPr>
        <w:t>· Return your Proxy Card in the postage-paid envelope provided.</w:t>
      </w:r>
    </w:p>
    <w:p>
      <w:pPr>
        <w:spacing w:after="0" w:line="148" w:lineRule="exact"/>
        <w:rPr>
          <w:sz w:val="20"/>
          <w:szCs w:val="20"/>
          <w:color w:val="auto"/>
        </w:rPr>
      </w:pPr>
    </w:p>
    <w:p>
      <w:pPr>
        <w:jc w:val="center"/>
        <w:ind w:left="-19"/>
        <w:spacing w:after="0" w:line="275" w:lineRule="auto"/>
        <w:rPr>
          <w:sz w:val="20"/>
          <w:szCs w:val="20"/>
          <w:color w:val="auto"/>
        </w:rPr>
      </w:pPr>
      <w:r>
        <w:rPr>
          <w:rFonts w:ascii="Arial" w:cs="Arial" w:eastAsia="Arial" w:hAnsi="Arial"/>
          <w:sz w:val="21"/>
          <w:szCs w:val="21"/>
          <w:b w:val="1"/>
          <w:bCs w:val="1"/>
          <w:color w:val="auto"/>
        </w:rPr>
        <w:t>All votes must be received by 11:59 pm, Eastern Time, December 15, 2010.</w:t>
      </w:r>
    </w:p>
    <w:p>
      <w:pPr>
        <w:spacing w:after="0" w:line="142"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PROXY TABULATOR FOR</w:t>
      </w:r>
    </w:p>
    <w:p>
      <w:pPr>
        <w:spacing w:after="0" w:line="25"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808080"/>
        </w:rPr>
        <w:t>MICRON TECHNOLOGY, INC.</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808080"/>
        </w:rPr>
        <w:t>P.O. BOX 8016</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808080"/>
        </w:rPr>
        <w:t>CARY, NC 27512-9903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241935</wp:posOffset>
            </wp:positionV>
            <wp:extent cx="857885" cy="377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885" cy="37719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739775</wp:posOffset>
            </wp:positionV>
            <wp:extent cx="17145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739775</wp:posOffset>
            </wp:positionV>
            <wp:extent cx="17145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405130</wp:posOffset>
            </wp:positionV>
            <wp:extent cx="17145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146050"/>
                    </a:xfrm>
                    <a:prstGeom prst="rect">
                      <a:avLst/>
                    </a:prstGeom>
                    <a:noFill/>
                  </pic:spPr>
                </pic:pic>
              </a:graphicData>
            </a:graphic>
          </wp:anchor>
        </w:drawing>
        <w:drawing>
          <wp:anchor simplePos="0" relativeHeight="251657728" behindDoc="1" locked="0" layoutInCell="0" allowOverlap="1">
            <wp:simplePos x="0" y="0"/>
            <wp:positionH relativeFrom="column">
              <wp:posOffset>1071245</wp:posOffset>
            </wp:positionH>
            <wp:positionV relativeFrom="paragraph">
              <wp:posOffset>405130</wp:posOffset>
            </wp:positionV>
            <wp:extent cx="17145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Copyright © 2010 Mediant Communications LLC. All Rights Reserved</w:t>
      </w:r>
    </w:p>
    <w:p>
      <w:pPr>
        <w:spacing w:after="0" w:line="200" w:lineRule="exact"/>
        <w:rPr>
          <w:sz w:val="20"/>
          <w:szCs w:val="20"/>
          <w:color w:val="auto"/>
        </w:rPr>
      </w:pPr>
    </w:p>
    <w:p>
      <w:pPr>
        <w:sectPr>
          <w:pgSz w:w="11900" w:h="16838" w:orient="portrait"/>
          <w:cols w:equalWidth="0" w:num="2">
            <w:col w:w="5360" w:space="700"/>
            <w:col w:w="5340"/>
          </w:cols>
          <w:pgMar w:left="240" w:top="809" w:right="259"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0007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0075" cy="205740"/>
                    </a:xfrm>
                    <a:prstGeom prst="rect">
                      <a:avLst/>
                    </a:prstGeom>
                    <a:noFill/>
                  </pic:spPr>
                </pic:pic>
              </a:graphicData>
            </a:graphic>
          </wp:anchor>
        </w:drawing>
      </w:r>
    </w:p>
    <w:p>
      <w:pPr>
        <w:spacing w:after="0" w:line="348"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Revocable Proxy – Micron Technology, Inc.</w:t>
      </w:r>
    </w:p>
    <w:p>
      <w:pPr>
        <w:spacing w:after="0" w:line="265" w:lineRule="exact"/>
        <w:rPr>
          <w:sz w:val="20"/>
          <w:szCs w:val="20"/>
          <w:color w:val="auto"/>
        </w:rPr>
      </w:pPr>
    </w:p>
    <w:p>
      <w:pPr>
        <w:jc w:val="both"/>
        <w:ind w:right="4560" w:firstLine="648"/>
        <w:spacing w:after="0" w:line="234" w:lineRule="auto"/>
        <w:rPr>
          <w:sz w:val="20"/>
          <w:szCs w:val="20"/>
          <w:color w:val="auto"/>
        </w:rPr>
      </w:pPr>
      <w:r>
        <w:rPr>
          <w:rFonts w:ascii="Arial" w:cs="Arial" w:eastAsia="Arial" w:hAnsi="Arial"/>
          <w:sz w:val="18"/>
          <w:szCs w:val="18"/>
          <w:color w:val="auto"/>
        </w:rPr>
        <w:t>On matters set forth on the opposite side, the undersigned shareholder(s) of Micron Technology, Inc., a Delaware corporation, hereby acknowledge(s) receipt of the Notice of 2010 Annual Meeting of Shareholders and Proxy Statement, each dated November 5, 2010, and hereby appoints Steven R. Appleton and D. Mark Durcan, and each of them, proxies and attorneys-in-fact, with full power to each of substitution, on behalf and in the name of the undersigned, to represent the undersigned at the 2010 Annual Meeting of Shareholders of Micron Technology, Inc., to be held December 16, 2010, at 9:00 a.m., Mountain Standard Time, at the</w:t>
      </w:r>
    </w:p>
    <w:p>
      <w:pPr>
        <w:spacing w:after="0" w:line="6" w:lineRule="exact"/>
        <w:rPr>
          <w:sz w:val="20"/>
          <w:szCs w:val="20"/>
          <w:color w:val="auto"/>
        </w:rPr>
      </w:pPr>
    </w:p>
    <w:p>
      <w:pPr>
        <w:jc w:val="both"/>
        <w:ind w:right="4560"/>
        <w:spacing w:after="0" w:line="238" w:lineRule="auto"/>
        <w:rPr>
          <w:sz w:val="20"/>
          <w:szCs w:val="20"/>
          <w:color w:val="auto"/>
        </w:rPr>
      </w:pPr>
      <w:r>
        <w:rPr>
          <w:rFonts w:ascii="Arial" w:cs="Arial" w:eastAsia="Arial" w:hAnsi="Arial"/>
          <w:sz w:val="18"/>
          <w:szCs w:val="18"/>
          <w:b w:val="1"/>
          <w:bCs w:val="1"/>
          <w:color w:val="auto"/>
        </w:rPr>
        <w:t xml:space="preserve">Company’s headquarters located at 8000 South Federal Way, Boise, Idaho 83716-9632, </w:t>
      </w:r>
      <w:r>
        <w:rPr>
          <w:rFonts w:ascii="Arial" w:cs="Arial" w:eastAsia="Arial" w:hAnsi="Arial"/>
          <w:sz w:val="18"/>
          <w:szCs w:val="18"/>
          <w:color w:val="auto"/>
        </w:rPr>
        <w:t>and at any adjournment or adjournments thereof, and to vote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cumulatively, if required) all shares of Common Stock which the undersigned would be entitled to vote if then and there personally present, on the matters set forth on the opposite side.</w:t>
      </w:r>
    </w:p>
    <w:p>
      <w:pPr>
        <w:spacing w:after="0" w:line="189" w:lineRule="exact"/>
        <w:rPr>
          <w:sz w:val="20"/>
          <w:szCs w:val="20"/>
          <w:color w:val="auto"/>
        </w:rPr>
      </w:pPr>
    </w:p>
    <w:p>
      <w:pPr>
        <w:jc w:val="both"/>
        <w:ind w:right="4560"/>
        <w:spacing w:after="0" w:line="238" w:lineRule="auto"/>
        <w:rPr>
          <w:sz w:val="20"/>
          <w:szCs w:val="20"/>
          <w:color w:val="auto"/>
        </w:rPr>
      </w:pPr>
      <w:r>
        <w:rPr>
          <w:rFonts w:ascii="Arial" w:cs="Arial" w:eastAsia="Arial" w:hAnsi="Arial"/>
          <w:sz w:val="18"/>
          <w:szCs w:val="18"/>
          <w:color w:val="auto"/>
        </w:rPr>
        <w:t xml:space="preserve">And in their discretion, upon such other matter or matters which may properly come before the meeting or any adjournment or adjournments thereof. The shares represented by this proxy when properly executed will be voted in the manner directed herein by the undersigned shareholder(s). </w:t>
      </w:r>
      <w:r>
        <w:rPr>
          <w:rFonts w:ascii="Arial" w:cs="Arial" w:eastAsia="Arial" w:hAnsi="Arial"/>
          <w:sz w:val="18"/>
          <w:szCs w:val="18"/>
          <w:b w:val="1"/>
          <w:bCs w:val="1"/>
          <w:color w:val="auto"/>
        </w:rPr>
        <w:t>If no direction is made,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proxy will be voted FOR Proposals 1, 2, and 3. </w:t>
      </w:r>
      <w:r>
        <w:rPr>
          <w:rFonts w:ascii="Arial" w:cs="Arial" w:eastAsia="Arial" w:hAnsi="Arial"/>
          <w:sz w:val="18"/>
          <w:szCs w:val="18"/>
          <w:color w:val="auto"/>
        </w:rPr>
        <w:t>If any other matters properly come</w:t>
      </w:r>
    </w:p>
    <w:p>
      <w:pPr>
        <w:sectPr>
          <w:pgSz w:w="11900" w:h="16838" w:orient="portrait"/>
          <w:cols w:equalWidth="0" w:num="1">
            <w:col w:w="11400"/>
          </w:cols>
          <w:pgMar w:left="240" w:top="809" w:right="259" w:bottom="0" w:gutter="0" w:footer="0" w:header="0"/>
          <w:type w:val="continuous"/>
        </w:sectPr>
      </w:pPr>
    </w:p>
    <w:bookmarkStart w:id="70" w:name="page71"/>
    <w:bookmarkEnd w:id="70"/>
    <w:p>
      <w:pPr>
        <w:ind w:right="3379"/>
        <w:spacing w:after="0" w:line="245" w:lineRule="auto"/>
        <w:rPr>
          <w:sz w:val="20"/>
          <w:szCs w:val="20"/>
          <w:color w:val="auto"/>
        </w:rPr>
      </w:pPr>
      <w:r>
        <w:rPr>
          <w:rFonts w:ascii="Arial" w:cs="Arial" w:eastAsia="Arial" w:hAnsi="Arial"/>
          <w:sz w:val="18"/>
          <w:szCs w:val="18"/>
          <w:color w:val="auto"/>
        </w:rPr>
        <w:t>before the meeting, or if cumulative voting is required, the persons named in this proxy will vote in their discretion.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PROXY TABULATOR FOR</w:t>
      </w:r>
    </w:p>
    <w:p>
      <w:pPr>
        <w:spacing w:after="0" w:line="234" w:lineRule="auto"/>
        <w:rPr>
          <w:sz w:val="20"/>
          <w:szCs w:val="20"/>
          <w:color w:val="auto"/>
        </w:rPr>
      </w:pPr>
      <w:r>
        <w:rPr>
          <w:rFonts w:ascii="Arial" w:cs="Arial" w:eastAsia="Arial" w:hAnsi="Arial"/>
          <w:sz w:val="18"/>
          <w:szCs w:val="18"/>
          <w:color w:val="auto"/>
        </w:rPr>
        <w:t>MICRON TECHNOLOGY, INC.</w:t>
      </w:r>
    </w:p>
    <w:p>
      <w:pPr>
        <w:spacing w:after="0" w:line="235" w:lineRule="auto"/>
        <w:rPr>
          <w:sz w:val="20"/>
          <w:szCs w:val="20"/>
          <w:color w:val="auto"/>
        </w:rPr>
      </w:pPr>
      <w:r>
        <w:rPr>
          <w:rFonts w:ascii="Arial" w:cs="Arial" w:eastAsia="Arial" w:hAnsi="Arial"/>
          <w:sz w:val="18"/>
          <w:szCs w:val="18"/>
          <w:color w:val="auto"/>
        </w:rPr>
        <w:t>P.O. Box 8016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CARY, NC 27512-9903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2010 Annual Meeting of Shareholders December 16, 2010</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INFORMATION CONCERNING SOLICITATION AND VOTING</w:t>
        </w:r>
      </w:hyperlink>
    </w:p>
    <w:p>
      <w:pPr>
        <w:spacing w:after="0" w:line="225" w:lineRule="exact"/>
        <w:rPr>
          <w:sz w:val="20"/>
          <w:szCs w:val="20"/>
          <w:color w:val="auto"/>
        </w:rPr>
      </w:pPr>
    </w:p>
    <w:p>
      <w:pPr>
        <w:jc w:val="center"/>
        <w:ind w:right="6859"/>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PROPOSAL 1—ELECTION OF DIRECTORS</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CORPORATE GOVERNANCE</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COMPENSATION OF DIRECTORS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PRINCIPAL SHAREHOLDERS</w:t>
        </w:r>
      </w:hyperlink>
    </w:p>
    <w:p>
      <w:pPr>
        <w:spacing w:after="0" w:line="15" w:lineRule="exact"/>
        <w:rPr>
          <w:sz w:val="20"/>
          <w:szCs w:val="20"/>
          <w:color w:val="auto"/>
        </w:rPr>
      </w:pPr>
    </w:p>
    <w:p>
      <w:pPr>
        <w:ind w:left="54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EXECUTIVE COMPENSATION AND RELATED INFORMATION COMPENSATION DISCUSSION AND ANALYSIS</w:t>
        </w:r>
      </w:hyperlink>
    </w:p>
    <w:p>
      <w:pPr>
        <w:spacing w:after="0" w:line="242"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COMPENSATION COMMITTEE REPORT</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FISCAL 2010 SUMMARY COMPENSATION TABLE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GRANTS OF PLAN-BASED AWARDS IN FISCAL 2010</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OUTSTANDING EQUITY AWARDS AT 2010 FISCAL YEAR-END</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OPTION EXERCISES AND STOCK VESTED IN FISCAL 2010</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POTENTIAL PAYMENTS UPON TERMINATION OR CHANGE-IN-CONTROL</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EQUITY COMPENSATION PLAN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16(A) BENEFICIAL OWNERSHIP REPORTING COMPLIANCE</w:t>
        </w:r>
      </w:hyperlink>
    </w:p>
    <w:p>
      <w:pPr>
        <w:spacing w:after="0" w:line="219" w:lineRule="exact"/>
        <w:rPr>
          <w:sz w:val="20"/>
          <w:szCs w:val="20"/>
          <w:color w:val="auto"/>
        </w:rPr>
      </w:pPr>
    </w:p>
    <w:p>
      <w:pPr>
        <w:ind w:right="3119"/>
        <w:spacing w:after="0" w:line="268"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PROPOSAL 2—APPROVAL OF AN AMENDMENT TO THE 2007 EQUITY INCENTIVE PLAN</w:t>
        </w:r>
      </w:hyperlink>
      <w:r>
        <w:rPr>
          <w:rFonts w:ascii="Arial" w:cs="Arial" w:eastAsia="Arial" w:hAnsi="Arial"/>
          <w:sz w:val="18"/>
          <w:szCs w:val="18"/>
          <w:u w:val="single" w:color="auto"/>
          <w:color w:val="0000EE"/>
        </w:rPr>
        <w:t xml:space="preserve"> </w:t>
      </w:r>
      <w:hyperlink w:anchor="page46">
        <w:r>
          <w:rPr>
            <w:rFonts w:ascii="Arial" w:cs="Arial" w:eastAsia="Arial" w:hAnsi="Arial"/>
            <w:sz w:val="18"/>
            <w:szCs w:val="18"/>
            <w:u w:val="single" w:color="auto"/>
            <w:color w:val="0000EE"/>
          </w:rPr>
          <w:t>PROPOSAL 3—RATIFICATION OF PRICEWATERHOUSECOOPERS LLP</w:t>
        </w:r>
      </w:hyperlink>
    </w:p>
    <w:p>
      <w:pPr>
        <w:spacing w:after="0" w:line="186" w:lineRule="exact"/>
        <w:rPr>
          <w:sz w:val="20"/>
          <w:szCs w:val="20"/>
          <w:color w:val="auto"/>
        </w:rPr>
      </w:pPr>
    </w:p>
    <w:p>
      <w:pPr>
        <w:ind w:left="540" w:right="4219"/>
        <w:spacing w:after="0" w:line="286"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NOTICE OF ELECTRONIC AVAILABILITY OF PROXY MATERIALS</w:t>
        </w:r>
      </w:hyperlink>
      <w:r>
        <w:rPr>
          <w:rFonts w:ascii="Arial" w:cs="Arial" w:eastAsia="Arial" w:hAnsi="Arial"/>
          <w:sz w:val="16"/>
          <w:szCs w:val="16"/>
          <w:u w:val="single" w:color="auto"/>
          <w:color w:val="0000EE"/>
        </w:rPr>
        <w:t xml:space="preserve"> </w:t>
      </w:r>
      <w:hyperlink w:anchor="page48">
        <w:r>
          <w:rPr>
            <w:rFonts w:ascii="Arial" w:cs="Arial" w:eastAsia="Arial" w:hAnsi="Arial"/>
            <w:sz w:val="16"/>
            <w:szCs w:val="16"/>
            <w:u w:val="single" w:color="auto"/>
            <w:color w:val="0000EE"/>
          </w:rPr>
          <w:t>HOUSEHOLDING OF PROXY STATEMENTS AND ANNUAL REPORTS</w:t>
        </w:r>
      </w:hyperlink>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DEADLINE FOR RECEIPT OF SHAREHOLDER PROPOSALS FOR 2011 ANNUAL MEETING</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APPENDIX A</w:t>
        </w:r>
      </w:hyperlink>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lvl w:ilvl="1">
      <w:lvlJc w:val="left"/>
      <w:lvlText w:val="(%2)"/>
      <w:numFmt w:val="decimal"/>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1)"/>
      <w:numFmt w:val="decimal"/>
      <w:start w:val="1"/>
    </w:lvl>
    <w:lvl w:ilvl="1">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4"/>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1)"/>
      <w:numFmt w:val="decimal"/>
      <w:start w:val="1"/>
    </w:lvl>
    <w:lvl w:ilvl="1">
      <w:lvlJc w:val="left"/>
      <w:lvlText w:val="•"/>
      <w:numFmt w:val="bullet"/>
      <w:start w:val="1"/>
    </w:lvl>
  </w:abstractNum>
  <w:abstractNum w:abstractNumId="22">
    <w:nsid w:val="79A1DEAA"/>
    <w:multiLevelType w:val="hybridMultilevel"/>
    <w:lvl w:ilvl="0">
      <w:lvlJc w:val="left"/>
      <w:lvlText w:val="(%1)"/>
      <w:numFmt w:val="decimal"/>
      <w:start w:val="6"/>
    </w:lvl>
  </w:abstractNum>
  <w:abstractNum w:abstractNumId="23">
    <w:nsid w:val="75C6C33A"/>
    <w:multiLevelType w:val="hybridMultilevel"/>
    <w:lvl w:ilvl="0">
      <w:lvlJc w:val="left"/>
      <w:lvlText w:val="(%1)"/>
      <w:numFmt w:val="decimal"/>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decimal"/>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2"/>
    </w:lvl>
    <w:lvl w:ilvl="3">
      <w:lvlJc w:val="left"/>
      <w:lvlText w:val="(%4)"/>
      <w:numFmt w:val="lowerLetter"/>
      <w:start w:val="3"/>
    </w:lvl>
    <w:lvl w:ilvl="4">
      <w:lvlJc w:val="left"/>
      <w:lvlText w:val="%5"/>
      <w:numFmt w:val="lowerLetter"/>
      <w:start w:val="1"/>
    </w:lvl>
  </w:abstractNum>
  <w:abstractNum w:abstractNumId="34">
    <w:nsid w:val="180115BE"/>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35">
    <w:nsid w:val="235BA86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36">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37">
    <w:nsid w:val="354FE9F9"/>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38">
    <w:nsid w:val="15B5AF5C"/>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9">
    <w:nsid w:val="741226B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40">
    <w:nsid w:val="D34B6A8"/>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1"/>
    </w:lvl>
  </w:abstractNum>
  <w:abstractNum w:abstractNumId="41">
    <w:nsid w:val="10233C99"/>
    <w:multiLevelType w:val="hybridMultilevel"/>
    <w:lvl w:ilvl="0">
      <w:lvlJc w:val="left"/>
      <w:lvlText w:val="(%1)"/>
      <w:numFmt w:val="lowerLetter"/>
      <w:start w:val="12"/>
    </w:lvl>
    <w:lvl w:ilvl="1">
      <w:lvlJc w:val="left"/>
      <w:lvlText w:val="(%2)"/>
      <w:numFmt w:val="lowerLetter"/>
      <w:start w:val="15"/>
    </w:lvl>
    <w:lvl w:ilvl="2">
      <w:lvlJc w:val="left"/>
      <w:lvlText w:val="(%3)"/>
      <w:numFmt w:val="lowerLetter"/>
      <w:start w:val="15"/>
    </w:lvl>
  </w:abstractNum>
  <w:abstractNum w:abstractNumId="42">
    <w:nsid w:val="3F6AB60F"/>
    <w:multiLevelType w:val="hybridMultilevel"/>
    <w:lvl w:ilvl="0">
      <w:lvlJc w:val="left"/>
      <w:lvlText w:val="(%1)"/>
      <w:numFmt w:val="lowerLetter"/>
      <w:start w:val="18"/>
    </w:lvl>
    <w:lvl w:ilvl="1">
      <w:lvlJc w:val="left"/>
      <w:lvlText w:val="(%2)"/>
      <w:numFmt w:val="lowerLetter"/>
      <w:start w:val="19"/>
    </w:lvl>
    <w:lvl w:ilvl="2">
      <w:lvlJc w:val="left"/>
      <w:lvlText w:val="(%3)"/>
      <w:numFmt w:val="lowerLetter"/>
      <w:start w:val="19"/>
    </w:lvl>
  </w:abstractNum>
  <w:abstractNum w:abstractNumId="43">
    <w:nsid w:val="61574095"/>
    <w:multiLevelType w:val="hybridMultilevel"/>
    <w:lvl w:ilvl="0">
      <w:lvlJc w:val="left"/>
      <w:lvlText w:val="(%1)"/>
      <w:numFmt w:val="lowerLetter"/>
      <w:start w:val="21"/>
    </w:lvl>
    <w:lvl w:ilvl="1">
      <w:lvlJc w:val="left"/>
      <w:lvlText w:val="(%2)"/>
      <w:numFmt w:val="lowerLetter"/>
      <w:start w:val="25"/>
    </w:lvl>
    <w:lvl w:ilvl="2">
      <w:lvlJc w:val="left"/>
      <w:lvlText w:val="(%3)"/>
      <w:numFmt w:val="lowerLetter"/>
      <w:start w:val="23"/>
    </w:lvl>
    <w:lvl w:ilvl="3">
      <w:lvlJc w:val="left"/>
      <w:lvlText w:val="(%4)"/>
      <w:numFmt w:val="lowerLetter"/>
      <w:start w:val="25"/>
    </w:lvl>
  </w:abstractNum>
  <w:abstractNum w:abstractNumId="44">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7"/>
    </w:lvl>
  </w:abstractNum>
  <w:abstractNum w:abstractNumId="45">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8"/>
    </w:lvl>
    <w:lvl w:ilvl="4">
      <w:lvlJc w:val="left"/>
      <w:lvlText w:val="%5"/>
      <w:numFmt w:val="lowerLetter"/>
      <w:start w:val="1"/>
    </w:lvl>
  </w:abstractNum>
  <w:abstractNum w:abstractNumId="46">
    <w:nsid w:val="579BE4F1"/>
    <w:multiLevelType w:val="hybridMultilevel"/>
    <w:lvl w:ilvl="0">
      <w:lvlJc w:val="left"/>
      <w:lvlText w:val="(%1)"/>
      <w:numFmt w:val="decimal"/>
      <w:start w:val="2"/>
    </w:lvl>
    <w:lvl w:ilvl="1">
      <w:lvlJc w:val="left"/>
      <w:lvlText w:val="(%2)"/>
      <w:numFmt w:val="lowerLetter"/>
      <w:start w:val="29"/>
    </w:lvl>
    <w:lvl w:ilvl="2">
      <w:lvlJc w:val="left"/>
      <w:lvlText w:val="(%3)"/>
      <w:numFmt w:val="lowerLetter"/>
      <w:start w:val="31"/>
    </w:lvl>
    <w:lvl w:ilvl="3">
      <w:lvlJc w:val="left"/>
      <w:lvlText w:val="(%4)"/>
      <w:numFmt w:val="lowerLetter"/>
      <w:start w:val="30"/>
    </w:lvl>
    <w:lvl w:ilvl="4">
      <w:lvlJc w:val="left"/>
      <w:lvlText w:val="(%5)"/>
      <w:numFmt w:val="lowerLetter"/>
      <w:start w:val="30"/>
    </w:lvl>
  </w:abstractNum>
  <w:abstractNum w:abstractNumId="47">
    <w:nsid w:val="310C50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3"/>
    </w:lvl>
    <w:lvl w:ilvl="5">
      <w:lvlJc w:val="left"/>
      <w:lvlText w:val="%6"/>
      <w:numFmt w:val="lowerLetter"/>
      <w:start w:val="1"/>
    </w:lvl>
  </w:abstractNum>
  <w:abstractNum w:abstractNumId="48">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4"/>
    </w:lvl>
    <w:lvl w:ilvl="4">
      <w:lvlJc w:val="left"/>
      <w:lvlText w:val="%5"/>
      <w:numFmt w:val="lowerLetter"/>
      <w:start w:val="1"/>
    </w:lvl>
    <w:lvl w:ilvl="5">
      <w:lvlJc w:val="left"/>
      <w:lvlText w:val="(%6)"/>
      <w:numFmt w:val="lowerLetter"/>
      <w:start w:val="36"/>
    </w:lvl>
  </w:abstractNum>
  <w:abstractNum w:abstractNumId="49">
    <w:nsid w:val="2F305DEF"/>
    <w:multiLevelType w:val="hybridMultilevel"/>
    <w:lvl w:ilvl="0">
      <w:lvlJc w:val="left"/>
      <w:lvlText w:val="%1"/>
      <w:numFmt w:val="lowerLetter"/>
      <w:start w:val="1"/>
    </w:lvl>
    <w:lvl w:ilvl="1">
      <w:lvlJc w:val="left"/>
      <w:lvlText w:val="(%2)"/>
      <w:numFmt w:val="lowerLetter"/>
      <w:start w:val="37"/>
    </w:lvl>
    <w:lvl w:ilvl="2">
      <w:lvlJc w:val="left"/>
      <w:lvlText w:val="(%3)"/>
      <w:numFmt w:val="lowerLetter"/>
      <w:start w:val="38"/>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50">
    <w:nsid w:val="25A70BF7"/>
    <w:multiLevelType w:val="hybridMultilevel"/>
    <w:lvl w:ilvl="0">
      <w:lvlJc w:val="left"/>
      <w:lvlText w:val="(%1)"/>
      <w:numFmt w:val="lowerLetter"/>
      <w:start w:val="39"/>
    </w:lvl>
    <w:lvl w:ilvl="1">
      <w:lvlJc w:val="left"/>
      <w:lvlText w:val="(%2)"/>
      <w:numFmt w:val="lowerLetter"/>
      <w:start w:val="40"/>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51">
    <w:nsid w:val="1DBABF00"/>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6"/>
    </w:lvl>
  </w:abstractNum>
  <w:abstractNum w:abstractNumId="52">
    <w:nsid w:val="4AD084E9"/>
    <w:multiLevelType w:val="hybridMultilevel"/>
    <w:lvl w:ilvl="0">
      <w:lvlJc w:val="left"/>
      <w:lvlText w:val="(%1)"/>
      <w:numFmt w:val="lowerLetter"/>
      <w:start w:val="8"/>
    </w:lvl>
  </w:abstractNum>
  <w:abstractNum w:abstractNumId="53">
    <w:nsid w:val="1F48EAA1"/>
    <w:multiLevelType w:val="hybridMultilevel"/>
    <w:lvl w:ilvl="0">
      <w:lvlJc w:val="left"/>
      <w:lvlText w:val="%1"/>
      <w:numFmt w:val="lowerLetter"/>
      <w:start w:val="1"/>
    </w:lvl>
    <w:lvl w:ilvl="1">
      <w:lvlJc w:val="left"/>
      <w:lvlText w:val="(%2)"/>
      <w:numFmt w:val="lowerLetter"/>
      <w:start w:val="11"/>
    </w:lvl>
  </w:abstractNum>
  <w:abstractNum w:abstractNumId="54">
    <w:nsid w:val="1381823A"/>
    <w:multiLevelType w:val="hybridMultilevel"/>
    <w:lvl w:ilvl="0">
      <w:lvlJc w:val="left"/>
      <w:lvlText w:val="(%1)"/>
      <w:numFmt w:val="lowerLetter"/>
      <w:start w:val="12"/>
    </w:lvl>
    <w:lvl w:ilvl="1">
      <w:lvlJc w:val="left"/>
      <w:lvlText w:val="%2"/>
      <w:numFmt w:val="lowerLetter"/>
      <w:start w:val="1"/>
    </w:lvl>
  </w:abstractNum>
  <w:abstractNum w:abstractNumId="55">
    <w:nsid w:val="5DB70AE5"/>
    <w:multiLevelType w:val="hybridMultilevel"/>
    <w:lvl w:ilvl="0">
      <w:lvlJc w:val="left"/>
      <w:lvlText w:val="(%1)"/>
      <w:numFmt w:val="lowerLetter"/>
      <w:start w:val="13"/>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8">
    <w:nsid w:val="15014AC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59">
    <w:nsid w:val="5F5E7FD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0">
    <w:nsid w:val="98A314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61">
    <w:nsid w:val="799D0247"/>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lvl w:ilvl="3">
      <w:lvlJc w:val="left"/>
      <w:lvlText w:val="(%4)"/>
      <w:numFmt w:val="lowerLetter"/>
      <w:start w:val="7"/>
    </w:lvl>
  </w:abstractNum>
  <w:abstractNum w:abstractNumId="62">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decimal"/>
      <w:start w:val="1"/>
    </w:lvl>
    <w:lvl w:ilvl="6">
      <w:lvlJc w:val="left"/>
      <w:lvlText w:val="(%7)"/>
      <w:numFmt w:val="decimal"/>
      <w:start w:val="2"/>
    </w:lvl>
  </w:abstractNum>
  <w:abstractNum w:abstractNumId="63">
    <w:nsid w:val="42C296BD"/>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lvl w:ilvl="3">
      <w:lvlJc w:val="left"/>
      <w:lvlText w:val="%4"/>
      <w:numFmt w:val="lowerLetter"/>
      <w:start w:val="1"/>
    </w:lvl>
    <w:lvl w:ilvl="4">
      <w:lvlJc w:val="left"/>
      <w:lvlText w:val="(%5)"/>
      <w:numFmt w:val="lowerLetter"/>
      <w:start w:val="5"/>
    </w:lvl>
    <w:lvl w:ilvl="5">
      <w:lvlJc w:val="left"/>
      <w:lvlText w:val="%6"/>
      <w:numFmt w:val="decimal"/>
      <w:start w:val="1"/>
    </w:lvl>
    <w:lvl w:ilvl="6">
      <w:lvlJc w:val="left"/>
      <w:lvlText w:val="%7"/>
      <w:numFmt w:val="decimal"/>
      <w:start w:val="1"/>
    </w:lvl>
  </w:abstractNum>
  <w:abstractNum w:abstractNumId="64">
    <w:nsid w:val="168E121F"/>
    <w:multiLevelType w:val="hybridMultilevel"/>
    <w:lvl w:ilvl="0">
      <w:lvlJc w:val="left"/>
      <w:lvlText w:val="(%1)"/>
      <w:numFmt w:val="lowerLetter"/>
      <w:start w:val="1"/>
    </w:lvl>
    <w:lvl w:ilvl="1">
      <w:lvlJc w:val="left"/>
      <w:lvlText w:val="(%2)"/>
      <w:numFmt w:val="lowerLetter"/>
      <w:start w:val="2"/>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67">
    <w:nsid w:val="5DC79EA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68">
    <w:nsid w:val="540A471C"/>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69">
    <w:nsid w:val="7BD3EE7B"/>
    <w:multiLevelType w:val="hybridMultilevel"/>
    <w:lvl w:ilvl="0">
      <w:lvlJc w:val="left"/>
      <w:lvlText w:val="%1"/>
      <w:numFmt w:val="lowerLetter"/>
      <w:start w:val="1"/>
    </w:lvl>
    <w:lvl w:ilvl="1">
      <w:lvlJc w:val="left"/>
      <w:lvlText w:val="(%2)"/>
      <w:numFmt w:val="lowerLetter"/>
      <w:start w:val="7"/>
    </w:lvl>
  </w:abstractNum>
  <w:abstractNum w:abstractNumId="70">
    <w:nsid w:val="51D9C564"/>
    <w:multiLevelType w:val="hybridMultilevel"/>
    <w:lvl w:ilvl="0">
      <w:lvlJc w:val="left"/>
      <w:lvlText w:val="(%1)"/>
      <w:numFmt w:val="lowerLetter"/>
      <w:start w:val="35"/>
    </w:lvl>
    <w:lvl w:ilvl="1">
      <w:lvlJc w:val="left"/>
      <w:lvlText w:val="%2"/>
      <w:numFmt w:val="lowerLetter"/>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lowerLetter"/>
      <w:start w:val="2"/>
    </w:lvl>
    <w:lvl w:ilvl="1">
      <w:lvlJc w:val="left"/>
      <w:lvlText w:val="(%2)"/>
      <w:numFmt w:val="lowerLetter"/>
      <w:start w:val="4"/>
    </w:lvl>
  </w:abstractNum>
  <w:abstractNum w:abstractNumId="73">
    <w:nsid w:val="11447B73"/>
    <w:multiLevelType w:val="hybridMultilevel"/>
    <w:lvl w:ilvl="0">
      <w:lvlJc w:val="left"/>
      <w:lvlText w:val="%1"/>
      <w:numFmt w:val="lowerLetter"/>
      <w:start w:val="1"/>
    </w:lvl>
    <w:lvl w:ilvl="1">
      <w:lvlJc w:val="left"/>
      <w:lvlText w:val="(%2)"/>
      <w:numFmt w:val="lowerLetter"/>
      <w:start w:val="1"/>
    </w:lvl>
  </w:abstractNum>
  <w:abstractNum w:abstractNumId="74">
    <w:nsid w:val="42963E5A"/>
    <w:multiLevelType w:val="hybridMultilevel"/>
    <w:lvl w:ilvl="0">
      <w:lvlJc w:val="left"/>
      <w:lvlText w:val="(%1)"/>
      <w:numFmt w:val="lowerLetter"/>
      <w:start w:val="35"/>
    </w:lvl>
    <w:lvl w:ilvl="1">
      <w:lvlJc w:val="left"/>
      <w:lvlText w:val="%2"/>
      <w:numFmt w:val="lowerLetter"/>
      <w:start w:val="1"/>
    </w:lvl>
  </w:abstractNum>
  <w:abstractNum w:abstractNumId="75">
    <w:nsid w:val="A0382C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76">
    <w:nsid w:val="8F2B15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77">
    <w:nsid w:val="1A32234B"/>
    <w:multiLevelType w:val="hybridMultilevel"/>
    <w:lvl w:ilvl="0">
      <w:lvlJc w:val="left"/>
      <w:lvlText w:val="(%1)"/>
      <w:numFmt w:val="lowerRoman"/>
      <w:start w:val="2"/>
    </w:lvl>
  </w:abstractNum>
  <w:abstractNum w:abstractNumId="78">
    <w:nsid w:val="3B0FD379"/>
    <w:multiLevelType w:val="hybridMultilevel"/>
    <w:lvl w:ilvl="0">
      <w:lvlJc w:val="left"/>
      <w:lvlText w:val="%1"/>
      <w:numFmt w:val="lowerLetter"/>
      <w:start w:val="1"/>
    </w:lvl>
    <w:lvl w:ilvl="1">
      <w:lvlJc w:val="left"/>
      <w:lvlText w:val="(%2)"/>
      <w:numFmt w:val="lowerLetter"/>
      <w:start w:val="1"/>
    </w:lvl>
  </w:abstractNum>
  <w:abstractNum w:abstractNumId="79">
    <w:nsid w:val="68EB2F63"/>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2019-12-10T05:30:55Z</dcterms:created>
  <dcterms:modified xsi:type="dcterms:W3CDTF">2019-12-10T05:30:55Z</dcterms:modified>
</cp:coreProperties>
</file>