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As filed with the Securities and Exchange Commission on May 5, 2021</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82550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210820</wp:posOffset>
            </wp:positionV>
            <wp:extent cx="150876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6040" w:type="dxa"/>
            <w:vAlign w:val="bottom"/>
          </w:tcPr>
          <w:p>
            <w:pPr>
              <w:jc w:val="center"/>
              <w:ind w:right="1312"/>
              <w:spacing w:after="0"/>
              <w:rPr>
                <w:sz w:val="20"/>
                <w:szCs w:val="20"/>
                <w:color w:val="auto"/>
              </w:rPr>
            </w:pPr>
            <w:r>
              <w:rPr>
                <w:rFonts w:ascii="Arial" w:cs="Arial" w:eastAsia="Arial" w:hAnsi="Arial"/>
                <w:sz w:val="18"/>
                <w:szCs w:val="18"/>
                <w:b w:val="1"/>
                <w:bCs w:val="1"/>
                <w:color w:val="auto"/>
              </w:rPr>
              <w:t>Delaware</w:t>
            </w:r>
          </w:p>
        </w:tc>
        <w:tc>
          <w:tcPr>
            <w:tcW w:w="40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75-1618004</w:t>
            </w:r>
          </w:p>
        </w:tc>
      </w:tr>
      <w:tr>
        <w:trPr>
          <w:trHeight w:val="220"/>
        </w:trPr>
        <w:tc>
          <w:tcPr>
            <w:tcW w:w="6040" w:type="dxa"/>
            <w:vAlign w:val="bottom"/>
          </w:tcPr>
          <w:p>
            <w:pPr>
              <w:jc w:val="center"/>
              <w:ind w:right="131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6040" w:type="dxa"/>
            <w:vAlign w:val="bottom"/>
          </w:tcPr>
          <w:p>
            <w:pPr>
              <w:jc w:val="center"/>
              <w:ind w:right="1312"/>
              <w:spacing w:after="0"/>
              <w:rPr>
                <w:sz w:val="20"/>
                <w:szCs w:val="20"/>
                <w:color w:val="auto"/>
              </w:rPr>
            </w:pPr>
            <w:r>
              <w:rPr>
                <w:rFonts w:ascii="Arial" w:cs="Arial" w:eastAsia="Arial" w:hAnsi="Arial"/>
                <w:sz w:val="16"/>
                <w:szCs w:val="16"/>
                <w:b w:val="1"/>
                <w:bCs w:val="1"/>
                <w:color w:val="auto"/>
              </w:rPr>
              <w:t>8000 S. Federal Way, Boise, Idaho</w:t>
            </w:r>
          </w:p>
        </w:tc>
        <w:tc>
          <w:tcPr>
            <w:tcW w:w="40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83716-9632</w:t>
            </w:r>
          </w:p>
        </w:tc>
      </w:tr>
      <w:tr>
        <w:trPr>
          <w:trHeight w:val="230"/>
        </w:trPr>
        <w:tc>
          <w:tcPr>
            <w:tcW w:w="6040" w:type="dxa"/>
            <w:vAlign w:val="bottom"/>
          </w:tcPr>
          <w:p>
            <w:pPr>
              <w:jc w:val="center"/>
              <w:ind w:right="1312"/>
              <w:spacing w:after="0"/>
              <w:rPr>
                <w:sz w:val="20"/>
                <w:szCs w:val="20"/>
                <w:color w:val="auto"/>
              </w:rPr>
            </w:pPr>
            <w:r>
              <w:rPr>
                <w:rFonts w:ascii="Arial" w:cs="Arial" w:eastAsia="Arial" w:hAnsi="Arial"/>
                <w:sz w:val="18"/>
                <w:szCs w:val="18"/>
                <w:color w:val="auto"/>
                <w:w w:val="99"/>
              </w:rPr>
              <w:t>(Address of principal executive offices)</w:t>
            </w: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231140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Amended and Restated 2007 Equity Incentive Plan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Deferred Compensation Plan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79375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Joel L. Poppen, Esq.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 Legal Affairs, General Counsel and Corporate Secretary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8000 South Federal Way, Boise, Idaho 83716-9632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(208) 368-4000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79375</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0" w:right="300"/>
        <w:spacing w:after="0" w:line="21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4"/>
        </w:trPr>
        <w:tc>
          <w:tcPr>
            <w:tcW w:w="2320" w:type="dxa"/>
            <w:vAlign w:val="bottom"/>
          </w:tcPr>
          <w:p>
            <w:pPr>
              <w:ind w:left="320"/>
              <w:spacing w:after="0"/>
              <w:rPr>
                <w:sz w:val="20"/>
                <w:szCs w:val="20"/>
                <w:color w:val="auto"/>
              </w:rPr>
            </w:pPr>
            <w:r>
              <w:rPr>
                <w:rFonts w:ascii="Arial" w:cs="Arial" w:eastAsia="Arial" w:hAnsi="Arial"/>
                <w:sz w:val="16"/>
                <w:szCs w:val="16"/>
                <w:color w:val="auto"/>
              </w:rPr>
              <w:t>Large Accelerated Filer</w:t>
            </w:r>
          </w:p>
        </w:tc>
        <w:tc>
          <w:tcPr>
            <w:tcW w:w="2280" w:type="dxa"/>
            <w:vAlign w:val="bottom"/>
          </w:tcPr>
          <w:p>
            <w:pPr>
              <w:jc w:val="center"/>
              <w:ind w:right="57"/>
              <w:spacing w:after="0"/>
              <w:rPr>
                <w:sz w:val="20"/>
                <w:szCs w:val="20"/>
                <w:color w:val="auto"/>
              </w:rPr>
            </w:pPr>
            <w:r>
              <w:rPr>
                <w:rFonts w:ascii="Arial" w:cs="Arial" w:eastAsia="Arial" w:hAnsi="Arial"/>
                <w:sz w:val="16"/>
                <w:szCs w:val="16"/>
                <w:color w:val="auto"/>
              </w:rPr>
              <w:t>Accelerated Filer</w:t>
            </w:r>
          </w:p>
        </w:tc>
        <w:tc>
          <w:tcPr>
            <w:tcW w:w="2120" w:type="dxa"/>
            <w:vAlign w:val="bottom"/>
          </w:tcPr>
          <w:p>
            <w:pPr>
              <w:ind w:left="260"/>
              <w:spacing w:after="0"/>
              <w:rPr>
                <w:sz w:val="20"/>
                <w:szCs w:val="20"/>
                <w:color w:val="auto"/>
              </w:rPr>
            </w:pPr>
            <w:r>
              <w:rPr>
                <w:rFonts w:ascii="Arial" w:cs="Arial" w:eastAsia="Arial" w:hAnsi="Arial"/>
                <w:sz w:val="16"/>
                <w:szCs w:val="16"/>
                <w:color w:val="auto"/>
              </w:rPr>
              <w:t>Non-Accelerated Filer</w:t>
            </w:r>
          </w:p>
        </w:tc>
        <w:tc>
          <w:tcPr>
            <w:tcW w:w="4520" w:type="dxa"/>
            <w:vAlign w:val="bottom"/>
            <w:gridSpan w:val="4"/>
          </w:tcPr>
          <w:p>
            <w:pPr>
              <w:jc w:val="right"/>
              <w:ind w:right="24"/>
              <w:spacing w:after="0"/>
              <w:rPr>
                <w:sz w:val="20"/>
                <w:szCs w:val="20"/>
                <w:color w:val="auto"/>
              </w:rPr>
            </w:pPr>
            <w:r>
              <w:rPr>
                <w:rFonts w:ascii="Arial" w:cs="Arial" w:eastAsia="Arial" w:hAnsi="Arial"/>
                <w:sz w:val="16"/>
                <w:szCs w:val="16"/>
                <w:color w:val="auto"/>
              </w:rPr>
              <w:t>Smaller Reporting Company   Emerging Growth Company</w:t>
            </w:r>
          </w:p>
        </w:tc>
        <w:tc>
          <w:tcPr>
            <w:tcW w:w="0" w:type="dxa"/>
            <w:vAlign w:val="bottom"/>
          </w:tcPr>
          <w:p>
            <w:pPr>
              <w:spacing w:after="0"/>
              <w:rPr>
                <w:sz w:val="1"/>
                <w:szCs w:val="1"/>
                <w:color w:val="auto"/>
              </w:rPr>
            </w:pPr>
          </w:p>
        </w:tc>
      </w:tr>
      <w:tr>
        <w:trPr>
          <w:trHeight w:val="276"/>
        </w:trPr>
        <w:tc>
          <w:tcPr>
            <w:tcW w:w="23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2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right"/>
              <w:ind w:right="404"/>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Pr>
          <w:p>
            <w:pPr>
              <w:spacing w:after="0"/>
              <w:rPr>
                <w:sz w:val="23"/>
                <w:szCs w:val="23"/>
                <w:color w:val="auto"/>
              </w:rPr>
            </w:pP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vMerge w:val="restart"/>
          </w:tcPr>
          <w:p>
            <w:pPr>
              <w:jc w:val="right"/>
              <w:ind w:right="124"/>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10240" w:type="dxa"/>
            <w:vAlign w:val="bottom"/>
            <w:gridSpan w:val="6"/>
          </w:tcPr>
          <w:p>
            <w:pPr>
              <w:ind w:left="40"/>
              <w:spacing w:after="0" w:line="176" w:lineRule="exact"/>
              <w:rPr>
                <w:sz w:val="20"/>
                <w:szCs w:val="20"/>
                <w:color w:val="auto"/>
              </w:rPr>
            </w:pPr>
            <w:r>
              <w:rPr>
                <w:rFonts w:ascii="Arial" w:cs="Arial" w:eastAsia="Arial" w:hAnsi="Arial"/>
                <w:sz w:val="18"/>
                <w:szCs w:val="18"/>
                <w:color w:val="auto"/>
                <w:w w:val="99"/>
              </w:rPr>
              <w:t>If an emerging growth company, indicate by check mark if the registrant has elected not to use the extended transition period for</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0" w:type="dxa"/>
            <w:vAlign w:val="bottom"/>
            <w:gridSpan w:val="5"/>
          </w:tcPr>
          <w:p>
            <w:pPr>
              <w:ind w:left="4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3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3"/>
          </w:tcPr>
          <w:p>
            <w:pPr>
              <w:jc w:val="right"/>
              <w:ind w:right="1084"/>
              <w:spacing w:after="0"/>
              <w:rPr>
                <w:sz w:val="20"/>
                <w:szCs w:val="20"/>
                <w:color w:val="auto"/>
              </w:rPr>
            </w:pPr>
            <w:r>
              <w:rPr>
                <w:rFonts w:ascii="Arial" w:cs="Arial" w:eastAsia="Arial" w:hAnsi="Arial"/>
                <w:sz w:val="18"/>
                <w:szCs w:val="18"/>
                <w:b w:val="1"/>
                <w:bCs w:val="1"/>
                <w:color w:val="auto"/>
              </w:rPr>
              <w:t>CALCULATION OF REGISTRATION FEE</w:t>
            </w:r>
          </w:p>
        </w:tc>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2280" w:type="dxa"/>
            <w:vAlign w:val="bottom"/>
            <w:vMerge w:val="restart"/>
          </w:tcPr>
          <w:p>
            <w:pPr>
              <w:jc w:val="center"/>
              <w:ind w:right="1697"/>
              <w:spacing w:after="0"/>
              <w:rPr>
                <w:sz w:val="20"/>
                <w:szCs w:val="20"/>
                <w:color w:val="auto"/>
              </w:rPr>
            </w:pPr>
            <w:r>
              <w:rPr>
                <w:rFonts w:ascii="Arial" w:cs="Arial" w:eastAsia="Arial" w:hAnsi="Arial"/>
                <w:sz w:val="14"/>
                <w:szCs w:val="14"/>
                <w:b w:val="1"/>
                <w:bCs w:val="1"/>
                <w:color w:val="auto"/>
              </w:rPr>
              <w:t>Title of</w:t>
            </w:r>
          </w:p>
        </w:tc>
        <w:tc>
          <w:tcPr>
            <w:tcW w:w="21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Amount to be</w:t>
            </w: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Proposed maximum</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Proposed maximum</w:t>
            </w:r>
          </w:p>
        </w:tc>
        <w:tc>
          <w:tcPr>
            <w:tcW w:w="240" w:type="dxa"/>
            <w:vAlign w:val="bottom"/>
          </w:tcPr>
          <w:p>
            <w:pPr>
              <w:spacing w:after="0"/>
              <w:rPr>
                <w:sz w:val="12"/>
                <w:szCs w:val="12"/>
                <w:color w:val="auto"/>
              </w:rPr>
            </w:pPr>
          </w:p>
        </w:tc>
        <w:tc>
          <w:tcPr>
            <w:tcW w:w="10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aggregate offering price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aggregate offering</w:t>
            </w: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00" w:type="dxa"/>
            <w:vAlign w:val="bottom"/>
            <w:tcBorders>
              <w:bottom w:val="single" w:sz="8" w:color="auto"/>
            </w:tcBorders>
            <w:gridSpan w:val="2"/>
          </w:tcPr>
          <w:p>
            <w:pPr>
              <w:jc w:val="center"/>
              <w:ind w:left="460"/>
              <w:spacing w:after="0"/>
              <w:rPr>
                <w:sz w:val="20"/>
                <w:szCs w:val="20"/>
                <w:color w:val="auto"/>
              </w:rPr>
            </w:pPr>
            <w:r>
              <w:rPr>
                <w:rFonts w:ascii="Arial" w:cs="Arial" w:eastAsia="Arial" w:hAnsi="Arial"/>
                <w:sz w:val="14"/>
                <w:szCs w:val="14"/>
                <w:b w:val="1"/>
                <w:bCs w:val="1"/>
                <w:color w:val="auto"/>
              </w:rPr>
              <w:t>securities to be registered</w:t>
            </w:r>
          </w:p>
        </w:tc>
        <w:tc>
          <w:tcPr>
            <w:tcW w:w="21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registered</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12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67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Common Stock, $0.10 par value per share, to be issued pursuant to the Micron</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$83.735</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$2,930,725,000</w:t>
            </w:r>
            <w:r>
              <w:rPr>
                <w:rFonts w:ascii="Arial" w:cs="Arial" w:eastAsia="Arial" w:hAnsi="Arial"/>
                <w:sz w:val="18"/>
                <w:szCs w:val="18"/>
                <w:b w:val="1"/>
                <w:bCs w:val="1"/>
                <w:color w:val="auto"/>
                <w:vertAlign w:val="superscript"/>
              </w:rPr>
              <w:t>(2)</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$319,742</w:t>
            </w:r>
          </w:p>
        </w:tc>
        <w:tc>
          <w:tcPr>
            <w:tcW w:w="0" w:type="dxa"/>
            <w:vAlign w:val="bottom"/>
          </w:tcPr>
          <w:p>
            <w:pPr>
              <w:spacing w:after="0"/>
              <w:rPr>
                <w:sz w:val="1"/>
                <w:szCs w:val="1"/>
                <w:color w:val="auto"/>
              </w:rPr>
            </w:pPr>
          </w:p>
        </w:tc>
      </w:tr>
      <w:tr>
        <w:trPr>
          <w:trHeight w:val="221"/>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Technology, Inc. Amended and Restated 2007 Equity Incentive Plan</w:t>
            </w:r>
          </w:p>
        </w:tc>
        <w:tc>
          <w:tcPr>
            <w:tcW w:w="2120" w:type="dxa"/>
            <w:vAlign w:val="bottom"/>
          </w:tcPr>
          <w:p>
            <w:pPr>
              <w:jc w:val="right"/>
              <w:spacing w:after="0"/>
              <w:rPr>
                <w:sz w:val="20"/>
                <w:szCs w:val="20"/>
                <w:color w:val="auto"/>
              </w:rPr>
            </w:pPr>
            <w:r>
              <w:rPr>
                <w:rFonts w:ascii="Arial" w:cs="Arial" w:eastAsia="Arial" w:hAnsi="Arial"/>
                <w:sz w:val="14"/>
                <w:szCs w:val="14"/>
                <w:color w:val="auto"/>
              </w:rPr>
              <w:t>35,000,000</w:t>
            </w:r>
            <w:r>
              <w:rPr>
                <w:rFonts w:ascii="Arial" w:cs="Arial" w:eastAsia="Arial" w:hAnsi="Arial"/>
                <w:sz w:val="18"/>
                <w:szCs w:val="18"/>
                <w:b w:val="1"/>
                <w:bCs w:val="1"/>
                <w:color w:val="auto"/>
                <w:vertAlign w:val="superscript"/>
              </w:rPr>
              <w:t>(1)</w:t>
            </w:r>
          </w:p>
        </w:tc>
        <w:tc>
          <w:tcPr>
            <w:tcW w:w="17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Compensation Obligations</w:t>
            </w:r>
          </w:p>
        </w:tc>
        <w:tc>
          <w:tcPr>
            <w:tcW w:w="2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$65,000,000</w:t>
            </w:r>
            <w:r>
              <w:rPr>
                <w:rFonts w:ascii="Arial" w:cs="Arial" w:eastAsia="Arial" w:hAnsi="Arial"/>
                <w:sz w:val="18"/>
                <w:szCs w:val="18"/>
                <w:b w:val="1"/>
                <w:bCs w:val="1"/>
                <w:color w:val="auto"/>
                <w:vertAlign w:val="superscript"/>
              </w:rPr>
              <w:t>(3)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$65,000,000</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$7,092</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4"/>
          <w:szCs w:val="24"/>
          <w:color w:val="auto"/>
        </w:rPr>
      </w:pPr>
    </w:p>
    <w:p>
      <w:pPr>
        <w:jc w:val="both"/>
        <w:ind w:left="340" w:right="40" w:hanging="332"/>
        <w:spacing w:after="0" w:line="249" w:lineRule="auto"/>
        <w:tabs>
          <w:tab w:leader="none" w:pos="35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to the extent additional shares of the Registrant’s Common Stock may be issued or issuable as a result of a stock split, stock dividend, or other distribution declared at any time by the Board of Directors of the Registrant while this Registration Statement is in effect, this Registration Statement is hereby declared to cover all of such additional Common Stock.</w:t>
      </w:r>
    </w:p>
    <w:p>
      <w:pPr>
        <w:sectPr>
          <w:pgSz w:w="11900" w:h="16838" w:orient="portrait"/>
          <w:cols w:equalWidth="0" w:num="1">
            <w:col w:w="11240"/>
          </w:cols>
          <w:pgMar w:left="320" w:top="1057" w:right="339" w:bottom="1440" w:gutter="0" w:footer="0" w:header="0"/>
        </w:sectPr>
      </w:pPr>
    </w:p>
    <w:bookmarkStart w:id="1" w:name="page2"/>
    <w:bookmarkEnd w:id="1"/>
    <w:p>
      <w:pPr>
        <w:ind w:left="332" w:hanging="332"/>
        <w:spacing w:after="0" w:line="241" w:lineRule="auto"/>
        <w:tabs>
          <w:tab w:leader="none" w:pos="344"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 of calculating the registration fee on the basis of $83.735 per share, which is the average of the high and low price of the Registrant’s Common Stock as reported on the Nasdaq Global Select Market on May 4, 2021.</w:t>
      </w:r>
    </w:p>
    <w:p>
      <w:pPr>
        <w:ind w:left="332" w:right="60" w:hanging="332"/>
        <w:spacing w:after="0" w:line="241" w:lineRule="auto"/>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deferred compensation obligations are unsecured obligations of the Registrant to pay deferred compensation in the future in accordance with the terms of the Micron Technology, Inc. Deferred Compensation Plan (the “Deferred Compensation Plan”).</w:t>
      </w:r>
    </w:p>
    <w:p>
      <w:pPr>
        <w:ind w:left="332" w:right="40" w:hanging="332"/>
        <w:spacing w:after="0" w:line="258" w:lineRule="auto"/>
        <w:tabs>
          <w:tab w:leader="none" w:pos="344"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 457(h) under the Securities Act, solely for the purpose of calculating the registration fee based on an estimate of the amount of eligible compensation participants may defer under the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54" w:right="4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9"/>
          <w:szCs w:val="29"/>
          <w:b w:val="1"/>
          <w:bCs w:val="1"/>
          <w:color w:val="auto"/>
        </w:rPr>
        <w:t>EXPLANATORY NOTE</w:t>
      </w:r>
    </w:p>
    <w:p>
      <w:pPr>
        <w:spacing w:after="0" w:line="2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Registration Statement on Form S-8 is filed by Micron Technology, Inc. (the “Company” or the “Registrant”) to register (i) 35,000,000 shares of the Company’s common stock, $0.10 par value per share, to be issued pursuant to the Micron Technology, Inc. Amended and Restated 2007 Equity Incentive Plan, as approved by the Company’s shareholders at the Fiscal 2020 Annual Meeting of Shareholders of the Company held on January 14, 2021, and (ii) $65,000,000 of deferred compensation obligations (the “Obligations”) of the Company arising under the Micron Technology, Inc. Deferred Compensation Plan, as amended effective January 1, 2021 (the “Plan”).</w:t>
      </w: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INFORMATION REQUIRED IN THE SECTION 10(a) PROSPECTUS</w:t>
      </w:r>
    </w:p>
    <w:p>
      <w:pPr>
        <w:spacing w:after="0" w:line="2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set forth in the Note to Part I of Form S-8, the documents containing the information specified in Part I of Form S-8 are not required to be filed with the Securities and Exchange Commission (the “Commission”) either as part of this Registration Statement or as a prospectus or prospectus supplement pursuant to Rule 424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INFORMATION REQUIRED IN THE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INCORPORATION OF DOCUMENTS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the Company with the Commission are incorporated by reference in this Registration Statement:</w:t>
      </w:r>
    </w:p>
    <w:p>
      <w:pPr>
        <w:spacing w:after="0" w:line="252" w:lineRule="exact"/>
        <w:rPr>
          <w:sz w:val="20"/>
          <w:szCs w:val="20"/>
          <w:color w:val="auto"/>
        </w:rPr>
      </w:pPr>
    </w:p>
    <w:p>
      <w:pPr>
        <w:ind w:left="1300" w:right="160" w:hanging="644"/>
        <w:spacing w:after="0" w:line="256" w:lineRule="auto"/>
        <w:tabs>
          <w:tab w:leader="none" w:pos="106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Company’s </w:t>
      </w:r>
      <w:hyperlink r:id="rId17">
        <w:r>
          <w:rPr>
            <w:rFonts w:ascii="Arial" w:cs="Arial" w:eastAsia="Arial" w:hAnsi="Arial"/>
            <w:sz w:val="18"/>
            <w:szCs w:val="18"/>
            <w:u w:val="single" w:color="auto"/>
            <w:color w:val="0000FF"/>
          </w:rPr>
          <w:t>Annual Report on Form 10-K for the fiscal year ended September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“Annual Report”) filed with the Commission pursuant to Section 13(a) of the Securities Exchange Act of 1934, as amended (the “Exchange Act”) (File No. 1-10658), on October 19, 2020.</w:t>
      </w:r>
    </w:p>
    <w:p>
      <w:pPr>
        <w:spacing w:after="0" w:line="228" w:lineRule="exact"/>
        <w:rPr>
          <w:rFonts w:ascii="Arial" w:cs="Arial" w:eastAsia="Arial" w:hAnsi="Arial"/>
          <w:sz w:val="18"/>
          <w:szCs w:val="18"/>
          <w:color w:val="auto"/>
        </w:rPr>
      </w:pPr>
    </w:p>
    <w:p>
      <w:pPr>
        <w:ind w:left="1300" w:right="360" w:hanging="644"/>
        <w:spacing w:after="0" w:line="261" w:lineRule="auto"/>
        <w:tabs>
          <w:tab w:leader="none" w:pos="106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Annual Report.</w:t>
      </w:r>
    </w:p>
    <w:p>
      <w:pPr>
        <w:spacing w:after="0" w:line="224" w:lineRule="exact"/>
        <w:rPr>
          <w:rFonts w:ascii="Arial" w:cs="Arial" w:eastAsia="Arial" w:hAnsi="Arial"/>
          <w:sz w:val="18"/>
          <w:szCs w:val="18"/>
          <w:color w:val="auto"/>
        </w:rPr>
      </w:pPr>
    </w:p>
    <w:p>
      <w:pPr>
        <w:ind w:left="1300" w:right="280" w:hanging="644"/>
        <w:spacing w:after="0" w:line="256" w:lineRule="auto"/>
        <w:tabs>
          <w:tab w:leader="none" w:pos="1059" w:val="left"/>
        </w:tabs>
        <w:numPr>
          <w:ilvl w:val="0"/>
          <w:numId w:val="3"/>
        </w:numPr>
        <w:rPr>
          <w:rFonts w:ascii="Arial" w:cs="Arial" w:eastAsia="Arial" w:hAnsi="Arial"/>
          <w:sz w:val="18"/>
          <w:szCs w:val="18"/>
          <w:color w:val="0000FF"/>
        </w:rPr>
      </w:pPr>
      <w:r>
        <w:rPr>
          <w:rFonts w:ascii="Arial" w:cs="Arial" w:eastAsia="Arial" w:hAnsi="Arial"/>
          <w:sz w:val="18"/>
          <w:szCs w:val="18"/>
          <w:color w:val="auto"/>
        </w:rPr>
        <w:t xml:space="preserve">The description of the Company’s common stock, par value $0.10 per share, contained in the Company’s </w:t>
      </w:r>
      <w:hyperlink r:id="rId18">
        <w:r>
          <w:rPr>
            <w:rFonts w:ascii="Arial" w:cs="Arial" w:eastAsia="Arial" w:hAnsi="Arial"/>
            <w:sz w:val="18"/>
            <w:szCs w:val="18"/>
            <w:u w:val="single" w:color="auto"/>
            <w:color w:val="0000FF"/>
          </w:rPr>
          <w:t>Registration</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Statement on Form 8-A</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with the Commission on December 21, 2009, including any subsequently filed amendments</w:t>
      </w:r>
      <w:r>
        <w:rPr>
          <w:rFonts w:ascii="Arial" w:cs="Arial" w:eastAsia="Arial" w:hAnsi="Arial"/>
          <w:sz w:val="18"/>
          <w:szCs w:val="18"/>
          <w:color w:val="0000FF"/>
        </w:rPr>
        <w:t xml:space="preserve"> </w:t>
      </w:r>
      <w:r>
        <w:rPr>
          <w:rFonts w:ascii="Arial" w:cs="Arial" w:eastAsia="Arial" w:hAnsi="Arial"/>
          <w:sz w:val="18"/>
          <w:szCs w:val="18"/>
          <w:color w:val="000000"/>
        </w:rPr>
        <w:t>and reports updating such description.</w:t>
      </w:r>
    </w:p>
    <w:p>
      <w:pPr>
        <w:spacing w:after="0" w:line="229" w:lineRule="exact"/>
        <w:rPr>
          <w:rFonts w:ascii="Arial" w:cs="Arial" w:eastAsia="Arial" w:hAnsi="Arial"/>
          <w:sz w:val="18"/>
          <w:szCs w:val="18"/>
          <w:color w:val="auto"/>
        </w:rPr>
      </w:pPr>
    </w:p>
    <w:p>
      <w:pPr>
        <w:spacing w:after="0" w:line="254"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5"/>
          <w:szCs w:val="25"/>
          <w:b w:val="1"/>
          <w:bCs w:val="1"/>
          <w:color w:val="auto"/>
        </w:rPr>
        <w:t>ITEM 4. DESCRIPTION OF SECURITIES</w:t>
      </w:r>
    </w:p>
    <w:p>
      <w:pPr>
        <w:spacing w:after="0" w:line="253" w:lineRule="exact"/>
        <w:rPr>
          <w:rFonts w:ascii="Arial" w:cs="Arial" w:eastAsia="Arial" w:hAnsi="Arial"/>
          <w:sz w:val="18"/>
          <w:szCs w:val="18"/>
          <w:color w:val="auto"/>
        </w:rPr>
      </w:pPr>
    </w:p>
    <w:p>
      <w:pPr>
        <w:ind w:right="1180"/>
        <w:spacing w:after="0" w:line="281" w:lineRule="auto"/>
        <w:rPr>
          <w:sz w:val="20"/>
          <w:szCs w:val="20"/>
          <w:color w:val="auto"/>
        </w:rPr>
      </w:pPr>
      <w:r>
        <w:rPr>
          <w:rFonts w:ascii="Arial" w:cs="Arial" w:eastAsia="Arial" w:hAnsi="Arial"/>
          <w:sz w:val="40"/>
          <w:szCs w:val="40"/>
          <w:b w:val="1"/>
          <w:bCs w:val="1"/>
          <w:color w:val="auto"/>
        </w:rPr>
        <w:t>Micron Technology, Inc. Deferred Compensation Plan Obligations</w:t>
      </w:r>
    </w:p>
    <w:p>
      <w:pPr>
        <w:spacing w:after="0" w:line="140" w:lineRule="exact"/>
        <w:rPr>
          <w:rFonts w:ascii="Arial" w:cs="Arial" w:eastAsia="Arial" w:hAnsi="Arial"/>
          <w:sz w:val="18"/>
          <w:szCs w:val="18"/>
          <w:color w:val="auto"/>
        </w:rPr>
      </w:pPr>
    </w:p>
    <w:p>
      <w:pPr>
        <w:ind w:right="60"/>
        <w:spacing w:after="0" w:line="254" w:lineRule="auto"/>
        <w:rPr>
          <w:sz w:val="20"/>
          <w:szCs w:val="20"/>
          <w:color w:val="auto"/>
        </w:rPr>
      </w:pPr>
      <w:r>
        <w:rPr>
          <w:rFonts w:ascii="Arial" w:cs="Arial" w:eastAsia="Arial" w:hAnsi="Arial"/>
          <w:sz w:val="18"/>
          <w:szCs w:val="18"/>
          <w:color w:val="auto"/>
        </w:rPr>
        <w:t>The Obligations being registered represent deferred compensation obligations of the Company arising under the Plan. The Obligations are unsecured general obligations of the Company. The Company reserves the right to amend or terminate the Plan at any time in accordance with its terms, provided that such amendment or termination shall not reduce or eliminate any benefit that has become fully vested under the Plan prior to such amendment or termination.</w:t>
      </w:r>
    </w:p>
    <w:p>
      <w:pPr>
        <w:sectPr>
          <w:pgSz w:w="11900" w:h="16838" w:orient="portrait"/>
          <w:cols w:equalWidth="0" w:num="1">
            <w:col w:w="11200"/>
          </w:cols>
          <w:pgMar w:left="320" w:top="1152"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Following is a summary of the Plan as it relates to the Obligations. This summary is qualified in its entirety by reference to the Plan.</w:t>
      </w:r>
    </w:p>
    <w:p>
      <w:pPr>
        <w:spacing w:after="0" w:line="23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Purpose and Participation</w:t>
      </w:r>
      <w:r>
        <w:rPr>
          <w:rFonts w:ascii="Arial" w:cs="Arial" w:eastAsia="Arial" w:hAnsi="Arial"/>
          <w:sz w:val="18"/>
          <w:szCs w:val="18"/>
          <w:color w:val="auto"/>
        </w:rPr>
        <w:t>. The Plan is intended to constitute a non-qualified deferred compensation plan that, in accordance with Sections</w:t>
      </w:r>
      <w:r>
        <w:rPr>
          <w:rFonts w:ascii="Arial" w:cs="Arial" w:eastAsia="Arial" w:hAnsi="Arial"/>
          <w:sz w:val="18"/>
          <w:szCs w:val="18"/>
          <w:i w:val="1"/>
          <w:iCs w:val="1"/>
          <w:color w:val="auto"/>
        </w:rPr>
        <w:t xml:space="preserve"> </w:t>
      </w:r>
      <w:r>
        <w:rPr>
          <w:rFonts w:ascii="Arial" w:cs="Arial" w:eastAsia="Arial" w:hAnsi="Arial"/>
          <w:sz w:val="18"/>
          <w:szCs w:val="18"/>
          <w:color w:val="auto"/>
        </w:rPr>
        <w:t>201(2), 301(a)(3), and 401(a)(1) of the Employee Retirement Income Security Act of 1974, as amended, is unfunded and established primarily for the purpose of providing deferred compensation to specifically designated employees of the Company (the “Participants”). The Plan is an unfunded deferred compensation plan for purposes of the Internal Revenue Code of 1986, as amended (the “Code”), and is intended to comply with the requirements of Section 409A of the Code so that no penalty taxes are owed under Section 409A(a)(1)(B).</w:t>
      </w:r>
    </w:p>
    <w:p>
      <w:pPr>
        <w:spacing w:after="0" w:line="2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Plan Deferrals</w:t>
      </w:r>
      <w:r>
        <w:rPr>
          <w:rFonts w:ascii="Arial" w:cs="Arial" w:eastAsia="Arial" w:hAnsi="Arial"/>
          <w:sz w:val="18"/>
          <w:szCs w:val="18"/>
          <w:color w:val="auto"/>
        </w:rPr>
        <w:t>. Participants may elect to defer up to 75% of eligible base compensation and up to 100% of eligible bonus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by completing deferral elections in accordance with Plan rules. The Company, in its sole discretion, may make employer contributions to the Plan. Participant and employer contributions to the Plan are credited to bookkeeping accounts maintained on behalf of each Participant under the Plan. The amounts credited to such deferral accounts under the Plan represent an unfunded, unsecured Obligation of the Company, and do not represent ownership, or any ownership interest in, any particular assets of the Company. The deferred compensation Obligations are not convertible into any other security of the Company and do not have the benefit of any negative pledges or of any covenants on the part of the Company, other than to pay the deferred compensation Obligations arising under the Plan. The Company may elect to contribute deferrals to a trust that satisfies the tax requirements applicable to non-qualified deferred compensation plans to satisfy its payment Obligations under the Plan.</w:t>
      </w:r>
    </w:p>
    <w:p>
      <w:pPr>
        <w:spacing w:after="0" w:line="21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i w:val="1"/>
          <w:iCs w:val="1"/>
          <w:color w:val="auto"/>
        </w:rPr>
        <w:t>Vesting of Deferrals</w:t>
      </w:r>
      <w:r>
        <w:rPr>
          <w:rFonts w:ascii="Arial" w:cs="Arial" w:eastAsia="Arial" w:hAnsi="Arial"/>
          <w:sz w:val="18"/>
          <w:szCs w:val="18"/>
          <w:color w:val="auto"/>
        </w:rPr>
        <w:t>. Participant deferrals are fully vested at all times. Participants become 100% vested in employer contributions,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upon 2 years of qualifying service with the Company. If not already vested, a Participant’s deferral account becomes 100% vested upon a change in control of the Company or upon the Participant’s death or disability.</w:t>
      </w: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Earnings Credits</w:t>
      </w:r>
      <w:r>
        <w:rPr>
          <w:rFonts w:ascii="Arial" w:cs="Arial" w:eastAsia="Arial" w:hAnsi="Arial"/>
          <w:sz w:val="18"/>
          <w:szCs w:val="18"/>
          <w:color w:val="auto"/>
        </w:rPr>
        <w:t>. Subject to certain exceptions and restrictions, a Participant’s deferral account balance is indexed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or “phantom” investment options chosen by the Participant from the phantom investment options available under the Plan. A Participant’s deferred compensation benefit payable under the Plan increases or decreases based on the investment performance of the selected “phantom” investment options.</w:t>
      </w:r>
    </w:p>
    <w:p>
      <w:pPr>
        <w:spacing w:after="0" w:line="20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Distribution of Deferrals</w:t>
      </w:r>
      <w:r>
        <w:rPr>
          <w:rFonts w:ascii="Arial" w:cs="Arial" w:eastAsia="Arial" w:hAnsi="Arial"/>
          <w:sz w:val="18"/>
          <w:szCs w:val="18"/>
          <w:color w:val="auto"/>
        </w:rPr>
        <w:t>. Participants choose the time and manner of distribution of their deferral accounts. Payment of deferral accounts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in cash at the time and in the form elected by the Participant, subject to the following general rules:</w:t>
      </w:r>
    </w:p>
    <w:p>
      <w:pPr>
        <w:spacing w:after="0" w:line="207" w:lineRule="exact"/>
        <w:rPr>
          <w:sz w:val="20"/>
          <w:szCs w:val="20"/>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Participant may elect, but is not required to elect, to receive his or her deferrals on a specified distribution date that occurs during the Participant’s employment.</w:t>
      </w:r>
    </w:p>
    <w:p>
      <w:pPr>
        <w:spacing w:after="0" w:line="224" w:lineRule="exact"/>
        <w:rPr>
          <w:rFonts w:ascii="Arial" w:cs="Arial" w:eastAsia="Arial" w:hAnsi="Arial"/>
          <w:sz w:val="18"/>
          <w:szCs w:val="18"/>
          <w:color w:val="auto"/>
        </w:rPr>
      </w:pPr>
    </w:p>
    <w:p>
      <w:pPr>
        <w:jc w:val="both"/>
        <w:ind w:left="660" w:right="20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Participant’s deferrals will commence to be paid, if such deferrals have not already commenced to be paid, on the Participant’s termination of employment. Amounts payable to certain specified employees are delayed six months following such Participant’s termination of employment in accordance with the requirements of the Code and Plan.</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Participant may elect to receive his or her deferrals in a lump-sum or in annual installments over a period of up to ten years.</w:t>
      </w:r>
    </w:p>
    <w:p>
      <w:pPr>
        <w:spacing w:after="0" w:line="252"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Participant’s entire deferral account balance will be paid in a lump sum upon the death or disability of the Participant, or upon a change in the ownership of the Company, a change in the effective control of the Company, or a change in the ownership of a substantial portion of the assets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INTERESTS OF NAMED EXPERTS AND COUNSEL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60"/>
          </w:cols>
          <w:pgMar w:left="320" w:top="1192" w:right="51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ITEM 6. INDEMNIFICATION OF DIRECTORS AND OFFICERS</w:t>
      </w:r>
    </w:p>
    <w:p>
      <w:pPr>
        <w:spacing w:after="0" w:line="28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VIII of the Company’s Bylaws provide for the mandatory indemnification of its officers, directors, employees and agents to the extent permitted by the Delaware General Corporation Law. The Company has entered into agreements with its officers, directors, and certain key employees implementing such indemnification.</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 EXEMPTION FROM REGISTRATION CLAIMED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gridSpan w:val="12"/>
            <w:vMerge w:val="restart"/>
          </w:tcPr>
          <w:p>
            <w:pPr>
              <w:ind w:left="700"/>
              <w:spacing w:after="0"/>
              <w:rPr>
                <w:sz w:val="20"/>
                <w:szCs w:val="20"/>
                <w:color w:val="auto"/>
              </w:rPr>
            </w:pPr>
            <w:r>
              <w:rPr>
                <w:rFonts w:ascii="Arial" w:cs="Arial" w:eastAsia="Arial" w:hAnsi="Arial"/>
                <w:sz w:val="18"/>
                <w:szCs w:val="18"/>
                <w:b w:val="1"/>
                <w:bCs w:val="1"/>
                <w:color w:val="auto"/>
              </w:rPr>
              <w:t>Description of Exhibit</w:t>
            </w:r>
          </w:p>
        </w:tc>
        <w:tc>
          <w:tcPr>
            <w:tcW w:w="1920" w:type="dxa"/>
            <w:vAlign w:val="bottom"/>
          </w:tcPr>
          <w:p>
            <w:pPr>
              <w:jc w:val="center"/>
              <w:ind w:right="730"/>
              <w:spacing w:after="0"/>
              <w:rPr>
                <w:sz w:val="20"/>
                <w:szCs w:val="20"/>
                <w:color w:val="auto"/>
              </w:rPr>
            </w:pPr>
            <w:r>
              <w:rPr>
                <w:rFonts w:ascii="Arial" w:cs="Arial" w:eastAsia="Arial" w:hAnsi="Arial"/>
                <w:sz w:val="18"/>
                <w:szCs w:val="18"/>
                <w:b w:val="1"/>
                <w:bCs w:val="1"/>
                <w:color w:val="auto"/>
                <w:w w:val="99"/>
              </w:rPr>
              <w:t>Filed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Period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Exhibit/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9"/>
        </w:trPr>
        <w:tc>
          <w:tcPr>
            <w:tcW w:w="960" w:type="dxa"/>
            <w:vAlign w:val="bottom"/>
            <w:tcBorders>
              <w:bottom w:val="single" w:sz="8" w:color="D1D2D4"/>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12"/>
            <w:vMerge w:val="continue"/>
          </w:tcPr>
          <w:p>
            <w:pPr>
              <w:spacing w:after="0"/>
              <w:rPr>
                <w:sz w:val="19"/>
                <w:szCs w:val="19"/>
                <w:color w:val="auto"/>
              </w:rPr>
            </w:pPr>
          </w:p>
        </w:tc>
        <w:tc>
          <w:tcPr>
            <w:tcW w:w="1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Herewith   Form</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Ending</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Appendix</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6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rPr>
              <w:t>4.1</w:t>
            </w:r>
          </w:p>
        </w:tc>
        <w:tc>
          <w:tcPr>
            <w:tcW w:w="20" w:type="dxa"/>
            <w:vAlign w:val="bottom"/>
            <w:tcBorders>
              <w:bottom w:val="single" w:sz="8" w:color="D1D2D4"/>
            </w:tcBorders>
            <w:shd w:val="clear" w:color="auto" w:fill="D1D2D4"/>
          </w:tcPr>
          <w:p>
            <w:pPr>
              <w:spacing w:after="0"/>
              <w:rPr>
                <w:sz w:val="17"/>
                <w:szCs w:val="17"/>
                <w:color w:val="auto"/>
              </w:rPr>
            </w:pPr>
          </w:p>
        </w:tc>
        <w:tc>
          <w:tcPr>
            <w:tcW w:w="4260" w:type="dxa"/>
            <w:vAlign w:val="bottom"/>
            <w:tcBorders>
              <w:bottom w:val="single" w:sz="8" w:color="0000FF"/>
            </w:tcBorders>
            <w:gridSpan w:val="6"/>
            <w:shd w:val="clear" w:color="auto" w:fill="D1D2D4"/>
          </w:tcPr>
          <w:p>
            <w:pPr>
              <w:spacing w:after="0" w:line="182"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Restated Certificate of Incorporation of the Registrant</w:t>
              </w:r>
            </w:hyperlink>
          </w:p>
        </w:tc>
        <w:tc>
          <w:tcPr>
            <w:tcW w:w="1260" w:type="dxa"/>
            <w:vAlign w:val="bottom"/>
            <w:tcBorders>
              <w:bottom w:val="single" w:sz="8" w:color="D1D2D4"/>
            </w:tcBorders>
            <w:gridSpan w:val="8"/>
            <w:shd w:val="clear" w:color="auto" w:fill="D1D2D4"/>
          </w:tcPr>
          <w:p>
            <w:pPr>
              <w:spacing w:after="0"/>
              <w:rPr>
                <w:sz w:val="17"/>
                <w:szCs w:val="17"/>
                <w:color w:val="auto"/>
              </w:rPr>
            </w:pPr>
          </w:p>
        </w:tc>
        <w:tc>
          <w:tcPr>
            <w:tcW w:w="1920" w:type="dxa"/>
            <w:vAlign w:val="bottom"/>
            <w:tcBorders>
              <w:bottom w:val="single" w:sz="8" w:color="D1D2D4"/>
            </w:tcBorders>
            <w:shd w:val="clear" w:color="auto" w:fill="D1D2D4"/>
          </w:tcPr>
          <w:p>
            <w:pPr>
              <w:jc w:val="center"/>
              <w:ind w:left="910"/>
              <w:spacing w:after="0" w:line="182" w:lineRule="exact"/>
              <w:rPr>
                <w:sz w:val="20"/>
                <w:szCs w:val="20"/>
                <w:color w:val="auto"/>
              </w:rPr>
            </w:pPr>
            <w:r>
              <w:rPr>
                <w:rFonts w:ascii="Arial" w:cs="Arial" w:eastAsia="Arial" w:hAnsi="Arial"/>
                <w:sz w:val="18"/>
                <w:szCs w:val="18"/>
                <w:color w:val="auto"/>
                <w:w w:val="99"/>
              </w:rPr>
              <w:t>8-K</w:t>
            </w:r>
          </w:p>
        </w:tc>
        <w:tc>
          <w:tcPr>
            <w:tcW w:w="840" w:type="dxa"/>
            <w:vAlign w:val="bottom"/>
            <w:tcBorders>
              <w:bottom w:val="single" w:sz="8" w:color="D1D2D4"/>
            </w:tcBorders>
            <w:shd w:val="clear" w:color="auto" w:fill="D1D2D4"/>
          </w:tcPr>
          <w:p>
            <w:pPr>
              <w:spacing w:after="0"/>
              <w:rPr>
                <w:sz w:val="17"/>
                <w:szCs w:val="17"/>
                <w:color w:val="auto"/>
              </w:rPr>
            </w:pPr>
          </w:p>
        </w:tc>
        <w:tc>
          <w:tcPr>
            <w:tcW w:w="106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rPr>
              <w:t>99.2</w:t>
            </w:r>
          </w:p>
        </w:tc>
        <w:tc>
          <w:tcPr>
            <w:tcW w:w="92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w w:val="99"/>
              </w:rPr>
              <w:t>1/26/15</w:t>
            </w:r>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6"/>
                <w:szCs w:val="16"/>
                <w:color w:val="auto"/>
              </w:rPr>
            </w:pPr>
          </w:p>
        </w:tc>
        <w:tc>
          <w:tcPr>
            <w:tcW w:w="5520" w:type="dxa"/>
            <w:vAlign w:val="bottom"/>
            <w:gridSpan w:val="14"/>
          </w:tcPr>
          <w:p>
            <w:pPr>
              <w:spacing w:after="0" w:line="189" w:lineRule="exact"/>
              <w:rPr>
                <w:rFonts w:ascii="Arial" w:cs="Arial" w:eastAsia="Arial" w:hAnsi="Arial"/>
                <w:sz w:val="18"/>
                <w:szCs w:val="18"/>
                <w:color w:val="0000FF"/>
              </w:rPr>
            </w:pPr>
            <w:hyperlink r:id="rId20">
              <w:r>
                <w:rPr>
                  <w:rFonts w:ascii="Arial" w:cs="Arial" w:eastAsia="Arial" w:hAnsi="Arial"/>
                  <w:sz w:val="18"/>
                  <w:szCs w:val="18"/>
                  <w:color w:val="0000FF"/>
                </w:rPr>
                <w:t>Bylaws of the Registrant, Amended and Restated</w:t>
              </w:r>
            </w:hyperlink>
          </w:p>
        </w:tc>
        <w:tc>
          <w:tcPr>
            <w:tcW w:w="1920" w:type="dxa"/>
            <w:vAlign w:val="bottom"/>
          </w:tcPr>
          <w:p>
            <w:pPr>
              <w:jc w:val="center"/>
              <w:ind w:left="910"/>
              <w:spacing w:after="0" w:line="189" w:lineRule="exact"/>
              <w:rPr>
                <w:sz w:val="20"/>
                <w:szCs w:val="20"/>
                <w:color w:val="auto"/>
              </w:rPr>
            </w:pPr>
            <w:r>
              <w:rPr>
                <w:rFonts w:ascii="Arial" w:cs="Arial" w:eastAsia="Arial" w:hAnsi="Arial"/>
                <w:sz w:val="18"/>
                <w:szCs w:val="18"/>
                <w:color w:val="auto"/>
                <w:w w:val="99"/>
              </w:rPr>
              <w:t>8-K</w:t>
            </w:r>
          </w:p>
        </w:tc>
        <w:tc>
          <w:tcPr>
            <w:tcW w:w="84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5"/>
              </w:rPr>
              <w:t>3.1</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2/16/21</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rPr>
              <w:t>4.3</w:t>
            </w:r>
          </w:p>
        </w:tc>
        <w:tc>
          <w:tcPr>
            <w:tcW w:w="20" w:type="dxa"/>
            <w:vAlign w:val="bottom"/>
            <w:shd w:val="clear" w:color="auto" w:fill="D1D2D4"/>
          </w:tcPr>
          <w:p>
            <w:pPr>
              <w:spacing w:after="0"/>
              <w:rPr>
                <w:sz w:val="16"/>
                <w:szCs w:val="16"/>
                <w:color w:val="auto"/>
              </w:rPr>
            </w:pPr>
          </w:p>
        </w:tc>
        <w:tc>
          <w:tcPr>
            <w:tcW w:w="5520" w:type="dxa"/>
            <w:vAlign w:val="bottom"/>
            <w:gridSpan w:val="14"/>
            <w:shd w:val="clear" w:color="auto" w:fill="D1D2D4"/>
          </w:tcPr>
          <w:p>
            <w:pPr>
              <w:spacing w:after="0" w:line="189" w:lineRule="exact"/>
              <w:rPr>
                <w:rFonts w:ascii="Arial" w:cs="Arial" w:eastAsia="Arial" w:hAnsi="Arial"/>
                <w:sz w:val="18"/>
                <w:szCs w:val="18"/>
                <w:color w:val="0000FF"/>
              </w:rPr>
            </w:pPr>
            <w:hyperlink r:id="rId21">
              <w:r>
                <w:rPr>
                  <w:rFonts w:ascii="Arial" w:cs="Arial" w:eastAsia="Arial" w:hAnsi="Arial"/>
                  <w:sz w:val="18"/>
                  <w:szCs w:val="18"/>
                  <w:color w:val="0000FF"/>
                </w:rPr>
                <w:t>Micron Technology, Inc. Amended and Restated 2007 Equity</w:t>
              </w:r>
            </w:hyperlink>
          </w:p>
        </w:tc>
        <w:tc>
          <w:tcPr>
            <w:tcW w:w="1920" w:type="dxa"/>
            <w:vAlign w:val="bottom"/>
            <w:shd w:val="clear" w:color="auto" w:fill="D1D2D4"/>
          </w:tcPr>
          <w:p>
            <w:pPr>
              <w:jc w:val="center"/>
              <w:ind w:left="890"/>
              <w:spacing w:after="0" w:line="189" w:lineRule="exact"/>
              <w:rPr>
                <w:sz w:val="20"/>
                <w:szCs w:val="20"/>
                <w:color w:val="auto"/>
              </w:rPr>
            </w:pPr>
            <w:r>
              <w:rPr>
                <w:rFonts w:ascii="Arial" w:cs="Arial" w:eastAsia="Arial" w:hAnsi="Arial"/>
                <w:sz w:val="18"/>
                <w:szCs w:val="18"/>
                <w:color w:val="auto"/>
              </w:rPr>
              <w:t>DEF 14A</w:t>
            </w:r>
          </w:p>
        </w:tc>
        <w:tc>
          <w:tcPr>
            <w:tcW w:w="840" w:type="dxa"/>
            <w:vAlign w:val="bottom"/>
            <w:shd w:val="clear" w:color="auto" w:fill="D1D2D4"/>
          </w:tcPr>
          <w:p>
            <w:pPr>
              <w:spacing w:after="0"/>
              <w:rPr>
                <w:sz w:val="16"/>
                <w:szCs w:val="16"/>
                <w:color w:val="auto"/>
              </w:rPr>
            </w:pPr>
          </w:p>
        </w:tc>
        <w:tc>
          <w:tcPr>
            <w:tcW w:w="10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12/1/20</w:t>
            </w:r>
          </w:p>
        </w:tc>
        <w:tc>
          <w:tcPr>
            <w:tcW w:w="0" w:type="dxa"/>
            <w:vAlign w:val="bottom"/>
          </w:tcPr>
          <w:p>
            <w:pPr>
              <w:spacing w:after="0"/>
              <w:rPr>
                <w:sz w:val="1"/>
                <w:szCs w:val="1"/>
                <w:color w:val="auto"/>
              </w:rPr>
            </w:pPr>
          </w:p>
        </w:tc>
      </w:tr>
      <w:tr>
        <w:trPr>
          <w:trHeight w:val="176"/>
        </w:trPr>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140" w:type="dxa"/>
            <w:vAlign w:val="bottom"/>
            <w:tcBorders>
              <w:top w:val="single" w:sz="8" w:color="0000FF"/>
              <w:bottom w:val="single" w:sz="8" w:color="0000FF"/>
            </w:tcBorders>
            <w:gridSpan w:val="2"/>
            <w:shd w:val="clear" w:color="auto" w:fill="D1D2D4"/>
          </w:tcPr>
          <w:p>
            <w:pPr>
              <w:spacing w:after="0" w:line="156" w:lineRule="exact"/>
              <w:rPr>
                <w:rFonts w:ascii="Arial" w:cs="Arial" w:eastAsia="Arial" w:hAnsi="Arial"/>
                <w:sz w:val="18"/>
                <w:szCs w:val="18"/>
                <w:color w:val="0000FF"/>
                <w:w w:val="99"/>
              </w:rPr>
            </w:pPr>
            <w:hyperlink r:id="rId21">
              <w:r>
                <w:rPr>
                  <w:rFonts w:ascii="Arial" w:cs="Arial" w:eastAsia="Arial" w:hAnsi="Arial"/>
                  <w:sz w:val="18"/>
                  <w:szCs w:val="18"/>
                  <w:color w:val="0000FF"/>
                  <w:w w:val="99"/>
                </w:rPr>
                <w:t>Incentive Plan</w:t>
              </w:r>
            </w:hyperlink>
          </w:p>
        </w:tc>
        <w:tc>
          <w:tcPr>
            <w:tcW w:w="3680" w:type="dxa"/>
            <w:vAlign w:val="bottom"/>
            <w:tcBorders>
              <w:top w:val="single" w:sz="8" w:color="0000FF"/>
              <w:bottom w:val="single" w:sz="8" w:color="D1D2D4"/>
            </w:tcBorders>
            <w:gridSpan w:val="8"/>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20" w:type="dxa"/>
            <w:vAlign w:val="bottom"/>
            <w:tcBorders>
              <w:top w:val="single" w:sz="8" w:color="D1D2D4"/>
              <w:bottom w:val="single" w:sz="8" w:color="D1D2D4"/>
            </w:tcBorders>
            <w:shd w:val="clear" w:color="auto" w:fill="D1D2D4"/>
          </w:tcPr>
          <w:p>
            <w:pPr>
              <w:spacing w:after="0"/>
              <w:rPr>
                <w:sz w:val="15"/>
                <w:szCs w:val="15"/>
                <w:color w:val="auto"/>
              </w:rPr>
            </w:pPr>
          </w:p>
        </w:tc>
        <w:tc>
          <w:tcPr>
            <w:tcW w:w="380" w:type="dxa"/>
            <w:vAlign w:val="bottom"/>
            <w:tcBorders>
              <w:top w:val="single" w:sz="8" w:color="D1D2D4"/>
              <w:bottom w:val="single" w:sz="8" w:color="D1D2D4"/>
            </w:tcBorders>
            <w:shd w:val="clear" w:color="auto" w:fill="D1D2D4"/>
          </w:tcPr>
          <w:p>
            <w:pPr>
              <w:spacing w:after="0"/>
              <w:rPr>
                <w:sz w:val="15"/>
                <w:szCs w:val="15"/>
                <w:color w:val="auto"/>
              </w:rPr>
            </w:pPr>
          </w:p>
        </w:tc>
        <w:tc>
          <w:tcPr>
            <w:tcW w:w="180" w:type="dxa"/>
            <w:vAlign w:val="bottom"/>
            <w:tcBorders>
              <w:top w:val="single" w:sz="8" w:color="D1D2D4"/>
              <w:bottom w:val="single" w:sz="8" w:color="D1D2D4"/>
            </w:tcBorders>
            <w:shd w:val="clear" w:color="auto" w:fill="D1D2D4"/>
          </w:tcPr>
          <w:p>
            <w:pPr>
              <w:spacing w:after="0"/>
              <w:rPr>
                <w:sz w:val="15"/>
                <w:szCs w:val="15"/>
                <w:color w:val="auto"/>
              </w:rPr>
            </w:pPr>
          </w:p>
        </w:tc>
        <w:tc>
          <w:tcPr>
            <w:tcW w:w="1920" w:type="dxa"/>
            <w:vAlign w:val="bottom"/>
            <w:tcBorders>
              <w:top w:val="single" w:sz="8" w:color="D1D2D4"/>
              <w:bottom w:val="single" w:sz="8" w:color="D1D2D4"/>
            </w:tcBorders>
            <w:shd w:val="clear" w:color="auto" w:fill="D1D2D4"/>
          </w:tcPr>
          <w:p>
            <w:pPr>
              <w:spacing w:after="0"/>
              <w:rPr>
                <w:sz w:val="15"/>
                <w:szCs w:val="15"/>
                <w:color w:val="auto"/>
              </w:rPr>
            </w:pPr>
          </w:p>
        </w:tc>
        <w:tc>
          <w:tcPr>
            <w:tcW w:w="840" w:type="dxa"/>
            <w:vAlign w:val="bottom"/>
            <w:tcBorders>
              <w:top w:val="single" w:sz="8" w:color="D1D2D4"/>
              <w:bottom w:val="single" w:sz="8" w:color="D1D2D4"/>
            </w:tcBorders>
            <w:shd w:val="clear" w:color="auto" w:fill="D1D2D4"/>
          </w:tcPr>
          <w:p>
            <w:pPr>
              <w:spacing w:after="0"/>
              <w:rPr>
                <w:sz w:val="15"/>
                <w:szCs w:val="15"/>
                <w:color w:val="auto"/>
              </w:rPr>
            </w:pPr>
          </w:p>
        </w:tc>
        <w:tc>
          <w:tcPr>
            <w:tcW w:w="106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6"/>
                <w:szCs w:val="16"/>
                <w:color w:val="auto"/>
              </w:rPr>
            </w:pPr>
          </w:p>
        </w:tc>
        <w:tc>
          <w:tcPr>
            <w:tcW w:w="5520" w:type="dxa"/>
            <w:vAlign w:val="bottom"/>
            <w:gridSpan w:val="14"/>
          </w:tcPr>
          <w:p>
            <w:pPr>
              <w:spacing w:after="0" w:line="189" w:lineRule="exact"/>
              <w:rPr>
                <w:rFonts w:ascii="Arial" w:cs="Arial" w:eastAsia="Arial" w:hAnsi="Arial"/>
                <w:sz w:val="18"/>
                <w:szCs w:val="18"/>
                <w:color w:val="0000FF"/>
              </w:rPr>
            </w:pPr>
            <w:hyperlink r:id="rId22">
              <w:r>
                <w:rPr>
                  <w:rFonts w:ascii="Arial" w:cs="Arial" w:eastAsia="Arial" w:hAnsi="Arial"/>
                  <w:sz w:val="18"/>
                  <w:szCs w:val="18"/>
                  <w:color w:val="0000FF"/>
                </w:rPr>
                <w:t>Micron Technology, Inc. Amended and Restated 2007 Equity</w:t>
              </w:r>
            </w:hyperlink>
          </w:p>
        </w:tc>
        <w:tc>
          <w:tcPr>
            <w:tcW w:w="1920" w:type="dxa"/>
            <w:vAlign w:val="bottom"/>
          </w:tcPr>
          <w:p>
            <w:pPr>
              <w:jc w:val="center"/>
              <w:ind w:left="890"/>
              <w:spacing w:after="0" w:line="189" w:lineRule="exact"/>
              <w:rPr>
                <w:sz w:val="20"/>
                <w:szCs w:val="20"/>
                <w:color w:val="auto"/>
              </w:rPr>
            </w:pPr>
            <w:r>
              <w:rPr>
                <w:rFonts w:ascii="Arial" w:cs="Arial" w:eastAsia="Arial" w:hAnsi="Arial"/>
                <w:sz w:val="18"/>
                <w:szCs w:val="18"/>
                <w:color w:val="auto"/>
                <w:w w:val="99"/>
              </w:rPr>
              <w:t>10-K</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99"/>
              </w:rPr>
              <w:t>9/1/16</w:t>
            </w: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rPr>
              <w:t>10.9</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10/28/16</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6"/>
              </w:rPr>
            </w:pPr>
            <w:hyperlink r:id="rId22">
              <w:r>
                <w:rPr>
                  <w:rFonts w:ascii="Arial" w:cs="Arial" w:eastAsia="Arial" w:hAnsi="Arial"/>
                  <w:sz w:val="18"/>
                  <w:szCs w:val="18"/>
                  <w:color w:val="0000FF"/>
                  <w:w w:val="96"/>
                </w:rPr>
                <w:t>Incentive Plan Forms of Agreement and Terms and Conditions</w:t>
              </w:r>
            </w:hyperlink>
          </w:p>
        </w:tc>
        <w:tc>
          <w:tcPr>
            <w:tcW w:w="120" w:type="dxa"/>
            <w:vAlign w:val="bottom"/>
            <w:tcBorders>
              <w:bottom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rPr>
              <w:t>4.5</w:t>
            </w:r>
          </w:p>
        </w:tc>
        <w:tc>
          <w:tcPr>
            <w:tcW w:w="20" w:type="dxa"/>
            <w:vAlign w:val="bottom"/>
            <w:shd w:val="clear" w:color="auto" w:fill="D1D2D4"/>
          </w:tcPr>
          <w:p>
            <w:pPr>
              <w:spacing w:after="0"/>
              <w:rPr>
                <w:sz w:val="18"/>
                <w:szCs w:val="18"/>
                <w:color w:val="auto"/>
              </w:rPr>
            </w:pPr>
          </w:p>
        </w:tc>
        <w:tc>
          <w:tcPr>
            <w:tcW w:w="5520" w:type="dxa"/>
            <w:vAlign w:val="bottom"/>
            <w:gridSpan w:val="14"/>
            <w:shd w:val="clear" w:color="auto" w:fill="D1D2D4"/>
          </w:tcPr>
          <w:p>
            <w:pPr>
              <w:spacing w:after="0" w:line="189" w:lineRule="exact"/>
              <w:rPr>
                <w:rFonts w:ascii="Arial" w:cs="Arial" w:eastAsia="Arial" w:hAnsi="Arial"/>
                <w:sz w:val="18"/>
                <w:szCs w:val="18"/>
                <w:color w:val="0000FF"/>
              </w:rPr>
            </w:pPr>
            <w:hyperlink r:id="rId23">
              <w:r>
                <w:rPr>
                  <w:rFonts w:ascii="Arial" w:cs="Arial" w:eastAsia="Arial" w:hAnsi="Arial"/>
                  <w:sz w:val="18"/>
                  <w:szCs w:val="18"/>
                  <w:color w:val="0000FF"/>
                </w:rPr>
                <w:t>Micron Technology, Inc. Deferred Compensation Plan, as amended</w:t>
              </w:r>
            </w:hyperlink>
          </w:p>
        </w:tc>
        <w:tc>
          <w:tcPr>
            <w:tcW w:w="1920" w:type="dxa"/>
            <w:vAlign w:val="bottom"/>
            <w:shd w:val="clear" w:color="auto" w:fill="D1D2D4"/>
          </w:tcPr>
          <w:p>
            <w:pPr>
              <w:jc w:val="center"/>
              <w:ind w:left="910"/>
              <w:spacing w:after="0" w:line="189" w:lineRule="exact"/>
              <w:rPr>
                <w:sz w:val="20"/>
                <w:szCs w:val="20"/>
                <w:color w:val="auto"/>
              </w:rPr>
            </w:pPr>
            <w:r>
              <w:rPr>
                <w:rFonts w:ascii="Arial" w:cs="Arial" w:eastAsia="Arial" w:hAnsi="Arial"/>
                <w:sz w:val="18"/>
                <w:szCs w:val="18"/>
                <w:color w:val="auto"/>
                <w:w w:val="99"/>
              </w:rPr>
              <w:t>10-Q</w:t>
            </w:r>
          </w:p>
        </w:tc>
        <w:tc>
          <w:tcPr>
            <w:tcW w:w="84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3/4/21</w:t>
            </w:r>
          </w:p>
        </w:tc>
        <w:tc>
          <w:tcPr>
            <w:tcW w:w="10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7"/>
              </w:rPr>
              <w:t>10.15</w:t>
            </w:r>
          </w:p>
        </w:tc>
        <w:tc>
          <w:tcPr>
            <w:tcW w:w="92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4/1/21</w:t>
            </w:r>
          </w:p>
        </w:tc>
        <w:tc>
          <w:tcPr>
            <w:tcW w:w="0" w:type="dxa"/>
            <w:vAlign w:val="bottom"/>
          </w:tcPr>
          <w:p>
            <w:pPr>
              <w:spacing w:after="0"/>
              <w:rPr>
                <w:sz w:val="1"/>
                <w:szCs w:val="1"/>
                <w:color w:val="auto"/>
              </w:rPr>
            </w:pPr>
          </w:p>
        </w:tc>
      </w:tr>
      <w:tr>
        <w:trPr>
          <w:trHeight w:val="189"/>
        </w:trPr>
        <w:tc>
          <w:tcPr>
            <w:tcW w:w="960" w:type="dxa"/>
            <w:vAlign w:val="bottom"/>
            <w:tcBorders>
              <w:top w:val="single" w:sz="8" w:color="D1D2D4"/>
            </w:tcBorders>
          </w:tcPr>
          <w:p>
            <w:pPr>
              <w:jc w:val="center"/>
              <w:spacing w:after="0" w:line="189" w:lineRule="exact"/>
              <w:rPr>
                <w:sz w:val="20"/>
                <w:szCs w:val="20"/>
                <w:color w:val="auto"/>
              </w:rPr>
            </w:pPr>
            <w:r>
              <w:rPr>
                <w:rFonts w:ascii="Arial" w:cs="Arial" w:eastAsia="Arial" w:hAnsi="Arial"/>
                <w:sz w:val="18"/>
                <w:szCs w:val="18"/>
                <w:color w:val="auto"/>
              </w:rPr>
              <w:t>5.1</w:t>
            </w:r>
          </w:p>
        </w:tc>
        <w:tc>
          <w:tcPr>
            <w:tcW w:w="20" w:type="dxa"/>
            <w:vAlign w:val="bottom"/>
            <w:tcBorders>
              <w:top w:val="single" w:sz="8" w:color="D1D2D4"/>
            </w:tcBorders>
          </w:tcPr>
          <w:p>
            <w:pPr>
              <w:spacing w:after="0"/>
              <w:rPr>
                <w:sz w:val="16"/>
                <w:szCs w:val="16"/>
                <w:color w:val="auto"/>
              </w:rPr>
            </w:pPr>
          </w:p>
        </w:tc>
        <w:tc>
          <w:tcPr>
            <w:tcW w:w="5340" w:type="dxa"/>
            <w:vAlign w:val="bottom"/>
            <w:tcBorders>
              <w:top w:val="single" w:sz="8" w:color="0000FF"/>
            </w:tcBorders>
            <w:gridSpan w:val="13"/>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Opinion of Wilson Sonsini Goodrich &amp; Rosati, Professional</w:t>
              </w:r>
            </w:hyperlink>
          </w:p>
        </w:tc>
        <w:tc>
          <w:tcPr>
            <w:tcW w:w="180" w:type="dxa"/>
            <w:vAlign w:val="bottom"/>
            <w:tcBorders>
              <w:top w:val="single" w:sz="8" w:color="D1D2D4"/>
            </w:tcBorders>
          </w:tcPr>
          <w:p>
            <w:pPr>
              <w:spacing w:after="0"/>
              <w:rPr>
                <w:sz w:val="16"/>
                <w:szCs w:val="16"/>
                <w:color w:val="auto"/>
              </w:rPr>
            </w:pPr>
          </w:p>
        </w:tc>
        <w:tc>
          <w:tcPr>
            <w:tcW w:w="1920" w:type="dxa"/>
            <w:vAlign w:val="bottom"/>
            <w:tcBorders>
              <w:top w:val="single" w:sz="8" w:color="D1D2D4"/>
            </w:tcBorders>
          </w:tcPr>
          <w:p>
            <w:pPr>
              <w:jc w:val="center"/>
              <w:ind w:right="750"/>
              <w:spacing w:after="0" w:line="189" w:lineRule="exact"/>
              <w:rPr>
                <w:sz w:val="20"/>
                <w:szCs w:val="20"/>
                <w:color w:val="auto"/>
              </w:rPr>
            </w:pPr>
            <w:r>
              <w:rPr>
                <w:rFonts w:ascii="Arial" w:cs="Arial" w:eastAsia="Arial" w:hAnsi="Arial"/>
                <w:sz w:val="18"/>
                <w:szCs w:val="18"/>
                <w:color w:val="auto"/>
                <w:w w:val="99"/>
              </w:rPr>
              <w:t>X</w:t>
            </w:r>
          </w:p>
        </w:tc>
        <w:tc>
          <w:tcPr>
            <w:tcW w:w="840" w:type="dxa"/>
            <w:vAlign w:val="bottom"/>
            <w:tcBorders>
              <w:top w:val="single" w:sz="8" w:color="D1D2D4"/>
            </w:tcBorders>
          </w:tcPr>
          <w:p>
            <w:pPr>
              <w:spacing w:after="0"/>
              <w:rPr>
                <w:sz w:val="16"/>
                <w:szCs w:val="16"/>
                <w:color w:val="auto"/>
              </w:rPr>
            </w:pPr>
          </w:p>
        </w:tc>
        <w:tc>
          <w:tcPr>
            <w:tcW w:w="1060" w:type="dxa"/>
            <w:vAlign w:val="bottom"/>
            <w:tcBorders>
              <w:top w:val="single" w:sz="8" w:color="D1D2D4"/>
            </w:tcBorders>
          </w:tcPr>
          <w:p>
            <w:pPr>
              <w:spacing w:after="0"/>
              <w:rPr>
                <w:sz w:val="16"/>
                <w:szCs w:val="16"/>
                <w:color w:val="auto"/>
              </w:rPr>
            </w:pPr>
          </w:p>
        </w:tc>
        <w:tc>
          <w:tcPr>
            <w:tcW w:w="9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Corporation</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spacing w:after="0"/>
              <w:rPr>
                <w:sz w:val="13"/>
                <w:szCs w:val="13"/>
                <w:color w:val="auto"/>
              </w:rPr>
            </w:pPr>
          </w:p>
        </w:tc>
        <w:tc>
          <w:tcPr>
            <w:tcW w:w="1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Borders>
              <w:bottom w:val="single" w:sz="8" w:color="D1D2D4"/>
            </w:tcBorders>
            <w:shd w:val="clear" w:color="auto" w:fill="D1D2D4"/>
          </w:tcPr>
          <w:p>
            <w:pPr>
              <w:jc w:val="center"/>
              <w:spacing w:after="0" w:line="189" w:lineRule="exact"/>
              <w:rPr>
                <w:sz w:val="20"/>
                <w:szCs w:val="20"/>
                <w:color w:val="auto"/>
              </w:rPr>
            </w:pPr>
            <w:r>
              <w:rPr>
                <w:rFonts w:ascii="Arial" w:cs="Arial" w:eastAsia="Arial" w:hAnsi="Arial"/>
                <w:sz w:val="18"/>
                <w:szCs w:val="18"/>
                <w:color w:val="auto"/>
                <w:w w:val="96"/>
              </w:rPr>
              <w:t>23.1</w:t>
            </w:r>
          </w:p>
        </w:tc>
        <w:tc>
          <w:tcPr>
            <w:tcW w:w="20" w:type="dxa"/>
            <w:vAlign w:val="bottom"/>
            <w:tcBorders>
              <w:bottom w:val="single" w:sz="8" w:color="D1D2D4"/>
            </w:tcBorders>
            <w:shd w:val="clear" w:color="auto" w:fill="D1D2D4"/>
          </w:tcPr>
          <w:p>
            <w:pPr>
              <w:spacing w:after="0"/>
              <w:rPr>
                <w:sz w:val="18"/>
                <w:szCs w:val="18"/>
                <w:color w:val="auto"/>
              </w:rPr>
            </w:pPr>
          </w:p>
        </w:tc>
        <w:tc>
          <w:tcPr>
            <w:tcW w:w="4740" w:type="dxa"/>
            <w:vAlign w:val="bottom"/>
            <w:tcBorders>
              <w:bottom w:val="single" w:sz="8" w:color="0000FF"/>
            </w:tcBorders>
            <w:gridSpan w:val="9"/>
            <w:shd w:val="clear" w:color="auto" w:fill="D1D2D4"/>
          </w:tcPr>
          <w:p>
            <w:pPr>
              <w:spacing w:after="0" w:line="189"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Consent of Independent Registered Public Accounting Firm</w:t>
              </w:r>
            </w:hyperlink>
          </w:p>
        </w:tc>
        <w:tc>
          <w:tcPr>
            <w:tcW w:w="780" w:type="dxa"/>
            <w:vAlign w:val="bottom"/>
            <w:tcBorders>
              <w:bottom w:val="single" w:sz="8" w:color="D1D2D4"/>
            </w:tcBorders>
            <w:gridSpan w:val="5"/>
            <w:shd w:val="clear" w:color="auto" w:fill="D1D2D4"/>
          </w:tcPr>
          <w:p>
            <w:pPr>
              <w:spacing w:after="0"/>
              <w:rPr>
                <w:sz w:val="18"/>
                <w:szCs w:val="18"/>
                <w:color w:val="auto"/>
              </w:rPr>
            </w:pPr>
          </w:p>
        </w:tc>
        <w:tc>
          <w:tcPr>
            <w:tcW w:w="1920" w:type="dxa"/>
            <w:vAlign w:val="bottom"/>
            <w:tcBorders>
              <w:bottom w:val="single" w:sz="8" w:color="D1D2D4"/>
            </w:tcBorders>
            <w:shd w:val="clear" w:color="auto" w:fill="D1D2D4"/>
          </w:tcPr>
          <w:p>
            <w:pPr>
              <w:jc w:val="center"/>
              <w:ind w:right="750"/>
              <w:spacing w:after="0" w:line="189" w:lineRule="exact"/>
              <w:rPr>
                <w:sz w:val="20"/>
                <w:szCs w:val="20"/>
                <w:color w:val="auto"/>
              </w:rPr>
            </w:pPr>
            <w:r>
              <w:rPr>
                <w:rFonts w:ascii="Arial" w:cs="Arial" w:eastAsia="Arial" w:hAnsi="Arial"/>
                <w:sz w:val="18"/>
                <w:szCs w:val="18"/>
                <w:color w:val="auto"/>
                <w:w w:val="99"/>
              </w:rPr>
              <w:t>X</w:t>
            </w:r>
          </w:p>
        </w:tc>
        <w:tc>
          <w:tcPr>
            <w:tcW w:w="840" w:type="dxa"/>
            <w:vAlign w:val="bottom"/>
            <w:tcBorders>
              <w:bottom w:val="single" w:sz="8" w:color="D1D2D4"/>
            </w:tcBorders>
            <w:shd w:val="clear" w:color="auto" w:fill="D1D2D4"/>
          </w:tcPr>
          <w:p>
            <w:pPr>
              <w:spacing w:after="0"/>
              <w:rPr>
                <w:sz w:val="18"/>
                <w:szCs w:val="18"/>
                <w:color w:val="auto"/>
              </w:rPr>
            </w:pPr>
          </w:p>
        </w:tc>
        <w:tc>
          <w:tcPr>
            <w:tcW w:w="1060" w:type="dxa"/>
            <w:vAlign w:val="bottom"/>
            <w:tcBorders>
              <w:bottom w:val="single" w:sz="8" w:color="D1D2D4"/>
            </w:tcBorders>
            <w:shd w:val="clear" w:color="auto" w:fill="D1D2D4"/>
          </w:tcPr>
          <w:p>
            <w:pPr>
              <w:spacing w:after="0"/>
              <w:rPr>
                <w:sz w:val="18"/>
                <w:szCs w:val="18"/>
                <w:color w:val="auto"/>
              </w:rPr>
            </w:pPr>
          </w:p>
        </w:tc>
        <w:tc>
          <w:tcPr>
            <w:tcW w:w="92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6"/>
              </w:rPr>
              <w:t>23.2</w:t>
            </w:r>
          </w:p>
        </w:tc>
        <w:tc>
          <w:tcPr>
            <w:tcW w:w="20" w:type="dxa"/>
            <w:vAlign w:val="bottom"/>
          </w:tcPr>
          <w:p>
            <w:pPr>
              <w:spacing w:after="0"/>
              <w:rPr>
                <w:sz w:val="16"/>
                <w:szCs w:val="16"/>
                <w:color w:val="auto"/>
              </w:rPr>
            </w:pPr>
          </w:p>
        </w:tc>
        <w:tc>
          <w:tcPr>
            <w:tcW w:w="5520" w:type="dxa"/>
            <w:vAlign w:val="bottom"/>
            <w:gridSpan w:val="14"/>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Consent of Wilson Sonsini Goodrich &amp; Rosati, Professional</w:t>
              </w:r>
            </w:hyperlink>
          </w:p>
        </w:tc>
        <w:tc>
          <w:tcPr>
            <w:tcW w:w="1920" w:type="dxa"/>
            <w:vAlign w:val="bottom"/>
          </w:tcPr>
          <w:p>
            <w:pPr>
              <w:jc w:val="center"/>
              <w:ind w:right="750"/>
              <w:spacing w:after="0" w:line="189"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Corporation (contained in Exhibit 5.1)</w:t>
              </w:r>
            </w:hyperlink>
          </w:p>
        </w:tc>
        <w:tc>
          <w:tcPr>
            <w:tcW w:w="820" w:type="dxa"/>
            <w:vAlign w:val="bottom"/>
            <w:gridSpan w:val="6"/>
          </w:tcPr>
          <w:p>
            <w:pPr>
              <w:spacing w:after="0"/>
              <w:rPr>
                <w:sz w:val="13"/>
                <w:szCs w:val="13"/>
                <w:color w:val="auto"/>
              </w:rPr>
            </w:pPr>
          </w:p>
        </w:tc>
        <w:tc>
          <w:tcPr>
            <w:tcW w:w="1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6"/>
              </w:rPr>
              <w:t>24.1</w:t>
            </w:r>
          </w:p>
        </w:tc>
        <w:tc>
          <w:tcPr>
            <w:tcW w:w="20" w:type="dxa"/>
            <w:vAlign w:val="bottom"/>
            <w:shd w:val="clear" w:color="auto" w:fill="D1D2D4"/>
          </w:tcPr>
          <w:p>
            <w:pPr>
              <w:spacing w:after="0"/>
              <w:rPr>
                <w:sz w:val="16"/>
                <w:szCs w:val="16"/>
                <w:color w:val="auto"/>
              </w:rPr>
            </w:pPr>
          </w:p>
        </w:tc>
        <w:tc>
          <w:tcPr>
            <w:tcW w:w="5520" w:type="dxa"/>
            <w:vAlign w:val="bottom"/>
            <w:gridSpan w:val="14"/>
            <w:shd w:val="clear" w:color="auto" w:fill="D1D2D4"/>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Power of Attorney (included on signature page)</w:t>
              </w:r>
            </w:hyperlink>
          </w:p>
        </w:tc>
        <w:tc>
          <w:tcPr>
            <w:tcW w:w="1920" w:type="dxa"/>
            <w:vAlign w:val="bottom"/>
            <w:shd w:val="clear" w:color="auto" w:fill="D1D2D4"/>
          </w:tcPr>
          <w:p>
            <w:pPr>
              <w:jc w:val="center"/>
              <w:ind w:right="750"/>
              <w:spacing w:after="0" w:line="189" w:lineRule="exact"/>
              <w:rPr>
                <w:sz w:val="20"/>
                <w:szCs w:val="20"/>
                <w:color w:val="auto"/>
              </w:rPr>
            </w:pPr>
            <w:r>
              <w:rPr>
                <w:rFonts w:ascii="Arial" w:cs="Arial" w:eastAsia="Arial" w:hAnsi="Arial"/>
                <w:sz w:val="18"/>
                <w:szCs w:val="18"/>
                <w:color w:val="auto"/>
                <w:w w:val="99"/>
              </w:rPr>
              <w:t>X</w:t>
            </w:r>
          </w:p>
        </w:tc>
        <w:tc>
          <w:tcPr>
            <w:tcW w:w="840" w:type="dxa"/>
            <w:vAlign w:val="bottom"/>
            <w:shd w:val="clear" w:color="auto" w:fill="D1D2D4"/>
          </w:tcPr>
          <w:p>
            <w:pPr>
              <w:spacing w:after="0"/>
              <w:rPr>
                <w:sz w:val="16"/>
                <w:szCs w:val="16"/>
                <w:color w:val="auto"/>
              </w:rPr>
            </w:pPr>
          </w:p>
        </w:tc>
        <w:tc>
          <w:tcPr>
            <w:tcW w:w="1060" w:type="dxa"/>
            <w:vAlign w:val="bottom"/>
            <w:shd w:val="clear" w:color="auto" w:fill="D1D2D4"/>
          </w:tcPr>
          <w:p>
            <w:pPr>
              <w:spacing w:after="0"/>
              <w:rPr>
                <w:sz w:val="16"/>
                <w:szCs w:val="16"/>
                <w:color w:val="auto"/>
              </w:rPr>
            </w:pPr>
          </w:p>
        </w:tc>
        <w:tc>
          <w:tcPr>
            <w:tcW w:w="9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0000FF"/>
            </w:tcBorders>
            <w:shd w:val="clear" w:color="auto" w:fill="D1D2D4"/>
          </w:tcPr>
          <w:p>
            <w:pPr>
              <w:spacing w:after="0" w:line="20" w:lineRule="exact"/>
              <w:rPr>
                <w:sz w:val="1"/>
                <w:szCs w:val="1"/>
                <w:color w:val="auto"/>
              </w:rPr>
            </w:pPr>
          </w:p>
        </w:tc>
        <w:tc>
          <w:tcPr>
            <w:tcW w:w="200" w:type="dxa"/>
            <w:vAlign w:val="bottom"/>
            <w:tcBorders>
              <w:top w:val="single" w:sz="8" w:color="0000FF"/>
            </w:tcBorders>
            <w:shd w:val="clear" w:color="auto" w:fill="D1D2D4"/>
          </w:tcPr>
          <w:p>
            <w:pPr>
              <w:spacing w:after="0" w:line="20" w:lineRule="exact"/>
              <w:rPr>
                <w:sz w:val="1"/>
                <w:szCs w:val="1"/>
                <w:color w:val="auto"/>
              </w:rPr>
            </w:pPr>
          </w:p>
        </w:tc>
        <w:tc>
          <w:tcPr>
            <w:tcW w:w="1840" w:type="dxa"/>
            <w:vAlign w:val="bottom"/>
            <w:tcBorders>
              <w:top w:val="single" w:sz="8" w:color="0000FF"/>
            </w:tcBorders>
            <w:shd w:val="clear" w:color="auto" w:fill="D1D2D4"/>
          </w:tcPr>
          <w:p>
            <w:pPr>
              <w:spacing w:after="0" w:line="20" w:lineRule="exact"/>
              <w:rPr>
                <w:sz w:val="1"/>
                <w:szCs w:val="1"/>
                <w:color w:val="auto"/>
              </w:rPr>
            </w:pPr>
          </w:p>
        </w:tc>
        <w:tc>
          <w:tcPr>
            <w:tcW w:w="7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38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1920" w:type="dxa"/>
            <w:vAlign w:val="bottom"/>
            <w:tcBorders>
              <w:top w:val="single" w:sz="8" w:color="D1D2D4"/>
            </w:tcBorders>
            <w:shd w:val="clear" w:color="auto" w:fill="D1D2D4"/>
          </w:tcPr>
          <w:p>
            <w:pPr>
              <w:spacing w:after="0" w:line="20" w:lineRule="exact"/>
              <w:rPr>
                <w:sz w:val="1"/>
                <w:szCs w:val="1"/>
                <w:color w:val="auto"/>
              </w:rPr>
            </w:pPr>
          </w:p>
        </w:tc>
        <w:tc>
          <w:tcPr>
            <w:tcW w:w="840" w:type="dxa"/>
            <w:vAlign w:val="bottom"/>
            <w:tcBorders>
              <w:top w:val="single" w:sz="8" w:color="D1D2D4"/>
            </w:tcBorders>
            <w:shd w:val="clear" w:color="auto" w:fill="D1D2D4"/>
          </w:tcPr>
          <w:p>
            <w:pPr>
              <w:spacing w:after="0" w:line="20" w:lineRule="exact"/>
              <w:rPr>
                <w:sz w:val="1"/>
                <w:szCs w:val="1"/>
                <w:color w:val="auto"/>
              </w:rPr>
            </w:pPr>
          </w:p>
        </w:tc>
        <w:tc>
          <w:tcPr>
            <w:tcW w:w="106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 UNDERTAKINGS</w:t>
      </w:r>
    </w:p>
    <w:p>
      <w:pPr>
        <w:spacing w:after="0" w:line="282"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660" w:hanging="356"/>
        <w:spacing w:after="0"/>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left="1960" w:right="20" w:hanging="656"/>
        <w:spacing w:after="0" w:line="252" w:lineRule="auto"/>
        <w:tabs>
          <w:tab w:leader="none" w:pos="1712"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ectPr>
          <w:pgSz w:w="11900" w:h="16838" w:orient="portrait"/>
          <w:cols w:equalWidth="0" w:num="1">
            <w:col w:w="11240"/>
          </w:cols>
          <w:pgMar w:left="320" w:top="919" w:right="339" w:bottom="1440" w:gutter="0" w:footer="0" w:header="0"/>
        </w:sectPr>
      </w:pPr>
    </w:p>
    <w:bookmarkStart w:id="5" w:name="page6"/>
    <w:bookmarkEnd w:id="5"/>
    <w:p>
      <w:pPr>
        <w:ind w:left="1952" w:right="280" w:hanging="656"/>
        <w:spacing w:after="0" w:line="261" w:lineRule="auto"/>
        <w:tabs>
          <w:tab w:leader="none" w:pos="17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1292" w:right="60"/>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225" w:lineRule="exact"/>
        <w:rPr>
          <w:sz w:val="20"/>
          <w:szCs w:val="20"/>
          <w:color w:val="auto"/>
        </w:rPr>
      </w:pPr>
    </w:p>
    <w:p>
      <w:pPr>
        <w:ind w:left="1292" w:hanging="644"/>
        <w:spacing w:after="0" w:line="256" w:lineRule="auto"/>
        <w:tabs>
          <w:tab w:leader="none" w:pos="1061"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28" w:lineRule="exact"/>
        <w:rPr>
          <w:rFonts w:ascii="Arial" w:cs="Arial" w:eastAsia="Arial" w:hAnsi="Arial"/>
          <w:sz w:val="18"/>
          <w:szCs w:val="18"/>
          <w:color w:val="auto"/>
        </w:rPr>
      </w:pPr>
    </w:p>
    <w:p>
      <w:pPr>
        <w:ind w:left="1292" w:hanging="644"/>
        <w:spacing w:after="0" w:line="261" w:lineRule="auto"/>
        <w:tabs>
          <w:tab w:leader="none" w:pos="1061"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4" w:lineRule="exact"/>
        <w:rPr>
          <w:rFonts w:ascii="Arial" w:cs="Arial" w:eastAsia="Arial" w:hAnsi="Arial"/>
          <w:sz w:val="18"/>
          <w:szCs w:val="18"/>
          <w:color w:val="auto"/>
        </w:rPr>
      </w:pPr>
    </w:p>
    <w:p>
      <w:pPr>
        <w:ind w:left="652" w:right="120" w:hanging="652"/>
        <w:spacing w:after="0" w:line="253" w:lineRule="auto"/>
        <w:tabs>
          <w:tab w:leader="none" w:pos="4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32" w:lineRule="exact"/>
        <w:rPr>
          <w:rFonts w:ascii="Arial" w:cs="Arial" w:eastAsia="Arial" w:hAnsi="Arial"/>
          <w:sz w:val="18"/>
          <w:szCs w:val="18"/>
          <w:color w:val="auto"/>
        </w:rPr>
      </w:pPr>
    </w:p>
    <w:p>
      <w:pPr>
        <w:ind w:left="652" w:right="40" w:hanging="652"/>
        <w:spacing w:after="0" w:line="251" w:lineRule="auto"/>
        <w:tabs>
          <w:tab w:leader="none" w:pos="41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32"/>
          </w:cols>
          <w:pgMar w:left="328" w:top="1192" w:right="3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May 5, 2021.</w:t>
      </w:r>
    </w:p>
    <w:p>
      <w:pPr>
        <w:spacing w:after="0" w:line="3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6350</wp:posOffset>
            </wp:positionV>
            <wp:extent cx="3591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14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6350</wp:posOffset>
            </wp:positionV>
            <wp:extent cx="3591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jc w:val="center"/>
        <w:ind w:left="5560"/>
        <w:spacing w:after="0"/>
        <w:rPr>
          <w:sz w:val="20"/>
          <w:szCs w:val="20"/>
          <w:color w:val="auto"/>
        </w:rPr>
      </w:pPr>
      <w:r>
        <w:rPr>
          <w:rFonts w:ascii="Arial" w:cs="Arial" w:eastAsia="Arial" w:hAnsi="Arial"/>
          <w:sz w:val="18"/>
          <w:szCs w:val="18"/>
          <w:b w:val="1"/>
          <w:bCs w:val="1"/>
          <w:color w:val="auto"/>
        </w:rPr>
        <w:t>(Sanjay Mehrotra)</w:t>
      </w:r>
    </w:p>
    <w:p>
      <w:pPr>
        <w:spacing w:after="0" w:line="45"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6350</wp:posOffset>
            </wp:positionV>
            <wp:extent cx="3591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ind w:left="7640"/>
        <w:spacing w:after="0"/>
        <w:rPr>
          <w:sz w:val="20"/>
          <w:szCs w:val="20"/>
          <w:color w:val="auto"/>
        </w:rPr>
      </w:pPr>
      <w:r>
        <w:rPr>
          <w:rFonts w:ascii="Arial" w:cs="Arial" w:eastAsia="Arial" w:hAnsi="Arial"/>
          <w:sz w:val="18"/>
          <w:szCs w:val="18"/>
          <w:b w:val="1"/>
          <w:bCs w:val="1"/>
          <w:color w:val="auto"/>
        </w:rPr>
        <w:t>(David A. Zinsner)</w:t>
      </w:r>
    </w:p>
    <w:p>
      <w:pPr>
        <w:spacing w:after="0" w:line="45"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60"/>
          </w:cols>
          <w:pgMar w:left="320" w:top="931" w:right="5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Mehrotra and David A. Zinsner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spacing w:after="0" w:line="23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2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Title</w:t>
            </w:r>
          </w:p>
        </w:tc>
        <w:tc>
          <w:tcPr>
            <w:tcW w:w="1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2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Sanjay Mehrotra</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President and</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(Sanjay Mehrotra)</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Chief Executive Officer and Director</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0"/>
        </w:trPr>
        <w:tc>
          <w:tcPr>
            <w:tcW w:w="2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(Principal Executive Officer)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David A. Zinsner</w:t>
            </w:r>
          </w:p>
        </w:tc>
        <w:tc>
          <w:tcPr>
            <w:tcW w:w="36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Senior Vice President and</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(David A. Zinsner)</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rPr>
              <w:t>Chief Financial Officer</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0"/>
        </w:trPr>
        <w:tc>
          <w:tcPr>
            <w:tcW w:w="2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(Principal Financial Officer)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5"/>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Scott Allen</w:t>
            </w:r>
          </w:p>
        </w:tc>
        <w:tc>
          <w:tcPr>
            <w:tcW w:w="36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Corporate Vice President and</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(Scott Allen)</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Chief Accounting Officer</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0"/>
        </w:trPr>
        <w:tc>
          <w:tcPr>
            <w:tcW w:w="2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rPr>
              <w:t>(Principal Accounting Officer)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5"/>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Richard M. Beyer</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rPr>
              <w:t>(Richard M. Beyer)</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Lynn Dugle</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(Lynn Dugle)</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Steve Gomo</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(Steve Gomo)</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Linnie Haynesworth</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(Linnie Haynesworth)</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 Pat McCarthy</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 Pat McCarthy)</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E. Switz</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rPr>
              <w:t>Chairman of the Board</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rPr>
              <w:t>(Robert E. Switz)</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6"/>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MaryAnn Wright</w:t>
            </w:r>
          </w:p>
        </w:tc>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May 5, 2021</w:t>
            </w:r>
          </w:p>
        </w:tc>
      </w:tr>
      <w:tr>
        <w:trPr>
          <w:trHeight w:val="232"/>
        </w:trPr>
        <w:tc>
          <w:tcPr>
            <w:tcW w:w="5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(MaryAnn Wright)</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[LETTERHEAD OF WILSON SONSINI GOODRICH &amp; ROSATI, PC]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5, 2021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Micron Technology, Inc.</w:t>
      </w:r>
    </w:p>
    <w:p>
      <w:pPr>
        <w:spacing w:after="0"/>
        <w:rPr>
          <w:sz w:val="20"/>
          <w:szCs w:val="20"/>
          <w:color w:val="auto"/>
        </w:rPr>
      </w:pPr>
      <w:r>
        <w:rPr>
          <w:rFonts w:ascii="Arial" w:cs="Arial" w:eastAsia="Arial" w:hAnsi="Arial"/>
          <w:sz w:val="20"/>
          <w:szCs w:val="20"/>
          <w:color w:val="auto"/>
        </w:rPr>
        <w:t>8000 South Federal Way</w:t>
      </w:r>
    </w:p>
    <w:p>
      <w:pPr>
        <w:spacing w:after="0"/>
        <w:rPr>
          <w:sz w:val="20"/>
          <w:szCs w:val="20"/>
          <w:color w:val="auto"/>
        </w:rPr>
      </w:pPr>
      <w:r>
        <w:rPr>
          <w:rFonts w:ascii="Arial" w:cs="Arial" w:eastAsia="Arial" w:hAnsi="Arial"/>
          <w:sz w:val="20"/>
          <w:szCs w:val="20"/>
          <w:color w:val="auto"/>
        </w:rPr>
        <w:t>Boise, Idaho 83716-9632</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9"/>
          <w:szCs w:val="19"/>
          <w:b w:val="1"/>
          <w:bCs w:val="1"/>
          <w:color w:val="auto"/>
        </w:rPr>
        <w:t>Registration Statement on Form S-8</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240" w:firstLine="648"/>
        <w:spacing w:after="0"/>
        <w:rPr>
          <w:sz w:val="20"/>
          <w:szCs w:val="20"/>
          <w:color w:val="auto"/>
        </w:rPr>
      </w:pPr>
      <w:r>
        <w:rPr>
          <w:rFonts w:ascii="Arial" w:cs="Arial" w:eastAsia="Arial" w:hAnsi="Arial"/>
          <w:sz w:val="20"/>
          <w:szCs w:val="20"/>
          <w:color w:val="auto"/>
        </w:rPr>
        <w:t>At your request, we are rendering this opinion in connection with the Registration Statement on Form S-8 to be filed by Micron Technology, Inc., a Delaware corporation (the “Company”), with the U.S. Securities and Exchange Commission (the “SEC”) on or about May 5, 2021 (the “Registration Statement”) for the proposed issuance of up to (a) 35 million additional shares of common stock, $ 0.10 par value per share, of the Company (the “Additional Shares”) pursuant to the Micron Technology, Inc. Amended and Restated 2007 Equity Incentive Plan (the “Equity Plan”), and (b) $65,000,000 of deferred compensation obligations of the Company (the “Obligations”) pursuant to the Micron Technology, Inc. Deferred Compensation Plan (the “Deferred Compensation Plan”).</w:t>
      </w:r>
    </w:p>
    <w:p>
      <w:pPr>
        <w:spacing w:after="0" w:line="240" w:lineRule="exact"/>
        <w:rPr>
          <w:sz w:val="20"/>
          <w:szCs w:val="20"/>
          <w:color w:val="auto"/>
        </w:rPr>
      </w:pPr>
    </w:p>
    <w:p>
      <w:pPr>
        <w:ind w:right="40" w:firstLine="648"/>
        <w:spacing w:after="0"/>
        <w:rPr>
          <w:sz w:val="20"/>
          <w:szCs w:val="20"/>
          <w:color w:val="auto"/>
        </w:rPr>
      </w:pPr>
      <w:r>
        <w:rPr>
          <w:rFonts w:ascii="Arial" w:cs="Arial" w:eastAsia="Arial" w:hAnsi="Arial"/>
          <w:sz w:val="20"/>
          <w:szCs w:val="20"/>
          <w:color w:val="auto"/>
        </w:rPr>
        <w:t>We have examined and relied, to the extent we deem proper, on certificates of the Company as to factual matters, and on the originals or copies certified or otherwise identified to our satisfaction, of all such corporate records of the Company and such other instruments, documents, and records that we have deemed relevant and necessary for the basis of our opinion hereinafter expressed. In such examination, we have assumed the genuineness of all signatures, the legal capacity of natural persons, the authenticity of all documents submitted to us as originals, the conformity to the originals of all documents submitted to us as copies, and the truth, accuracy and completeness of the information, representations and warranties contained in the records, documents, instruments and certificates we have reviewed.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Based on such examination, we are of the opinion that following the filing of the Registration Statement:</w:t>
      </w:r>
    </w:p>
    <w:p>
      <w:pPr>
        <w:spacing w:after="0" w:line="243" w:lineRule="exact"/>
        <w:rPr>
          <w:sz w:val="20"/>
          <w:szCs w:val="20"/>
          <w:color w:val="auto"/>
        </w:rPr>
      </w:pPr>
    </w:p>
    <w:p>
      <w:pPr>
        <w:ind w:right="460" w:firstLine="656"/>
        <w:spacing w:after="0" w:line="246" w:lineRule="auto"/>
        <w:tabs>
          <w:tab w:leader="none" w:pos="94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Additional Shares to be issued by the Company pursuant to the Equity Plan are validly authorized and, when issued in accordance with the terms of the Equity Plan, will be legally issued, fully paid and non-assessable; and</w:t>
      </w:r>
    </w:p>
    <w:p>
      <w:pPr>
        <w:spacing w:after="0" w:line="230" w:lineRule="exact"/>
        <w:rPr>
          <w:rFonts w:ascii="Arial" w:cs="Arial" w:eastAsia="Arial" w:hAnsi="Arial"/>
          <w:sz w:val="20"/>
          <w:szCs w:val="20"/>
          <w:color w:val="auto"/>
        </w:rPr>
      </w:pPr>
    </w:p>
    <w:p>
      <w:pPr>
        <w:ind w:right="280" w:firstLine="656"/>
        <w:spacing w:after="0" w:line="246" w:lineRule="auto"/>
        <w:tabs>
          <w:tab w:leader="none" w:pos="94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Obligations, when issued in accordance with the terms of the Deferred Compensation Plan, will be legally valid and binding obligations of the Company, enforceable in accordance with their terms.</w:t>
      </w:r>
    </w:p>
    <w:p>
      <w:pPr>
        <w:sectPr>
          <w:pgSz w:w="11900" w:h="16838" w:orient="portrait"/>
          <w:cols w:equalWidth="0" w:num="1">
            <w:col w:w="11240"/>
          </w:cols>
          <w:pgMar w:left="320" w:top="59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Micron Technology, Inc.</w:t>
      </w:r>
    </w:p>
    <w:p>
      <w:pPr>
        <w:spacing w:after="0"/>
        <w:rPr>
          <w:sz w:val="20"/>
          <w:szCs w:val="20"/>
          <w:color w:val="auto"/>
        </w:rPr>
      </w:pPr>
      <w:r>
        <w:rPr>
          <w:rFonts w:ascii="Arial" w:cs="Arial" w:eastAsia="Arial" w:hAnsi="Arial"/>
          <w:sz w:val="20"/>
          <w:szCs w:val="20"/>
          <w:color w:val="auto"/>
        </w:rPr>
        <w:t>May 5,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99"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color w:val="auto"/>
        </w:rPr>
        <w:t>We hereby consent to the filing of this opinion as an exhibit to the Registration Statement and to the use of our name wherever it appears in the Registration Statement. In giving such consent, we do not consider that we are “experts” within the meaning of such term as used in the Securities Act of 1933, as amended, or the rules and regulations of the SEC issued thereunder, with respect to any part of the Registration Statement, including this opinion as an exhibit or otherwise.</w:t>
      </w:r>
    </w:p>
    <w:p>
      <w:pPr>
        <w:spacing w:after="0" w:line="23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16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WILSON SONSINI GOODRICH &amp; ROSATI,</w:t>
      </w:r>
    </w:p>
    <w:p>
      <w:pPr>
        <w:ind w:left="4540"/>
        <w:spacing w:after="0"/>
        <w:rPr>
          <w:sz w:val="20"/>
          <w:szCs w:val="20"/>
          <w:color w:val="auto"/>
        </w:rPr>
      </w:pPr>
      <w:r>
        <w:rPr>
          <w:rFonts w:ascii="Arial" w:cs="Arial" w:eastAsia="Arial" w:hAnsi="Arial"/>
          <w:sz w:val="20"/>
          <w:szCs w:val="20"/>
          <w:color w:val="auto"/>
        </w:rPr>
        <w:t>Professional Corporation</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Wilson Sonsini Goodrich &amp; Rosati</w:t>
      </w:r>
    </w:p>
    <w:p>
      <w:pPr>
        <w:sectPr>
          <w:pgSz w:w="11900" w:h="16838" w:orient="portrait"/>
          <w:cols w:equalWidth="0" w:num="1">
            <w:col w:w="10960"/>
          </w:cols>
          <w:pgMar w:left="320" w:top="378" w:right="61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We hereby consent to the incorporation by reference in this Registration Statement on Form S-8 of Micron Technology, Inc. of our report dated October 19, 2020 relating to the financial statements, financial statement schedule and the effectiveness of internal control over financial reporting, which appears in Micron Technology, Inc.’s Annual Report on Form 10-K for the year ended September 3, 2020.</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rPr>
          <w:sz w:val="20"/>
          <w:szCs w:val="20"/>
          <w:color w:val="auto"/>
        </w:rPr>
      </w:pPr>
      <w:r>
        <w:rPr>
          <w:rFonts w:ascii="Arial" w:cs="Arial" w:eastAsia="Arial" w:hAnsi="Arial"/>
          <w:sz w:val="20"/>
          <w:szCs w:val="20"/>
          <w:color w:val="auto"/>
        </w:rPr>
        <w:t>May 5, 2021</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17" Type="http://schemas.openxmlformats.org/officeDocument/2006/relationships/hyperlink" Target="https://www.sec.gov/Archives/edgar/data/723125/000072312520000082/mu-20200903.htm" TargetMode="External"/><Relationship Id="rId18" Type="http://schemas.openxmlformats.org/officeDocument/2006/relationships/hyperlink" Target="https://www.sec.gov/Archives/edgar/data/723125/000072312509000145/form8a12b-nasdaq.htm" TargetMode="External"/><Relationship Id="rId19" Type="http://schemas.openxmlformats.org/officeDocument/2006/relationships/hyperlink" Target="https://www.sec.gov/Archives/edgar/data/723125/000110465915004447/a15-3005_2ex99d2.htm" TargetMode="External"/><Relationship Id="rId20" Type="http://schemas.openxmlformats.org/officeDocument/2006/relationships/hyperlink" Target="https://www.sec.gov/Archives/edgar/data/723125/000072312521000018/exhibit31-amendedandrestat.htm" TargetMode="External"/><Relationship Id="rId21" Type="http://schemas.openxmlformats.org/officeDocument/2006/relationships/hyperlink" Target="https://www.sec.gov/Archives/edgar/data/723125/000072312520000091/a2020definitiveproxy.htm#i9efa54f8cda348dca7e1a84d2a2067d2_917" TargetMode="External"/><Relationship Id="rId22" Type="http://schemas.openxmlformats.org/officeDocument/2006/relationships/hyperlink" Target="https://www.sec.gov/Archives/edgar/data/723125/000072312516000269/a2016q4ex1092007termsandco.htm" TargetMode="External"/><Relationship Id="rId23" Type="http://schemas.openxmlformats.org/officeDocument/2006/relationships/hyperlink" Target="https://www.sec.gov/Archives/edgar/data/723125/000072312521000032/exhibit1015-deferredcomp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2021-05-05T16:05:55Z</dcterms:created>
  <dcterms:modified xsi:type="dcterms:W3CDTF">2021-05-05T16:05:55Z</dcterms:modified>
</cp:coreProperties>
</file>