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260350</wp:posOffset>
            </wp:positionH>
            <wp:positionV relativeFrom="page">
              <wp:posOffset>835025</wp:posOffset>
            </wp:positionV>
            <wp:extent cx="70408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860425</wp:posOffset>
            </wp:positionV>
            <wp:extent cx="70408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8-K/A</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16,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45085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1-10658</w:t>
            </w:r>
          </w:p>
        </w:tc>
        <w:tc>
          <w:tcPr>
            <w:tcW w:w="402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6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4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402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20320</wp:posOffset>
            </wp:positionV>
            <wp:extent cx="3302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20320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7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Trading symbol</w:t>
            </w:r>
          </w:p>
        </w:tc>
        <w:tc>
          <w:tcPr>
            <w:tcW w:w="120" w:type="dxa"/>
            <w:vAlign w:val="bottom"/>
          </w:tcPr>
          <w:p>
            <w:pPr>
              <w:spacing w:after="0"/>
              <w:rPr>
                <w:sz w:val="24"/>
                <w:szCs w:val="2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70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Common Stock, par value $0.10 per share</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MU</w:t>
            </w:r>
          </w:p>
        </w:tc>
        <w:tc>
          <w:tcPr>
            <w:tcW w:w="48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ind w:right="18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1"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7040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48260</wp:posOffset>
            </wp:positionV>
            <wp:extent cx="7040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6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This Form 8-K/A is being filed as an amendment (the “Amendment”) to the Current Report on Form 8-K filed by Micron Technology, Inc. (the “Company”) with the Securities and Exchange Commission on January 23, 2020 (the “Original Form 8-K”). This Amendment is being filed solely to correct the effective date of the amendment and restatement of the Company’s bylaws as set forth in the Original Form 8-K.</w:t>
      </w:r>
    </w:p>
    <w:p>
      <w:pPr>
        <w:spacing w:after="0" w:line="262"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 to Articles of Incorporation or Bylaws; Change in Fiscal Year.</w:t>
      </w:r>
    </w:p>
    <w:p>
      <w:pPr>
        <w:spacing w:after="0" w:line="200" w:lineRule="exact"/>
        <w:rPr>
          <w:sz w:val="20"/>
          <w:szCs w:val="20"/>
          <w:color w:val="auto"/>
        </w:rPr>
      </w:pPr>
    </w:p>
    <w:p>
      <w:pPr>
        <w:spacing w:after="0" w:line="29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On January 16, 2020, the Company's Board of Directors amended and restated the Company's bylaws (the “Amended and Restated Bylaws”) to decrease the size of the Board of Directors from eight to seven. This description of the amendment to the Company's bylaws is qualified in its entirety by reference to the text of the Amended and Restated Bylaws filed as Exhibit 99.1 to this report.</w:t>
      </w:r>
    </w:p>
    <w:p>
      <w:pPr>
        <w:spacing w:after="0" w:line="342"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3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Company’s Fiscal 2019 Annual Meeting of Shareholders was held on January 16, 2020. At the meeting, the following proposals were submitted to a vote of the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Name of Nominee</w:t>
            </w:r>
          </w:p>
        </w:tc>
        <w:tc>
          <w:tcPr>
            <w:tcW w:w="4180" w:type="dxa"/>
            <w:vAlign w:val="bottom"/>
            <w:tcBorders>
              <w:bottom w:val="single" w:sz="8" w:color="0090DA"/>
            </w:tcBorders>
          </w:tcPr>
          <w:p>
            <w:pPr>
              <w:jc w:val="right"/>
              <w:ind w:right="610"/>
              <w:spacing w:after="0"/>
              <w:rPr>
                <w:sz w:val="20"/>
                <w:szCs w:val="20"/>
                <w:color w:val="auto"/>
              </w:rPr>
            </w:pPr>
            <w:r>
              <w:rPr>
                <w:rFonts w:ascii="Arial" w:cs="Arial" w:eastAsia="Arial" w:hAnsi="Arial"/>
                <w:sz w:val="18"/>
                <w:szCs w:val="18"/>
                <w:b w:val="1"/>
                <w:bCs w:val="1"/>
                <w:color w:val="auto"/>
              </w:rPr>
              <w:t>For</w:t>
            </w:r>
          </w:p>
        </w:tc>
        <w:tc>
          <w:tcPr>
            <w:tcW w:w="14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Against</w:t>
            </w:r>
          </w:p>
        </w:tc>
        <w:tc>
          <w:tcPr>
            <w:tcW w:w="132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Abstain</w:t>
            </w:r>
          </w:p>
        </w:tc>
      </w:tr>
      <w:tr>
        <w:trPr>
          <w:trHeight w:val="41"/>
        </w:trPr>
        <w:tc>
          <w:tcPr>
            <w:tcW w:w="4480" w:type="dxa"/>
            <w:vAlign w:val="bottom"/>
          </w:tcPr>
          <w:p>
            <w:pPr>
              <w:spacing w:after="0"/>
              <w:rPr>
                <w:sz w:val="3"/>
                <w:szCs w:val="3"/>
                <w:color w:val="auto"/>
              </w:rPr>
            </w:pPr>
          </w:p>
        </w:tc>
        <w:tc>
          <w:tcPr>
            <w:tcW w:w="4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7"/>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Robert L. Bailey</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766,337,642</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25,946,540</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1,004,772</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4180" w:type="dxa"/>
            <w:vAlign w:val="bottom"/>
          </w:tcPr>
          <w:p>
            <w:pPr>
              <w:jc w:val="right"/>
              <w:ind w:right="190"/>
              <w:spacing w:after="0"/>
              <w:rPr>
                <w:sz w:val="20"/>
                <w:szCs w:val="20"/>
                <w:color w:val="auto"/>
              </w:rPr>
            </w:pPr>
            <w:r>
              <w:rPr>
                <w:rFonts w:ascii="Arial" w:cs="Arial" w:eastAsia="Arial" w:hAnsi="Arial"/>
                <w:sz w:val="18"/>
                <w:szCs w:val="18"/>
                <w:color w:val="auto"/>
              </w:rPr>
              <w:t>769,499,869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22,766,463</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1,022,622</w:t>
            </w:r>
          </w:p>
        </w:tc>
      </w:tr>
      <w:tr>
        <w:trPr>
          <w:trHeight w:val="26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Steven J. Gomo</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781,571,709</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10,669,409</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1,047,836</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4180" w:type="dxa"/>
            <w:vAlign w:val="bottom"/>
          </w:tcPr>
          <w:p>
            <w:pPr>
              <w:jc w:val="right"/>
              <w:ind w:right="190"/>
              <w:spacing w:after="0"/>
              <w:rPr>
                <w:sz w:val="20"/>
                <w:szCs w:val="20"/>
                <w:color w:val="auto"/>
              </w:rPr>
            </w:pPr>
            <w:r>
              <w:rPr>
                <w:rFonts w:ascii="Arial" w:cs="Arial" w:eastAsia="Arial" w:hAnsi="Arial"/>
                <w:sz w:val="18"/>
                <w:szCs w:val="18"/>
                <w:color w:val="auto"/>
              </w:rPr>
              <w:t>785,115,317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7,166,858</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1,006,779</w:t>
            </w:r>
          </w:p>
        </w:tc>
      </w:tr>
      <w:tr>
        <w:trPr>
          <w:trHeight w:val="26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790,342,040</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1,989,355</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957,559</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4180" w:type="dxa"/>
            <w:vAlign w:val="bottom"/>
          </w:tcPr>
          <w:p>
            <w:pPr>
              <w:jc w:val="right"/>
              <w:ind w:right="190"/>
              <w:spacing w:after="0"/>
              <w:rPr>
                <w:sz w:val="20"/>
                <w:szCs w:val="20"/>
                <w:color w:val="auto"/>
              </w:rPr>
            </w:pPr>
            <w:r>
              <w:rPr>
                <w:rFonts w:ascii="Arial" w:cs="Arial" w:eastAsia="Arial" w:hAnsi="Arial"/>
                <w:sz w:val="18"/>
                <w:szCs w:val="18"/>
                <w:color w:val="auto"/>
              </w:rPr>
              <w:t>761,024,337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31,237,581</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1,027,036</w:t>
            </w:r>
          </w:p>
        </w:tc>
      </w:tr>
      <w:tr>
        <w:trPr>
          <w:trHeight w:val="26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MaryAnn Wright</w:t>
            </w:r>
          </w:p>
        </w:tc>
        <w:tc>
          <w:tcPr>
            <w:tcW w:w="41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775,539,201</w:t>
            </w:r>
          </w:p>
        </w:tc>
        <w:tc>
          <w:tcPr>
            <w:tcW w:w="144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16,742,317</w:t>
            </w:r>
          </w:p>
        </w:tc>
        <w:tc>
          <w:tcPr>
            <w:tcW w:w="1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1,007,436</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proposal by the Company to approve a non-binding resolution to approve the compensation of our Named Executive Officers as described in the Company’s proxy statement was approved with 743,253,341 votes in favor, 48,276,581 votes against, and 1,759,032 abstentions.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7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September 3, 2020, was approved with 879,504,516 votes in favor, 55,487,786 votes against, and 1,625,489 abstentions.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642"/>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9800" w:type="dxa"/>
            <w:vAlign w:val="bottom"/>
            <w:gridSpan w:val="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7"/>
        </w:trPr>
        <w:tc>
          <w:tcPr>
            <w:tcW w:w="1360" w:type="dxa"/>
            <w:vAlign w:val="bottom"/>
            <w:tcBorders>
              <w:top w:val="single" w:sz="8" w:color="auto"/>
              <w:bottom w:val="single" w:sz="8" w:color="D1D2D4"/>
            </w:tcBorders>
            <w:shd w:val="clear" w:color="auto" w:fill="D1D2D4"/>
          </w:tcPr>
          <w:p>
            <w:pPr>
              <w:jc w:val="right"/>
              <w:ind w:right="410"/>
              <w:spacing w:after="0"/>
              <w:rPr>
                <w:sz w:val="20"/>
                <w:szCs w:val="20"/>
                <w:color w:val="auto"/>
              </w:rPr>
            </w:pPr>
            <w:r>
              <w:rPr>
                <w:rFonts w:ascii="Arial" w:cs="Arial" w:eastAsia="Arial" w:hAnsi="Arial"/>
                <w:sz w:val="18"/>
                <w:szCs w:val="18"/>
                <w:color w:val="auto"/>
              </w:rPr>
              <w:t>99.1</w:t>
            </w:r>
          </w:p>
        </w:tc>
        <w:tc>
          <w:tcPr>
            <w:tcW w:w="260" w:type="dxa"/>
            <w:vAlign w:val="bottom"/>
            <w:tcBorders>
              <w:top w:val="single" w:sz="8" w:color="D1D2D4"/>
              <w:bottom w:val="single" w:sz="8" w:color="D1D2D4"/>
            </w:tcBorders>
            <w:shd w:val="clear" w:color="auto" w:fill="D1D2D4"/>
          </w:tcPr>
          <w:p>
            <w:pPr>
              <w:spacing w:after="0"/>
              <w:rPr>
                <w:sz w:val="20"/>
                <w:szCs w:val="20"/>
                <w:color w:val="auto"/>
              </w:rPr>
            </w:pPr>
          </w:p>
        </w:tc>
        <w:tc>
          <w:tcPr>
            <w:tcW w:w="20" w:type="dxa"/>
            <w:vAlign w:val="bottom"/>
            <w:tcBorders>
              <w:top w:val="single" w:sz="8" w:color="auto"/>
              <w:bottom w:val="single" w:sz="8" w:color="D1D2D4"/>
            </w:tcBorders>
            <w:shd w:val="clear" w:color="auto" w:fill="D1D2D4"/>
          </w:tcPr>
          <w:p>
            <w:pPr>
              <w:spacing w:after="0"/>
              <w:rPr>
                <w:sz w:val="20"/>
                <w:szCs w:val="20"/>
                <w:color w:val="auto"/>
              </w:rPr>
            </w:pPr>
          </w:p>
        </w:tc>
        <w:tc>
          <w:tcPr>
            <w:tcW w:w="4400" w:type="dxa"/>
            <w:vAlign w:val="bottom"/>
            <w:tcBorders>
              <w:top w:val="single" w:sz="8" w:color="auto"/>
              <w:bottom w:val="single" w:sz="8" w:color="0000FF"/>
            </w:tcBorders>
            <w:shd w:val="clear" w:color="auto" w:fill="D1D2D4"/>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Amended and Restated Bylaws as of January 16, 2020</w:t>
              </w:r>
            </w:hyperlink>
          </w:p>
        </w:tc>
        <w:tc>
          <w:tcPr>
            <w:tcW w:w="5360" w:type="dxa"/>
            <w:vAlign w:val="bottom"/>
            <w:tcBorders>
              <w:top w:val="single" w:sz="8" w:color="auto"/>
              <w:bottom w:val="single" w:sz="8" w:color="D1D2D4"/>
            </w:tcBorders>
            <w:shd w:val="clear" w:color="auto" w:fill="D1D2D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9800" w:type="dxa"/>
            <w:vAlign w:val="bottom"/>
            <w:gridSpan w:val="4"/>
          </w:tcPr>
          <w:p>
            <w:pPr>
              <w:ind w:left="20"/>
              <w:spacing w:after="0"/>
              <w:rPr>
                <w:sz w:val="20"/>
                <w:szCs w:val="20"/>
                <w:color w:val="auto"/>
              </w:rPr>
            </w:pPr>
            <w:r>
              <w:rPr>
                <w:rFonts w:ascii="Arial" w:cs="Arial" w:eastAsia="Arial" w:hAnsi="Arial"/>
                <w:sz w:val="18"/>
                <w:szCs w:val="18"/>
                <w:color w:val="auto"/>
              </w:rPr>
              <w:t>Cover Page Interactive File (formatted as Inline XBRL)</w:t>
            </w:r>
          </w:p>
        </w:tc>
      </w:tr>
      <w:tr>
        <w:trPr>
          <w:trHeight w:val="1250"/>
        </w:trPr>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7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7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80"/>
              <w:spacing w:after="0"/>
              <w:rPr>
                <w:sz w:val="20"/>
                <w:szCs w:val="20"/>
                <w:color w:val="auto"/>
              </w:rPr>
            </w:pPr>
            <w:r>
              <w:rPr>
                <w:rFonts w:ascii="Arial" w:cs="Arial" w:eastAsia="Arial" w:hAnsi="Arial"/>
                <w:sz w:val="18"/>
                <w:szCs w:val="18"/>
                <w:color w:val="auto"/>
              </w:rPr>
              <w:t>January 23, 2020</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6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6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88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as of January 16,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Registered Office.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Other Offices.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Place of Meetings.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Annual Meeting.</w:t>
      </w:r>
    </w:p>
    <w:p>
      <w:pPr>
        <w:spacing w:after="0" w:line="256"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Notice of Stockholder Meeting.</w:t>
      </w:r>
    </w:p>
    <w:p>
      <w:pPr>
        <w:spacing w:after="0" w:line="25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List of Stockholders Entitled to Vote.</w:t>
      </w:r>
    </w:p>
    <w:p>
      <w:pPr>
        <w:spacing w:after="0" w:line="25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91" w:right="239" w:bottom="1440" w:gutter="0" w:footer="0" w:header="0"/>
        </w:sectPr>
      </w:pPr>
    </w:p>
    <w:bookmarkStart w:id="4" w:name="page5"/>
    <w:bookmarkEnd w:id="4"/>
    <w:p>
      <w:pPr>
        <w:ind w:right="160"/>
        <w:spacing w:after="0" w:line="312" w:lineRule="auto"/>
        <w:rPr>
          <w:sz w:val="20"/>
          <w:szCs w:val="20"/>
          <w:color w:val="auto"/>
        </w:rPr>
      </w:pPr>
      <w:r>
        <w:rPr>
          <w:rFonts w:ascii="Arial" w:cs="Arial" w:eastAsia="Arial" w:hAnsi="Arial"/>
          <w:sz w:val="16"/>
          <w:szCs w:val="16"/>
          <w:color w:val="auto"/>
        </w:rPr>
        <w:t>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Special Meetings.</w:t>
      </w:r>
    </w:p>
    <w:p>
      <w:pPr>
        <w:spacing w:after="0" w:line="256" w:lineRule="exact"/>
        <w:rPr>
          <w:sz w:val="20"/>
          <w:szCs w:val="20"/>
          <w:color w:val="auto"/>
        </w:rPr>
      </w:pPr>
    </w:p>
    <w:p>
      <w:pPr>
        <w:ind w:firstLine="656"/>
        <w:spacing w:after="0" w:line="286" w:lineRule="auto"/>
        <w:tabs>
          <w:tab w:leader="none" w:pos="893"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201" w:lineRule="exact"/>
        <w:rPr>
          <w:rFonts w:ascii="Arial" w:cs="Arial" w:eastAsia="Arial" w:hAnsi="Arial"/>
          <w:sz w:val="16"/>
          <w:szCs w:val="16"/>
          <w:color w:val="auto"/>
        </w:rPr>
      </w:pPr>
    </w:p>
    <w:p>
      <w:pPr>
        <w:ind w:right="40" w:firstLine="656"/>
        <w:spacing w:after="0" w:line="342" w:lineRule="auto"/>
        <w:tabs>
          <w:tab w:leader="none" w:pos="903" w:val="left"/>
        </w:tabs>
        <w:numPr>
          <w:ilvl w:val="0"/>
          <w:numId w:val="2"/>
        </w:numPr>
        <w:rPr>
          <w:rFonts w:ascii="Arial" w:cs="Arial" w:eastAsia="Arial" w:hAnsi="Arial"/>
          <w:sz w:val="16"/>
          <w:szCs w:val="16"/>
          <w:color w:val="auto"/>
        </w:rPr>
      </w:pPr>
      <w:r>
        <w:rPr>
          <w:rFonts w:ascii="Arial" w:cs="Arial" w:eastAsia="Arial" w:hAnsi="Arial"/>
          <w:sz w:val="16"/>
          <w:szCs w:val="16"/>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Quorum.</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Adjourned Meeting Notice.</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Proxies.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95" w:right="2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Reserved.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Action by Written Consent.</w:t>
      </w:r>
    </w:p>
    <w:p>
      <w:pPr>
        <w:spacing w:after="0" w:line="256" w:lineRule="exact"/>
        <w:rPr>
          <w:sz w:val="20"/>
          <w:szCs w:val="20"/>
          <w:color w:val="auto"/>
        </w:rPr>
      </w:pPr>
    </w:p>
    <w:p>
      <w:pPr>
        <w:ind w:firstLine="656"/>
        <w:spacing w:after="0" w:line="288"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96" w:lineRule="exact"/>
        <w:rPr>
          <w:rFonts w:ascii="Arial" w:cs="Arial" w:eastAsia="Arial" w:hAnsi="Arial"/>
          <w:sz w:val="16"/>
          <w:szCs w:val="16"/>
          <w:color w:val="auto"/>
        </w:rPr>
      </w:pPr>
    </w:p>
    <w:p>
      <w:pPr>
        <w:ind w:right="20" w:firstLine="656"/>
        <w:spacing w:after="0" w:line="268"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Unless otherwise restricted by the Certificate of Incorporation, in order that the corporation may determine the stockholders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210" w:lineRule="exact"/>
        <w:rPr>
          <w:rFonts w:ascii="Arial" w:cs="Arial" w:eastAsia="Arial" w:hAnsi="Arial"/>
          <w:sz w:val="17"/>
          <w:szCs w:val="17"/>
          <w:color w:val="auto"/>
        </w:rPr>
      </w:pPr>
    </w:p>
    <w:p>
      <w:pPr>
        <w:ind w:right="40" w:firstLine="656"/>
        <w:spacing w:after="0" w:line="288"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6" w:lineRule="exact"/>
        <w:rPr>
          <w:rFonts w:ascii="Arial" w:cs="Arial" w:eastAsia="Arial" w:hAnsi="Arial"/>
          <w:sz w:val="16"/>
          <w:szCs w:val="16"/>
          <w:color w:val="auto"/>
        </w:rPr>
      </w:pPr>
    </w:p>
    <w:p>
      <w:pPr>
        <w:ind w:right="200" w:firstLine="656"/>
        <w:spacing w:after="0" w:line="279"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 consent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95"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color w:val="auto"/>
        </w:rPr>
        <w:t>Section 11. Advance Notice of Stockholder Nominees, Proxy Access and Stockholder Business.</w:t>
      </w:r>
    </w:p>
    <w:p>
      <w:pPr>
        <w:spacing w:after="0" w:line="256" w:lineRule="exact"/>
        <w:rPr>
          <w:sz w:val="20"/>
          <w:szCs w:val="20"/>
          <w:color w:val="auto"/>
        </w:rPr>
      </w:pPr>
    </w:p>
    <w:p>
      <w:pPr>
        <w:ind w:right="320" w:firstLine="656"/>
        <w:spacing w:after="0" w:line="342" w:lineRule="auto"/>
        <w:tabs>
          <w:tab w:leader="none" w:pos="883"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50" w:lineRule="exact"/>
        <w:rPr>
          <w:rFonts w:ascii="Arial" w:cs="Arial" w:eastAsia="Arial" w:hAnsi="Arial"/>
          <w:sz w:val="16"/>
          <w:szCs w:val="16"/>
          <w:color w:val="auto"/>
        </w:rPr>
      </w:pPr>
    </w:p>
    <w:p>
      <w:pPr>
        <w:ind w:left="1520" w:hanging="215"/>
        <w:spacing w:after="0"/>
        <w:tabs>
          <w:tab w:leader="none" w:pos="1520" w:val="left"/>
        </w:tabs>
        <w:numPr>
          <w:ilvl w:val="1"/>
          <w:numId w:val="4"/>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or any committee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37" w:lineRule="exact"/>
        <w:rPr>
          <w:rFonts w:ascii="Arial" w:cs="Arial" w:eastAsia="Arial" w:hAnsi="Arial"/>
          <w:sz w:val="16"/>
          <w:szCs w:val="16"/>
          <w:color w:val="auto"/>
        </w:rPr>
      </w:pPr>
    </w:p>
    <w:p>
      <w:pPr>
        <w:ind w:left="1560" w:hanging="255"/>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52" w:lineRule="exact"/>
        <w:rPr>
          <w:rFonts w:ascii="Arial" w:cs="Arial" w:eastAsia="Arial" w:hAnsi="Arial"/>
          <w:sz w:val="18"/>
          <w:szCs w:val="18"/>
          <w:color w:val="auto"/>
        </w:rPr>
      </w:pPr>
    </w:p>
    <w:p>
      <w:pPr>
        <w:ind w:left="660" w:firstLine="645"/>
        <w:spacing w:after="0" w:line="286" w:lineRule="auto"/>
        <w:tabs>
          <w:tab w:leader="none" w:pos="1623" w:val="left"/>
        </w:tabs>
        <w:numPr>
          <w:ilvl w:val="1"/>
          <w:numId w:val="4"/>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Article II, Section 11(a).</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Only persons who are nominated in accordance with the procedures set forth in Article II, Section 11(b) and (c) shall be eligible for election as directors.</w:t>
      </w:r>
    </w:p>
    <w:p>
      <w:pPr>
        <w:spacing w:after="0" w:line="264" w:lineRule="exact"/>
        <w:rPr>
          <w:sz w:val="20"/>
          <w:szCs w:val="20"/>
          <w:color w:val="auto"/>
        </w:rPr>
      </w:pPr>
    </w:p>
    <w:p>
      <w:pPr>
        <w:ind w:firstLine="656"/>
        <w:spacing w:after="0" w:line="255"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Article II, Section 11(a).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220" w:lineRule="exact"/>
        <w:rPr>
          <w:rFonts w:ascii="Arial" w:cs="Arial" w:eastAsia="Arial" w:hAnsi="Arial"/>
          <w:sz w:val="18"/>
          <w:szCs w:val="18"/>
          <w:color w:val="auto"/>
        </w:rPr>
      </w:pPr>
    </w:p>
    <w:p>
      <w:pPr>
        <w:ind w:left="1520" w:hanging="21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52" w:lineRule="exact"/>
        <w:rPr>
          <w:rFonts w:ascii="Arial" w:cs="Arial" w:eastAsia="Arial" w:hAnsi="Arial"/>
          <w:sz w:val="18"/>
          <w:szCs w:val="18"/>
          <w:color w:val="auto"/>
        </w:rPr>
      </w:pPr>
    </w:p>
    <w:p>
      <w:pPr>
        <w:ind w:left="660" w:right="20" w:firstLine="645"/>
        <w:spacing w:after="0" w:line="286" w:lineRule="auto"/>
        <w:tabs>
          <w:tab w:leader="none" w:pos="162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92" w:lineRule="exact"/>
        <w:rPr>
          <w:rFonts w:ascii="Arial" w:cs="Arial" w:eastAsia="Arial" w:hAnsi="Arial"/>
          <w:sz w:val="17"/>
          <w:szCs w:val="17"/>
          <w:color w:val="auto"/>
        </w:rPr>
      </w:pPr>
    </w:p>
    <w:p>
      <w:pPr>
        <w:ind w:left="660" w:firstLine="645"/>
        <w:spacing w:after="0" w:line="271" w:lineRule="auto"/>
        <w:tabs>
          <w:tab w:leader="none" w:pos="161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91" w:right="259" w:bottom="1440" w:gutter="0" w:footer="0" w:header="0"/>
        </w:sectPr>
      </w:pPr>
    </w:p>
    <w:bookmarkStart w:id="7" w:name="page8"/>
    <w:bookmarkEnd w:id="7"/>
    <w:p>
      <w:pPr>
        <w:ind w:left="660" w:firstLine="645"/>
        <w:spacing w:after="0" w:line="257" w:lineRule="auto"/>
        <w:tabs>
          <w:tab w:leader="none" w:pos="15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215" w:lineRule="exact"/>
        <w:rPr>
          <w:rFonts w:ascii="Arial" w:cs="Arial" w:eastAsia="Arial" w:hAnsi="Arial"/>
          <w:sz w:val="18"/>
          <w:szCs w:val="18"/>
          <w:color w:val="auto"/>
        </w:rPr>
      </w:pPr>
    </w:p>
    <w:p>
      <w:pPr>
        <w:ind w:left="660" w:right="20" w:firstLine="645"/>
        <w:spacing w:after="0" w:line="268" w:lineRule="auto"/>
        <w:tabs>
          <w:tab w:leader="none" w:pos="161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20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208" w:lineRule="exact"/>
        <w:rPr>
          <w:sz w:val="20"/>
          <w:szCs w:val="20"/>
          <w:color w:val="auto"/>
        </w:rPr>
      </w:pPr>
    </w:p>
    <w:p>
      <w:pPr>
        <w:ind w:right="140" w:firstLine="656"/>
        <w:spacing w:after="0" w:line="270" w:lineRule="auto"/>
        <w:tabs>
          <w:tab w:leader="none" w:pos="893" w:val="left"/>
        </w:tabs>
        <w:numPr>
          <w:ilvl w:val="0"/>
          <w:numId w:val="7"/>
        </w:numPr>
        <w:rPr>
          <w:rFonts w:ascii="Arial" w:cs="Arial" w:eastAsia="Arial" w:hAnsi="Arial"/>
          <w:sz w:val="17"/>
          <w:szCs w:val="17"/>
          <w:color w:val="auto"/>
        </w:rPr>
      </w:pPr>
      <w:r>
        <w:rPr>
          <w:rFonts w:ascii="Arial" w:cs="Arial" w:eastAsia="Arial" w:hAnsi="Arial"/>
          <w:sz w:val="17"/>
          <w:szCs w:val="17"/>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204" w:lineRule="exact"/>
        <w:rPr>
          <w:rFonts w:ascii="Arial" w:cs="Arial" w:eastAsia="Arial" w:hAnsi="Arial"/>
          <w:sz w:val="17"/>
          <w:szCs w:val="17"/>
          <w:color w:val="auto"/>
        </w:rPr>
      </w:pPr>
    </w:p>
    <w:p>
      <w:pPr>
        <w:ind w:right="160" w:firstLine="1305"/>
        <w:spacing w:after="0" w:line="272" w:lineRule="auto"/>
        <w:tabs>
          <w:tab w:leader="none" w:pos="1558"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204" w:lineRule="exact"/>
        <w:rPr>
          <w:rFonts w:ascii="Arial" w:cs="Arial" w:eastAsia="Arial" w:hAnsi="Arial"/>
          <w:sz w:val="17"/>
          <w:szCs w:val="17"/>
          <w:color w:val="auto"/>
        </w:rPr>
      </w:pPr>
    </w:p>
    <w:p>
      <w:pPr>
        <w:ind w:right="100" w:firstLine="1305"/>
        <w:spacing w:after="0" w:line="264" w:lineRule="auto"/>
        <w:tabs>
          <w:tab w:leader="none" w:pos="161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95" w:right="239" w:bottom="1440" w:gutter="0" w:footer="0" w:header="0"/>
        </w:sectPr>
      </w:pPr>
    </w:p>
    <w:bookmarkStart w:id="8" w:name="page9"/>
    <w:bookmarkEnd w:id="8"/>
    <w:p>
      <w:pPr>
        <w:ind w:right="100"/>
        <w:spacing w:after="0" w:line="259" w:lineRule="auto"/>
        <w:rPr>
          <w:sz w:val="20"/>
          <w:szCs w:val="20"/>
          <w:color w:val="auto"/>
        </w:rPr>
      </w:pPr>
      <w:r>
        <w:rPr>
          <w:rFonts w:ascii="Arial" w:cs="Arial" w:eastAsia="Arial" w:hAnsi="Arial"/>
          <w:sz w:val="18"/>
          <w:szCs w:val="18"/>
          <w:color w:val="auto"/>
        </w:rPr>
        <w:t>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214" w:lineRule="exact"/>
        <w:rPr>
          <w:sz w:val="20"/>
          <w:szCs w:val="20"/>
          <w:color w:val="auto"/>
        </w:rPr>
      </w:pPr>
    </w:p>
    <w:p>
      <w:pPr>
        <w:ind w:right="80" w:firstLine="1305"/>
        <w:spacing w:after="0" w:line="302" w:lineRule="auto"/>
        <w:tabs>
          <w:tab w:leader="none" w:pos="1598"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181" w:lineRule="exact"/>
        <w:rPr>
          <w:rFonts w:ascii="Arial" w:cs="Arial" w:eastAsia="Arial" w:hAnsi="Arial"/>
          <w:sz w:val="16"/>
          <w:szCs w:val="16"/>
          <w:color w:val="auto"/>
        </w:rPr>
      </w:pPr>
    </w:p>
    <w:p>
      <w:pPr>
        <w:ind w:right="40" w:firstLine="656"/>
        <w:spacing w:after="0" w:line="257" w:lineRule="auto"/>
        <w:tabs>
          <w:tab w:leader="none" w:pos="9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215" w:lineRule="exact"/>
        <w:rPr>
          <w:rFonts w:ascii="Arial" w:cs="Arial" w:eastAsia="Arial" w:hAnsi="Arial"/>
          <w:sz w:val="18"/>
          <w:szCs w:val="18"/>
          <w:color w:val="auto"/>
        </w:rPr>
      </w:pPr>
    </w:p>
    <w:p>
      <w:pPr>
        <w:ind w:right="140" w:firstLine="656"/>
        <w:spacing w:after="0" w:line="312" w:lineRule="auto"/>
        <w:tabs>
          <w:tab w:leader="none" w:pos="93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7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94" w:lineRule="exact"/>
        <w:rPr>
          <w:sz w:val="20"/>
          <w:szCs w:val="20"/>
          <w:color w:val="auto"/>
        </w:rPr>
      </w:pPr>
    </w:p>
    <w:p>
      <w:pPr>
        <w:ind w:firstLine="1305"/>
        <w:spacing w:after="0" w:line="268" w:lineRule="auto"/>
        <w:tabs>
          <w:tab w:leader="none" w:pos="15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895" w:right="279" w:bottom="1440" w:gutter="0" w:footer="0" w:header="0"/>
        </w:sectPr>
      </w:pPr>
    </w:p>
    <w:bookmarkStart w:id="9" w:name="page10"/>
    <w:bookmarkEnd w:id="9"/>
    <w:p>
      <w:pPr>
        <w:ind w:right="20" w:firstLine="1008"/>
        <w:spacing w:after="0" w:line="285" w:lineRule="auto"/>
        <w:rPr>
          <w:sz w:val="20"/>
          <w:szCs w:val="20"/>
          <w:color w:val="auto"/>
        </w:rPr>
      </w:pPr>
      <w:r>
        <w:rPr>
          <w:rFonts w:ascii="Arial" w:cs="Arial" w:eastAsia="Arial" w:hAnsi="Arial"/>
          <w:sz w:val="16"/>
          <w:szCs w:val="16"/>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202" w:lineRule="exact"/>
        <w:rPr>
          <w:sz w:val="20"/>
          <w:szCs w:val="20"/>
          <w:color w:val="auto"/>
        </w:rPr>
      </w:pPr>
    </w:p>
    <w:p>
      <w:pPr>
        <w:ind w:right="20" w:firstLine="1305"/>
        <w:spacing w:after="0" w:line="268" w:lineRule="auto"/>
        <w:tabs>
          <w:tab w:leader="none" w:pos="1598" w:val="left"/>
        </w:tabs>
        <w:numPr>
          <w:ilvl w:val="1"/>
          <w:numId w:val="11"/>
        </w:numPr>
        <w:rPr>
          <w:rFonts w:ascii="Arial" w:cs="Arial" w:eastAsia="Arial" w:hAnsi="Arial"/>
          <w:sz w:val="17"/>
          <w:szCs w:val="17"/>
          <w:color w:val="auto"/>
        </w:rPr>
      </w:pPr>
      <w:r>
        <w:rPr>
          <w:rFonts w:ascii="Arial" w:cs="Arial" w:eastAsia="Arial" w:hAnsi="Arial"/>
          <w:sz w:val="17"/>
          <w:szCs w:val="17"/>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210" w:lineRule="exact"/>
        <w:rPr>
          <w:rFonts w:ascii="Arial" w:cs="Arial" w:eastAsia="Arial" w:hAnsi="Arial"/>
          <w:sz w:val="17"/>
          <w:szCs w:val="17"/>
          <w:color w:val="auto"/>
        </w:rPr>
      </w:pPr>
    </w:p>
    <w:p>
      <w:pPr>
        <w:ind w:firstLine="1305"/>
        <w:spacing w:after="0" w:line="283" w:lineRule="auto"/>
        <w:tabs>
          <w:tab w:leader="none" w:pos="1648" w:val="left"/>
        </w:tabs>
        <w:numPr>
          <w:ilvl w:val="1"/>
          <w:numId w:val="11"/>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w:t>
      </w:r>
    </w:p>
    <w:p>
      <w:pPr>
        <w:spacing w:after="0" w:line="4" w:lineRule="exact"/>
        <w:rPr>
          <w:rFonts w:ascii="Arial" w:cs="Arial" w:eastAsia="Arial" w:hAnsi="Arial"/>
          <w:sz w:val="16"/>
          <w:szCs w:val="16"/>
          <w:color w:val="auto"/>
        </w:rPr>
      </w:pPr>
    </w:p>
    <w:p>
      <w:pPr>
        <w:ind w:right="40" w:firstLine="8"/>
        <w:spacing w:after="0" w:line="261" w:lineRule="auto"/>
        <w:tabs>
          <w:tab w:leader="none" w:pos="2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documentation satisfactory to the Company demonstrating that a group of funds are entitled to be treated as one stockholder or person for purposes of this Article II, Section 11(c); (D) a representation that the Eligible Stockholder (including each member of any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95" w:right="239" w:bottom="1440" w:gutter="0" w:footer="0" w:header="0"/>
        </w:sectPr>
      </w:pPr>
    </w:p>
    <w:bookmarkStart w:id="10" w:name="page11"/>
    <w:bookmarkEnd w:id="10"/>
    <w:p>
      <w:pPr>
        <w:spacing w:after="0" w:line="284" w:lineRule="auto"/>
        <w:rPr>
          <w:sz w:val="20"/>
          <w:szCs w:val="20"/>
          <w:color w:val="auto"/>
        </w:rPr>
      </w:pPr>
      <w:r>
        <w:rPr>
          <w:rFonts w:ascii="Arial" w:cs="Arial" w:eastAsia="Arial" w:hAnsi="Arial"/>
          <w:sz w:val="16"/>
          <w:szCs w:val="16"/>
          <w:color w:val="auto"/>
        </w:rPr>
        <w:t>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199" w:lineRule="exact"/>
        <w:rPr>
          <w:sz w:val="20"/>
          <w:szCs w:val="20"/>
          <w:color w:val="auto"/>
        </w:rPr>
      </w:pPr>
    </w:p>
    <w:p>
      <w:pPr>
        <w:ind w:right="80" w:firstLine="1305"/>
        <w:spacing w:after="0" w:line="302" w:lineRule="auto"/>
        <w:tabs>
          <w:tab w:leader="none" w:pos="16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81" w:lineRule="exact"/>
        <w:rPr>
          <w:rFonts w:ascii="Arial" w:cs="Arial" w:eastAsia="Arial" w:hAnsi="Arial"/>
          <w:sz w:val="16"/>
          <w:szCs w:val="16"/>
          <w:color w:val="auto"/>
        </w:rPr>
      </w:pPr>
    </w:p>
    <w:p>
      <w:pPr>
        <w:ind w:right="40" w:firstLine="1305"/>
        <w:spacing w:after="0" w:line="257" w:lineRule="auto"/>
        <w:tabs>
          <w:tab w:leader="none" w:pos="16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215" w:lineRule="exact"/>
        <w:rPr>
          <w:rFonts w:ascii="Arial" w:cs="Arial" w:eastAsia="Arial" w:hAnsi="Arial"/>
          <w:sz w:val="18"/>
          <w:szCs w:val="18"/>
          <w:color w:val="auto"/>
        </w:rPr>
      </w:pPr>
    </w:p>
    <w:p>
      <w:pPr>
        <w:ind w:right="80" w:firstLine="1305"/>
        <w:spacing w:after="0" w:line="289" w:lineRule="auto"/>
        <w:tabs>
          <w:tab w:leader="none" w:pos="15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95" w:right="259" w:bottom="1440" w:gutter="0" w:footer="0" w:header="0"/>
        </w:sectPr>
      </w:pPr>
    </w:p>
    <w:bookmarkStart w:id="11" w:name="page12"/>
    <w:bookmarkEnd w:id="11"/>
    <w:p>
      <w:pPr>
        <w:ind w:right="200"/>
        <w:spacing w:after="0" w:line="290" w:lineRule="auto"/>
        <w:rPr>
          <w:sz w:val="20"/>
          <w:szCs w:val="20"/>
          <w:color w:val="auto"/>
        </w:rPr>
      </w:pPr>
      <w:r>
        <w:rPr>
          <w:rFonts w:ascii="Arial" w:cs="Arial" w:eastAsia="Arial" w:hAnsi="Arial"/>
          <w:sz w:val="16"/>
          <w:szCs w:val="16"/>
          <w:color w:val="auto"/>
        </w:rPr>
        <w:t>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193" w:lineRule="exact"/>
        <w:rPr>
          <w:sz w:val="20"/>
          <w:szCs w:val="20"/>
          <w:color w:val="auto"/>
        </w:rPr>
      </w:pPr>
    </w:p>
    <w:p>
      <w:pPr>
        <w:ind w:firstLine="1305"/>
        <w:spacing w:after="0" w:line="272" w:lineRule="auto"/>
        <w:tabs>
          <w:tab w:leader="none" w:pos="1601"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204" w:lineRule="exact"/>
        <w:rPr>
          <w:rFonts w:ascii="Arial" w:cs="Arial" w:eastAsia="Arial" w:hAnsi="Arial"/>
          <w:sz w:val="17"/>
          <w:szCs w:val="17"/>
          <w:color w:val="auto"/>
        </w:rPr>
      </w:pPr>
    </w:p>
    <w:p>
      <w:pPr>
        <w:ind w:right="140" w:firstLine="1305"/>
        <w:spacing w:after="0" w:line="279" w:lineRule="auto"/>
        <w:tabs>
          <w:tab w:leader="none" w:pos="1642"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98" w:lineRule="exact"/>
        <w:rPr>
          <w:rFonts w:ascii="Arial" w:cs="Arial" w:eastAsia="Arial" w:hAnsi="Arial"/>
          <w:sz w:val="17"/>
          <w:szCs w:val="17"/>
          <w:color w:val="auto"/>
        </w:rPr>
      </w:pPr>
    </w:p>
    <w:p>
      <w:pPr>
        <w:ind w:right="380" w:firstLine="1305"/>
        <w:spacing w:after="0" w:line="277" w:lineRule="auto"/>
        <w:tabs>
          <w:tab w:leader="none" w:pos="16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97" w:lineRule="exact"/>
        <w:rPr>
          <w:rFonts w:ascii="Arial" w:cs="Arial" w:eastAsia="Arial" w:hAnsi="Arial"/>
          <w:sz w:val="18"/>
          <w:szCs w:val="18"/>
          <w:color w:val="auto"/>
        </w:rPr>
      </w:pPr>
    </w:p>
    <w:p>
      <w:pPr>
        <w:ind w:right="140" w:firstLine="656"/>
        <w:spacing w:after="0" w:line="277"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97" w:lineRule="exact"/>
        <w:rPr>
          <w:rFonts w:ascii="Arial" w:cs="Arial" w:eastAsia="Arial" w:hAnsi="Arial"/>
          <w:sz w:val="18"/>
          <w:szCs w:val="18"/>
          <w:color w:val="auto"/>
        </w:rPr>
      </w:pPr>
    </w:p>
    <w:p>
      <w:pPr>
        <w:ind w:left="1520" w:hanging="215"/>
        <w:spacing w:after="0"/>
        <w:tabs>
          <w:tab w:leader="none" w:pos="1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75" w:lineRule="exact"/>
        <w:rPr>
          <w:rFonts w:ascii="Arial" w:cs="Arial" w:eastAsia="Arial" w:hAnsi="Arial"/>
          <w:sz w:val="16"/>
          <w:szCs w:val="16"/>
          <w:color w:val="auto"/>
        </w:rPr>
      </w:pPr>
    </w:p>
    <w:p>
      <w:pPr>
        <w:jc w:val="both"/>
        <w:ind w:left="660" w:right="360" w:firstLine="645"/>
        <w:spacing w:after="0" w:line="312" w:lineRule="auto"/>
        <w:tabs>
          <w:tab w:leader="none" w:pos="157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73" w:lineRule="exact"/>
        <w:rPr>
          <w:rFonts w:ascii="Arial" w:cs="Arial" w:eastAsia="Arial" w:hAnsi="Arial"/>
          <w:sz w:val="16"/>
          <w:szCs w:val="16"/>
          <w:color w:val="auto"/>
        </w:rPr>
      </w:pPr>
    </w:p>
    <w:p>
      <w:pPr>
        <w:ind w:left="660" w:right="80" w:firstLine="645"/>
        <w:spacing w:after="0" w:line="259" w:lineRule="auto"/>
        <w:tabs>
          <w:tab w:leader="none" w:pos="16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213" w:lineRule="exact"/>
        <w:rPr>
          <w:rFonts w:ascii="Arial" w:cs="Arial" w:eastAsia="Arial" w:hAnsi="Arial"/>
          <w:sz w:val="18"/>
          <w:szCs w:val="18"/>
          <w:color w:val="auto"/>
        </w:rPr>
      </w:pPr>
    </w:p>
    <w:p>
      <w:pPr>
        <w:ind w:left="1600" w:hanging="295"/>
        <w:spacing w:after="0"/>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5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174" w:lineRule="exact"/>
        <w:rPr>
          <w:sz w:val="20"/>
          <w:szCs w:val="20"/>
          <w:color w:val="auto"/>
        </w:rPr>
      </w:pPr>
    </w:p>
    <w:p>
      <w:pPr>
        <w:ind w:right="360" w:firstLine="656"/>
        <w:spacing w:after="0" w:line="264"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208" w:lineRule="exact"/>
        <w:rPr>
          <w:rFonts w:ascii="Arial" w:cs="Arial" w:eastAsia="Arial" w:hAnsi="Arial"/>
          <w:sz w:val="18"/>
          <w:szCs w:val="18"/>
          <w:color w:val="auto"/>
        </w:rPr>
      </w:pPr>
    </w:p>
    <w:p>
      <w:pPr>
        <w:ind w:left="1520" w:hanging="215"/>
        <w:spacing w:after="0"/>
        <w:tabs>
          <w:tab w:leader="none" w:pos="15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95" w:right="239" w:bottom="1440" w:gutter="0" w:footer="0" w:header="0"/>
        </w:sectPr>
      </w:pPr>
    </w:p>
    <w:bookmarkStart w:id="12" w:name="page13"/>
    <w:bookmarkEnd w:id="12"/>
    <w:p>
      <w:pPr>
        <w:ind w:left="660" w:right="180" w:firstLine="645"/>
        <w:spacing w:after="0" w:line="259" w:lineRule="auto"/>
        <w:tabs>
          <w:tab w:leader="none" w:pos="15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203"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52" w:lineRule="exact"/>
        <w:rPr>
          <w:rFonts w:ascii="Arial" w:cs="Arial" w:eastAsia="Arial" w:hAnsi="Arial"/>
          <w:sz w:val="18"/>
          <w:szCs w:val="18"/>
          <w:color w:val="auto"/>
        </w:rPr>
      </w:pPr>
    </w:p>
    <w:p>
      <w:pPr>
        <w:ind w:left="660" w:right="320" w:firstLine="645"/>
        <w:spacing w:after="0" w:line="277" w:lineRule="auto"/>
        <w:tabs>
          <w:tab w:leader="none" w:pos="15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97" w:lineRule="exact"/>
        <w:rPr>
          <w:rFonts w:ascii="Arial" w:cs="Arial" w:eastAsia="Arial" w:hAnsi="Arial"/>
          <w:sz w:val="18"/>
          <w:szCs w:val="18"/>
          <w:color w:val="auto"/>
        </w:rPr>
      </w:pPr>
    </w:p>
    <w:p>
      <w:pPr>
        <w:ind w:left="660" w:right="20" w:firstLine="645"/>
        <w:spacing w:after="0" w:line="290" w:lineRule="auto"/>
        <w:tabs>
          <w:tab w:leader="none" w:pos="1573" w:val="left"/>
        </w:tabs>
        <w:numPr>
          <w:ilvl w:val="1"/>
          <w:numId w:val="18"/>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Conduct of Meetings.</w:t>
      </w:r>
    </w:p>
    <w:p>
      <w:pPr>
        <w:spacing w:after="0" w:line="256" w:lineRule="exact"/>
        <w:rPr>
          <w:sz w:val="20"/>
          <w:szCs w:val="20"/>
          <w:color w:val="auto"/>
        </w:rPr>
      </w:pPr>
    </w:p>
    <w:p>
      <w:pPr>
        <w:ind w:right="180" w:firstLine="656"/>
        <w:spacing w:after="0" w:line="279" w:lineRule="auto"/>
        <w:tabs>
          <w:tab w:leader="none" w:pos="8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98" w:lineRule="exact"/>
        <w:rPr>
          <w:rFonts w:ascii="Arial" w:cs="Arial" w:eastAsia="Arial" w:hAnsi="Arial"/>
          <w:sz w:val="17"/>
          <w:szCs w:val="17"/>
          <w:color w:val="auto"/>
        </w:rPr>
      </w:pPr>
    </w:p>
    <w:p>
      <w:pPr>
        <w:ind w:firstLine="656"/>
        <w:spacing w:after="0" w:line="28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95" w:right="25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color w:val="auto"/>
        </w:rPr>
        <w:t>Section 13. Inspector of Elections.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 - DIRECTORS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Number of Directors.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seven.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Election of Directors.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Majority Voting.</w:t>
      </w:r>
    </w:p>
    <w:p>
      <w:pPr>
        <w:spacing w:after="0" w:line="25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Resignation of Directors.</w:t>
      </w:r>
    </w:p>
    <w:p>
      <w:pPr>
        <w:spacing w:after="0" w:line="256"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91" w:right="25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color w:val="auto"/>
        </w:rPr>
        <w:t>Section 5. Removal of Directors.</w:t>
      </w:r>
    </w:p>
    <w:p>
      <w:pPr>
        <w:spacing w:after="0" w:line="256"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Vacancies.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Powers.</w:t>
      </w:r>
    </w:p>
    <w:p>
      <w:pPr>
        <w:spacing w:after="0" w:line="25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Place of Meetings.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Notice.</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Special Meetings.</w:t>
      </w:r>
    </w:p>
    <w:p>
      <w:pPr>
        <w:spacing w:after="0" w:line="256"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Quorum.</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Written Consent.</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ectPr>
          <w:pgSz w:w="11900" w:h="16838" w:orient="portrait"/>
          <w:cols w:equalWidth="0" w:num="1">
            <w:col w:w="11340"/>
          </w:cols>
          <w:pgMar w:left="240" w:top="89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40"/>
          </w:cols>
          <w:pgMar w:left="240" w:top="891" w:right="319" w:bottom="144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8"/>
          <w:szCs w:val="18"/>
          <w:b w:val="1"/>
          <w:bCs w:val="1"/>
          <w:color w:val="auto"/>
        </w:rPr>
        <w:t>Section 13. Meeting by Telephone.</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Board Committees.</w:t>
      </w:r>
    </w:p>
    <w:p>
      <w:pPr>
        <w:spacing w:after="0" w:line="256" w:lineRule="exact"/>
        <w:rPr>
          <w:sz w:val="20"/>
          <w:szCs w:val="20"/>
          <w:color w:val="auto"/>
        </w:rPr>
      </w:pPr>
    </w:p>
    <w:p>
      <w:pPr>
        <w:ind w:right="40" w:firstLine="656"/>
        <w:spacing w:after="0" w:line="291" w:lineRule="auto"/>
        <w:tabs>
          <w:tab w:leader="none" w:pos="89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4" w:lineRule="exact"/>
        <w:rPr>
          <w:rFonts w:ascii="Arial" w:cs="Arial" w:eastAsia="Arial" w:hAnsi="Arial"/>
          <w:sz w:val="16"/>
          <w:szCs w:val="16"/>
          <w:color w:val="auto"/>
        </w:rPr>
      </w:pPr>
    </w:p>
    <w:p>
      <w:pPr>
        <w:ind w:firstLine="656"/>
        <w:spacing w:after="0" w:line="270" w:lineRule="auto"/>
        <w:tabs>
          <w:tab w:leader="none" w:pos="903"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08" w:lineRule="exact"/>
        <w:rPr>
          <w:rFonts w:ascii="Arial" w:cs="Arial" w:eastAsia="Arial" w:hAnsi="Arial"/>
          <w:sz w:val="17"/>
          <w:szCs w:val="17"/>
          <w:color w:val="auto"/>
        </w:rPr>
      </w:pPr>
    </w:p>
    <w:p>
      <w:pPr>
        <w:ind w:right="80" w:firstLine="656"/>
        <w:spacing w:after="0" w:line="259" w:lineRule="auto"/>
        <w:tabs>
          <w:tab w:leader="none" w:pos="89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Compensation of Directors.</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 - NOTICES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Notice to Directors and Stockholders.</w:t>
      </w:r>
    </w:p>
    <w:p>
      <w:pPr>
        <w:spacing w:after="0" w:line="256"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91" w:right="2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color w:val="auto"/>
        </w:rPr>
        <w:t>Section 2. Waiver of Notice.</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 - OFFICERS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Officers.</w:t>
      </w:r>
    </w:p>
    <w:p>
      <w:pPr>
        <w:spacing w:after="0" w:line="25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Appointment of Officers.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Subordinate Officers.</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Removal and Resignation of Officers.</w:t>
      </w:r>
    </w:p>
    <w:p>
      <w:pPr>
        <w:spacing w:after="0" w:line="256" w:lineRule="exact"/>
        <w:rPr>
          <w:sz w:val="20"/>
          <w:szCs w:val="20"/>
          <w:color w:val="auto"/>
        </w:rPr>
      </w:pPr>
    </w:p>
    <w:p>
      <w:pPr>
        <w:jc w:val="both"/>
        <w:ind w:right="40" w:firstLine="656"/>
        <w:spacing w:after="0" w:line="279" w:lineRule="auto"/>
        <w:tabs>
          <w:tab w:leader="none" w:pos="893"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Removal</w:t>
      </w:r>
      <w:r>
        <w:rPr>
          <w:rFonts w:ascii="Arial" w:cs="Arial" w:eastAsia="Arial" w:hAnsi="Arial"/>
          <w:sz w:val="17"/>
          <w:szCs w:val="17"/>
          <w:color w:val="auto"/>
        </w:rPr>
        <w:t>. Subject to the rights, if any, of an officer under any contract of employment, any officer may be removed, either with or without cause,</w:t>
      </w:r>
      <w:r>
        <w:rPr>
          <w:rFonts w:ascii="Arial" w:cs="Arial" w:eastAsia="Arial" w:hAnsi="Arial"/>
          <w:sz w:val="17"/>
          <w:szCs w:val="17"/>
          <w:i w:val="1"/>
          <w:iCs w:val="1"/>
          <w:color w:val="auto"/>
        </w:rPr>
        <w:t xml:space="preserve"> </w:t>
      </w:r>
      <w:r>
        <w:rPr>
          <w:rFonts w:ascii="Arial" w:cs="Arial" w:eastAsia="Arial" w:hAnsi="Arial"/>
          <w:sz w:val="17"/>
          <w:szCs w:val="17"/>
          <w:color w:val="auto"/>
        </w:rPr>
        <w:t>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98" w:lineRule="exact"/>
        <w:rPr>
          <w:rFonts w:ascii="Arial" w:cs="Arial" w:eastAsia="Arial" w:hAnsi="Arial"/>
          <w:sz w:val="17"/>
          <w:szCs w:val="17"/>
          <w:color w:val="auto"/>
        </w:rPr>
      </w:pPr>
    </w:p>
    <w:p>
      <w:pPr>
        <w:ind w:firstLine="656"/>
        <w:spacing w:after="0" w:line="259"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Vacancies in Office.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Representation of Shares of Other Corporations.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9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such person directly or by any other person authorized to do so by proxy or power of attorney duly executed by such person having the authority.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Authority and Duties of Officers.</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CERTIFICATES OF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Certificates.</w:t>
      </w:r>
    </w:p>
    <w:p>
      <w:pPr>
        <w:spacing w:after="0" w:line="25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Signatures on Certificates.</w:t>
      </w:r>
    </w:p>
    <w:p>
      <w:pPr>
        <w:spacing w:after="0" w:line="25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Lost Certificates.</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Transfer of Stock.</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95" w:right="25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Section 5. Record Date.</w:t>
      </w:r>
    </w:p>
    <w:p>
      <w:pPr>
        <w:spacing w:after="0" w:line="256" w:lineRule="exact"/>
        <w:rPr>
          <w:sz w:val="20"/>
          <w:szCs w:val="20"/>
          <w:color w:val="auto"/>
        </w:rPr>
      </w:pPr>
    </w:p>
    <w:p>
      <w:pPr>
        <w:ind w:firstLine="656"/>
        <w:spacing w:after="0" w:line="269" w:lineRule="auto"/>
        <w:tabs>
          <w:tab w:leader="none" w:pos="8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206" w:lineRule="exact"/>
        <w:rPr>
          <w:rFonts w:ascii="Arial" w:cs="Arial" w:eastAsia="Arial" w:hAnsi="Arial"/>
          <w:sz w:val="17"/>
          <w:szCs w:val="17"/>
          <w:color w:val="auto"/>
        </w:rPr>
      </w:pPr>
    </w:p>
    <w:p>
      <w:pPr>
        <w:ind w:right="60" w:firstLine="656"/>
        <w:spacing w:after="0" w:line="276" w:lineRule="auto"/>
        <w:tabs>
          <w:tab w:leader="none" w:pos="9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Registered Stockholders.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 FORUM FOR DISPUTES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Forum for Disputes.</w:t>
      </w:r>
    </w:p>
    <w:p>
      <w:pPr>
        <w:spacing w:after="0" w:line="256" w:lineRule="exact"/>
        <w:rPr>
          <w:sz w:val="20"/>
          <w:szCs w:val="20"/>
          <w:color w:val="auto"/>
        </w:rPr>
      </w:pPr>
    </w:p>
    <w:p>
      <w:pPr>
        <w:ind w:right="20" w:firstLine="656"/>
        <w:spacing w:after="0" w:line="25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215" w:lineRule="exact"/>
        <w:rPr>
          <w:rFonts w:ascii="Arial" w:cs="Arial" w:eastAsia="Arial" w:hAnsi="Arial"/>
          <w:sz w:val="18"/>
          <w:szCs w:val="18"/>
          <w:color w:val="auto"/>
        </w:rPr>
      </w:pPr>
    </w:p>
    <w:p>
      <w:pPr>
        <w:ind w:right="20" w:firstLine="656"/>
        <w:spacing w:after="0" w:line="288" w:lineRule="auto"/>
        <w:tabs>
          <w:tab w:leader="none" w:pos="9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w:t>
      </w: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1(a) above (an “FSC Enforcement Action”) and (ii) having service of process made upon such stockholder in any such FSC Enforcement Action by service upon such stockholder’s counsel in the Foreign Action as agent for such stockholder.</w:t>
      </w:r>
    </w:p>
    <w:p>
      <w:pPr>
        <w:spacing w:after="0" w:line="210" w:lineRule="exact"/>
        <w:rPr>
          <w:rFonts w:ascii="Arial" w:cs="Arial" w:eastAsia="Arial" w:hAnsi="Arial"/>
          <w:sz w:val="16"/>
          <w:szCs w:val="16"/>
          <w:color w:val="auto"/>
        </w:rPr>
      </w:pPr>
    </w:p>
    <w:p>
      <w:pPr>
        <w:ind w:right="120" w:firstLine="656"/>
        <w:spacing w:after="0" w:line="27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97" w:lineRule="exact"/>
        <w:rPr>
          <w:rFonts w:ascii="Arial" w:cs="Arial" w:eastAsia="Arial" w:hAnsi="Arial"/>
          <w:sz w:val="18"/>
          <w:szCs w:val="18"/>
          <w:color w:val="auto"/>
        </w:rPr>
      </w:pPr>
    </w:p>
    <w:p>
      <w:pPr>
        <w:ind w:right="40" w:firstLine="656"/>
        <w:spacing w:after="0" w:line="27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 - GENERAL PROVISIONS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91"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color w:val="auto"/>
        </w:rPr>
        <w:t>Section 1. Dividends.</w:t>
      </w:r>
    </w:p>
    <w:p>
      <w:pPr>
        <w:spacing w:after="0" w:line="256" w:lineRule="exact"/>
        <w:rPr>
          <w:sz w:val="20"/>
          <w:szCs w:val="20"/>
          <w:color w:val="auto"/>
        </w:rPr>
      </w:pPr>
    </w:p>
    <w:p>
      <w:pPr>
        <w:ind w:right="80" w:firstLine="656"/>
        <w:spacing w:after="0" w:line="264"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 any,</w:t>
      </w:r>
      <w:r>
        <w:rPr>
          <w:rFonts w:ascii="Arial" w:cs="Arial" w:eastAsia="Arial" w:hAnsi="Arial"/>
          <w:sz w:val="18"/>
          <w:szCs w:val="18"/>
          <w:i w:val="1"/>
          <w:iCs w:val="1"/>
          <w:color w:val="auto"/>
        </w:rPr>
        <w:t xml:space="preserve"> </w:t>
      </w:r>
      <w:r>
        <w:rPr>
          <w:rFonts w:ascii="Arial" w:cs="Arial" w:eastAsia="Arial" w:hAnsi="Arial"/>
          <w:sz w:val="18"/>
          <w:szCs w:val="18"/>
          <w:color w:val="auto"/>
        </w:rPr>
        <w:t>may be declared by the Board of Directors at any regular or special meeting, pursuant to law. Dividends may be paid in cash, in property, or in shares of the capital stock, subject to the provisions of the Certificate of Incorporation.</w:t>
      </w:r>
    </w:p>
    <w:p>
      <w:pPr>
        <w:spacing w:after="0" w:line="208" w:lineRule="exact"/>
        <w:rPr>
          <w:rFonts w:ascii="Arial" w:cs="Arial" w:eastAsia="Arial" w:hAnsi="Arial"/>
          <w:sz w:val="18"/>
          <w:szCs w:val="18"/>
          <w:color w:val="auto"/>
        </w:rPr>
      </w:pPr>
    </w:p>
    <w:p>
      <w:pPr>
        <w:ind w:firstLine="656"/>
        <w:spacing w:after="0" w:line="279" w:lineRule="auto"/>
        <w:tabs>
          <w:tab w:leader="none" w:pos="903"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 sum</w:t>
      </w:r>
      <w:r>
        <w:rPr>
          <w:rFonts w:ascii="Arial" w:cs="Arial" w:eastAsia="Arial" w:hAnsi="Arial"/>
          <w:sz w:val="17"/>
          <w:szCs w:val="17"/>
          <w:i w:val="1"/>
          <w:iCs w:val="1"/>
          <w:color w:val="auto"/>
        </w:rPr>
        <w:t xml:space="preserve"> </w:t>
      </w:r>
      <w:r>
        <w:rPr>
          <w:rFonts w:ascii="Arial" w:cs="Arial" w:eastAsia="Arial" w:hAnsi="Arial"/>
          <w:sz w:val="17"/>
          <w:szCs w:val="17"/>
          <w:color w:val="auto"/>
        </w:rPr>
        <w:t>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Checks.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Fiscal Year.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Corporate Seal</w:t>
      </w:r>
      <w:r>
        <w:rPr>
          <w:rFonts w:ascii="Arial" w:cs="Arial" w:eastAsia="Arial" w:hAnsi="Arial"/>
          <w:sz w:val="18"/>
          <w:szCs w:val="18"/>
          <w:color w:val="auto"/>
        </w:rPr>
        <w:t>.</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Indemnification.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Advancement of Expenses.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Amendment.</w:t>
      </w:r>
    </w:p>
    <w:p>
      <w:pPr>
        <w:spacing w:after="0" w:line="25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400"/>
      </w:cols>
      <w:pgMar w:left="240" w:top="8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lvl w:ilvl="1">
      <w:lvlJc w:val="left"/>
      <w:lvlText w:val="(%2)"/>
      <w:numFmt w:val="lowerRoman"/>
      <w:start w:val="1"/>
    </w:lvl>
  </w:abstractNum>
  <w:abstractNum w:abstractNumId="4">
    <w:nsid w:val="7FDCC233"/>
    <w:multiLevelType w:val="hybridMultilevel"/>
    <w:lvl w:ilvl="0">
      <w:lvlJc w:val="left"/>
      <w:lvlText w:val="(%1)"/>
      <w:numFmt w:val="lowerLetter"/>
      <w:start w:val="2"/>
    </w:lvl>
    <w:lvl w:ilvl="1">
      <w:lvlJc w:val="left"/>
      <w:lvlText w:val="(%2)"/>
      <w:numFmt w:val="lowerRoman"/>
      <w:start w:val="1"/>
    </w:lvl>
  </w:abstractNum>
  <w:abstractNum w:abstractNumId="5">
    <w:nsid w:val="1BEFD79F"/>
    <w:multiLevelType w:val="hybridMultilevel"/>
    <w:lvl w:ilvl="0">
      <w:lvlJc w:val="left"/>
      <w:lvlText w:val="(%1)"/>
      <w:numFmt w:val="lowerRoman"/>
      <w:start w:val="5"/>
    </w:lvl>
  </w:abstractNum>
  <w:abstractNum w:abstractNumId="6">
    <w:nsid w:val="41A7C4C9"/>
    <w:multiLevelType w:val="hybridMultilevel"/>
    <w:lvl w:ilvl="0">
      <w:lvlJc w:val="left"/>
      <w:lvlText w:val="(%1)"/>
      <w:numFmt w:val="lowerLetter"/>
      <w:start w:val="3"/>
    </w:lvl>
    <w:lvl w:ilvl="1">
      <w:lvlJc w:val="left"/>
      <w:lvlText w:val="(%2)"/>
      <w:numFmt w:val="lowerRoman"/>
      <w:start w:val="2"/>
    </w:lvl>
  </w:abstractNum>
  <w:abstractNum w:abstractNumId="7">
    <w:nsid w:val="6B68079A"/>
    <w:multiLevelType w:val="hybridMultilevel"/>
    <w:lvl w:ilvl="0">
      <w:lvlJc w:val="left"/>
      <w:lvlText w:val="%1"/>
      <w:numFmt w:val="upperLetter"/>
      <w:start w:val="1"/>
    </w:lvl>
    <w:lvl w:ilvl="1">
      <w:lvlJc w:val="left"/>
      <w:lvlText w:val="(%2)"/>
      <w:numFmt w:val="lowerRoman"/>
      <w:start w:val="4"/>
    </w:lvl>
  </w:abstractNum>
  <w:abstractNum w:abstractNumId="8">
    <w:nsid w:val="4E6AFB66"/>
    <w:multiLevelType w:val="hybridMultilevel"/>
    <w:lvl w:ilvl="0">
      <w:lvlJc w:val="left"/>
      <w:lvlText w:val="(%1)"/>
      <w:numFmt w:val="upperLetter"/>
      <w:start w:val="1"/>
    </w:lvl>
    <w:lvl w:ilvl="1">
      <w:lvlJc w:val="left"/>
      <w:lvlText w:val="%2"/>
      <w:numFmt w:val="lowerRoman"/>
      <w:start w:val="1"/>
    </w:lvl>
  </w:abstractNum>
  <w:abstractNum w:abstractNumId="9">
    <w:nsid w:val="25E45D32"/>
    <w:multiLevelType w:val="hybridMultilevel"/>
    <w:lvl w:ilvl="0">
      <w:lvlJc w:val="left"/>
      <w:lvlText w:val="(%1)"/>
      <w:numFmt w:val="lowerRoman"/>
      <w:start w:val="5"/>
    </w:lvl>
  </w:abstractNum>
  <w:abstractNum w:abstractNumId="10">
    <w:nsid w:val="519B500D"/>
    <w:multiLevelType w:val="hybridMultilevel"/>
    <w:lvl w:ilvl="0">
      <w:lvlJc w:val="left"/>
      <w:lvlText w:val="%1"/>
      <w:numFmt w:val="upperLetter"/>
      <w:start w:val="1"/>
    </w:lvl>
    <w:lvl w:ilvl="1">
      <w:lvlJc w:val="left"/>
      <w:lvlText w:val="(%2)"/>
      <w:numFmt w:val="lowerRoman"/>
      <w:start w:val="6"/>
    </w:lvl>
  </w:abstractNum>
  <w:abstractNum w:abstractNumId="11">
    <w:nsid w:val="431BD7B7"/>
    <w:multiLevelType w:val="hybridMultilevel"/>
    <w:lvl w:ilvl="0">
      <w:lvlJc w:val="left"/>
      <w:lvlText w:val="(%1)"/>
      <w:numFmt w:val="upperLetter"/>
      <w:start w:val="3"/>
    </w:lvl>
    <w:lvl w:ilvl="1">
      <w:lvlJc w:val="left"/>
      <w:lvlText w:val="%2"/>
      <w:numFmt w:val="lowerRoman"/>
      <w:start w:val="1"/>
    </w:lvl>
  </w:abstractNum>
  <w:abstractNum w:abstractNumId="12">
    <w:nsid w:val="3F2DBA31"/>
    <w:multiLevelType w:val="hybridMultilevel"/>
    <w:lvl w:ilvl="0">
      <w:lvlJc w:val="left"/>
      <w:lvlText w:val="(%1)"/>
      <w:numFmt w:val="lowerRoman"/>
      <w:start w:val="8"/>
    </w:lvl>
  </w:abstractNum>
  <w:abstractNum w:abstractNumId="13">
    <w:nsid w:val="7C83E458"/>
    <w:multiLevelType w:val="hybridMultilevel"/>
    <w:lvl w:ilvl="0">
      <w:lvlJc w:val="left"/>
      <w:lvlText w:val="%1"/>
      <w:numFmt w:val="lowerLetter"/>
      <w:start w:val="1"/>
    </w:lvl>
    <w:lvl w:ilvl="1">
      <w:lvlJc w:val="left"/>
      <w:lvlText w:val="(%2)"/>
      <w:numFmt w:val="lowerRoman"/>
      <w:start w:val="11"/>
    </w:lvl>
  </w:abstractNum>
  <w:abstractNum w:abstractNumId="14">
    <w:nsid w:val="257130A3"/>
    <w:multiLevelType w:val="hybridMultilevel"/>
    <w:lvl w:ilvl="0">
      <w:lvlJc w:val="left"/>
      <w:lvlText w:val="(%1)"/>
      <w:numFmt w:val="lowerLetter"/>
      <w:start w:val="4"/>
    </w:lvl>
    <w:lvl w:ilvl="1">
      <w:lvlJc w:val="left"/>
      <w:lvlText w:val="(%2)"/>
      <w:numFmt w:val="lowerRoman"/>
      <w:start w:val="1"/>
    </w:lvl>
  </w:abstractNum>
  <w:abstractNum w:abstractNumId="15">
    <w:nsid w:val="62BBD95A"/>
    <w:multiLevelType w:val="hybridMultilevel"/>
    <w:lvl w:ilvl="0">
      <w:lvlJc w:val="left"/>
      <w:lvlText w:val="(%1)"/>
      <w:numFmt w:val="lowerLetter"/>
      <w:start w:val="5"/>
    </w:lvl>
    <w:lvl w:ilvl="1">
      <w:lvlJc w:val="left"/>
      <w:lvlText w:val="(%2)"/>
      <w:numFmt w:val="lowerLetter"/>
      <w:start w:val="9"/>
    </w:lvl>
  </w:abstractNum>
  <w:abstractNum w:abstractNumId="16">
    <w:nsid w:val="436C6125"/>
    <w:multiLevelType w:val="hybridMultilevel"/>
    <w:lvl w:ilvl="0">
      <w:lvlJc w:val="left"/>
      <w:lvlText w:val="(%1)"/>
      <w:numFmt w:val="lowerRoman"/>
      <w:start w:val="2"/>
    </w:lvl>
  </w:abstractNum>
  <w:abstractNum w:abstractNumId="17">
    <w:nsid w:val="628C895D"/>
    <w:multiLevelType w:val="hybridMultilevel"/>
    <w:lvl w:ilvl="0">
      <w:lvlJc w:val="left"/>
      <w:lvlText w:val="(%1)"/>
      <w:numFmt w:val="lowerLetter"/>
      <w:start w:val="6"/>
    </w:lvl>
    <w:lvl w:ilvl="1">
      <w:lvlJc w:val="left"/>
      <w:lvlText w:val="(%2)"/>
      <w:numFmt w:val="lowerRoman"/>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2020-01-23T15:09:21Z</dcterms:created>
  <dcterms:modified xsi:type="dcterms:W3CDTF">2020-01-23T15:09:21Z</dcterms:modified>
</cp:coreProperties>
</file>