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85" w:lineRule="exact"/>
        <w:rPr>
          <w:sz w:val="24"/>
          <w:szCs w:val="24"/>
          <w:color w:val="auto"/>
        </w:rPr>
      </w:pPr>
    </w:p>
    <w:p>
      <w:pPr>
        <w:ind w:left="5000"/>
        <w:spacing w:after="0"/>
        <w:rPr>
          <w:sz w:val="20"/>
          <w:szCs w:val="20"/>
          <w:color w:val="auto"/>
        </w:rPr>
      </w:pPr>
      <w:r>
        <w:rPr>
          <w:rFonts w:ascii="Arial" w:cs="Arial" w:eastAsia="Arial" w:hAnsi="Arial"/>
          <w:sz w:val="14"/>
          <w:szCs w:val="14"/>
          <w:b w:val="1"/>
          <w:bCs w:val="1"/>
          <w:color w:val="auto"/>
        </w:rPr>
        <w:t>As filed with the Securities and Exchange Commission on November 4, 2020</w:t>
      </w:r>
    </w:p>
    <w:p>
      <w:pPr>
        <w:spacing w:after="0" w:line="35" w:lineRule="exact"/>
        <w:rPr>
          <w:sz w:val="24"/>
          <w:szCs w:val="24"/>
          <w:color w:val="auto"/>
        </w:rPr>
      </w:pPr>
    </w:p>
    <w:p>
      <w:pPr>
        <w:ind w:left="82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31750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74930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UNITED STATES</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15"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74930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FORM S-3</w:t>
      </w:r>
    </w:p>
    <w:p>
      <w:pPr>
        <w:spacing w:after="0" w:line="50" w:lineRule="exact"/>
        <w:rPr>
          <w:sz w:val="24"/>
          <w:szCs w:val="24"/>
          <w:color w:val="auto"/>
        </w:rPr>
      </w:pPr>
    </w:p>
    <w:p>
      <w:pPr>
        <w:ind w:left="2140"/>
        <w:spacing w:after="0"/>
        <w:rPr>
          <w:sz w:val="20"/>
          <w:szCs w:val="20"/>
          <w:color w:val="auto"/>
        </w:rPr>
      </w:pPr>
      <w:r>
        <w:rPr>
          <w:rFonts w:ascii="Arial" w:cs="Arial" w:eastAsia="Arial" w:hAnsi="Arial"/>
          <w:sz w:val="20"/>
          <w:szCs w:val="20"/>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87630</wp:posOffset>
            </wp:positionV>
            <wp:extent cx="1517015" cy="45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79"/>
        <w:spacing w:after="0"/>
        <w:rPr>
          <w:sz w:val="20"/>
          <w:szCs w:val="20"/>
          <w:color w:val="auto"/>
        </w:rPr>
      </w:pPr>
      <w:r>
        <w:rPr>
          <w:rFonts w:ascii="Arial" w:cs="Arial" w:eastAsia="Arial" w:hAnsi="Arial"/>
          <w:sz w:val="25"/>
          <w:szCs w:val="25"/>
          <w:b w:val="1"/>
          <w:bCs w:val="1"/>
          <w:color w:val="auto"/>
        </w:rPr>
        <w:t>Micron Technology, Inc.</w:t>
      </w:r>
    </w:p>
    <w:p>
      <w:pPr>
        <w:ind w:left="3700"/>
        <w:spacing w:after="0"/>
        <w:rPr>
          <w:sz w:val="20"/>
          <w:szCs w:val="20"/>
          <w:color w:val="auto"/>
        </w:rPr>
      </w:pPr>
      <w:r>
        <w:rPr>
          <w:rFonts w:ascii="Arial" w:cs="Arial" w:eastAsia="Arial" w:hAnsi="Arial"/>
          <w:sz w:val="14"/>
          <w:szCs w:val="14"/>
          <w:color w:val="auto"/>
        </w:rPr>
        <w:t>(Exact name of Registrant as specified in its charter)</w:t>
      </w:r>
    </w:p>
    <w:p>
      <w:pPr>
        <w:spacing w:after="0" w:line="37"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5560" w:type="dxa"/>
            <w:vAlign w:val="bottom"/>
            <w:gridSpan w:val="2"/>
          </w:tcPr>
          <w:p>
            <w:pPr>
              <w:jc w:val="center"/>
              <w:ind w:right="1308"/>
              <w:spacing w:after="0"/>
              <w:rPr>
                <w:sz w:val="20"/>
                <w:szCs w:val="20"/>
                <w:color w:val="auto"/>
              </w:rPr>
            </w:pPr>
            <w:r>
              <w:rPr>
                <w:rFonts w:ascii="Arial" w:cs="Arial" w:eastAsia="Arial" w:hAnsi="Arial"/>
                <w:sz w:val="16"/>
                <w:szCs w:val="16"/>
                <w:b w:val="1"/>
                <w:bCs w:val="1"/>
                <w:color w:val="auto"/>
                <w:w w:val="99"/>
              </w:rPr>
              <w:t>Delaware</w:t>
            </w:r>
          </w:p>
        </w:tc>
        <w:tc>
          <w:tcPr>
            <w:tcW w:w="2900" w:type="dxa"/>
            <w:vAlign w:val="bottom"/>
          </w:tcPr>
          <w:p>
            <w:pPr>
              <w:jc w:val="right"/>
              <w:ind w:right="879"/>
              <w:spacing w:after="0"/>
              <w:rPr>
                <w:sz w:val="20"/>
                <w:szCs w:val="20"/>
                <w:color w:val="auto"/>
              </w:rPr>
            </w:pPr>
            <w:r>
              <w:rPr>
                <w:rFonts w:ascii="Arial" w:cs="Arial" w:eastAsia="Arial" w:hAnsi="Arial"/>
                <w:sz w:val="16"/>
                <w:szCs w:val="16"/>
                <w:b w:val="1"/>
                <w:bCs w:val="1"/>
                <w:color w:val="auto"/>
              </w:rPr>
              <w:t>75-1618004</w:t>
            </w:r>
          </w:p>
        </w:tc>
      </w:tr>
      <w:tr>
        <w:trPr>
          <w:trHeight w:val="219"/>
        </w:trPr>
        <w:tc>
          <w:tcPr>
            <w:tcW w:w="5560" w:type="dxa"/>
            <w:vAlign w:val="bottom"/>
            <w:gridSpan w:val="2"/>
          </w:tcPr>
          <w:p>
            <w:pPr>
              <w:jc w:val="center"/>
              <w:ind w:right="1308"/>
              <w:spacing w:after="0"/>
              <w:rPr>
                <w:sz w:val="20"/>
                <w:szCs w:val="20"/>
                <w:color w:val="auto"/>
              </w:rPr>
            </w:pPr>
            <w:r>
              <w:rPr>
                <w:rFonts w:ascii="Arial" w:cs="Arial" w:eastAsia="Arial" w:hAnsi="Arial"/>
                <w:sz w:val="16"/>
                <w:szCs w:val="16"/>
                <w:color w:val="auto"/>
              </w:rPr>
              <w:t>(State or other jurisdiction of incorporation or organization)</w:t>
            </w:r>
          </w:p>
        </w:tc>
        <w:tc>
          <w:tcPr>
            <w:tcW w:w="2900" w:type="dxa"/>
            <w:vAlign w:val="bottom"/>
          </w:tcPr>
          <w:p>
            <w:pPr>
              <w:jc w:val="center"/>
              <w:spacing w:after="0"/>
              <w:rPr>
                <w:sz w:val="20"/>
                <w:szCs w:val="20"/>
                <w:color w:val="auto"/>
              </w:rPr>
            </w:pPr>
            <w:r>
              <w:rPr>
                <w:rFonts w:ascii="Arial" w:cs="Arial" w:eastAsia="Arial" w:hAnsi="Arial"/>
                <w:sz w:val="16"/>
                <w:szCs w:val="16"/>
                <w:color w:val="auto"/>
              </w:rPr>
              <w:t>(I.R.S. Employer Identification Number)</w:t>
            </w:r>
          </w:p>
        </w:tc>
      </w:tr>
      <w:tr>
        <w:trPr>
          <w:trHeight w:val="191"/>
        </w:trPr>
        <w:tc>
          <w:tcPr>
            <w:tcW w:w="8460" w:type="dxa"/>
            <w:vAlign w:val="bottom"/>
            <w:gridSpan w:val="3"/>
          </w:tcPr>
          <w:p>
            <w:pPr>
              <w:jc w:val="center"/>
              <w:ind w:left="646"/>
              <w:spacing w:after="0"/>
              <w:rPr>
                <w:sz w:val="20"/>
                <w:szCs w:val="20"/>
                <w:color w:val="auto"/>
              </w:rPr>
            </w:pPr>
            <w:r>
              <w:rPr>
                <w:rFonts w:ascii="Arial" w:cs="Arial" w:eastAsia="Arial" w:hAnsi="Arial"/>
                <w:sz w:val="14"/>
                <w:szCs w:val="14"/>
                <w:b w:val="1"/>
                <w:bCs w:val="1"/>
                <w:color w:val="auto"/>
              </w:rPr>
              <w:t>8000 South Federal Way, Boise, Idaho 83716-9632</w:t>
            </w:r>
          </w:p>
        </w:tc>
      </w:tr>
      <w:tr>
        <w:trPr>
          <w:trHeight w:val="176"/>
        </w:trPr>
        <w:tc>
          <w:tcPr>
            <w:tcW w:w="5560" w:type="dxa"/>
            <w:vAlign w:val="bottom"/>
            <w:gridSpan w:val="2"/>
          </w:tcPr>
          <w:p>
            <w:pPr>
              <w:jc w:val="center"/>
              <w:ind w:left="3546"/>
              <w:spacing w:after="0"/>
              <w:rPr>
                <w:sz w:val="20"/>
                <w:szCs w:val="20"/>
                <w:color w:val="auto"/>
              </w:rPr>
            </w:pPr>
            <w:r>
              <w:rPr>
                <w:rFonts w:ascii="Arial" w:cs="Arial" w:eastAsia="Arial" w:hAnsi="Arial"/>
                <w:sz w:val="14"/>
                <w:szCs w:val="14"/>
                <w:b w:val="1"/>
                <w:bCs w:val="1"/>
                <w:color w:val="auto"/>
              </w:rPr>
              <w:t>(208) 368-4000</w:t>
            </w:r>
          </w:p>
        </w:tc>
        <w:tc>
          <w:tcPr>
            <w:tcW w:w="2900" w:type="dxa"/>
            <w:vAlign w:val="bottom"/>
          </w:tcPr>
          <w:p>
            <w:pPr>
              <w:spacing w:after="0"/>
              <w:rPr>
                <w:sz w:val="15"/>
                <w:szCs w:val="15"/>
                <w:color w:val="auto"/>
              </w:rPr>
            </w:pPr>
          </w:p>
        </w:tc>
      </w:tr>
      <w:tr>
        <w:trPr>
          <w:trHeight w:val="194"/>
        </w:trPr>
        <w:tc>
          <w:tcPr>
            <w:tcW w:w="8460" w:type="dxa"/>
            <w:vAlign w:val="bottom"/>
            <w:gridSpan w:val="3"/>
          </w:tcPr>
          <w:p>
            <w:pPr>
              <w:jc w:val="center"/>
              <w:ind w:left="626"/>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tc>
      </w:tr>
      <w:tr>
        <w:trPr>
          <w:trHeight w:val="89"/>
        </w:trPr>
        <w:tc>
          <w:tcPr>
            <w:tcW w:w="362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r>
      <w:tr>
        <w:trPr>
          <w:trHeight w:val="210"/>
        </w:trPr>
        <w:tc>
          <w:tcPr>
            <w:tcW w:w="36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Joel L. Poppen, Esq.</w:t>
            </w:r>
          </w:p>
        </w:tc>
        <w:tc>
          <w:tcPr>
            <w:tcW w:w="2900" w:type="dxa"/>
            <w:vAlign w:val="bottom"/>
          </w:tcPr>
          <w:p>
            <w:pPr>
              <w:spacing w:after="0"/>
              <w:rPr>
                <w:sz w:val="18"/>
                <w:szCs w:val="18"/>
                <w:color w:val="auto"/>
              </w:rPr>
            </w:pPr>
          </w:p>
        </w:tc>
      </w:tr>
      <w:tr>
        <w:trPr>
          <w:trHeight w:val="148"/>
        </w:trPr>
        <w:tc>
          <w:tcPr>
            <w:tcW w:w="8460" w:type="dxa"/>
            <w:vAlign w:val="bottom"/>
            <w:gridSpan w:val="3"/>
          </w:tcPr>
          <w:p>
            <w:pPr>
              <w:jc w:val="center"/>
              <w:ind w:left="606"/>
              <w:spacing w:after="0" w:line="149" w:lineRule="exact"/>
              <w:rPr>
                <w:sz w:val="20"/>
                <w:szCs w:val="20"/>
                <w:color w:val="auto"/>
              </w:rPr>
            </w:pPr>
            <w:r>
              <w:rPr>
                <w:rFonts w:ascii="Arial" w:cs="Arial" w:eastAsia="Arial" w:hAnsi="Arial"/>
                <w:sz w:val="14"/>
                <w:szCs w:val="14"/>
                <w:b w:val="1"/>
                <w:bCs w:val="1"/>
                <w:color w:val="auto"/>
              </w:rPr>
              <w:t>Senior Vice President, Legal Affairs, General Counsel and Corporate Secretary</w:t>
            </w:r>
          </w:p>
        </w:tc>
      </w:tr>
      <w:tr>
        <w:trPr>
          <w:trHeight w:val="148"/>
        </w:trPr>
        <w:tc>
          <w:tcPr>
            <w:tcW w:w="36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Micron Technology, Inc.</w:t>
            </w:r>
          </w:p>
        </w:tc>
        <w:tc>
          <w:tcPr>
            <w:tcW w:w="2900" w:type="dxa"/>
            <w:vAlign w:val="bottom"/>
          </w:tcPr>
          <w:p>
            <w:pPr>
              <w:spacing w:after="0"/>
              <w:rPr>
                <w:sz w:val="12"/>
                <w:szCs w:val="12"/>
                <w:color w:val="auto"/>
              </w:rPr>
            </w:pPr>
          </w:p>
        </w:tc>
      </w:tr>
      <w:tr>
        <w:trPr>
          <w:trHeight w:val="148"/>
        </w:trPr>
        <w:tc>
          <w:tcPr>
            <w:tcW w:w="8460" w:type="dxa"/>
            <w:vAlign w:val="bottom"/>
            <w:gridSpan w:val="3"/>
          </w:tcPr>
          <w:p>
            <w:pPr>
              <w:jc w:val="center"/>
              <w:ind w:left="606"/>
              <w:spacing w:after="0" w:line="149" w:lineRule="exact"/>
              <w:rPr>
                <w:sz w:val="20"/>
                <w:szCs w:val="20"/>
                <w:color w:val="auto"/>
              </w:rPr>
            </w:pPr>
            <w:r>
              <w:rPr>
                <w:rFonts w:ascii="Arial" w:cs="Arial" w:eastAsia="Arial" w:hAnsi="Arial"/>
                <w:sz w:val="14"/>
                <w:szCs w:val="14"/>
                <w:b w:val="1"/>
                <w:bCs w:val="1"/>
                <w:color w:val="auto"/>
              </w:rPr>
              <w:t>8000 South Federal Way, Boise, Idaho 83716-9632</w:t>
            </w:r>
          </w:p>
        </w:tc>
      </w:tr>
      <w:tr>
        <w:trPr>
          <w:trHeight w:val="176"/>
        </w:trPr>
        <w:tc>
          <w:tcPr>
            <w:tcW w:w="5560" w:type="dxa"/>
            <w:vAlign w:val="bottom"/>
            <w:gridSpan w:val="2"/>
          </w:tcPr>
          <w:p>
            <w:pPr>
              <w:jc w:val="center"/>
              <w:ind w:left="3546"/>
              <w:spacing w:after="0"/>
              <w:rPr>
                <w:sz w:val="20"/>
                <w:szCs w:val="20"/>
                <w:color w:val="auto"/>
              </w:rPr>
            </w:pPr>
            <w:r>
              <w:rPr>
                <w:rFonts w:ascii="Arial" w:cs="Arial" w:eastAsia="Arial" w:hAnsi="Arial"/>
                <w:sz w:val="14"/>
                <w:szCs w:val="14"/>
                <w:b w:val="1"/>
                <w:bCs w:val="1"/>
                <w:color w:val="auto"/>
              </w:rPr>
              <w:t>(208) 368-4000</w:t>
            </w:r>
          </w:p>
        </w:tc>
        <w:tc>
          <w:tcPr>
            <w:tcW w:w="2900" w:type="dxa"/>
            <w:vAlign w:val="bottom"/>
          </w:tcPr>
          <w:p>
            <w:pPr>
              <w:spacing w:after="0"/>
              <w:rPr>
                <w:sz w:val="15"/>
                <w:szCs w:val="15"/>
                <w:color w:val="auto"/>
              </w:rPr>
            </w:pPr>
          </w:p>
        </w:tc>
      </w:tr>
      <w:tr>
        <w:trPr>
          <w:trHeight w:val="194"/>
        </w:trPr>
        <w:tc>
          <w:tcPr>
            <w:tcW w:w="8460" w:type="dxa"/>
            <w:vAlign w:val="bottom"/>
            <w:gridSpan w:val="3"/>
          </w:tcPr>
          <w:p>
            <w:pPr>
              <w:jc w:val="center"/>
              <w:ind w:left="626"/>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56515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6" w:lineRule="exact"/>
        <w:rPr>
          <w:sz w:val="24"/>
          <w:szCs w:val="24"/>
          <w:color w:val="auto"/>
        </w:rPr>
      </w:pPr>
    </w:p>
    <w:p>
      <w:pPr>
        <w:jc w:val="center"/>
        <w:ind w:right="-459"/>
        <w:spacing w:after="0"/>
        <w:rPr>
          <w:sz w:val="20"/>
          <w:szCs w:val="20"/>
          <w:color w:val="auto"/>
        </w:rPr>
      </w:pPr>
      <w:r>
        <w:rPr>
          <w:rFonts w:ascii="Arial" w:cs="Arial" w:eastAsia="Arial" w:hAnsi="Arial"/>
          <w:sz w:val="14"/>
          <w:szCs w:val="14"/>
          <w:i w:val="1"/>
          <w:iCs w:val="1"/>
          <w:color w:val="auto"/>
        </w:rPr>
        <w:t>Copies to:</w:t>
      </w:r>
    </w:p>
    <w:p>
      <w:pPr>
        <w:spacing w:after="0" w:line="38"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Erik F. Franks, Esq.</w:t>
      </w:r>
    </w:p>
    <w:p>
      <w:pPr>
        <w:jc w:val="center"/>
        <w:ind w:right="-419"/>
        <w:spacing w:after="0" w:line="232" w:lineRule="auto"/>
        <w:rPr>
          <w:sz w:val="20"/>
          <w:szCs w:val="20"/>
          <w:color w:val="auto"/>
        </w:rPr>
      </w:pPr>
      <w:r>
        <w:rPr>
          <w:rFonts w:ascii="Arial" w:cs="Arial" w:eastAsia="Arial" w:hAnsi="Arial"/>
          <w:sz w:val="14"/>
          <w:szCs w:val="14"/>
          <w:b w:val="1"/>
          <w:bCs w:val="1"/>
          <w:color w:val="auto"/>
        </w:rPr>
        <w:t>Wilson Sonsini Goodrich &amp; Rosati, Professional Corporation</w:t>
      </w:r>
    </w:p>
    <w:p>
      <w:pPr>
        <w:jc w:val="center"/>
        <w:ind w:right="-419"/>
        <w:spacing w:after="0" w:line="221" w:lineRule="auto"/>
        <w:rPr>
          <w:sz w:val="20"/>
          <w:szCs w:val="20"/>
          <w:color w:val="auto"/>
        </w:rPr>
      </w:pPr>
      <w:r>
        <w:rPr>
          <w:rFonts w:ascii="Arial" w:cs="Arial" w:eastAsia="Arial" w:hAnsi="Arial"/>
          <w:sz w:val="14"/>
          <w:szCs w:val="14"/>
          <w:b w:val="1"/>
          <w:bCs w:val="1"/>
          <w:color w:val="auto"/>
        </w:rPr>
        <w:t>650 Page Mill Road, Palo Alto, California 94304</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(650) 493-9300</w:t>
      </w:r>
    </w:p>
    <w:p>
      <w:pPr>
        <w:spacing w:after="0" w:line="35" w:lineRule="exact"/>
        <w:rPr>
          <w:sz w:val="24"/>
          <w:szCs w:val="24"/>
          <w:color w:val="auto"/>
        </w:rPr>
      </w:pPr>
    </w:p>
    <w:p>
      <w:pPr>
        <w:ind w:left="500" w:right="220"/>
        <w:spacing w:after="0" w:line="267" w:lineRule="auto"/>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the effective date of this Registration</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w:t>
      </w:r>
    </w:p>
    <w:p>
      <w:pPr>
        <w:ind w:left="500"/>
        <w:spacing w:after="0" w:line="202" w:lineRule="exact"/>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r>
        <w:rPr>
          <w:rFonts w:ascii="MS PGothic" w:cs="MS PGothic" w:eastAsia="MS PGothic" w:hAnsi="MS PGothic"/>
          <w:sz w:val="28"/>
          <w:szCs w:val="28"/>
          <w:color w:val="auto"/>
          <w:vertAlign w:val="subscript"/>
        </w:rPr>
        <w:t>☐</w:t>
      </w:r>
      <w:r>
        <w:rPr>
          <w:rFonts w:ascii="Arial" w:cs="Arial" w:eastAsia="Arial" w:hAnsi="Arial"/>
          <w:sz w:val="14"/>
          <w:szCs w:val="14"/>
          <w:color w:val="auto"/>
        </w:rPr>
        <w:t xml:space="preserve"> If any of the securities being registered on this Form are to be offered on a delayed or continuous basis pursuant to Rule 415 under the Securities Act of</w:t>
      </w:r>
    </w:p>
    <w:p>
      <w:pPr>
        <w:spacing w:after="0" w:line="2" w:lineRule="exact"/>
        <w:rPr>
          <w:sz w:val="24"/>
          <w:szCs w:val="24"/>
          <w:color w:val="auto"/>
        </w:rPr>
      </w:pPr>
    </w:p>
    <w:tbl>
      <w:tblPr>
        <w:tblLayout w:type="fixed"/>
        <w:tblInd w:w="500" w:type="dxa"/>
        <w:tblCellMar>
          <w:top w:w="0" w:type="dxa"/>
          <w:left w:w="0" w:type="dxa"/>
          <w:bottom w:w="0" w:type="dxa"/>
          <w:right w:w="0" w:type="dxa"/>
        </w:tblCellMar>
      </w:tblPr>
      <w:tr>
        <w:trPr>
          <w:trHeight w:val="198"/>
        </w:trPr>
        <w:tc>
          <w:tcPr>
            <w:tcW w:w="9580" w:type="dxa"/>
            <w:vAlign w:val="bottom"/>
          </w:tcPr>
          <w:p>
            <w:pPr>
              <w:spacing w:after="0"/>
              <w:rPr>
                <w:sz w:val="20"/>
                <w:szCs w:val="20"/>
                <w:color w:val="auto"/>
              </w:rPr>
            </w:pPr>
            <w:r>
              <w:rPr>
                <w:rFonts w:ascii="Arial" w:cs="Arial" w:eastAsia="Arial" w:hAnsi="Arial"/>
                <w:sz w:val="14"/>
                <w:szCs w:val="14"/>
                <w:color w:val="auto"/>
              </w:rPr>
              <w:t>1933, other than securities offered only in connection with dividend or interest reinvestment plans, check the following box.</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4"/>
                <w:szCs w:val="14"/>
                <w:color w:val="auto"/>
              </w:rPr>
              <w:t>list the Securities Act registration statement number of the earlier effective registration statement for the same offering.</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4"/>
                <w:szCs w:val="14"/>
                <w:color w:val="auto"/>
              </w:rPr>
              <w:t>registration statement number of the earlier effective registration statement for the same offering.</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on filing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580" w:type="dxa"/>
            <w:vAlign w:val="bottom"/>
          </w:tcPr>
          <w:p>
            <w:pPr>
              <w:spacing w:after="0"/>
              <w:rPr>
                <w:sz w:val="20"/>
                <w:szCs w:val="20"/>
                <w:color w:val="auto"/>
              </w:rPr>
            </w:pPr>
            <w:r>
              <w:rPr>
                <w:rFonts w:ascii="Arial" w:cs="Arial" w:eastAsia="Arial" w:hAnsi="Arial"/>
                <w:sz w:val="14"/>
                <w:szCs w:val="14"/>
                <w:color w:val="auto"/>
              </w:rPr>
              <w:t>with the Commission pursuant to Rule 462(e) under the Securities Act, check the following box.</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w:t>
            </w:r>
          </w:p>
        </w:tc>
        <w:tc>
          <w:tcPr>
            <w:tcW w:w="2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0"/>
        </w:trPr>
        <w:tc>
          <w:tcPr>
            <w:tcW w:w="9580" w:type="dxa"/>
            <w:vAlign w:val="bottom"/>
          </w:tcPr>
          <w:p>
            <w:pPr>
              <w:spacing w:after="0"/>
              <w:rPr>
                <w:sz w:val="20"/>
                <w:szCs w:val="20"/>
                <w:color w:val="auto"/>
              </w:rPr>
            </w:pPr>
            <w:r>
              <w:rPr>
                <w:rFonts w:ascii="Arial" w:cs="Arial" w:eastAsia="Arial" w:hAnsi="Arial"/>
                <w:sz w:val="14"/>
                <w:szCs w:val="14"/>
                <w:color w:val="auto"/>
              </w:rPr>
              <w:t>additional classes of securities pursuant to Rule 413(b) under the Securities Act, check the following box.</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500" w:right="1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680" w:type="dxa"/>
        <w:tblCellMar>
          <w:top w:w="0" w:type="dxa"/>
          <w:left w:w="0" w:type="dxa"/>
          <w:bottom w:w="0" w:type="dxa"/>
          <w:right w:w="0" w:type="dxa"/>
        </w:tblCellMar>
      </w:tblPr>
      <w:tr>
        <w:trPr>
          <w:trHeight w:val="153"/>
        </w:trPr>
        <w:tc>
          <w:tcPr>
            <w:tcW w:w="1700" w:type="dxa"/>
            <w:vAlign w:val="bottom"/>
          </w:tcPr>
          <w:p>
            <w:pPr>
              <w:jc w:val="center"/>
              <w:ind w:right="208"/>
              <w:spacing w:after="0" w:line="153" w:lineRule="exact"/>
              <w:rPr>
                <w:sz w:val="20"/>
                <w:szCs w:val="20"/>
                <w:color w:val="auto"/>
              </w:rPr>
            </w:pPr>
            <w:r>
              <w:rPr>
                <w:rFonts w:ascii="Arial" w:cs="Arial" w:eastAsia="Arial" w:hAnsi="Arial"/>
                <w:sz w:val="14"/>
                <w:szCs w:val="14"/>
                <w:color w:val="auto"/>
              </w:rPr>
              <w:t>Large accelerated filer</w:t>
            </w:r>
          </w:p>
        </w:tc>
        <w:tc>
          <w:tcPr>
            <w:tcW w:w="1640" w:type="dxa"/>
            <w:vAlign w:val="bottom"/>
          </w:tcPr>
          <w:p>
            <w:pPr>
              <w:jc w:val="center"/>
              <w:spacing w:after="0" w:line="153" w:lineRule="exact"/>
              <w:rPr>
                <w:sz w:val="20"/>
                <w:szCs w:val="20"/>
                <w:color w:val="auto"/>
              </w:rPr>
            </w:pPr>
            <w:r>
              <w:rPr>
                <w:rFonts w:ascii="Arial" w:cs="Arial" w:eastAsia="Arial" w:hAnsi="Arial"/>
                <w:sz w:val="14"/>
                <w:szCs w:val="14"/>
                <w:color w:val="auto"/>
              </w:rPr>
              <w:t>Accelerated filer</w:t>
            </w:r>
          </w:p>
        </w:tc>
        <w:tc>
          <w:tcPr>
            <w:tcW w:w="1860" w:type="dxa"/>
            <w:vAlign w:val="bottom"/>
          </w:tcPr>
          <w:p>
            <w:pPr>
              <w:jc w:val="center"/>
              <w:spacing w:after="0" w:line="153" w:lineRule="exact"/>
              <w:rPr>
                <w:sz w:val="20"/>
                <w:szCs w:val="20"/>
                <w:color w:val="auto"/>
              </w:rPr>
            </w:pPr>
            <w:r>
              <w:rPr>
                <w:rFonts w:ascii="Arial" w:cs="Arial" w:eastAsia="Arial" w:hAnsi="Arial"/>
                <w:sz w:val="14"/>
                <w:szCs w:val="14"/>
                <w:color w:val="auto"/>
              </w:rPr>
              <w:t>Non-accelerated filer</w:t>
            </w:r>
          </w:p>
        </w:tc>
        <w:tc>
          <w:tcPr>
            <w:tcW w:w="2160" w:type="dxa"/>
            <w:vAlign w:val="bottom"/>
          </w:tcPr>
          <w:p>
            <w:pPr>
              <w:jc w:val="center"/>
              <w:spacing w:after="0" w:line="153" w:lineRule="exact"/>
              <w:rPr>
                <w:sz w:val="20"/>
                <w:szCs w:val="20"/>
                <w:color w:val="auto"/>
              </w:rPr>
            </w:pPr>
            <w:r>
              <w:rPr>
                <w:rFonts w:ascii="Arial" w:cs="Arial" w:eastAsia="Arial" w:hAnsi="Arial"/>
                <w:sz w:val="14"/>
                <w:szCs w:val="14"/>
                <w:color w:val="auto"/>
              </w:rPr>
              <w:t>Smaller reporting company</w:t>
            </w:r>
          </w:p>
        </w:tc>
        <w:tc>
          <w:tcPr>
            <w:tcW w:w="1940" w:type="dxa"/>
            <w:vAlign w:val="bottom"/>
          </w:tcPr>
          <w:p>
            <w:pPr>
              <w:jc w:val="center"/>
              <w:ind w:left="168"/>
              <w:spacing w:after="0" w:line="153" w:lineRule="exact"/>
              <w:rPr>
                <w:sz w:val="20"/>
                <w:szCs w:val="20"/>
                <w:color w:val="auto"/>
              </w:rPr>
            </w:pPr>
            <w:r>
              <w:rPr>
                <w:rFonts w:ascii="Arial" w:cs="Arial" w:eastAsia="Arial" w:hAnsi="Arial"/>
                <w:sz w:val="14"/>
                <w:szCs w:val="14"/>
                <w:color w:val="auto"/>
              </w:rPr>
              <w:t>Emerging growth company</w:t>
            </w:r>
          </w:p>
        </w:tc>
      </w:tr>
      <w:tr>
        <w:trPr>
          <w:trHeight w:val="226"/>
        </w:trPr>
        <w:tc>
          <w:tcPr>
            <w:tcW w:w="1700" w:type="dxa"/>
            <w:vAlign w:val="bottom"/>
          </w:tcPr>
          <w:p>
            <w:pPr>
              <w:jc w:val="center"/>
              <w:ind w:right="208"/>
              <w:spacing w:after="0" w:line="141" w:lineRule="exact"/>
              <w:rPr>
                <w:sz w:val="20"/>
                <w:szCs w:val="20"/>
                <w:color w:val="auto"/>
              </w:rPr>
            </w:pPr>
            <w:r>
              <w:rPr>
                <w:rFonts w:ascii="MS PGothic" w:cs="MS PGothic" w:eastAsia="MS PGothic" w:hAnsi="MS PGothic"/>
                <w:sz w:val="14"/>
                <w:szCs w:val="14"/>
                <w:color w:val="auto"/>
                <w:w w:val="99"/>
              </w:rPr>
              <w:t>☒</w:t>
            </w:r>
          </w:p>
        </w:tc>
        <w:tc>
          <w:tcPr>
            <w:tcW w:w="1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94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31"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w:t>
      </w:r>
    </w:p>
    <w:p>
      <w:pPr>
        <w:spacing w:after="0" w:line="2"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8440" w:type="dxa"/>
            <w:vAlign w:val="bottom"/>
            <w:gridSpan w:val="4"/>
          </w:tcPr>
          <w:p>
            <w:pPr>
              <w:spacing w:after="0"/>
              <w:rPr>
                <w:sz w:val="20"/>
                <w:szCs w:val="20"/>
                <w:color w:val="auto"/>
              </w:rPr>
            </w:pPr>
            <w:r>
              <w:rPr>
                <w:rFonts w:ascii="Arial" w:cs="Arial" w:eastAsia="Arial" w:hAnsi="Arial"/>
                <w:sz w:val="14"/>
                <w:szCs w:val="14"/>
                <w:color w:val="auto"/>
              </w:rPr>
              <w:t>or revised financial accounting standards provided pursuant to Section 7(a)(2)(B) of the Securities Act.</w:t>
            </w:r>
          </w:p>
        </w:tc>
        <w:tc>
          <w:tcPr>
            <w:tcW w:w="1300" w:type="dxa"/>
            <w:vAlign w:val="bottom"/>
            <w:gridSpan w:val="2"/>
          </w:tcPr>
          <w:p>
            <w:pPr>
              <w:jc w:val="right"/>
              <w:spacing w:after="0" w:line="141" w:lineRule="exact"/>
              <w:rPr>
                <w:sz w:val="20"/>
                <w:szCs w:val="20"/>
                <w:color w:val="auto"/>
              </w:rPr>
            </w:pPr>
            <w:r>
              <w:rPr>
                <w:rFonts w:ascii="MS PGothic" w:cs="MS PGothic" w:eastAsia="MS PGothic" w:hAnsi="MS PGothic"/>
                <w:sz w:val="14"/>
                <w:szCs w:val="14"/>
                <w:color w:val="auto"/>
              </w:rPr>
              <w:t>☐</w:t>
            </w:r>
          </w:p>
        </w:tc>
      </w:tr>
      <w:tr>
        <w:trPr>
          <w:trHeight w:val="21"/>
        </w:trPr>
        <w:tc>
          <w:tcPr>
            <w:tcW w:w="390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8440" w:type="dxa"/>
            <w:vAlign w:val="bottom"/>
            <w:tcBorders>
              <w:bottom w:val="single" w:sz="8" w:color="auto"/>
            </w:tcBorders>
            <w:gridSpan w:val="4"/>
          </w:tcPr>
          <w:p>
            <w:pPr>
              <w:ind w:left="3440"/>
              <w:spacing w:after="0"/>
              <w:rPr>
                <w:sz w:val="20"/>
                <w:szCs w:val="20"/>
                <w:color w:val="auto"/>
              </w:rPr>
            </w:pPr>
            <w:r>
              <w:rPr>
                <w:rFonts w:ascii="Arial" w:cs="Arial" w:eastAsia="Arial" w:hAnsi="Arial"/>
                <w:sz w:val="15"/>
                <w:szCs w:val="15"/>
                <w:color w:val="auto"/>
              </w:rPr>
              <w:t>CALCULATION OF REGISTRATION FEE</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3900" w:type="dxa"/>
            <w:vAlign w:val="bottom"/>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3120" w:type="dxa"/>
            <w:vAlign w:val="bottom"/>
            <w:tcBorders>
              <w:right w:val="single" w:sz="8" w:color="auto"/>
            </w:tcBorders>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rPr>
              <w:t>Amount to be registered/proposed</w:t>
            </w: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3900" w:type="dxa"/>
            <w:vAlign w:val="bottom"/>
          </w:tcPr>
          <w:p>
            <w:pPr>
              <w:ind w:left="1900"/>
              <w:spacing w:after="0"/>
              <w:rPr>
                <w:sz w:val="20"/>
                <w:szCs w:val="20"/>
                <w:color w:val="auto"/>
              </w:rPr>
            </w:pPr>
            <w:r>
              <w:rPr>
                <w:rFonts w:ascii="Arial" w:cs="Arial" w:eastAsia="Arial" w:hAnsi="Arial"/>
                <w:sz w:val="14"/>
                <w:szCs w:val="14"/>
                <w:b w:val="1"/>
                <w:bCs w:val="1"/>
                <w:color w:val="auto"/>
              </w:rPr>
              <w:t>Title of each class of</w:t>
            </w:r>
          </w:p>
        </w:tc>
        <w:tc>
          <w:tcPr>
            <w:tcW w:w="142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maximum offering price per unit/proposed</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 of</w:t>
            </w:r>
          </w:p>
        </w:tc>
      </w:tr>
      <w:tr>
        <w:trPr>
          <w:trHeight w:val="177"/>
        </w:trPr>
        <w:tc>
          <w:tcPr>
            <w:tcW w:w="3900" w:type="dxa"/>
            <w:vAlign w:val="bottom"/>
          </w:tcPr>
          <w:p>
            <w:pPr>
              <w:ind w:left="1720"/>
              <w:spacing w:after="0"/>
              <w:rPr>
                <w:sz w:val="20"/>
                <w:szCs w:val="20"/>
                <w:color w:val="auto"/>
              </w:rPr>
            </w:pPr>
            <w:r>
              <w:rPr>
                <w:rFonts w:ascii="Arial" w:cs="Arial" w:eastAsia="Arial" w:hAnsi="Arial"/>
                <w:sz w:val="14"/>
                <w:szCs w:val="14"/>
                <w:b w:val="1"/>
                <w:bCs w:val="1"/>
                <w:color w:val="auto"/>
              </w:rPr>
              <w:t>securities to be registered</w:t>
            </w:r>
          </w:p>
        </w:tc>
        <w:tc>
          <w:tcPr>
            <w:tcW w:w="1420" w:type="dxa"/>
            <w:vAlign w:val="bottom"/>
            <w:tcBorders>
              <w:right w:val="single" w:sz="8" w:color="auto"/>
            </w:tcBorders>
          </w:tcPr>
          <w:p>
            <w:pPr>
              <w:spacing w:after="0"/>
              <w:rPr>
                <w:sz w:val="15"/>
                <w:szCs w:val="15"/>
                <w:color w:val="auto"/>
              </w:rPr>
            </w:pPr>
          </w:p>
        </w:tc>
        <w:tc>
          <w:tcPr>
            <w:tcW w:w="31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maximum aggregate offering price(1)(2)</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registration fee(3)</w:t>
            </w:r>
          </w:p>
        </w:tc>
      </w:tr>
      <w:tr>
        <w:trPr>
          <w:trHeight w:val="169"/>
        </w:trPr>
        <w:tc>
          <w:tcPr>
            <w:tcW w:w="3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 Stock, $0.10 par value(4)</w:t>
            </w:r>
          </w:p>
        </w:tc>
        <w:tc>
          <w:tcPr>
            <w:tcW w:w="1420" w:type="dxa"/>
            <w:vAlign w:val="bottom"/>
            <w:tcBorders>
              <w:top w:val="single" w:sz="8" w:color="auto"/>
              <w:bottom w:val="single" w:sz="8" w:color="auto"/>
              <w:right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2600" w:type="dxa"/>
            <w:vAlign w:val="bottom"/>
            <w:tcBorders>
              <w:top w:val="single" w:sz="8" w:color="auto"/>
              <w:bottom w:val="single" w:sz="8" w:color="auto"/>
              <w:right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4"/>
                <w:szCs w:val="14"/>
                <w:color w:val="auto"/>
              </w:rPr>
            </w:pPr>
          </w:p>
        </w:tc>
      </w:tr>
      <w:tr>
        <w:trPr>
          <w:trHeight w:val="182"/>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Debt Securities</w:t>
            </w:r>
          </w:p>
        </w:tc>
        <w:tc>
          <w:tcPr>
            <w:tcW w:w="142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5"/>
                <w:szCs w:val="15"/>
                <w:color w:val="auto"/>
              </w:rPr>
            </w:pPr>
          </w:p>
        </w:tc>
      </w:tr>
      <w:tr>
        <w:trPr>
          <w:trHeight w:val="18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Warrants</w:t>
            </w:r>
          </w:p>
        </w:tc>
        <w:tc>
          <w:tcPr>
            <w:tcW w:w="1420" w:type="dxa"/>
            <w:vAlign w:val="bottom"/>
            <w:tcBorders>
              <w:bottom w:val="single" w:sz="8" w:color="auto"/>
              <w:right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2600" w:type="dxa"/>
            <w:vAlign w:val="bottom"/>
            <w:tcBorders>
              <w:bottom w:val="single" w:sz="8" w:color="auto"/>
              <w:right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5"/>
                <w:szCs w:val="15"/>
                <w:color w:val="auto"/>
              </w:rPr>
            </w:pPr>
          </w:p>
        </w:tc>
      </w:tr>
      <w:tr>
        <w:trPr>
          <w:trHeight w:val="182"/>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Purchase Contracts</w:t>
            </w:r>
          </w:p>
        </w:tc>
        <w:tc>
          <w:tcPr>
            <w:tcW w:w="142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5"/>
                <w:szCs w:val="15"/>
                <w:color w:val="auto"/>
              </w:rPr>
            </w:pPr>
          </w:p>
        </w:tc>
      </w:tr>
      <w:tr>
        <w:trPr>
          <w:trHeight w:val="18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Units</w:t>
            </w:r>
          </w:p>
        </w:tc>
        <w:tc>
          <w:tcPr>
            <w:tcW w:w="1420" w:type="dxa"/>
            <w:vAlign w:val="bottom"/>
            <w:tcBorders>
              <w:bottom w:val="single" w:sz="8" w:color="auto"/>
              <w:right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2600" w:type="dxa"/>
            <w:vAlign w:val="bottom"/>
            <w:tcBorders>
              <w:bottom w:val="single" w:sz="8" w:color="auto"/>
              <w:right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5"/>
                <w:szCs w:val="15"/>
                <w:color w:val="auto"/>
              </w:rPr>
            </w:pPr>
          </w:p>
        </w:tc>
      </w:tr>
      <w:tr>
        <w:trPr>
          <w:trHeight w:val="183"/>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5"/>
                <w:szCs w:val="15"/>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5"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Omitted pursuant to Form S-3 General Instruction II.E.</w:t>
      </w:r>
    </w:p>
    <w:p>
      <w:pPr>
        <w:spacing w:after="0" w:line="33" w:lineRule="exact"/>
        <w:rPr>
          <w:rFonts w:ascii="Arial" w:cs="Arial" w:eastAsia="Arial" w:hAnsi="Arial"/>
          <w:sz w:val="14"/>
          <w:szCs w:val="14"/>
          <w:color w:val="auto"/>
        </w:rPr>
      </w:pPr>
    </w:p>
    <w:p>
      <w:pPr>
        <w:ind w:left="860" w:right="560" w:hanging="366"/>
        <w:spacing w:after="0" w:line="261"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unspecified number of securities or aggregate principal amount, as applicable, is being registered as may from time to time be offered at unspecified prices.</w:t>
      </w:r>
    </w:p>
    <w:p>
      <w:pPr>
        <w:ind w:left="860" w:right="280" w:hanging="366"/>
        <w:spacing w:after="0" w:line="267"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under the Securities Act of 1933, as amended, the registrant is deferring payment of the registration fee.</w:t>
      </w:r>
    </w:p>
    <w:p>
      <w:pPr>
        <w:spacing w:after="0" w:line="1" w:lineRule="exact"/>
        <w:rPr>
          <w:rFonts w:ascii="Arial" w:cs="Arial" w:eastAsia="Arial" w:hAnsi="Arial"/>
          <w:sz w:val="14"/>
          <w:szCs w:val="14"/>
          <w:color w:val="auto"/>
        </w:rPr>
      </w:pPr>
    </w:p>
    <w:p>
      <w:pPr>
        <w:ind w:left="860" w:right="100" w:hanging="366"/>
        <w:spacing w:after="0" w:line="291"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rights to acquire common stock of the Company under any shareholder rights plan then in effect, if applicable under the terms of any such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635</wp:posOffset>
            </wp:positionV>
            <wp:extent cx="6189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34925</wp:posOffset>
            </wp:positionV>
            <wp:extent cx="618934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320" w:top="221" w:right="129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131445</wp:posOffset>
            </wp:positionV>
            <wp:extent cx="2468880"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88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80"/>
        <w:spacing w:after="0"/>
        <w:rPr>
          <w:sz w:val="20"/>
          <w:szCs w:val="20"/>
          <w:color w:val="auto"/>
        </w:rPr>
      </w:pPr>
      <w:r>
        <w:rPr>
          <w:rFonts w:ascii="Arial" w:cs="Arial" w:eastAsia="Arial" w:hAnsi="Arial"/>
          <w:sz w:val="40"/>
          <w:szCs w:val="40"/>
          <w:b w:val="1"/>
          <w:bCs w:val="1"/>
          <w:color w:val="auto"/>
        </w:rPr>
        <w:t>MICRON TECHNOLOGY, INC.</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23"/>
          <w:szCs w:val="23"/>
          <w:b w:val="1"/>
          <w:bCs w:val="1"/>
          <w:color w:val="auto"/>
        </w:rPr>
        <w:t>Common Stock</w:t>
      </w:r>
    </w:p>
    <w:p>
      <w:pPr>
        <w:spacing w:after="0" w:line="38" w:lineRule="exact"/>
        <w:rPr>
          <w:sz w:val="20"/>
          <w:szCs w:val="20"/>
          <w:color w:val="auto"/>
        </w:rPr>
      </w:pPr>
    </w:p>
    <w:p>
      <w:pPr>
        <w:jc w:val="center"/>
        <w:ind w:right="-520"/>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520"/>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520"/>
        <w:spacing w:after="0"/>
        <w:rPr>
          <w:sz w:val="20"/>
          <w:szCs w:val="20"/>
          <w:color w:val="auto"/>
        </w:rPr>
      </w:pPr>
      <w:r>
        <w:rPr>
          <w:rFonts w:ascii="Arial" w:cs="Arial" w:eastAsia="Arial" w:hAnsi="Arial"/>
          <w:sz w:val="23"/>
          <w:szCs w:val="23"/>
          <w:b w:val="1"/>
          <w:bCs w:val="1"/>
          <w:color w:val="auto"/>
        </w:rPr>
        <w:t>Purchase Contracts</w:t>
      </w:r>
    </w:p>
    <w:p>
      <w:pPr>
        <w:spacing w:after="0" w:line="6" w:lineRule="exact"/>
        <w:rPr>
          <w:sz w:val="20"/>
          <w:szCs w:val="20"/>
          <w:color w:val="auto"/>
        </w:rPr>
      </w:pPr>
    </w:p>
    <w:p>
      <w:pPr>
        <w:jc w:val="center"/>
        <w:ind w:right="-58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223520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60" w:right="939"/>
        <w:spacing w:after="0" w:line="292"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63" w:lineRule="exact"/>
        <w:rPr>
          <w:sz w:val="20"/>
          <w:szCs w:val="20"/>
          <w:color w:val="auto"/>
        </w:rPr>
      </w:pPr>
    </w:p>
    <w:p>
      <w:pPr>
        <w:ind w:left="1260" w:right="819"/>
        <w:spacing w:after="0" w:line="260"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07" w:lineRule="exact"/>
        <w:rPr>
          <w:sz w:val="20"/>
          <w:szCs w:val="20"/>
          <w:color w:val="auto"/>
        </w:rPr>
      </w:pPr>
    </w:p>
    <w:p>
      <w:pPr>
        <w:ind w:left="1260" w:right="719"/>
        <w:spacing w:after="0" w:line="25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206375</wp:posOffset>
            </wp:positionV>
            <wp:extent cx="123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260" w:right="719"/>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SEE “RISK FACTORS” ON PAGE </w:t>
      </w:r>
      <w:hyperlink w:anchor="page7">
        <w:r>
          <w:rPr>
            <w:rFonts w:ascii="Arial" w:cs="Arial" w:eastAsia="Arial" w:hAnsi="Arial"/>
            <w:sz w:val="18"/>
            <w:szCs w:val="18"/>
            <w:b w:val="1"/>
            <w:bCs w:val="1"/>
            <w:u w:val="single" w:color="auto"/>
            <w:color w:val="0000EE"/>
          </w:rPr>
          <w:t>5</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191770</wp:posOffset>
            </wp:positionV>
            <wp:extent cx="123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left="1260" w:right="879"/>
        <w:spacing w:after="0" w:line="271" w:lineRule="auto"/>
        <w:rPr>
          <w:sz w:val="20"/>
          <w:szCs w:val="20"/>
          <w:color w:val="auto"/>
        </w:rPr>
      </w:pPr>
      <w:r>
        <w:rPr>
          <w:rFonts w:ascii="Arial" w:cs="Arial" w:eastAsia="Arial" w:hAnsi="Arial"/>
          <w:sz w:val="18"/>
          <w:szCs w:val="18"/>
          <w:color w:val="auto"/>
        </w:rPr>
        <w:t>Our common stock is listed on The Nasdaq Global Select Market (“Nasdaq”) under the symbol “MU.” On November 3, 2020, the last reported sale price of our common stock on Nasdaq was $51.08 per share.</w:t>
      </w:r>
    </w:p>
    <w:p>
      <w:pPr>
        <w:spacing w:after="0" w:line="80"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date of this prospectus is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784225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19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72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w:t>
              </w:r>
            </w:hyperlink>
          </w:p>
        </w:tc>
        <w:tc>
          <w:tcPr>
            <w:tcW w:w="150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56"/>
        </w:trPr>
        <w:tc>
          <w:tcPr>
            <w:tcW w:w="67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Where You Can Find More Information; Incorporation by Reference</w:t>
              </w:r>
            </w:hyperlink>
          </w:p>
        </w:tc>
        <w:tc>
          <w:tcPr>
            <w:tcW w:w="15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70"/>
        </w:trPr>
        <w:tc>
          <w:tcPr>
            <w:tcW w:w="672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Company</w:t>
              </w:r>
            </w:hyperlink>
          </w:p>
        </w:tc>
        <w:tc>
          <w:tcPr>
            <w:tcW w:w="150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0"/>
        </w:trPr>
        <w:tc>
          <w:tcPr>
            <w:tcW w:w="67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15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70"/>
        </w:trPr>
        <w:tc>
          <w:tcPr>
            <w:tcW w:w="672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Use of Proceeds</w:t>
              </w:r>
            </w:hyperlink>
          </w:p>
        </w:tc>
        <w:tc>
          <w:tcPr>
            <w:tcW w:w="1500" w:type="dxa"/>
            <w:vAlign w:val="bottom"/>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70"/>
        </w:trPr>
        <w:tc>
          <w:tcPr>
            <w:tcW w:w="67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Description of Securities</w:t>
              </w:r>
            </w:hyperlink>
          </w:p>
        </w:tc>
        <w:tc>
          <w:tcPr>
            <w:tcW w:w="150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270"/>
        </w:trPr>
        <w:tc>
          <w:tcPr>
            <w:tcW w:w="672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Plan of Distribution</w:t>
              </w:r>
            </w:hyperlink>
          </w:p>
        </w:tc>
        <w:tc>
          <w:tcPr>
            <w:tcW w:w="1500" w:type="dxa"/>
            <w:vAlign w:val="bottom"/>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270"/>
        </w:trPr>
        <w:tc>
          <w:tcPr>
            <w:tcW w:w="67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Legal Matters</w:t>
              </w:r>
            </w:hyperlink>
          </w:p>
        </w:tc>
        <w:tc>
          <w:tcPr>
            <w:tcW w:w="150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270"/>
        </w:trPr>
        <w:tc>
          <w:tcPr>
            <w:tcW w:w="672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Experts</w:t>
              </w:r>
            </w:hyperlink>
          </w:p>
        </w:tc>
        <w:tc>
          <w:tcPr>
            <w:tcW w:w="1500" w:type="dxa"/>
            <w:vAlign w:val="bottom"/>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w:t>
      </w:r>
    </w:p>
    <w:p>
      <w:pPr>
        <w:spacing w:after="0" w:line="148"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18"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19" w:lineRule="exact"/>
        <w:rPr>
          <w:sz w:val="20"/>
          <w:szCs w:val="20"/>
          <w:color w:val="auto"/>
        </w:rPr>
      </w:pPr>
    </w:p>
    <w:p>
      <w:pPr>
        <w:ind w:left="1260" w:right="699"/>
        <w:spacing w:after="0" w:line="294" w:lineRule="auto"/>
        <w:rPr>
          <w:sz w:val="20"/>
          <w:szCs w:val="20"/>
          <w:color w:val="auto"/>
        </w:rPr>
      </w:pPr>
      <w:r>
        <w:rPr>
          <w:rFonts w:ascii="Arial" w:cs="Arial" w:eastAsia="Arial" w:hAnsi="Arial"/>
          <w:sz w:val="17"/>
          <w:szCs w:val="17"/>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WHERE YOU CAN FIND MORE</w:t>
      </w:r>
    </w:p>
    <w:p>
      <w:pPr>
        <w:ind w:left="1260"/>
        <w:spacing w:after="0"/>
        <w:rPr>
          <w:sz w:val="20"/>
          <w:szCs w:val="20"/>
          <w:color w:val="auto"/>
        </w:rPr>
      </w:pPr>
      <w:r>
        <w:rPr>
          <w:rFonts w:ascii="Arial" w:cs="Arial" w:eastAsia="Arial" w:hAnsi="Arial"/>
          <w:sz w:val="40"/>
          <w:szCs w:val="40"/>
          <w:b w:val="1"/>
          <w:bCs w:val="1"/>
          <w:color w:val="auto"/>
        </w:rPr>
        <w:t>INFORMATION;</w:t>
      </w:r>
    </w:p>
    <w:p>
      <w:pPr>
        <w:ind w:left="1260"/>
        <w:spacing w:after="0"/>
        <w:rPr>
          <w:sz w:val="20"/>
          <w:szCs w:val="20"/>
          <w:color w:val="auto"/>
        </w:rPr>
      </w:pPr>
      <w:r>
        <w:rPr>
          <w:rFonts w:ascii="Arial" w:cs="Arial" w:eastAsia="Arial" w:hAnsi="Arial"/>
          <w:sz w:val="40"/>
          <w:szCs w:val="40"/>
          <w:b w:val="1"/>
          <w:bCs w:val="1"/>
          <w:color w:val="auto"/>
        </w:rPr>
        <w:t>INCORPORATION BY REFERENCE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Available Information</w:t>
      </w:r>
    </w:p>
    <w:p>
      <w:pPr>
        <w:spacing w:after="0" w:line="139" w:lineRule="exact"/>
        <w:rPr>
          <w:sz w:val="20"/>
          <w:szCs w:val="20"/>
          <w:color w:val="auto"/>
        </w:rPr>
      </w:pPr>
    </w:p>
    <w:p>
      <w:pPr>
        <w:ind w:left="1260" w:right="699"/>
        <w:spacing w:after="0" w:line="271"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interested persons can electronically access any document we file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the SEC.</w:t>
      </w:r>
    </w:p>
    <w:p>
      <w:pPr>
        <w:spacing w:after="0" w:line="95" w:lineRule="exact"/>
        <w:rPr>
          <w:sz w:val="20"/>
          <w:szCs w:val="20"/>
          <w:color w:val="auto"/>
        </w:rPr>
      </w:pPr>
    </w:p>
    <w:p>
      <w:pPr>
        <w:ind w:left="1260" w:right="779"/>
        <w:spacing w:after="0" w:line="292"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on our website, however, is not, and should not be deemed to be, a part of this prospectus.</w:t>
      </w:r>
    </w:p>
    <w:p>
      <w:pPr>
        <w:spacing w:after="0" w:line="77"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Incorporation by Reference</w:t>
      </w:r>
    </w:p>
    <w:p>
      <w:pPr>
        <w:spacing w:after="0" w:line="139" w:lineRule="exact"/>
        <w:rPr>
          <w:sz w:val="20"/>
          <w:szCs w:val="20"/>
          <w:color w:val="auto"/>
        </w:rPr>
      </w:pPr>
    </w:p>
    <w:p>
      <w:pPr>
        <w:ind w:left="1260" w:right="719"/>
        <w:spacing w:after="0" w:line="257"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09"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09" w:lineRule="exact"/>
        <w:rPr>
          <w:sz w:val="20"/>
          <w:szCs w:val="20"/>
          <w:color w:val="auto"/>
        </w:rPr>
      </w:pPr>
    </w:p>
    <w:p>
      <w:pPr>
        <w:ind w:left="1260" w:right="1499"/>
        <w:spacing w:after="0" w:line="292"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36" w:lineRule="exact"/>
        <w:rPr>
          <w:sz w:val="20"/>
          <w:szCs w:val="20"/>
          <w:color w:val="auto"/>
        </w:rPr>
      </w:pPr>
    </w:p>
    <w:p>
      <w:pPr>
        <w:ind w:left="1800" w:right="1039" w:hanging="178"/>
        <w:spacing w:after="0" w:line="292" w:lineRule="auto"/>
        <w:tabs>
          <w:tab w:leader="none" w:pos="1800" w:val="left"/>
        </w:tabs>
        <w:numPr>
          <w:ilvl w:val="0"/>
          <w:numId w:val="2"/>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Our Annual Report on Form 10-K for the fiscal year ended September 3, 2020, filed with the</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SEC on October 19, 2020.</w:t>
        </w:r>
      </w:hyperlink>
    </w:p>
    <w:p>
      <w:pPr>
        <w:spacing w:after="0" w:line="36" w:lineRule="exact"/>
        <w:rPr>
          <w:rFonts w:ascii="Arial" w:cs="Arial" w:eastAsia="Arial" w:hAnsi="Arial"/>
          <w:sz w:val="18"/>
          <w:szCs w:val="18"/>
          <w:u w:val="single" w:color="auto"/>
          <w:color w:val="0000EE"/>
        </w:rPr>
      </w:pPr>
    </w:p>
    <w:p>
      <w:pPr>
        <w:ind w:left="1800" w:hanging="178"/>
        <w:spacing w:after="0"/>
        <w:tabs>
          <w:tab w:leader="none" w:pos="1800" w:val="left"/>
        </w:tabs>
        <w:numPr>
          <w:ilvl w:val="0"/>
          <w:numId w:val="2"/>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Our Current Report on Form 8-K filed with the SEC on September 21, 2020.</w:t>
        </w:r>
      </w:hyperlink>
    </w:p>
    <w:p>
      <w:pPr>
        <w:spacing w:after="0" w:line="117" w:lineRule="exact"/>
        <w:rPr>
          <w:rFonts w:ascii="Arial" w:cs="Arial" w:eastAsia="Arial" w:hAnsi="Arial"/>
          <w:sz w:val="18"/>
          <w:szCs w:val="18"/>
          <w:u w:val="single" w:color="auto"/>
          <w:color w:val="0000EE"/>
        </w:rPr>
      </w:pPr>
    </w:p>
    <w:p>
      <w:pPr>
        <w:jc w:val="both"/>
        <w:ind w:left="1800" w:right="839" w:hanging="178"/>
        <w:spacing w:after="0" w:line="271" w:lineRule="auto"/>
        <w:tabs>
          <w:tab w:leader="none" w:pos="1800" w:val="left"/>
        </w:tabs>
        <w:numPr>
          <w:ilvl w:val="0"/>
          <w:numId w:val="2"/>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The description of our common stock, par value $0.10 per share, contained in our registration</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statement on Form 8-A, filed with the SEC on December 21, 2009, including any subsequently</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filed amendments and reports updating such description.</w:t>
        </w:r>
      </w:hyperlink>
    </w:p>
    <w:p>
      <w:pPr>
        <w:spacing w:after="0" w:line="95" w:lineRule="exact"/>
        <w:rPr>
          <w:rFonts w:ascii="Arial" w:cs="Arial" w:eastAsia="Arial" w:hAnsi="Arial"/>
          <w:sz w:val="18"/>
          <w:szCs w:val="18"/>
          <w:u w:val="single" w:color="auto"/>
          <w:color w:val="0000EE"/>
        </w:rPr>
      </w:pPr>
    </w:p>
    <w:p>
      <w:pPr>
        <w:ind w:left="1260" w:right="759"/>
        <w:spacing w:after="0" w:line="26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10139"/>
          </w:cols>
          <w:pgMar w:left="320" w:top="114" w:right="1440" w:bottom="1440" w:gutter="0" w:footer="0" w:header="0"/>
        </w:sectPr>
      </w:pPr>
    </w:p>
    <w:p>
      <w:pPr>
        <w:spacing w:after="0" w:line="345" w:lineRule="exact"/>
        <w:rPr>
          <w:rFonts w:ascii="Arial" w:cs="Arial" w:eastAsia="Arial" w:hAnsi="Arial"/>
          <w:sz w:val="18"/>
          <w:szCs w:val="18"/>
          <w:u w:val="single" w:color="auto"/>
          <w:color w:val="0000EE"/>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19"/>
        <w:spacing w:after="0" w:line="271"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Micron Technology, Inc.</w:t>
      </w:r>
    </w:p>
    <w:p>
      <w:pPr>
        <w:spacing w:after="0" w:line="3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(208) 368-4000</w:t>
      </w:r>
    </w:p>
    <w:p>
      <w:pPr>
        <w:spacing w:after="0" w:line="136" w:lineRule="exact"/>
        <w:rPr>
          <w:sz w:val="20"/>
          <w:szCs w:val="20"/>
          <w:color w:val="auto"/>
        </w:rPr>
      </w:pPr>
    </w:p>
    <w:p>
      <w:pPr>
        <w:jc w:val="both"/>
        <w:ind w:left="1260" w:right="1639"/>
        <w:spacing w:after="0" w:line="323"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54" w:lineRule="exact"/>
        <w:rPr>
          <w:sz w:val="20"/>
          <w:szCs w:val="20"/>
          <w:color w:val="auto"/>
        </w:rPr>
      </w:pPr>
    </w:p>
    <w:p>
      <w:pPr>
        <w:ind w:left="1260" w:right="1359"/>
        <w:spacing w:after="0" w:line="323" w:lineRule="auto"/>
        <w:rPr>
          <w:sz w:val="20"/>
          <w:szCs w:val="20"/>
          <w:color w:val="auto"/>
        </w:rPr>
      </w:pPr>
      <w:r>
        <w:rPr>
          <w:rFonts w:ascii="Arial" w:cs="Arial" w:eastAsia="Arial" w:hAnsi="Arial"/>
          <w:sz w:val="17"/>
          <w:szCs w:val="17"/>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THE COMPANY</w:t>
      </w:r>
    </w:p>
    <w:p>
      <w:pPr>
        <w:spacing w:after="0" w:line="148" w:lineRule="exact"/>
        <w:rPr>
          <w:sz w:val="20"/>
          <w:szCs w:val="20"/>
          <w:color w:val="auto"/>
        </w:rPr>
      </w:pPr>
    </w:p>
    <w:p>
      <w:pPr>
        <w:ind w:left="1260" w:right="679"/>
        <w:spacing w:after="0" w:line="242"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120" w:lineRule="exact"/>
        <w:rPr>
          <w:sz w:val="20"/>
          <w:szCs w:val="20"/>
          <w:color w:val="auto"/>
        </w:rPr>
      </w:pPr>
    </w:p>
    <w:p>
      <w:pPr>
        <w:jc w:val="both"/>
        <w:ind w:left="1260" w:right="919"/>
        <w:spacing w:after="0" w:line="271" w:lineRule="auto"/>
        <w:rPr>
          <w:sz w:val="20"/>
          <w:szCs w:val="20"/>
          <w:color w:val="auto"/>
        </w:rPr>
      </w:pPr>
      <w:r>
        <w:rPr>
          <w:rFonts w:ascii="Arial" w:cs="Arial" w:eastAsia="Arial" w:hAnsi="Arial"/>
          <w:sz w:val="18"/>
          <w:szCs w:val="18"/>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48" w:lineRule="exact"/>
        <w:rPr>
          <w:sz w:val="20"/>
          <w:szCs w:val="20"/>
          <w:color w:val="auto"/>
        </w:rPr>
      </w:pPr>
    </w:p>
    <w:p>
      <w:pPr>
        <w:ind w:left="1260" w:right="859"/>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48" w:lineRule="exact"/>
        <w:rPr>
          <w:sz w:val="20"/>
          <w:szCs w:val="20"/>
          <w:color w:val="auto"/>
        </w:rPr>
      </w:pPr>
    </w:p>
    <w:p>
      <w:pPr>
        <w:ind w:left="1260" w:right="1459"/>
        <w:spacing w:after="0" w:line="292"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SECURITIES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17" w:lineRule="exact"/>
        <w:rPr>
          <w:sz w:val="20"/>
          <w:szCs w:val="20"/>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117" w:lineRule="exact"/>
        <w:rPr>
          <w:rFonts w:ascii="Arial" w:cs="Arial" w:eastAsia="Arial" w:hAnsi="Arial"/>
          <w:sz w:val="18"/>
          <w:szCs w:val="18"/>
          <w:color w:val="auto"/>
        </w:rPr>
      </w:pPr>
    </w:p>
    <w:p>
      <w:pPr>
        <w:ind w:left="1800" w:right="1019" w:hanging="178"/>
        <w:spacing w:after="0" w:line="292"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36"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w:t>
      </w:r>
    </w:p>
    <w:p>
      <w:pPr>
        <w:spacing w:after="0" w:line="158" w:lineRule="exact"/>
        <w:rPr>
          <w:sz w:val="20"/>
          <w:szCs w:val="20"/>
          <w:color w:val="auto"/>
        </w:rPr>
      </w:pPr>
    </w:p>
    <w:p>
      <w:pPr>
        <w:ind w:left="1260" w:right="719"/>
        <w:spacing w:after="0" w:line="271"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95" w:lineRule="exact"/>
        <w:rPr>
          <w:sz w:val="20"/>
          <w:szCs w:val="20"/>
          <w:color w:val="auto"/>
        </w:rPr>
      </w:pPr>
    </w:p>
    <w:p>
      <w:pPr>
        <w:ind w:left="1260" w:right="779"/>
        <w:spacing w:after="0" w:line="260"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PLAN OF DISTRIBUTION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959"/>
        <w:spacing w:after="0" w:line="292"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LEGAL MATTERS</w:t>
      </w:r>
    </w:p>
    <w:p>
      <w:pPr>
        <w:spacing w:after="0" w:line="148" w:lineRule="exact"/>
        <w:rPr>
          <w:sz w:val="20"/>
          <w:szCs w:val="20"/>
          <w:color w:val="auto"/>
        </w:rPr>
      </w:pPr>
    </w:p>
    <w:p>
      <w:pPr>
        <w:jc w:val="both"/>
        <w:ind w:left="1260" w:right="1119"/>
        <w:spacing w:after="0" w:line="284" w:lineRule="auto"/>
        <w:rPr>
          <w:sz w:val="20"/>
          <w:szCs w:val="20"/>
          <w:color w:val="auto"/>
        </w:rPr>
      </w:pPr>
      <w:r>
        <w:rPr>
          <w:rFonts w:ascii="Arial" w:cs="Arial" w:eastAsia="Arial" w:hAnsi="Arial"/>
          <w:sz w:val="17"/>
          <w:szCs w:val="17"/>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61" w:lineRule="exact"/>
        <w:rPr>
          <w:sz w:val="20"/>
          <w:szCs w:val="20"/>
          <w:color w:val="auto"/>
        </w:rPr>
      </w:pPr>
    </w:p>
    <w:p>
      <w:pPr>
        <w:ind w:left="1260" w:right="719"/>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23">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Micron Technology, Inc. for the year ended September 3, 2020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PART II</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INFORMATION NOT REQUIRED IN PROSPECTUS</w:t>
      </w:r>
    </w:p>
    <w:p>
      <w:pPr>
        <w:spacing w:after="0" w:line="153" w:lineRule="exact"/>
        <w:rPr>
          <w:sz w:val="20"/>
          <w:szCs w:val="20"/>
          <w:color w:val="auto"/>
        </w:rPr>
      </w:pPr>
    </w:p>
    <w:p>
      <w:pPr>
        <w:ind w:left="1260"/>
        <w:spacing w:after="0"/>
        <w:tabs>
          <w:tab w:leader="none" w:pos="2620" w:val="left"/>
        </w:tabs>
        <w:rPr>
          <w:sz w:val="20"/>
          <w:szCs w:val="20"/>
          <w:color w:val="auto"/>
        </w:rPr>
      </w:pPr>
      <w:r>
        <w:rPr>
          <w:rFonts w:ascii="Arial" w:cs="Arial" w:eastAsia="Arial" w:hAnsi="Arial"/>
          <w:sz w:val="29"/>
          <w:szCs w:val="29"/>
          <w:b w:val="1"/>
          <w:bCs w:val="1"/>
          <w:color w:val="auto"/>
        </w:rPr>
        <w:t>Item 14.</w:t>
      </w:r>
      <w:r>
        <w:rPr>
          <w:sz w:val="20"/>
          <w:szCs w:val="20"/>
          <w:color w:val="auto"/>
        </w:rPr>
        <w:tab/>
      </w:r>
      <w:r>
        <w:rPr>
          <w:rFonts w:ascii="Arial" w:cs="Arial" w:eastAsia="Arial" w:hAnsi="Arial"/>
          <w:sz w:val="28"/>
          <w:szCs w:val="28"/>
          <w:b w:val="1"/>
          <w:bCs w:val="1"/>
          <w:color w:val="auto"/>
        </w:rPr>
        <w:t>Other Expenses of Issuance and Distribution</w:t>
      </w:r>
    </w:p>
    <w:p>
      <w:pPr>
        <w:spacing w:after="0" w:line="160" w:lineRule="exact"/>
        <w:rPr>
          <w:sz w:val="20"/>
          <w:szCs w:val="20"/>
          <w:color w:val="auto"/>
        </w:rPr>
      </w:pPr>
    </w:p>
    <w:p>
      <w:pPr>
        <w:ind w:left="1260" w:right="759"/>
        <w:spacing w:after="0" w:line="276"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194"/>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SEC registration fee</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80"/>
        </w:trPr>
        <w:tc>
          <w:tcPr>
            <w:tcW w:w="728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3"/>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Printing expenses</w:t>
            </w:r>
          </w:p>
        </w:tc>
        <w:tc>
          <w:tcPr>
            <w:tcW w:w="4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2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3"/>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Legal fees and expenses (including Blue Sky fees)</w:t>
            </w:r>
          </w:p>
        </w:tc>
        <w:tc>
          <w:tcPr>
            <w:tcW w:w="4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2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3"/>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Accounting fees and expenses</w:t>
            </w:r>
          </w:p>
        </w:tc>
        <w:tc>
          <w:tcPr>
            <w:tcW w:w="4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2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3"/>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Transfer agent, trustee, and warrant agent fees and expenses</w:t>
            </w:r>
          </w:p>
        </w:tc>
        <w:tc>
          <w:tcPr>
            <w:tcW w:w="4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2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3"/>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Miscellaneous</w:t>
            </w:r>
          </w:p>
        </w:tc>
        <w:tc>
          <w:tcPr>
            <w:tcW w:w="4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7280" w:type="dxa"/>
            <w:vAlign w:val="bottom"/>
            <w:gridSpan w:val="2"/>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85"/>
        </w:trPr>
        <w:tc>
          <w:tcPr>
            <w:tcW w:w="7280" w:type="dxa"/>
            <w:vAlign w:val="bottom"/>
            <w:gridSpan w:val="2"/>
            <w:vMerge w:val="continue"/>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94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-1233805</wp:posOffset>
            </wp:positionV>
            <wp:extent cx="52120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-942340</wp:posOffset>
            </wp:positionV>
            <wp:extent cx="52120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-616585</wp:posOffset>
            </wp:positionV>
            <wp:extent cx="52120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-281940</wp:posOffset>
            </wp:positionV>
            <wp:extent cx="52120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92" w:lineRule="exact"/>
        <w:rPr>
          <w:sz w:val="20"/>
          <w:szCs w:val="20"/>
          <w:color w:val="auto"/>
        </w:rPr>
      </w:pPr>
    </w:p>
    <w:p>
      <w:pPr>
        <w:ind w:left="1580" w:right="799" w:hanging="318"/>
        <w:spacing w:after="0" w:line="271" w:lineRule="auto"/>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spacing w:after="0" w:line="14" w:lineRule="exact"/>
        <w:rPr>
          <w:rFonts w:ascii="Arial" w:cs="Arial" w:eastAsia="Arial" w:hAnsi="Arial"/>
          <w:sz w:val="18"/>
          <w:szCs w:val="18"/>
          <w:color w:val="auto"/>
        </w:rPr>
      </w:pPr>
    </w:p>
    <w:p>
      <w:pPr>
        <w:ind w:left="1580" w:right="1299" w:hanging="318"/>
        <w:spacing w:after="0" w:line="292" w:lineRule="auto"/>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cannot be estimated at this time.</w:t>
      </w:r>
    </w:p>
    <w:p>
      <w:pPr>
        <w:spacing w:after="0" w:line="123" w:lineRule="exact"/>
        <w:rPr>
          <w:sz w:val="20"/>
          <w:szCs w:val="20"/>
          <w:color w:val="auto"/>
        </w:rPr>
      </w:pPr>
    </w:p>
    <w:p>
      <w:pPr>
        <w:ind w:left="1260"/>
        <w:spacing w:after="0"/>
        <w:tabs>
          <w:tab w:leader="none" w:pos="2620" w:val="left"/>
        </w:tabs>
        <w:rPr>
          <w:sz w:val="20"/>
          <w:szCs w:val="20"/>
          <w:color w:val="auto"/>
        </w:rPr>
      </w:pPr>
      <w:r>
        <w:rPr>
          <w:rFonts w:ascii="Arial" w:cs="Arial" w:eastAsia="Arial" w:hAnsi="Arial"/>
          <w:sz w:val="29"/>
          <w:szCs w:val="29"/>
          <w:b w:val="1"/>
          <w:bCs w:val="1"/>
          <w:color w:val="auto"/>
        </w:rPr>
        <w:t>Item 15.</w:t>
      </w:r>
      <w:r>
        <w:rPr>
          <w:sz w:val="20"/>
          <w:szCs w:val="20"/>
          <w:color w:val="auto"/>
        </w:rPr>
        <w:tab/>
      </w:r>
      <w:r>
        <w:rPr>
          <w:rFonts w:ascii="Arial" w:cs="Arial" w:eastAsia="Arial" w:hAnsi="Arial"/>
          <w:sz w:val="28"/>
          <w:szCs w:val="28"/>
          <w:b w:val="1"/>
          <w:bCs w:val="1"/>
          <w:color w:val="auto"/>
        </w:rPr>
        <w:t>Indemnification of Directors and Officers</w:t>
      </w:r>
    </w:p>
    <w:p>
      <w:pPr>
        <w:spacing w:after="0" w:line="160"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02"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5" w:lineRule="exact"/>
        <w:rPr>
          <w:sz w:val="20"/>
          <w:szCs w:val="20"/>
          <w:color w:val="auto"/>
        </w:rPr>
      </w:pPr>
    </w:p>
    <w:p>
      <w:pPr>
        <w:ind w:left="1260" w:right="699"/>
        <w:spacing w:after="0" w:line="247" w:lineRule="auto"/>
        <w:rPr>
          <w:sz w:val="20"/>
          <w:szCs w:val="20"/>
          <w:color w:val="auto"/>
        </w:rPr>
      </w:pPr>
      <w:r>
        <w:rPr>
          <w:rFonts w:ascii="Arial" w:cs="Arial" w:eastAsia="Arial" w:hAnsi="Arial"/>
          <w:sz w:val="18"/>
          <w:szCs w:val="18"/>
          <w:color w:val="auto"/>
        </w:rPr>
        <w:t>Section 145 further provides that to the extent a director or officer of a corporation has been successful on the merits or otherwise in the defense of any action, suit, or proceeding referred to in subsections</w:t>
      </w:r>
    </w:p>
    <w:p>
      <w:pPr>
        <w:spacing w:after="0" w:line="1" w:lineRule="exact"/>
        <w:rPr>
          <w:sz w:val="20"/>
          <w:szCs w:val="20"/>
          <w:color w:val="auto"/>
        </w:rPr>
      </w:pPr>
    </w:p>
    <w:p>
      <w:pPr>
        <w:ind w:left="1540" w:hanging="278"/>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of Section 145, or in defense of any claim, issue, or matter therein, such person shall be</w:t>
      </w:r>
    </w:p>
    <w:p>
      <w:pPr>
        <w:spacing w:after="0" w:line="365"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color w:val="auto"/>
        </w:rPr>
        <w:t>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98" w:lineRule="exact"/>
        <w:rPr>
          <w:sz w:val="20"/>
          <w:szCs w:val="20"/>
          <w:color w:val="auto"/>
        </w:rPr>
      </w:pPr>
    </w:p>
    <w:p>
      <w:pPr>
        <w:ind w:left="1260" w:right="679"/>
        <w:spacing w:after="0" w:line="257"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09" w:lineRule="exact"/>
        <w:rPr>
          <w:sz w:val="20"/>
          <w:szCs w:val="20"/>
          <w:color w:val="auto"/>
        </w:rPr>
      </w:pPr>
    </w:p>
    <w:p>
      <w:pPr>
        <w:ind w:left="1260" w:right="779"/>
        <w:spacing w:after="0" w:line="258" w:lineRule="auto"/>
        <w:rPr>
          <w:sz w:val="20"/>
          <w:szCs w:val="20"/>
          <w:color w:val="auto"/>
        </w:rPr>
      </w:pPr>
      <w:r>
        <w:rPr>
          <w:rFonts w:ascii="Arial" w:cs="Arial" w:eastAsia="Arial" w:hAnsi="Arial"/>
          <w:sz w:val="18"/>
          <w:szCs w:val="18"/>
          <w:color w:val="auto"/>
        </w:rPr>
        <w:t>Our certificate of incorporation, as amended, provides for the elimination of liability of our directors to the extent permitted by the DGCL. Our Bylaws, as amended, provide for mandatory indemnification of our officers, directors, employees, and other agents to the extent set forth in our certificate of incorporation. In addition, we have entered into indemnification agreements with our directors and certain of our officers. The indemnification agreements provide such directors and officers with further indemnification to the maximum extent permitted by the DGCL.</w:t>
      </w:r>
    </w:p>
    <w:p>
      <w:pPr>
        <w:spacing w:after="0" w:line="109" w:lineRule="exact"/>
        <w:rPr>
          <w:sz w:val="20"/>
          <w:szCs w:val="20"/>
          <w:color w:val="auto"/>
        </w:rPr>
      </w:pPr>
    </w:p>
    <w:p>
      <w:pPr>
        <w:ind w:left="1260" w:right="699"/>
        <w:spacing w:after="0" w:line="294" w:lineRule="auto"/>
        <w:rPr>
          <w:sz w:val="20"/>
          <w:szCs w:val="20"/>
          <w:color w:val="auto"/>
        </w:rPr>
      </w:pPr>
      <w:r>
        <w:rPr>
          <w:rFonts w:ascii="Arial" w:cs="Arial" w:eastAsia="Arial" w:hAnsi="Arial"/>
          <w:sz w:val="17"/>
          <w:szCs w:val="17"/>
          <w:color w:val="auto"/>
        </w:rPr>
        <w:t>We have in effect a directors and officers liability insurance policy indemnifying our directors and officers and the directors and officers of our subsidiaries within a specific limit for certain liabilities incurred by them, including liabilities under the Securities Act. We pay the entire premium of this policy.</w:t>
      </w:r>
    </w:p>
    <w:p>
      <w:pPr>
        <w:spacing w:after="0" w:line="65" w:lineRule="exact"/>
        <w:rPr>
          <w:sz w:val="20"/>
          <w:szCs w:val="20"/>
          <w:color w:val="auto"/>
        </w:rPr>
      </w:pPr>
    </w:p>
    <w:p>
      <w:pPr>
        <w:ind w:left="1260" w:right="839"/>
        <w:spacing w:after="0" w:line="271" w:lineRule="auto"/>
        <w:rPr>
          <w:sz w:val="20"/>
          <w:szCs w:val="20"/>
          <w:color w:val="auto"/>
        </w:rPr>
      </w:pPr>
      <w:r>
        <w:rPr>
          <w:rFonts w:ascii="Arial" w:cs="Arial" w:eastAsia="Arial" w:hAnsi="Arial"/>
          <w:sz w:val="18"/>
          <w:szCs w:val="18"/>
          <w:color w:val="auto"/>
        </w:rPr>
        <w:t>We believe that our certificate of incorporation and bylaw provisions, our directors and officers liability insurance policy and our indemnification agreements are necessary to attract and retain qualified persons to serve as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tabs>
          <w:tab w:leader="none" w:pos="2620" w:val="left"/>
        </w:tabs>
        <w:rPr>
          <w:sz w:val="20"/>
          <w:szCs w:val="20"/>
          <w:color w:val="auto"/>
        </w:rPr>
      </w:pPr>
      <w:r>
        <w:rPr>
          <w:rFonts w:ascii="Arial" w:cs="Arial" w:eastAsia="Arial" w:hAnsi="Arial"/>
          <w:sz w:val="29"/>
          <w:szCs w:val="29"/>
          <w:b w:val="1"/>
          <w:bCs w:val="1"/>
          <w:color w:val="auto"/>
        </w:rPr>
        <w:t>Item 16.</w:t>
      </w:r>
      <w:r>
        <w:rPr>
          <w:sz w:val="20"/>
          <w:szCs w:val="20"/>
          <w:color w:val="auto"/>
        </w:rPr>
        <w:tab/>
      </w:r>
      <w:r>
        <w:rPr>
          <w:rFonts w:ascii="Arial" w:cs="Arial" w:eastAsia="Arial" w:hAnsi="Arial"/>
          <w:sz w:val="28"/>
          <w:szCs w:val="28"/>
          <w:b w:val="1"/>
          <w:bCs w:val="1"/>
          <w:color w:val="auto"/>
        </w:rPr>
        <w:t>Exhibits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exhibits are filed as part of this registration statement on Form S-3.</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21" w:lineRule="exact"/>
        <w:rPr>
          <w:sz w:val="20"/>
          <w:szCs w:val="20"/>
          <w:color w:val="auto"/>
        </w:rPr>
      </w:pPr>
    </w:p>
    <w:p>
      <w:pPr>
        <w:ind w:left="1260"/>
        <w:spacing w:after="0"/>
        <w:tabs>
          <w:tab w:leader="none" w:pos="48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203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34" w:lineRule="exact"/>
        <w:rPr>
          <w:sz w:val="20"/>
          <w:szCs w:val="20"/>
          <w:color w:val="auto"/>
        </w:rPr>
      </w:pPr>
    </w:p>
    <w:p>
      <w:pPr>
        <w:ind w:left="1260"/>
        <w:spacing w:after="0"/>
        <w:tabs>
          <w:tab w:leader="none" w:pos="1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36" w:lineRule="exact"/>
        <w:rPr>
          <w:sz w:val="20"/>
          <w:szCs w:val="20"/>
          <w:color w:val="auto"/>
        </w:rPr>
      </w:pPr>
    </w:p>
    <w:p>
      <w:pPr>
        <w:ind w:left="1820" w:right="839" w:hanging="553"/>
        <w:spacing w:after="0" w:line="273" w:lineRule="auto"/>
        <w:tabs>
          <w:tab w:leader="none" w:pos="18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41">
        <w:r>
          <w:rPr>
            <w:rFonts w:ascii="Arial" w:cs="Arial" w:eastAsia="Arial" w:hAnsi="Arial"/>
            <w:sz w:val="18"/>
            <w:szCs w:val="18"/>
            <w:u w:val="single" w:color="auto"/>
            <w:color w:val="0000EE"/>
          </w:rPr>
          <w:t>Restated Certificate of Incorporation of Micron, filed as Exhibit 99.2 to Micron’s Current Report</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on Form 8-K filed on January 26, 2015.</w:t>
        </w:r>
      </w:hyperlink>
    </w:p>
    <w:p>
      <w:pPr>
        <w:spacing w:after="0" w:line="2" w:lineRule="exact"/>
        <w:rPr>
          <w:sz w:val="20"/>
          <w:szCs w:val="20"/>
          <w:color w:val="auto"/>
        </w:rPr>
      </w:pPr>
    </w:p>
    <w:p>
      <w:pPr>
        <w:ind w:left="1820" w:right="899" w:hanging="553"/>
        <w:spacing w:after="0" w:line="273" w:lineRule="auto"/>
        <w:tabs>
          <w:tab w:leader="none" w:pos="180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42">
        <w:r>
          <w:rPr>
            <w:rFonts w:ascii="Arial" w:cs="Arial" w:eastAsia="Arial" w:hAnsi="Arial"/>
            <w:sz w:val="18"/>
            <w:szCs w:val="18"/>
            <w:u w:val="single" w:color="auto"/>
            <w:color w:val="0000EE"/>
          </w:rPr>
          <w:t>Bylaws of Micron, Amended and Restated, filed as Exhibit 99.2 to Micron’s Current Report on</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Form 8-K filed on August 4, 2020.</w:t>
        </w:r>
      </w:hyperlink>
    </w:p>
    <w:p>
      <w:pPr>
        <w:spacing w:after="0" w:line="2" w:lineRule="exact"/>
        <w:rPr>
          <w:sz w:val="20"/>
          <w:szCs w:val="20"/>
          <w:color w:val="auto"/>
        </w:rPr>
      </w:pPr>
    </w:p>
    <w:p>
      <w:pPr>
        <w:jc w:val="both"/>
        <w:ind w:left="1820" w:right="979" w:hanging="553"/>
        <w:spacing w:after="0" w:line="271" w:lineRule="auto"/>
        <w:tabs>
          <w:tab w:leader="none" w:pos="18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43">
        <w:r>
          <w:rPr>
            <w:rFonts w:ascii="Arial" w:cs="Arial" w:eastAsia="Arial" w:hAnsi="Arial"/>
            <w:sz w:val="18"/>
            <w:szCs w:val="18"/>
            <w:u w:val="single" w:color="auto"/>
            <w:color w:val="0000EE"/>
          </w:rPr>
          <w:t>Indenture, dated February 6, 2019, by and between Micron Technology, Inc. and U.S. Bank</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National Association, as Trustee, filed as Exhibit 4.1 to Micron’s Current Report on Form 8-K</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filed on February 6, 2019.</w:t>
        </w:r>
      </w:hyperlink>
    </w:p>
    <w:p>
      <w:pPr>
        <w:spacing w:after="0" w:line="1" w:lineRule="exact"/>
        <w:rPr>
          <w:rFonts w:ascii="Arial" w:cs="Arial" w:eastAsia="Arial" w:hAnsi="Arial"/>
          <w:sz w:val="18"/>
          <w:szCs w:val="18"/>
          <w:u w:val="single" w:color="auto"/>
          <w:color w:val="0000EE"/>
        </w:rPr>
      </w:pPr>
    </w:p>
    <w:p>
      <w:pPr>
        <w:ind w:left="1260"/>
        <w:spacing w:after="0"/>
        <w:tabs>
          <w:tab w:leader="none" w:pos="1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Form of Note.</w:t>
      </w:r>
    </w:p>
    <w:p>
      <w:pPr>
        <w:spacing w:after="0" w:line="50" w:lineRule="exact"/>
        <w:rPr>
          <w:rFonts w:ascii="Arial" w:cs="Arial" w:eastAsia="Arial" w:hAnsi="Arial"/>
          <w:sz w:val="18"/>
          <w:szCs w:val="18"/>
          <w:u w:val="single" w:color="auto"/>
          <w:color w:val="0000EE"/>
        </w:rPr>
      </w:pPr>
    </w:p>
    <w:p>
      <w:pPr>
        <w:ind w:left="1260"/>
        <w:spacing w:after="0"/>
        <w:tabs>
          <w:tab w:leader="none" w:pos="18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Form of Warrant.</w:t>
      </w:r>
    </w:p>
    <w:p>
      <w:pPr>
        <w:spacing w:after="0" w:line="63" w:lineRule="exact"/>
        <w:rPr>
          <w:rFonts w:ascii="Arial" w:cs="Arial" w:eastAsia="Arial" w:hAnsi="Arial"/>
          <w:sz w:val="18"/>
          <w:szCs w:val="18"/>
          <w:u w:val="single" w:color="auto"/>
          <w:color w:val="0000EE"/>
        </w:rPr>
      </w:pPr>
    </w:p>
    <w:p>
      <w:pPr>
        <w:ind w:left="1260"/>
        <w:spacing w:after="0"/>
        <w:tabs>
          <w:tab w:leader="none" w:pos="18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Form of Warrant Agreement.</w:t>
      </w:r>
    </w:p>
    <w:p>
      <w:pPr>
        <w:spacing w:after="0" w:line="63" w:lineRule="exact"/>
        <w:rPr>
          <w:rFonts w:ascii="Arial" w:cs="Arial" w:eastAsia="Arial" w:hAnsi="Arial"/>
          <w:sz w:val="18"/>
          <w:szCs w:val="18"/>
          <w:u w:val="single" w:color="auto"/>
          <w:color w:val="0000EE"/>
        </w:rPr>
      </w:pPr>
    </w:p>
    <w:p>
      <w:pPr>
        <w:ind w:left="1260"/>
        <w:spacing w:after="0"/>
        <w:tabs>
          <w:tab w:leader="none" w:pos="18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Form of Purchase Contract Agreement.</w:t>
      </w:r>
    </w:p>
    <w:p>
      <w:pPr>
        <w:spacing w:after="0" w:line="63" w:lineRule="exact"/>
        <w:rPr>
          <w:rFonts w:ascii="Arial" w:cs="Arial" w:eastAsia="Arial" w:hAnsi="Arial"/>
          <w:sz w:val="18"/>
          <w:szCs w:val="18"/>
          <w:u w:val="single" w:color="auto"/>
          <w:color w:val="0000EE"/>
        </w:rPr>
      </w:pPr>
    </w:p>
    <w:p>
      <w:pPr>
        <w:ind w:left="1260"/>
        <w:spacing w:after="0"/>
        <w:tabs>
          <w:tab w:leader="none" w:pos="18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Form of Unit Agreement.</w:t>
      </w:r>
    </w:p>
    <w:p>
      <w:pPr>
        <w:spacing w:after="0" w:line="63" w:lineRule="exact"/>
        <w:rPr>
          <w:rFonts w:ascii="Arial" w:cs="Arial" w:eastAsia="Arial" w:hAnsi="Arial"/>
          <w:sz w:val="18"/>
          <w:szCs w:val="18"/>
          <w:u w:val="single" w:color="auto"/>
          <w:color w:val="0000EE"/>
        </w:rPr>
      </w:pPr>
    </w:p>
    <w:p>
      <w:pPr>
        <w:ind w:left="1260"/>
        <w:spacing w:after="0"/>
        <w:tabs>
          <w:tab w:leader="none" w:pos="180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21">
        <w:r>
          <w:rPr>
            <w:rFonts w:ascii="Arial" w:cs="Arial" w:eastAsia="Arial" w:hAnsi="Arial"/>
            <w:sz w:val="17"/>
            <w:szCs w:val="17"/>
            <w:u w:val="single" w:color="auto"/>
            <w:color w:val="0000EE"/>
          </w:rPr>
          <w:t>Opinion of Wilson Sonsini Goodrich &amp; Rosati, Professional Corporation</w:t>
        </w:r>
        <w:r>
          <w:rPr>
            <w:rFonts w:ascii="Arial" w:cs="Arial" w:eastAsia="Arial" w:hAnsi="Arial"/>
            <w:sz w:val="17"/>
            <w:szCs w:val="17"/>
            <w:color w:val="0000EE"/>
          </w:rPr>
          <w:t>.</w:t>
        </w:r>
      </w:hyperlink>
    </w:p>
    <w:p>
      <w:pPr>
        <w:spacing w:after="0" w:line="63" w:lineRule="exact"/>
        <w:rPr>
          <w:rFonts w:ascii="Arial" w:cs="Arial" w:eastAsia="Arial" w:hAnsi="Arial"/>
          <w:sz w:val="18"/>
          <w:szCs w:val="18"/>
          <w:u w:val="single" w:color="auto"/>
          <w:color w:val="0000EE"/>
        </w:rPr>
      </w:pPr>
    </w:p>
    <w:p>
      <w:pPr>
        <w:ind w:left="1260"/>
        <w:spacing w:after="0"/>
        <w:tabs>
          <w:tab w:leader="none" w:pos="1800" w:val="left"/>
        </w:tabs>
        <w:rPr>
          <w:rFonts w:ascii="Arial" w:cs="Arial" w:eastAsia="Arial" w:hAnsi="Arial"/>
          <w:sz w:val="17"/>
          <w:szCs w:val="17"/>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 xml:space="preserve">Consent of Wilson Sonsini Goodrich &amp; Rosati, Professional Corporation (included in </w:t>
      </w:r>
      <w:hyperlink w:anchor="page21">
        <w:r>
          <w:rPr>
            <w:rFonts w:ascii="Arial" w:cs="Arial" w:eastAsia="Arial" w:hAnsi="Arial"/>
            <w:sz w:val="17"/>
            <w:szCs w:val="17"/>
            <w:u w:val="single" w:color="auto"/>
            <w:color w:val="0000EE"/>
          </w:rPr>
          <w:t>Exhibit 5.1</w:t>
        </w:r>
      </w:hyperlink>
      <w:r>
        <w:rPr>
          <w:rFonts w:ascii="Arial" w:cs="Arial" w:eastAsia="Arial" w:hAnsi="Arial"/>
          <w:sz w:val="17"/>
          <w:szCs w:val="17"/>
          <w:color w:val="auto"/>
        </w:rPr>
        <w:t>).</w:t>
      </w:r>
    </w:p>
    <w:p>
      <w:pPr>
        <w:spacing w:after="0" w:line="63" w:lineRule="exact"/>
        <w:rPr>
          <w:rFonts w:ascii="Arial" w:cs="Arial" w:eastAsia="Arial" w:hAnsi="Arial"/>
          <w:sz w:val="18"/>
          <w:szCs w:val="18"/>
          <w:u w:val="single" w:color="auto"/>
          <w:color w:val="0000EE"/>
        </w:rPr>
      </w:pPr>
    </w:p>
    <w:p>
      <w:pPr>
        <w:ind w:left="1260"/>
        <w:spacing w:after="0"/>
        <w:tabs>
          <w:tab w:leader="none" w:pos="1800" w:val="left"/>
        </w:tabs>
        <w:rPr>
          <w:rFonts w:ascii="Arial" w:cs="Arial" w:eastAsia="Arial" w:hAnsi="Arial"/>
          <w:sz w:val="17"/>
          <w:szCs w:val="17"/>
          <w:u w:val="single" w:color="auto"/>
          <w:color w:val="0000EE"/>
        </w:rPr>
      </w:pPr>
      <w:r>
        <w:rPr>
          <w:rFonts w:ascii="Arial" w:cs="Arial" w:eastAsia="Arial" w:hAnsi="Arial"/>
          <w:sz w:val="18"/>
          <w:szCs w:val="18"/>
          <w:color w:val="auto"/>
        </w:rPr>
        <w:t>23.2</w:t>
      </w:r>
      <w:r>
        <w:rPr>
          <w:sz w:val="20"/>
          <w:szCs w:val="20"/>
          <w:color w:val="auto"/>
        </w:rPr>
        <w:tab/>
      </w:r>
      <w:hyperlink w:anchor="page25">
        <w:r>
          <w:rPr>
            <w:rFonts w:ascii="Arial" w:cs="Arial" w:eastAsia="Arial" w:hAnsi="Arial"/>
            <w:sz w:val="17"/>
            <w:szCs w:val="17"/>
            <w:u w:val="single" w:color="auto"/>
            <w:color w:val="0000EE"/>
          </w:rPr>
          <w:t>Consent of Independent Registered Public Accounting Firm.</w:t>
        </w:r>
      </w:hyperlink>
    </w:p>
    <w:p>
      <w:pPr>
        <w:spacing w:after="0" w:line="63" w:lineRule="exact"/>
        <w:rPr>
          <w:rFonts w:ascii="Arial" w:cs="Arial" w:eastAsia="Arial" w:hAnsi="Arial"/>
          <w:sz w:val="18"/>
          <w:szCs w:val="18"/>
          <w:u w:val="single" w:color="auto"/>
          <w:color w:val="0000EE"/>
        </w:rPr>
      </w:pPr>
    </w:p>
    <w:p>
      <w:pPr>
        <w:ind w:left="1260"/>
        <w:spacing w:after="0"/>
        <w:tabs>
          <w:tab w:leader="none" w:pos="1800" w:val="left"/>
        </w:tabs>
        <w:rPr>
          <w:rFonts w:ascii="Arial" w:cs="Arial" w:eastAsia="Arial" w:hAnsi="Arial"/>
          <w:sz w:val="17"/>
          <w:szCs w:val="17"/>
          <w:u w:val="single" w:color="auto"/>
          <w:color w:val="0000EE"/>
        </w:rPr>
      </w:pPr>
      <w:r>
        <w:rPr>
          <w:rFonts w:ascii="Arial" w:cs="Arial" w:eastAsia="Arial" w:hAnsi="Arial"/>
          <w:sz w:val="18"/>
          <w:szCs w:val="18"/>
          <w:color w:val="auto"/>
        </w:rPr>
        <w:t>24.1</w:t>
      </w:r>
      <w:r>
        <w:rPr>
          <w:sz w:val="20"/>
          <w:szCs w:val="20"/>
          <w:color w:val="auto"/>
        </w:rPr>
        <w:tab/>
      </w:r>
      <w:hyperlink w:anchor="page18">
        <w:r>
          <w:rPr>
            <w:rFonts w:ascii="Arial" w:cs="Arial" w:eastAsia="Arial" w:hAnsi="Arial"/>
            <w:sz w:val="17"/>
            <w:szCs w:val="17"/>
            <w:u w:val="single" w:color="auto"/>
            <w:color w:val="0000EE"/>
          </w:rPr>
          <w:t>Powers of Attorney (incorporated by reference to the signature page hereto</w:t>
        </w:r>
      </w:hyperlink>
      <w:r>
        <w:rPr>
          <w:rFonts w:ascii="Arial" w:cs="Arial" w:eastAsia="Arial" w:hAnsi="Arial"/>
          <w:sz w:val="17"/>
          <w:szCs w:val="17"/>
          <w:color w:val="000000"/>
        </w:rPr>
        <w:t>).</w:t>
      </w:r>
    </w:p>
    <w:p>
      <w:pPr>
        <w:spacing w:after="0" w:line="50" w:lineRule="exact"/>
        <w:rPr>
          <w:rFonts w:ascii="Arial" w:cs="Arial" w:eastAsia="Arial" w:hAnsi="Arial"/>
          <w:sz w:val="18"/>
          <w:szCs w:val="18"/>
          <w:u w:val="single" w:color="auto"/>
          <w:color w:val="0000EE"/>
        </w:rPr>
      </w:pPr>
    </w:p>
    <w:p>
      <w:pPr>
        <w:ind w:left="1260"/>
        <w:spacing w:after="0"/>
        <w:tabs>
          <w:tab w:leader="none" w:pos="1800" w:val="left"/>
        </w:tabs>
        <w:rPr>
          <w:rFonts w:ascii="Arial" w:cs="Arial" w:eastAsia="Arial" w:hAnsi="Arial"/>
          <w:sz w:val="17"/>
          <w:szCs w:val="17"/>
          <w:u w:val="single" w:color="auto"/>
          <w:color w:val="0000EE"/>
        </w:rPr>
      </w:pPr>
      <w:r>
        <w:rPr>
          <w:rFonts w:ascii="Arial" w:cs="Arial" w:eastAsia="Arial" w:hAnsi="Arial"/>
          <w:sz w:val="18"/>
          <w:szCs w:val="18"/>
          <w:color w:val="auto"/>
        </w:rPr>
        <w:t>25.1</w:t>
      </w:r>
      <w:r>
        <w:rPr>
          <w:sz w:val="20"/>
          <w:szCs w:val="20"/>
          <w:color w:val="auto"/>
        </w:rPr>
        <w:tab/>
      </w:r>
      <w:hyperlink w:anchor="page26">
        <w:r>
          <w:rPr>
            <w:rFonts w:ascii="Arial" w:cs="Arial" w:eastAsia="Arial" w:hAnsi="Arial"/>
            <w:sz w:val="17"/>
            <w:szCs w:val="17"/>
            <w:u w:val="single" w:color="auto"/>
            <w:color w:val="0000EE"/>
          </w:rPr>
          <w:t>Statement of Eligibility on Form T-1 under the Trust Indenture Act of 1939, as amended, of U.S.</w:t>
        </w:r>
      </w:hyperlink>
    </w:p>
    <w:p>
      <w:pPr>
        <w:spacing w:after="0" w:line="31" w:lineRule="exact"/>
        <w:rPr>
          <w:rFonts w:ascii="Arial" w:cs="Arial" w:eastAsia="Arial" w:hAnsi="Arial"/>
          <w:sz w:val="18"/>
          <w:szCs w:val="18"/>
          <w:u w:val="single" w:color="auto"/>
          <w:color w:val="0000EE"/>
        </w:rPr>
      </w:pPr>
    </w:p>
    <w:p>
      <w:pPr>
        <w:ind w:left="18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Bank National Association under the indenture filed as Exhibit 4.3 above.</w:t>
        </w:r>
      </w:hyperlink>
    </w:p>
    <w:p>
      <w:pPr>
        <w:spacing w:after="0" w:line="55" w:lineRule="exact"/>
        <w:rPr>
          <w:rFonts w:ascii="Arial" w:cs="Arial" w:eastAsia="Arial" w:hAnsi="Arial"/>
          <w:sz w:val="18"/>
          <w:szCs w:val="18"/>
          <w:u w:val="single" w:color="auto"/>
          <w:color w:val="0000EE"/>
        </w:rPr>
      </w:pPr>
    </w:p>
    <w:p>
      <w:pPr>
        <w:ind w:left="1620" w:right="1219" w:hanging="358"/>
        <w:spacing w:after="0" w:line="292"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123" w:lineRule="exact"/>
        <w:rPr>
          <w:rFonts w:ascii="Arial" w:cs="Arial" w:eastAsia="Arial" w:hAnsi="Arial"/>
          <w:sz w:val="18"/>
          <w:szCs w:val="18"/>
          <w:u w:val="single" w:color="auto"/>
          <w:color w:val="0000EE"/>
        </w:rPr>
      </w:pPr>
    </w:p>
    <w:p>
      <w:pPr>
        <w:ind w:left="1260"/>
        <w:spacing w:after="0"/>
        <w:tabs>
          <w:tab w:leader="none" w:pos="2620" w:val="left"/>
        </w:tabs>
        <w:rPr>
          <w:sz w:val="20"/>
          <w:szCs w:val="20"/>
          <w:color w:val="auto"/>
        </w:rPr>
      </w:pPr>
      <w:r>
        <w:rPr>
          <w:rFonts w:ascii="Arial" w:cs="Arial" w:eastAsia="Arial" w:hAnsi="Arial"/>
          <w:sz w:val="29"/>
          <w:szCs w:val="29"/>
          <w:b w:val="1"/>
          <w:bCs w:val="1"/>
          <w:color w:val="auto"/>
        </w:rPr>
        <w:t>Item 17.</w:t>
      </w:r>
      <w:r>
        <w:rPr>
          <w:sz w:val="20"/>
          <w:szCs w:val="20"/>
          <w:color w:val="auto"/>
        </w:rPr>
        <w:tab/>
      </w:r>
      <w:r>
        <w:rPr>
          <w:rFonts w:ascii="Arial" w:cs="Arial" w:eastAsia="Arial" w:hAnsi="Arial"/>
          <w:sz w:val="28"/>
          <w:szCs w:val="28"/>
          <w:b w:val="1"/>
          <w:bCs w:val="1"/>
          <w:color w:val="auto"/>
        </w:rPr>
        <w:t>Undertakings</w:t>
      </w:r>
    </w:p>
    <w:p>
      <w:pPr>
        <w:spacing w:after="0" w:line="147" w:lineRule="exact"/>
        <w:rPr>
          <w:rFonts w:ascii="Arial" w:cs="Arial" w:eastAsia="Arial" w:hAnsi="Arial"/>
          <w:sz w:val="18"/>
          <w:szCs w:val="18"/>
          <w:u w:val="single" w:color="auto"/>
          <w:color w:val="0000EE"/>
        </w:rPr>
      </w:pPr>
    </w:p>
    <w:p>
      <w:pPr>
        <w:ind w:left="1580" w:hanging="31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940" w:right="739" w:hanging="318"/>
        <w:spacing w:after="0" w:line="292" w:lineRule="auto"/>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3" w:lineRule="exact"/>
        <w:rPr>
          <w:rFonts w:ascii="Arial" w:cs="Arial" w:eastAsia="Arial" w:hAnsi="Arial"/>
          <w:sz w:val="18"/>
          <w:szCs w:val="18"/>
          <w:color w:val="auto"/>
        </w:rPr>
      </w:pPr>
    </w:p>
    <w:p>
      <w:pPr>
        <w:ind w:left="2300" w:hanging="318"/>
        <w:spacing w:after="0"/>
        <w:tabs>
          <w:tab w:leader="none" w:pos="2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44" w:lineRule="exact"/>
        <w:rPr>
          <w:rFonts w:ascii="Arial" w:cs="Arial" w:eastAsia="Arial" w:hAnsi="Arial"/>
          <w:sz w:val="18"/>
          <w:szCs w:val="18"/>
          <w:color w:val="auto"/>
        </w:rPr>
      </w:pPr>
    </w:p>
    <w:p>
      <w:pPr>
        <w:ind w:left="2300" w:right="979" w:hanging="318"/>
        <w:spacing w:after="0" w:line="264" w:lineRule="auto"/>
        <w:tabs>
          <w:tab w:leader="none" w:pos="2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01" w:lineRule="exact"/>
        <w:rPr>
          <w:rFonts w:ascii="Arial" w:cs="Arial" w:eastAsia="Arial" w:hAnsi="Arial"/>
          <w:sz w:val="18"/>
          <w:szCs w:val="18"/>
          <w:color w:val="auto"/>
        </w:rPr>
      </w:pPr>
    </w:p>
    <w:p>
      <w:pPr>
        <w:jc w:val="both"/>
        <w:ind w:left="2300" w:right="879" w:hanging="318"/>
        <w:spacing w:after="0" w:line="271" w:lineRule="auto"/>
        <w:tabs>
          <w:tab w:leader="none" w:pos="2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5" w:lineRule="exact"/>
        <w:rPr>
          <w:rFonts w:ascii="Arial" w:cs="Arial" w:eastAsia="Arial" w:hAnsi="Arial"/>
          <w:sz w:val="18"/>
          <w:szCs w:val="18"/>
          <w:u w:val="single" w:color="auto"/>
          <w:color w:val="0000EE"/>
        </w:rPr>
      </w:pPr>
    </w:p>
    <w:p>
      <w:pPr>
        <w:ind w:left="1980" w:right="799"/>
        <w:spacing w:after="0" w:line="24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3" w:lineRule="exact"/>
        <w:rPr>
          <w:rFonts w:ascii="Arial" w:cs="Arial" w:eastAsia="Arial" w:hAnsi="Arial"/>
          <w:sz w:val="18"/>
          <w:szCs w:val="18"/>
          <w:u w:val="single" w:color="auto"/>
          <w:color w:val="0000EE"/>
        </w:rPr>
      </w:pPr>
    </w:p>
    <w:p>
      <w:pPr>
        <w:ind w:left="1620"/>
        <w:spacing w:after="0"/>
        <w:rPr>
          <w:sz w:val="20"/>
          <w:szCs w:val="20"/>
          <w:color w:val="auto"/>
        </w:rPr>
      </w:pPr>
      <w:r>
        <w:rPr>
          <w:rFonts w:ascii="Arial" w:cs="Arial" w:eastAsia="Arial" w:hAnsi="Arial"/>
          <w:sz w:val="18"/>
          <w:szCs w:val="18"/>
          <w:color w:val="auto"/>
        </w:rPr>
        <w:t>(2) That, for the purpose of determining any liability under the Securities Act of 1933, each such</w:t>
      </w:r>
    </w:p>
    <w:p>
      <w:pPr>
        <w:sectPr>
          <w:pgSz w:w="11900" w:h="16838" w:orient="portrait"/>
          <w:cols w:equalWidth="0" w:num="1">
            <w:col w:w="10139"/>
          </w:cols>
          <w:pgMar w:left="320" w:top="114"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14" w:lineRule="exact"/>
        <w:rPr>
          <w:rFonts w:ascii="Arial" w:cs="Arial" w:eastAsia="Arial" w:hAnsi="Arial"/>
          <w:sz w:val="18"/>
          <w:szCs w:val="18"/>
          <w:u w:val="single" w:color="auto"/>
          <w:color w:val="0000EE"/>
        </w:rPr>
      </w:pPr>
    </w:p>
    <w:p>
      <w:pPr>
        <w:ind w:left="5240"/>
        <w:spacing w:after="0"/>
        <w:rPr>
          <w:sz w:val="20"/>
          <w:szCs w:val="20"/>
          <w:color w:val="auto"/>
        </w:rPr>
      </w:pPr>
      <w:r>
        <w:rPr>
          <w:rFonts w:ascii="Arial" w:cs="Arial" w:eastAsia="Arial" w:hAnsi="Arial"/>
          <w:sz w:val="17"/>
          <w:szCs w:val="17"/>
          <w:color w:val="auto"/>
        </w:rPr>
        <w:t>II-3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40" w:right="679"/>
        <w:spacing w:after="0" w:line="271" w:lineRule="auto"/>
        <w:rPr>
          <w:sz w:val="20"/>
          <w:szCs w:val="20"/>
          <w:color w:val="auto"/>
        </w:rPr>
      </w:pPr>
      <w:r>
        <w:rPr>
          <w:rFonts w:ascii="Arial" w:cs="Arial" w:eastAsia="Arial" w:hAnsi="Arial"/>
          <w:sz w:val="18"/>
          <w:szCs w:val="18"/>
          <w:color w:val="auto"/>
        </w:rPr>
        <w:t>post-effective amendment shall be deemed to be a new registration statement relating to the securities offered therein, and the offering of such securities at that time shall be deemed to be the initial bona fide offering thereof.</w:t>
      </w:r>
    </w:p>
    <w:p>
      <w:pPr>
        <w:spacing w:after="0" w:line="95" w:lineRule="exact"/>
        <w:rPr>
          <w:sz w:val="20"/>
          <w:szCs w:val="20"/>
          <w:color w:val="auto"/>
        </w:rPr>
      </w:pPr>
    </w:p>
    <w:p>
      <w:pPr>
        <w:ind w:left="1940" w:right="1059" w:hanging="318"/>
        <w:spacing w:after="0" w:line="292" w:lineRule="auto"/>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3" w:lineRule="exact"/>
        <w:rPr>
          <w:rFonts w:ascii="Arial" w:cs="Arial" w:eastAsia="Arial" w:hAnsi="Arial"/>
          <w:sz w:val="18"/>
          <w:szCs w:val="18"/>
          <w:color w:val="auto"/>
        </w:rPr>
      </w:pPr>
    </w:p>
    <w:p>
      <w:pPr>
        <w:ind w:left="1940" w:hanging="318"/>
        <w:spacing w:after="0"/>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57" w:lineRule="exact"/>
        <w:rPr>
          <w:rFonts w:ascii="Arial" w:cs="Arial" w:eastAsia="Arial" w:hAnsi="Arial"/>
          <w:sz w:val="18"/>
          <w:szCs w:val="18"/>
          <w:color w:val="auto"/>
        </w:rPr>
      </w:pPr>
    </w:p>
    <w:p>
      <w:pPr>
        <w:jc w:val="both"/>
        <w:ind w:left="2300" w:right="799" w:hanging="318"/>
        <w:spacing w:after="0" w:line="271" w:lineRule="auto"/>
        <w:tabs>
          <w:tab w:leader="none" w:pos="2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5" w:lineRule="exact"/>
        <w:rPr>
          <w:rFonts w:ascii="Arial" w:cs="Arial" w:eastAsia="Arial" w:hAnsi="Arial"/>
          <w:sz w:val="18"/>
          <w:szCs w:val="18"/>
          <w:color w:val="auto"/>
        </w:rPr>
      </w:pPr>
    </w:p>
    <w:p>
      <w:pPr>
        <w:ind w:left="2300" w:right="679" w:hanging="318"/>
        <w:spacing w:after="0" w:line="252" w:lineRule="auto"/>
        <w:tabs>
          <w:tab w:leader="none" w:pos="2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rFonts w:ascii="Arial" w:cs="Arial" w:eastAsia="Arial" w:hAnsi="Arial"/>
          <w:sz w:val="18"/>
          <w:szCs w:val="18"/>
          <w:color w:val="auto"/>
        </w:rPr>
      </w:pPr>
    </w:p>
    <w:p>
      <w:pPr>
        <w:ind w:left="1940" w:right="679" w:hanging="318"/>
        <w:spacing w:after="0" w:line="257" w:lineRule="auto"/>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8" w:lineRule="exact"/>
        <w:rPr>
          <w:rFonts w:ascii="Arial" w:cs="Arial" w:eastAsia="Arial" w:hAnsi="Arial"/>
          <w:sz w:val="18"/>
          <w:szCs w:val="18"/>
          <w:color w:val="auto"/>
        </w:rPr>
      </w:pPr>
    </w:p>
    <w:p>
      <w:pPr>
        <w:ind w:left="2300" w:right="1039" w:hanging="318"/>
        <w:spacing w:after="0" w:line="292" w:lineRule="auto"/>
        <w:tabs>
          <w:tab w:leader="none" w:pos="2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6" w:lineRule="exact"/>
        <w:rPr>
          <w:rFonts w:ascii="Arial" w:cs="Arial" w:eastAsia="Arial" w:hAnsi="Arial"/>
          <w:sz w:val="18"/>
          <w:szCs w:val="18"/>
          <w:color w:val="auto"/>
        </w:rPr>
      </w:pPr>
    </w:p>
    <w:p>
      <w:pPr>
        <w:ind w:left="2300" w:right="1359" w:hanging="318"/>
        <w:spacing w:after="0" w:line="292" w:lineRule="auto"/>
        <w:tabs>
          <w:tab w:leader="none" w:pos="2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6" w:lineRule="exact"/>
        <w:rPr>
          <w:rFonts w:ascii="Arial" w:cs="Arial" w:eastAsia="Arial" w:hAnsi="Arial"/>
          <w:sz w:val="18"/>
          <w:szCs w:val="18"/>
          <w:color w:val="auto"/>
        </w:rPr>
      </w:pPr>
    </w:p>
    <w:p>
      <w:pPr>
        <w:ind w:left="2300" w:right="719" w:hanging="318"/>
        <w:spacing w:after="0" w:line="271" w:lineRule="auto"/>
        <w:tabs>
          <w:tab w:leader="none" w:pos="2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5" w:lineRule="exact"/>
        <w:rPr>
          <w:rFonts w:ascii="Arial" w:cs="Arial" w:eastAsia="Arial" w:hAnsi="Arial"/>
          <w:sz w:val="18"/>
          <w:szCs w:val="18"/>
          <w:color w:val="auto"/>
        </w:rPr>
      </w:pPr>
    </w:p>
    <w:p>
      <w:pPr>
        <w:ind w:left="2300" w:right="1399" w:hanging="318"/>
        <w:spacing w:after="0" w:line="292" w:lineRule="auto"/>
        <w:tabs>
          <w:tab w:leader="none" w:pos="2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76" w:lineRule="exact"/>
        <w:rPr>
          <w:rFonts w:ascii="Arial" w:cs="Arial" w:eastAsia="Arial" w:hAnsi="Arial"/>
          <w:sz w:val="18"/>
          <w:szCs w:val="18"/>
          <w:color w:val="auto"/>
        </w:rPr>
      </w:pPr>
    </w:p>
    <w:p>
      <w:pPr>
        <w:ind w:left="1580" w:right="779" w:hanging="318"/>
        <w:spacing w:after="0" w:line="260"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w:t>
      </w:r>
    </w:p>
    <w:p>
      <w:pPr>
        <w:sectPr>
          <w:pgSz w:w="11900" w:h="16838" w:orient="portrait"/>
          <w:cols w:equalWidth="0" w:num="1">
            <w:col w:w="10139"/>
          </w:cols>
          <w:pgMar w:left="320" w:top="114"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580" w:right="1299"/>
        <w:spacing w:after="0" w:line="292" w:lineRule="auto"/>
        <w:rPr>
          <w:sz w:val="20"/>
          <w:szCs w:val="20"/>
          <w:color w:val="auto"/>
        </w:rPr>
      </w:pPr>
      <w:r>
        <w:rPr>
          <w:rFonts w:ascii="Arial" w:cs="Arial" w:eastAsia="Arial" w:hAnsi="Arial"/>
          <w:sz w:val="18"/>
          <w:szCs w:val="18"/>
          <w:color w:val="auto"/>
        </w:rPr>
        <w:t>new registration statement relating to the securities offered therein, and the offering of such securities at that time shall be deemed to be the initial bona fide offering thereof.</w:t>
      </w:r>
    </w:p>
    <w:p>
      <w:pPr>
        <w:spacing w:after="0" w:line="63" w:lineRule="exact"/>
        <w:rPr>
          <w:sz w:val="20"/>
          <w:szCs w:val="20"/>
          <w:color w:val="auto"/>
        </w:rPr>
      </w:pPr>
    </w:p>
    <w:p>
      <w:pPr>
        <w:ind w:left="1580" w:right="699" w:hanging="318"/>
        <w:spacing w:after="0" w:line="254" w:lineRule="auto"/>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22"/>
          <w:szCs w:val="22"/>
          <w:b w:val="1"/>
          <w:bCs w:val="1"/>
          <w:color w:val="auto"/>
        </w:rPr>
        <w:t>SIGNATURES</w:t>
      </w:r>
    </w:p>
    <w:p>
      <w:pPr>
        <w:spacing w:after="0" w:line="139" w:lineRule="exact"/>
        <w:rPr>
          <w:sz w:val="20"/>
          <w:szCs w:val="20"/>
          <w:color w:val="auto"/>
        </w:rPr>
      </w:pPr>
    </w:p>
    <w:p>
      <w:pPr>
        <w:jc w:val="both"/>
        <w:ind w:left="1260" w:right="839"/>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the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November, 2020.</w:t>
      </w:r>
    </w:p>
    <w:p>
      <w:pPr>
        <w:spacing w:after="0" w:line="36"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MICRON TECHNOLOGY, INC.</w:t>
      </w:r>
    </w:p>
    <w:p>
      <w:pPr>
        <w:spacing w:after="0" w:line="251" w:lineRule="exact"/>
        <w:rPr>
          <w:sz w:val="20"/>
          <w:szCs w:val="20"/>
          <w:color w:val="auto"/>
        </w:rPr>
      </w:pPr>
    </w:p>
    <w:p>
      <w:pPr>
        <w:ind w:left="5360"/>
        <w:spacing w:after="0"/>
        <w:tabs>
          <w:tab w:leader="none" w:pos="6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28575</wp:posOffset>
            </wp:positionV>
            <wp:extent cx="2348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A. Zinsner</w:t>
      </w:r>
    </w:p>
    <w:p>
      <w:pPr>
        <w:spacing w:after="0" w:line="3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6358255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139" w:lineRule="exact"/>
        <w:rPr>
          <w:sz w:val="20"/>
          <w:szCs w:val="20"/>
          <w:color w:val="auto"/>
        </w:rPr>
      </w:pPr>
    </w:p>
    <w:p>
      <w:pPr>
        <w:ind w:left="1260" w:right="1260"/>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Sanjay Mehrotra and David A. Zinsner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as amended,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Delaware and applicable federal securities laws.</w:t>
      </w:r>
    </w:p>
    <w:p>
      <w:pPr>
        <w:spacing w:after="0" w:line="120" w:lineRule="exact"/>
        <w:rPr>
          <w:sz w:val="20"/>
          <w:szCs w:val="20"/>
          <w:color w:val="auto"/>
        </w:rPr>
      </w:pPr>
    </w:p>
    <w:p>
      <w:pPr>
        <w:ind w:left="1260" w:right="1580"/>
        <w:spacing w:after="0" w:line="292"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7"/>
                <w:szCs w:val="17"/>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5"/>
        </w:trPr>
        <w:tc>
          <w:tcPr>
            <w:tcW w:w="126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Sanjay Mehrotra</w:t>
            </w:r>
          </w:p>
        </w:tc>
        <w:tc>
          <w:tcPr>
            <w:tcW w:w="220" w:type="dxa"/>
            <w:vAlign w:val="bottom"/>
          </w:tcPr>
          <w:p>
            <w:pPr>
              <w:spacing w:after="0"/>
              <w:rPr>
                <w:sz w:val="24"/>
                <w:szCs w:val="24"/>
                <w:color w:val="auto"/>
              </w:rPr>
            </w:pPr>
          </w:p>
        </w:tc>
        <w:tc>
          <w:tcPr>
            <w:tcW w:w="37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President and Chief Executive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260" w:type="dxa"/>
            <w:vAlign w:val="bottom"/>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220" w:type="dxa"/>
            <w:vAlign w:val="bottom"/>
            <w:vMerge w:val="restart"/>
          </w:tcPr>
          <w:p>
            <w:pPr>
              <w:spacing w:after="0"/>
              <w:rPr>
                <w:sz w:val="6"/>
                <w:szCs w:val="6"/>
                <w:color w:val="auto"/>
              </w:rPr>
            </w:pPr>
          </w:p>
        </w:tc>
        <w:tc>
          <w:tcPr>
            <w:tcW w:w="37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(Principal Executive Officer),</w:t>
            </w:r>
          </w:p>
        </w:tc>
        <w:tc>
          <w:tcPr>
            <w:tcW w:w="16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9"/>
              </w:rPr>
              <w:t>Sanjay Mehrotra</w:t>
            </w:r>
          </w:p>
        </w:tc>
        <w:tc>
          <w:tcPr>
            <w:tcW w:w="220" w:type="dxa"/>
            <w:vAlign w:val="bottom"/>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7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16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126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A. Zinsner</w:t>
            </w:r>
          </w:p>
        </w:tc>
        <w:tc>
          <w:tcPr>
            <w:tcW w:w="220" w:type="dxa"/>
            <w:vAlign w:val="bottom"/>
          </w:tcPr>
          <w:p>
            <w:pPr>
              <w:spacing w:after="0"/>
              <w:rPr>
                <w:sz w:val="24"/>
                <w:szCs w:val="24"/>
                <w:color w:val="auto"/>
              </w:rPr>
            </w:pPr>
          </w:p>
        </w:tc>
        <w:tc>
          <w:tcPr>
            <w:tcW w:w="37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Senior Vice President and</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260" w:type="dxa"/>
            <w:vAlign w:val="bottom"/>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220" w:type="dxa"/>
            <w:vAlign w:val="bottom"/>
            <w:vMerge w:val="restart"/>
          </w:tcPr>
          <w:p>
            <w:pPr>
              <w:spacing w:after="0"/>
              <w:rPr>
                <w:sz w:val="6"/>
                <w:szCs w:val="6"/>
                <w:color w:val="auto"/>
              </w:rPr>
            </w:pPr>
          </w:p>
        </w:tc>
        <w:tc>
          <w:tcPr>
            <w:tcW w:w="37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9"/>
              </w:rPr>
              <w:t>David A. Zinsner</w:t>
            </w:r>
          </w:p>
        </w:tc>
        <w:tc>
          <w:tcPr>
            <w:tcW w:w="220" w:type="dxa"/>
            <w:vAlign w:val="bottom"/>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7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(Principal Financial Officer)</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16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126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Allen</w:t>
            </w:r>
          </w:p>
        </w:tc>
        <w:tc>
          <w:tcPr>
            <w:tcW w:w="220" w:type="dxa"/>
            <w:vAlign w:val="bottom"/>
          </w:tcPr>
          <w:p>
            <w:pPr>
              <w:spacing w:after="0"/>
              <w:rPr>
                <w:sz w:val="24"/>
                <w:szCs w:val="24"/>
                <w:color w:val="auto"/>
              </w:rPr>
            </w:pPr>
          </w:p>
        </w:tc>
        <w:tc>
          <w:tcPr>
            <w:tcW w:w="37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Corporate Vice President and</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260" w:type="dxa"/>
            <w:vAlign w:val="bottom"/>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220" w:type="dxa"/>
            <w:vAlign w:val="bottom"/>
            <w:vMerge w:val="restart"/>
          </w:tcPr>
          <w:p>
            <w:pPr>
              <w:spacing w:after="0"/>
              <w:rPr>
                <w:sz w:val="6"/>
                <w:szCs w:val="6"/>
                <w:color w:val="auto"/>
              </w:rPr>
            </w:pPr>
          </w:p>
        </w:tc>
        <w:tc>
          <w:tcPr>
            <w:tcW w:w="37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Chief Accounting Officer</w:t>
            </w:r>
          </w:p>
        </w:tc>
        <w:tc>
          <w:tcPr>
            <w:tcW w:w="16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9"/>
              </w:rPr>
              <w:t>Scott Allen</w:t>
            </w:r>
          </w:p>
        </w:tc>
        <w:tc>
          <w:tcPr>
            <w:tcW w:w="220" w:type="dxa"/>
            <w:vAlign w:val="bottom"/>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7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rPr>
              <w:t>(Principal Accounting Officer)</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16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Robert L. Bailey</w:t>
            </w:r>
          </w:p>
        </w:tc>
        <w:tc>
          <w:tcPr>
            <w:tcW w:w="220" w:type="dxa"/>
            <w:vAlign w:val="bottom"/>
          </w:tcPr>
          <w:p>
            <w:pPr>
              <w:spacing w:after="0"/>
              <w:rPr>
                <w:sz w:val="24"/>
                <w:szCs w:val="24"/>
                <w:color w:val="auto"/>
              </w:rPr>
            </w:pPr>
          </w:p>
        </w:tc>
        <w:tc>
          <w:tcPr>
            <w:tcW w:w="37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26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Robert L. Bailey</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6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Richard M. Beyer</w:t>
            </w:r>
          </w:p>
        </w:tc>
        <w:tc>
          <w:tcPr>
            <w:tcW w:w="220" w:type="dxa"/>
            <w:vAlign w:val="bottom"/>
          </w:tcPr>
          <w:p>
            <w:pPr>
              <w:spacing w:after="0"/>
              <w:rPr>
                <w:sz w:val="24"/>
                <w:szCs w:val="24"/>
                <w:color w:val="auto"/>
              </w:rPr>
            </w:pPr>
          </w:p>
        </w:tc>
        <w:tc>
          <w:tcPr>
            <w:tcW w:w="37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26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rPr>
              <w:t>Richard M. Beyer</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6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Lynn Dugle</w:t>
            </w:r>
          </w:p>
        </w:tc>
        <w:tc>
          <w:tcPr>
            <w:tcW w:w="220" w:type="dxa"/>
            <w:vAlign w:val="bottom"/>
          </w:tcPr>
          <w:p>
            <w:pPr>
              <w:spacing w:after="0"/>
              <w:rPr>
                <w:sz w:val="24"/>
                <w:szCs w:val="24"/>
                <w:color w:val="auto"/>
              </w:rPr>
            </w:pPr>
          </w:p>
        </w:tc>
        <w:tc>
          <w:tcPr>
            <w:tcW w:w="37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26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8"/>
              </w:rPr>
              <w:t>Lynn Dugle</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6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Steve Gomo</w:t>
            </w:r>
          </w:p>
        </w:tc>
        <w:tc>
          <w:tcPr>
            <w:tcW w:w="220" w:type="dxa"/>
            <w:vAlign w:val="bottom"/>
          </w:tcPr>
          <w:p>
            <w:pPr>
              <w:spacing w:after="0"/>
              <w:rPr>
                <w:sz w:val="24"/>
                <w:szCs w:val="24"/>
                <w:color w:val="auto"/>
              </w:rPr>
            </w:pPr>
          </w:p>
        </w:tc>
        <w:tc>
          <w:tcPr>
            <w:tcW w:w="37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26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Steve Gomo</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60" w:type="dxa"/>
            <w:vAlign w:val="bottom"/>
          </w:tcPr>
          <w:p>
            <w:pPr>
              <w:spacing w:after="0"/>
              <w:rPr>
                <w:sz w:val="24"/>
                <w:szCs w:val="24"/>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Mary Pat McCarthy</w:t>
            </w:r>
          </w:p>
        </w:tc>
        <w:tc>
          <w:tcPr>
            <w:tcW w:w="220" w:type="dxa"/>
            <w:vAlign w:val="bottom"/>
          </w:tcPr>
          <w:p>
            <w:pPr>
              <w:spacing w:after="0"/>
              <w:rPr>
                <w:sz w:val="24"/>
                <w:szCs w:val="24"/>
                <w:color w:val="auto"/>
              </w:rPr>
            </w:pPr>
          </w:p>
        </w:tc>
        <w:tc>
          <w:tcPr>
            <w:tcW w:w="37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26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Mary Pat McCarthy</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1"/>
        </w:trPr>
        <w:tc>
          <w:tcPr>
            <w:tcW w:w="1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7"/>
                <w:szCs w:val="17"/>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85"/>
        </w:trPr>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Robert E. Switz</w:t>
            </w:r>
          </w:p>
        </w:tc>
        <w:tc>
          <w:tcPr>
            <w:tcW w:w="220" w:type="dxa"/>
            <w:vAlign w:val="bottom"/>
          </w:tcPr>
          <w:p>
            <w:pPr>
              <w:spacing w:after="0"/>
              <w:rPr>
                <w:sz w:val="24"/>
                <w:szCs w:val="24"/>
                <w:color w:val="auto"/>
              </w:rPr>
            </w:pPr>
          </w:p>
        </w:tc>
        <w:tc>
          <w:tcPr>
            <w:tcW w:w="3780" w:type="dxa"/>
            <w:vAlign w:val="bottom"/>
            <w:gridSpan w:val="2"/>
          </w:tcPr>
          <w:p>
            <w:pPr>
              <w:jc w:val="center"/>
              <w:ind w:right="240"/>
              <w:spacing w:after="0"/>
              <w:rPr>
                <w:sz w:val="20"/>
                <w:szCs w:val="20"/>
                <w:color w:val="auto"/>
              </w:rPr>
            </w:pPr>
            <w:r>
              <w:rPr>
                <w:rFonts w:ascii="Arial" w:cs="Arial" w:eastAsia="Arial" w:hAnsi="Arial"/>
                <w:sz w:val="18"/>
                <w:szCs w:val="18"/>
                <w:color w:val="auto"/>
              </w:rPr>
              <w:t>Chairman of the Board</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0" w:type="dxa"/>
            <w:vAlign w:val="bottom"/>
          </w:tcPr>
          <w:p>
            <w:pPr>
              <w:spacing w:after="0"/>
              <w:rPr>
                <w:sz w:val="1"/>
                <w:szCs w:val="1"/>
                <w:color w:val="auto"/>
              </w:rPr>
            </w:pPr>
          </w:p>
        </w:tc>
      </w:tr>
      <w:tr>
        <w:trPr>
          <w:trHeight w:val="63"/>
        </w:trPr>
        <w:tc>
          <w:tcPr>
            <w:tcW w:w="260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7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9"/>
              </w:rPr>
              <w:t>Robert E. Switz</w:t>
            </w:r>
          </w:p>
        </w:tc>
        <w:tc>
          <w:tcPr>
            <w:tcW w:w="220" w:type="dxa"/>
            <w:vAlign w:val="bottom"/>
            <w:vMerge w:val="continue"/>
          </w:tcPr>
          <w:p>
            <w:pPr>
              <w:spacing w:after="0"/>
              <w:rPr>
                <w:sz w:val="13"/>
                <w:szCs w:val="13"/>
                <w:color w:val="auto"/>
              </w:rPr>
            </w:pPr>
          </w:p>
        </w:tc>
        <w:tc>
          <w:tcPr>
            <w:tcW w:w="3780" w:type="dxa"/>
            <w:vAlign w:val="bottom"/>
            <w:gridSpan w:val="2"/>
            <w:vMerge w:val="continue"/>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4"/>
        </w:trPr>
        <w:tc>
          <w:tcPr>
            <w:tcW w:w="2600" w:type="dxa"/>
            <w:vAlign w:val="bottom"/>
          </w:tcPr>
          <w:p>
            <w:pPr>
              <w:ind w:left="3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MaryAnn Wright</w:t>
            </w:r>
          </w:p>
        </w:tc>
        <w:tc>
          <w:tcPr>
            <w:tcW w:w="220" w:type="dxa"/>
            <w:vAlign w:val="bottom"/>
          </w:tcPr>
          <w:p>
            <w:pPr>
              <w:spacing w:after="0"/>
              <w:rPr>
                <w:sz w:val="24"/>
                <w:szCs w:val="24"/>
                <w:color w:val="auto"/>
              </w:rPr>
            </w:pPr>
          </w:p>
        </w:tc>
        <w:tc>
          <w:tcPr>
            <w:tcW w:w="37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November 4, 2020</w:t>
            </w:r>
          </w:p>
        </w:tc>
        <w:tc>
          <w:tcPr>
            <w:tcW w:w="0" w:type="dxa"/>
            <w:vAlign w:val="bottom"/>
          </w:tcPr>
          <w:p>
            <w:pPr>
              <w:spacing w:after="0"/>
              <w:rPr>
                <w:sz w:val="1"/>
                <w:szCs w:val="1"/>
                <w:color w:val="auto"/>
              </w:rPr>
            </w:pPr>
          </w:p>
        </w:tc>
      </w:tr>
      <w:tr>
        <w:trPr>
          <w:trHeight w:val="36"/>
        </w:trPr>
        <w:tc>
          <w:tcPr>
            <w:tcW w:w="2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600" w:type="dxa"/>
            <w:vAlign w:val="bottom"/>
          </w:tcPr>
          <w:p>
            <w:pPr>
              <w:jc w:val="center"/>
              <w:spacing w:after="0"/>
              <w:rPr>
                <w:sz w:val="20"/>
                <w:szCs w:val="20"/>
                <w:color w:val="auto"/>
              </w:rPr>
            </w:pPr>
            <w:r>
              <w:rPr>
                <w:rFonts w:ascii="Arial" w:cs="Arial" w:eastAsia="Arial" w:hAnsi="Arial"/>
                <w:sz w:val="18"/>
                <w:szCs w:val="18"/>
                <w:color w:val="auto"/>
                <w:w w:val="99"/>
              </w:rPr>
              <w:t>MaryAnn Wright</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6838315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Wilson Sonsini Goodrich &amp; Rosati Professional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Micron Technology,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of a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on the date hereof by the Company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 shares of common stock, par value $0.10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and any common stock purchase rights (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associated with the Common Stock that may be issued pursuant to the applicable rights agreement (the “</w:t>
      </w:r>
      <w:r>
        <w:rPr>
          <w:rFonts w:ascii="Times New Roman" w:cs="Times New Roman" w:eastAsia="Times New Roman" w:hAnsi="Times New Roman"/>
          <w:sz w:val="18"/>
          <w:szCs w:val="18"/>
          <w:b w:val="1"/>
          <w:bCs w:val="1"/>
          <w:color w:val="auto"/>
        </w:rPr>
        <w:t>Rights Agreement</w:t>
      </w:r>
      <w:r>
        <w:rPr>
          <w:rFonts w:ascii="Times New Roman" w:cs="Times New Roman" w:eastAsia="Times New Roman" w:hAnsi="Times New Roman"/>
          <w:sz w:val="18"/>
          <w:szCs w:val="18"/>
          <w:color w:val="auto"/>
        </w:rPr>
        <w:t>”) between the Company and the rights agent to be named therein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(ii) the Company’s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which may be issued pursuant to that certain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February 6, 2019 , between the Company and U.S. Bank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has been filed as an exhibit to the Registration Statement and may be supplemented in connection with the issuance of each series of Debt Securities by a supplemental indenture or other appropriate action of the Company, as applicable, creating such series of Debt Securities; (iii) purchase contracts (the “</w:t>
      </w:r>
      <w:r>
        <w:rPr>
          <w:rFonts w:ascii="Times New Roman" w:cs="Times New Roman" w:eastAsia="Times New Roman" w:hAnsi="Times New Roman"/>
          <w:sz w:val="18"/>
          <w:szCs w:val="18"/>
          <w:b w:val="1"/>
          <w:bCs w:val="1"/>
          <w:color w:val="auto"/>
        </w:rPr>
        <w:t>Purchase Contracts</w:t>
      </w:r>
      <w:r>
        <w:rPr>
          <w:rFonts w:ascii="Times New Roman" w:cs="Times New Roman" w:eastAsia="Times New Roman" w:hAnsi="Times New Roman"/>
          <w:sz w:val="18"/>
          <w:szCs w:val="18"/>
          <w:color w:val="auto"/>
        </w:rPr>
        <w:t>”), which may be issued under one or more purchase contract agreements (each such Purchase Contract, a “</w:t>
      </w:r>
      <w:r>
        <w:rPr>
          <w:rFonts w:ascii="Times New Roman" w:cs="Times New Roman" w:eastAsia="Times New Roman" w:hAnsi="Times New Roman"/>
          <w:sz w:val="18"/>
          <w:szCs w:val="18"/>
          <w:b w:val="1"/>
          <w:bCs w:val="1"/>
          <w:color w:val="auto"/>
        </w:rPr>
        <w:t>Purchase Contract Agreement</w:t>
      </w:r>
      <w:r>
        <w:rPr>
          <w:rFonts w:ascii="Times New Roman" w:cs="Times New Roman" w:eastAsia="Times New Roman" w:hAnsi="Times New Roman"/>
          <w:sz w:val="18"/>
          <w:szCs w:val="18"/>
          <w:color w:val="auto"/>
        </w:rPr>
        <w:t>”) to be entered into between the Company and the purchase contract agent to be named therein (the “</w:t>
      </w:r>
      <w:r>
        <w:rPr>
          <w:rFonts w:ascii="Times New Roman" w:cs="Times New Roman" w:eastAsia="Times New Roman" w:hAnsi="Times New Roman"/>
          <w:sz w:val="18"/>
          <w:szCs w:val="18"/>
          <w:b w:val="1"/>
          <w:bCs w:val="1"/>
          <w:color w:val="auto"/>
        </w:rPr>
        <w:t>Purchase Contract Agent</w:t>
      </w:r>
      <w:r>
        <w:rPr>
          <w:rFonts w:ascii="Times New Roman" w:cs="Times New Roman" w:eastAsia="Times New Roman" w:hAnsi="Times New Roman"/>
          <w:sz w:val="18"/>
          <w:szCs w:val="18"/>
          <w:color w:val="auto"/>
        </w:rPr>
        <w:t>”); (iv) units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to be issued under one or more unit agreements (each such unit agreement, a “</w:t>
      </w:r>
      <w:r>
        <w:rPr>
          <w:rFonts w:ascii="Times New Roman" w:cs="Times New Roman" w:eastAsia="Times New Roman" w:hAnsi="Times New Roman"/>
          <w:sz w:val="18"/>
          <w:szCs w:val="18"/>
          <w:b w:val="1"/>
          <w:bCs w:val="1"/>
          <w:color w:val="auto"/>
        </w:rPr>
        <w:t>Unit Agreement</w:t>
      </w:r>
      <w:r>
        <w:rPr>
          <w:rFonts w:ascii="Times New Roman" w:cs="Times New Roman" w:eastAsia="Times New Roman" w:hAnsi="Times New Roman"/>
          <w:sz w:val="18"/>
          <w:szCs w:val="18"/>
          <w:color w:val="auto"/>
        </w:rPr>
        <w:t>”) to be entered into among the Company, the unit agent to be named therein (the “</w:t>
      </w:r>
      <w:r>
        <w:rPr>
          <w:rFonts w:ascii="Times New Roman" w:cs="Times New Roman" w:eastAsia="Times New Roman" w:hAnsi="Times New Roman"/>
          <w:sz w:val="18"/>
          <w:szCs w:val="18"/>
          <w:b w:val="1"/>
          <w:bCs w:val="1"/>
          <w:color w:val="auto"/>
        </w:rPr>
        <w:t>Unit Agent</w:t>
      </w:r>
      <w:r>
        <w:rPr>
          <w:rFonts w:ascii="Times New Roman" w:cs="Times New Roman" w:eastAsia="Times New Roman" w:hAnsi="Times New Roman"/>
          <w:sz w:val="18"/>
          <w:szCs w:val="18"/>
          <w:color w:val="auto"/>
        </w:rPr>
        <w:t>”), and the holders from time to time of the Units; and (v) warrants of the Company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collectively with the Common Stock (and the associated Rights), Debt Securities, Purchase Contracts and Units,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which may be issued pursuant to a warrant agreement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between the Company and the warrant agent to be named therein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 including, without limitation, the Registration Statement and the Indenture (including the form of Debt Securities included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4</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and (iv) the legal capacity of all natural persons. As to any facts material to the opinions expressed herein that were not independently established or verified, we have relied upon oral or written statements and representations of officers and other representatives of the Company. In making our examination of documents executed or to be executed, we have assumed that the counterparties thereto, excluding the Company, have been duly organized and are, and will continue to be, validly existing and in good standing, and have or will have the requisite legal status and legal capacity under the laws of their respective jurisdictions of incorporation or organization and had or will have the power, corporate or other, to enter into and perform all obligations thereunder and have also assumed the due authorization by all requisite action, corporate or other, and execution and delivery by such parties of such documents and, except as expressly set forth in the paragraphs below, the validity and binding effect thereof on such parties. In connection with the opinions expressed below, we have assumed that, at or prior to the time of the delivery of any Securities, that (i) the Board of Directors of the Company (or a duly authorized committee thereof)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have duly established the terms of the Securities and duly authorized the issuance and sale of such Securities and such authorization shall not have been modified or rescinded; (ii) the Registration Statement, and any amendments thereto (including post-effective amendments), will have become effective under the Securities Act; (iii) a prospectus supplement will have been filed with the Commission describing the Securities offered thereby; (iv) the Securities will be issued and sold in compliance with applicable U.S. federal and state securities laws and in the manner stated in the Registration Statement and the applicable prospectus supplement; (v) a definitive purchase, underwriting or similar agreement with respect to any Securities offered will have been duly authorized and validly executed and delivered by the Company and the other parties thereto; (vi) any Securities issuable upon conversion, exchange, redemption or exercise of any Securities being offered will be duly authorized, created and, if appropriate, reserved for issuance upon such conversion, exchange, redemption or exercise;</w:t>
      </w:r>
    </w:p>
    <w:p>
      <w:pPr>
        <w:spacing w:after="0" w:line="10" w:lineRule="exact"/>
        <w:rPr>
          <w:sz w:val="20"/>
          <w:szCs w:val="20"/>
          <w:color w:val="auto"/>
        </w:rPr>
      </w:pPr>
    </w:p>
    <w:p>
      <w:pPr>
        <w:ind w:right="100" w:firstLine="8"/>
        <w:spacing w:after="0" w:line="252" w:lineRule="auto"/>
        <w:tabs>
          <w:tab w:leader="none" w:pos="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applicable Rights Agreement has been duly authorized, executed and delivered by the Rights Agent and that the members of the Board have acted in a manner consistent with their fiduciary duties as required under applicable law in adopting such Rights Agreement; and (viii) there shall not have occurred any change in law affecting the validity or enforceability of such Securities. We have also assumed that none of the terms of any Securities to be established subsequent to the date hereof, the issuance and delivery of such Securities or the compliance by the Company with the terms of such Securities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 foregoing, we advise you that, in our opinion:</w:t>
      </w:r>
    </w:p>
    <w:p>
      <w:pPr>
        <w:spacing w:after="0" w:line="225" w:lineRule="exact"/>
        <w:rPr>
          <w:sz w:val="20"/>
          <w:szCs w:val="20"/>
          <w:color w:val="auto"/>
        </w:rPr>
      </w:pPr>
    </w:p>
    <w:p>
      <w:pPr>
        <w:jc w:val="both"/>
        <w:ind w:left="980" w:hanging="324"/>
        <w:spacing w:after="0" w:line="25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necessary corporate action on the part of the Company has been taken to authorize the issuance and sale of shares of Common Stock or the issuance and sale of Securities convertible or exchangeable into or exercisable for shares of Common Stock (each, a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Offered Security</w:t>
      </w:r>
      <w:r>
        <w:rPr>
          <w:rFonts w:ascii="Times New Roman" w:cs="Times New Roman" w:eastAsia="Times New Roman" w:hAnsi="Times New Roman"/>
          <w:sz w:val="18"/>
          <w:szCs w:val="18"/>
          <w:color w:val="auto"/>
        </w:rPr>
        <w:t>”), in either case, proposed to be sold by the Company, and when such shares of Common Stock are issued and delivered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applicable underwriting or other agreement against payment therefor (in an amount not less than the par value of the Common Stock) or upon conversion, exchange or exercise of any such Common Offered Security, in accordance with the terms of such Common Offered Security or the instrument governing such Common Offered Security providing for such conversion, exchange or exercise as approved by the Board, for the consideration approved by the Board (which consideration is not less than the par value of the Common Stock), in each case, such shares of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4</w:t>
      </w:r>
    </w:p>
    <w:p>
      <w:pPr>
        <w:spacing w:after="0" w:line="207" w:lineRule="exact"/>
        <w:rPr>
          <w:sz w:val="20"/>
          <w:szCs w:val="20"/>
          <w:color w:val="auto"/>
        </w:rPr>
      </w:pPr>
    </w:p>
    <w:p>
      <w:pPr>
        <w:jc w:val="both"/>
        <w:ind w:left="980" w:hanging="324"/>
        <w:spacing w:after="0" w:line="25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Indenture, when (a) the Board has taken all necessary corporate action to approve the issuance and terms of such Debt Securities, the terms of the offering thereof and related matters; and (b)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Indenture.</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Purchase Contracts to be issued pursuant to the Registration Statement, when (a) the Purchase Contract Agreement to be entered into in connection with the issuance of any such Purchase Contracts has been duly authorized, executed and delivered by the Purchase Contract Agent and the Company; (b) the specific terms of the Purchase Contracts have been duly authorized and established in accordance with the Purchase Contract Agreement; and (c) such Purchase Contracts have been duly authorized, executed, issued and delivered in accordance with the Purchase Contract Agreement and the applicable underwriting or other agreement against payment therefor or upon the due exercise, conversion or exchange of any Debt Securities or Warrants, as the case may be, such Purchase Contracts will constitute valid and binding obligations of the Company, enforceable in accordance with their terms.</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Units to be issued pursuant to the Registration Statement, when (a) the Unit Agreement to be entered into in connection with the issuance of any Units has been duly authorized, executed and delivered by the Unit Agent and the Company; (b) the specific terms of the Units have been duly authorized and established in accordance with the Unit Agreement; and (c) such Units have been duly authorized, executed, issued and delivered in accordance with the Unit Agreement and the applicable underwriting or other agreement against payment therefor or upon the due exercise, conversion or exchange of any Debt Securities or Warrants, as the case may be, such Units will constitute valid and binding obligations of the Company, enforceable in accordance with their terms.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Warrants to be issued pursuant to the Registration Statement, when (a) the Warrant Agreement to be entered into in connection with the issuance of any Warrants has been duly authorized, executed and delivered by the Warrant Agent and the Company;</w:t>
      </w:r>
    </w:p>
    <w:p>
      <w:pPr>
        <w:jc w:val="both"/>
        <w:ind w:left="980"/>
        <w:spacing w:after="0" w:line="253" w:lineRule="auto"/>
        <w:tabs>
          <w:tab w:leader="none" w:pos="125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terms of the Warrants have been duly authorized and established in accordance with the Warrant Agreement; and (c) such Warrants have been duly authorized, executed, issued and delivered in accordance with the Warrant Agreement and the applicable underwriting or other agreement against payment therefor or upon the due exercise, conversion or exchange of any Debt Securities or Warrants, as the case may be, such Warrants will constitute valid and binding obligations of the Company, enforceable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4</w:t>
      </w:r>
    </w:p>
    <w:p>
      <w:pPr>
        <w:spacing w:after="0" w:line="20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opinion in paragraph 1 above is limited to the laws of the State of Delaware that, in our experience, are normally applicable to the shares of Common Stock covered by the Registration Statement and, to the extent that judicial or regulatory orders or decrees or consents, approvals, licenses, authorizations, validations, filings, recordings or registrations with governmental authorities are relevant, to those required under such laws. The opinions in paragraphs 2, 3, 4, and 5 above are limited to the laws of the State of New York that, in our experience, are normally applicable to debt securities, purchase contracts, units and warrant transactions of the type covered by the Registration Statement and, to the extent that judicial or regulatory orders or decrees or consents, approvals, licenses, authorizations, validations, filings, recordings or registrations with governmental authorities are relevant, to those required under such laws. We have assumed that the choice of New York law to govern the Debt Securities and the Indenture and any supplemental indenture thereto is a valid and legal provision. We have also assumed that New York law will be chosen to govern any Purchase Contract Agreement, any Unit Agreement and any Warrant Agreement. We do not express any opinion with respect to any other law of any other jurisdiction or as to the effect of any such law on the opinions stated herein.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w:t>
      </w:r>
    </w:p>
    <w:p>
      <w:pPr>
        <w:spacing w:after="0" w:line="225"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conveyance, moratorium or other laws relating to or affecting the rights of creditors generally;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pacing w:after="0" w:line="225"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Micron Technology, Inc. of our report dated October 19, 2020 relating to the financial statements, financial statement schedule and the effectiveness of internal control over financial reporting, which appears in Micron Technology, Inc.’s Annual Report on Form 10-K for the year ended September 3, 2020. We also consent to the reference to us under the heading “Experts” in such Registration Statement.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187325</wp:posOffset>
            </wp:positionV>
            <wp:extent cx="178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ELIGIBILITY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 INDENTURE ACT OF 1939 OF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if an Application to Determine Eligibility of</w:t>
      </w:r>
    </w:p>
    <w:p>
      <w:pPr>
        <w:spacing w:after="0" w:line="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a Trustee Pursuant to Section 305(b)(2)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180340</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U.S. BANK NATIONAL ASSOCIATION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31-0841368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 Nicollet Mall</w:t>
            </w:r>
          </w:p>
        </w:tc>
        <w:tc>
          <w:tcPr>
            <w:tcW w:w="2260" w:type="dxa"/>
            <w:vAlign w:val="bottom"/>
            <w:tcBorders>
              <w:top w:val="single" w:sz="8" w:color="auto"/>
            </w:tcBorders>
          </w:tcPr>
          <w:p>
            <w:pPr>
              <w:spacing w:after="0"/>
              <w:rPr>
                <w:sz w:val="18"/>
                <w:szCs w:val="18"/>
                <w:color w:val="auto"/>
              </w:rPr>
            </w:pPr>
          </w:p>
        </w:tc>
        <w:tc>
          <w:tcPr>
            <w:tcW w:w="3340" w:type="dxa"/>
            <w:vAlign w:val="bottom"/>
            <w:tcBorders>
              <w:top w:val="single" w:sz="8" w:color="auto"/>
              <w:right w:val="single" w:sz="8" w:color="auto"/>
            </w:tcBorders>
          </w:tcPr>
          <w:p>
            <w:pPr>
              <w:spacing w:after="0"/>
              <w:rPr>
                <w:sz w:val="18"/>
                <w:szCs w:val="18"/>
                <w:color w:val="auto"/>
              </w:rPr>
            </w:pPr>
          </w:p>
        </w:tc>
      </w:tr>
      <w:tr>
        <w:trPr>
          <w:trHeight w:val="23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Minneapolis, Minnesota</w:t>
            </w:r>
          </w:p>
        </w:tc>
        <w:tc>
          <w:tcPr>
            <w:tcW w:w="2260" w:type="dxa"/>
            <w:vAlign w:val="bottom"/>
            <w:tcBorders>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55402</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60" w:type="dxa"/>
            <w:vAlign w:val="bottom"/>
            <w:tcBorders>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jc w:val="center"/>
              <w:ind w:right="2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07"/>
        </w:trPr>
        <w:tc>
          <w:tcPr>
            <w:tcW w:w="7900" w:type="dxa"/>
            <w:vAlign w:val="bottom"/>
            <w:gridSpan w:val="2"/>
          </w:tcPr>
          <w:p>
            <w:pPr>
              <w:jc w:val="center"/>
              <w:ind w:left="3250"/>
              <w:spacing w:after="0"/>
              <w:rPr>
                <w:sz w:val="20"/>
                <w:szCs w:val="20"/>
                <w:color w:val="auto"/>
              </w:rPr>
            </w:pPr>
            <w:r>
              <w:rPr>
                <w:rFonts w:ascii="Times New Roman" w:cs="Times New Roman" w:eastAsia="Times New Roman" w:hAnsi="Times New Roman"/>
                <w:sz w:val="18"/>
                <w:szCs w:val="18"/>
                <w:color w:val="auto"/>
                <w:w w:val="99"/>
              </w:rPr>
              <w:t>Cheryl Nelson</w:t>
            </w:r>
          </w:p>
        </w:tc>
        <w:tc>
          <w:tcPr>
            <w:tcW w:w="3340" w:type="dxa"/>
            <w:vAlign w:val="bottom"/>
          </w:tcPr>
          <w:p>
            <w:pPr>
              <w:spacing w:after="0"/>
              <w:rPr>
                <w:sz w:val="24"/>
                <w:szCs w:val="24"/>
                <w:color w:val="auto"/>
              </w:rPr>
            </w:pPr>
          </w:p>
        </w:tc>
      </w:tr>
      <w:tr>
        <w:trPr>
          <w:trHeight w:val="216"/>
        </w:trPr>
        <w:tc>
          <w:tcPr>
            <w:tcW w:w="7900" w:type="dxa"/>
            <w:vAlign w:val="bottom"/>
            <w:gridSpan w:val="2"/>
          </w:tcPr>
          <w:p>
            <w:pPr>
              <w:jc w:val="center"/>
              <w:ind w:left="3270"/>
              <w:spacing w:after="0"/>
              <w:rPr>
                <w:sz w:val="20"/>
                <w:szCs w:val="20"/>
                <w:color w:val="auto"/>
              </w:rPr>
            </w:pPr>
            <w:r>
              <w:rPr>
                <w:rFonts w:ascii="Times New Roman" w:cs="Times New Roman" w:eastAsia="Times New Roman" w:hAnsi="Times New Roman"/>
                <w:sz w:val="18"/>
                <w:szCs w:val="18"/>
                <w:color w:val="auto"/>
                <w:w w:val="99"/>
              </w:rPr>
              <w:t>U.S. Bank National Association</w:t>
            </w:r>
          </w:p>
        </w:tc>
        <w:tc>
          <w:tcPr>
            <w:tcW w:w="3340" w:type="dxa"/>
            <w:vAlign w:val="bottom"/>
          </w:tcPr>
          <w:p>
            <w:pPr>
              <w:spacing w:after="0"/>
              <w:rPr>
                <w:sz w:val="18"/>
                <w:szCs w:val="18"/>
                <w:color w:val="auto"/>
              </w:rPr>
            </w:pPr>
          </w:p>
        </w:tc>
      </w:tr>
      <w:tr>
        <w:trPr>
          <w:trHeight w:val="216"/>
        </w:trPr>
        <w:tc>
          <w:tcPr>
            <w:tcW w:w="7900" w:type="dxa"/>
            <w:vAlign w:val="bottom"/>
            <w:gridSpan w:val="2"/>
          </w:tcPr>
          <w:p>
            <w:pPr>
              <w:jc w:val="center"/>
              <w:ind w:left="3250"/>
              <w:spacing w:after="0"/>
              <w:rPr>
                <w:sz w:val="20"/>
                <w:szCs w:val="20"/>
                <w:color w:val="auto"/>
              </w:rPr>
            </w:pPr>
            <w:r>
              <w:rPr>
                <w:rFonts w:ascii="Times New Roman" w:cs="Times New Roman" w:eastAsia="Times New Roman" w:hAnsi="Times New Roman"/>
                <w:sz w:val="18"/>
                <w:szCs w:val="18"/>
                <w:color w:val="auto"/>
              </w:rPr>
              <w:t>555 SW Oak Street</w:t>
            </w:r>
          </w:p>
        </w:tc>
        <w:tc>
          <w:tcPr>
            <w:tcW w:w="3340" w:type="dxa"/>
            <w:vAlign w:val="bottom"/>
          </w:tcPr>
          <w:p>
            <w:pPr>
              <w:spacing w:after="0"/>
              <w:rPr>
                <w:sz w:val="18"/>
                <w:szCs w:val="18"/>
                <w:color w:val="auto"/>
              </w:rPr>
            </w:pPr>
          </w:p>
        </w:tc>
      </w:tr>
      <w:tr>
        <w:trPr>
          <w:trHeight w:val="216"/>
        </w:trPr>
        <w:tc>
          <w:tcPr>
            <w:tcW w:w="7900" w:type="dxa"/>
            <w:vAlign w:val="bottom"/>
            <w:gridSpan w:val="2"/>
          </w:tcPr>
          <w:p>
            <w:pPr>
              <w:jc w:val="center"/>
              <w:ind w:left="3250"/>
              <w:spacing w:after="0"/>
              <w:rPr>
                <w:sz w:val="20"/>
                <w:szCs w:val="20"/>
                <w:color w:val="auto"/>
              </w:rPr>
            </w:pPr>
            <w:r>
              <w:rPr>
                <w:rFonts w:ascii="Times New Roman" w:cs="Times New Roman" w:eastAsia="Times New Roman" w:hAnsi="Times New Roman"/>
                <w:sz w:val="18"/>
                <w:szCs w:val="18"/>
                <w:color w:val="auto"/>
                <w:w w:val="99"/>
              </w:rPr>
              <w:t>Portland, OR 97204</w:t>
            </w:r>
          </w:p>
        </w:tc>
        <w:tc>
          <w:tcPr>
            <w:tcW w:w="3340" w:type="dxa"/>
            <w:vAlign w:val="bottom"/>
          </w:tcPr>
          <w:p>
            <w:pPr>
              <w:spacing w:after="0"/>
              <w:rPr>
                <w:sz w:val="18"/>
                <w:szCs w:val="18"/>
                <w:color w:val="auto"/>
              </w:rPr>
            </w:pPr>
          </w:p>
        </w:tc>
      </w:tr>
      <w:tr>
        <w:trPr>
          <w:trHeight w:val="216"/>
        </w:trPr>
        <w:tc>
          <w:tcPr>
            <w:tcW w:w="7900" w:type="dxa"/>
            <w:vAlign w:val="bottom"/>
            <w:gridSpan w:val="2"/>
          </w:tcPr>
          <w:p>
            <w:pPr>
              <w:jc w:val="center"/>
              <w:ind w:left="3250"/>
              <w:spacing w:after="0"/>
              <w:rPr>
                <w:sz w:val="20"/>
                <w:szCs w:val="20"/>
                <w:color w:val="auto"/>
              </w:rPr>
            </w:pPr>
            <w:r>
              <w:rPr>
                <w:rFonts w:ascii="Times New Roman" w:cs="Times New Roman" w:eastAsia="Times New Roman" w:hAnsi="Times New Roman"/>
                <w:sz w:val="18"/>
                <w:szCs w:val="18"/>
                <w:color w:val="auto"/>
              </w:rPr>
              <w:t>(503) 464.3758</w:t>
            </w:r>
          </w:p>
        </w:tc>
        <w:tc>
          <w:tcPr>
            <w:tcW w:w="3340" w:type="dxa"/>
            <w:vAlign w:val="bottom"/>
          </w:tcPr>
          <w:p>
            <w:pPr>
              <w:spacing w:after="0"/>
              <w:rPr>
                <w:sz w:val="18"/>
                <w:szCs w:val="18"/>
                <w:color w:val="auto"/>
              </w:rPr>
            </w:pPr>
          </w:p>
        </w:tc>
      </w:tr>
      <w:tr>
        <w:trPr>
          <w:trHeight w:val="234"/>
        </w:trPr>
        <w:tc>
          <w:tcPr>
            <w:tcW w:w="7900" w:type="dxa"/>
            <w:vAlign w:val="bottom"/>
            <w:gridSpan w:val="2"/>
          </w:tcPr>
          <w:p>
            <w:pPr>
              <w:jc w:val="center"/>
              <w:ind w:left="3270"/>
              <w:spacing w:after="0"/>
              <w:rPr>
                <w:sz w:val="20"/>
                <w:szCs w:val="20"/>
                <w:color w:val="auto"/>
              </w:rPr>
            </w:pPr>
            <w:r>
              <w:rPr>
                <w:rFonts w:ascii="Times New Roman" w:cs="Times New Roman" w:eastAsia="Times New Roman" w:hAnsi="Times New Roman"/>
                <w:sz w:val="18"/>
                <w:szCs w:val="18"/>
                <w:color w:val="auto"/>
                <w:w w:val="99"/>
              </w:rPr>
              <w:t>(Name, address and telephone number of agent for service)</w:t>
            </w:r>
          </w:p>
        </w:tc>
        <w:tc>
          <w:tcPr>
            <w:tcW w:w="334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MICRON TECHNOLOGY,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with respect to the Securities)</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400" w:type="dxa"/>
            <w:vAlign w:val="bottom"/>
            <w:tcBorders>
              <w:top w:val="single" w:sz="8" w:color="auto"/>
              <w:bottom w:val="single" w:sz="8" w:color="auto"/>
            </w:tcBorders>
          </w:tcPr>
          <w:p>
            <w:pPr>
              <w:spacing w:after="0"/>
              <w:rPr>
                <w:sz w:val="18"/>
                <w:szCs w:val="18"/>
                <w:color w:val="auto"/>
              </w:rPr>
            </w:pPr>
          </w:p>
        </w:tc>
        <w:tc>
          <w:tcPr>
            <w:tcW w:w="4200" w:type="dxa"/>
            <w:vAlign w:val="bottom"/>
            <w:tcBorders>
              <w:top w:val="single" w:sz="8" w:color="auto"/>
              <w:bottom w:val="single" w:sz="8" w:color="auto"/>
              <w:right w:val="single" w:sz="8" w:color="auto"/>
            </w:tcBorders>
          </w:tcPr>
          <w:p>
            <w:pPr>
              <w:jc w:val="center"/>
              <w:ind w:right="1330"/>
              <w:spacing w:after="0"/>
              <w:rPr>
                <w:sz w:val="20"/>
                <w:szCs w:val="20"/>
                <w:color w:val="auto"/>
              </w:rPr>
            </w:pPr>
            <w:r>
              <w:rPr>
                <w:rFonts w:ascii="Times New Roman" w:cs="Times New Roman" w:eastAsia="Times New Roman" w:hAnsi="Times New Roman"/>
                <w:sz w:val="18"/>
                <w:szCs w:val="18"/>
                <w:color w:val="auto"/>
                <w:w w:val="98"/>
              </w:rPr>
              <w:t>75-1618004</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09"/>
        </w:trPr>
        <w:tc>
          <w:tcPr>
            <w:tcW w:w="7040" w:type="dxa"/>
            <w:vAlign w:val="bottom"/>
            <w:tcBorders>
              <w:bottom w:val="single" w:sz="8" w:color="auto"/>
            </w:tcBorders>
            <w:gridSpan w:val="2"/>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r>
      <w:tr>
        <w:trPr>
          <w:trHeight w:val="191"/>
        </w:trPr>
        <w:tc>
          <w:tcPr>
            <w:tcW w:w="56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8000 South Federal Way</w:t>
            </w:r>
          </w:p>
        </w:tc>
        <w:tc>
          <w:tcPr>
            <w:tcW w:w="1400" w:type="dxa"/>
            <w:vAlign w:val="bottom"/>
          </w:tcPr>
          <w:p>
            <w:pPr>
              <w:spacing w:after="0"/>
              <w:rPr>
                <w:sz w:val="16"/>
                <w:szCs w:val="16"/>
                <w:color w:val="auto"/>
              </w:rPr>
            </w:pPr>
          </w:p>
        </w:tc>
        <w:tc>
          <w:tcPr>
            <w:tcW w:w="4200" w:type="dxa"/>
            <w:vAlign w:val="bottom"/>
            <w:tcBorders>
              <w:right w:val="single" w:sz="8" w:color="auto"/>
            </w:tcBorders>
          </w:tcPr>
          <w:p>
            <w:pPr>
              <w:spacing w:after="0"/>
              <w:rPr>
                <w:sz w:val="16"/>
                <w:szCs w:val="16"/>
                <w:color w:val="auto"/>
              </w:rPr>
            </w:pPr>
          </w:p>
        </w:tc>
      </w:tr>
      <w:tr>
        <w:trPr>
          <w:trHeight w:val="23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Boise, Idaho</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Times New Roman" w:cs="Times New Roman" w:eastAsia="Times New Roman" w:hAnsi="Times New Roman"/>
                <w:sz w:val="18"/>
                <w:szCs w:val="18"/>
                <w:color w:val="auto"/>
                <w:w w:val="98"/>
              </w:rPr>
              <w:t>83716-9632</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84"/>
        </w:trPr>
        <w:tc>
          <w:tcPr>
            <w:tcW w:w="7040" w:type="dxa"/>
            <w:vAlign w:val="bottom"/>
            <w:gridSpan w:val="2"/>
          </w:tcPr>
          <w:p>
            <w:pPr>
              <w:ind w:left="4800"/>
              <w:spacing w:after="0"/>
              <w:rPr>
                <w:sz w:val="20"/>
                <w:szCs w:val="20"/>
                <w:color w:val="auto"/>
              </w:rPr>
            </w:pPr>
            <w:r>
              <w:rPr>
                <w:rFonts w:ascii="Times New Roman" w:cs="Times New Roman" w:eastAsia="Times New Roman" w:hAnsi="Times New Roman"/>
                <w:sz w:val="25"/>
                <w:szCs w:val="25"/>
                <w:b w:val="1"/>
                <w:bCs w:val="1"/>
                <w:color w:val="auto"/>
              </w:rPr>
              <w:t>Debt Securities</w:t>
            </w:r>
          </w:p>
        </w:tc>
        <w:tc>
          <w:tcPr>
            <w:tcW w:w="4200" w:type="dxa"/>
            <w:vAlign w:val="bottom"/>
          </w:tcPr>
          <w:p>
            <w:pPr>
              <w:spacing w:after="0"/>
              <w:rPr>
                <w:sz w:val="24"/>
                <w:szCs w:val="24"/>
                <w:color w:val="auto"/>
              </w:rPr>
            </w:pPr>
          </w:p>
        </w:tc>
      </w:tr>
      <w:tr>
        <w:trPr>
          <w:trHeight w:val="238"/>
        </w:trPr>
        <w:tc>
          <w:tcPr>
            <w:tcW w:w="7040" w:type="dxa"/>
            <w:vAlign w:val="bottom"/>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rPr>
              <w:t>(Title of the Indenture Securities)</w:t>
            </w:r>
          </w:p>
        </w:tc>
        <w:tc>
          <w:tcPr>
            <w:tcW w:w="4200" w:type="dxa"/>
            <w:vAlign w:val="bottom"/>
          </w:tcPr>
          <w:p>
            <w:pPr>
              <w:spacing w:after="0"/>
              <w:rPr>
                <w:sz w:val="20"/>
                <w:szCs w:val="20"/>
                <w:color w:val="auto"/>
              </w:rPr>
            </w:pPr>
          </w:p>
        </w:tc>
      </w:tr>
      <w:tr>
        <w:trPr>
          <w:trHeight w:val="270"/>
        </w:trPr>
        <w:tc>
          <w:tcPr>
            <w:tcW w:w="56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200" w:type="dxa"/>
            <w:vAlign w:val="bottom"/>
            <w:tcBorders>
              <w:bottom w:val="single" w:sz="8" w:color="auto"/>
            </w:tcBorders>
          </w:tcPr>
          <w:p>
            <w:pPr>
              <w:spacing w:after="0"/>
              <w:rPr>
                <w:sz w:val="23"/>
                <w:szCs w:val="23"/>
                <w:color w:val="auto"/>
              </w:rPr>
            </w:pPr>
          </w:p>
        </w:tc>
      </w:tr>
      <w:tr>
        <w:trPr>
          <w:trHeight w:val="28"/>
        </w:trPr>
        <w:tc>
          <w:tcPr>
            <w:tcW w:w="5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459"/>
        </w:trPr>
        <w:tc>
          <w:tcPr>
            <w:tcW w:w="5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FORM T-1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GENERAL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following information as to the Trustee.</w:t>
      </w:r>
    </w:p>
    <w:p>
      <w:pPr>
        <w:spacing w:after="0" w:line="227" w:lineRule="exact"/>
        <w:rPr>
          <w:sz w:val="20"/>
          <w:szCs w:val="20"/>
          <w:color w:val="auto"/>
        </w:rPr>
      </w:pPr>
    </w:p>
    <w:p>
      <w:pPr>
        <w:ind w:left="1960" w:right="3720" w:hanging="980"/>
        <w:spacing w:after="0" w:line="262" w:lineRule="auto"/>
        <w:tabs>
          <w:tab w:leader="none" w:pos="14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of each examining or supervising authority to which it is subject. </w:t>
      </w:r>
      <w:r>
        <w:rPr>
          <w:rFonts w:ascii="Times New Roman" w:cs="Times New Roman" w:eastAsia="Times New Roman" w:hAnsi="Times New Roman"/>
          <w:sz w:val="18"/>
          <w:szCs w:val="18"/>
          <w:color w:val="auto"/>
        </w:rPr>
        <w:t>Comptroller of the Currency</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Washington, D.C.</w:t>
      </w:r>
    </w:p>
    <w:p>
      <w:pPr>
        <w:spacing w:after="0" w:line="206"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ind w:left="1300" w:right="212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2. AFFILIATIONS WITH THE OBLIGOR. </w:t>
      </w:r>
      <w:r>
        <w:rPr>
          <w:rFonts w:ascii="Times New Roman" w:cs="Times New Roman" w:eastAsia="Times New Roman" w:hAnsi="Times New Roman"/>
          <w:sz w:val="18"/>
          <w:szCs w:val="18"/>
          <w:i w:val="1"/>
          <w:iCs w:val="1"/>
          <w:color w:val="auto"/>
        </w:rPr>
        <w:t>If the obligor is an affiliate of the Trustee, describe each such affiliation.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5" w:lineRule="exact"/>
        <w:rPr>
          <w:sz w:val="20"/>
          <w:szCs w:val="20"/>
          <w:color w:val="auto"/>
        </w:rPr>
      </w:pPr>
    </w:p>
    <w:p>
      <w:pPr>
        <w:ind w:left="1180" w:hanging="1295"/>
        <w:spacing w:after="0" w:line="284"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LIST OF EXHIBITS: </w:t>
      </w:r>
      <w:r>
        <w:rPr>
          <w:rFonts w:ascii="Times New Roman" w:cs="Times New Roman" w:eastAsia="Times New Roman" w:hAnsi="Times New Roman"/>
          <w:sz w:val="18"/>
          <w:szCs w:val="18"/>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exercise corporate trust powers, attached as Exhibit 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225"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June 30, 2020 published pursuant to law or the requirements of its supervising or examining authority, attached as Exhibit 7.</w:t>
      </w:r>
    </w:p>
    <w:p>
      <w:pPr>
        <w:spacing w:after="0" w:line="161" w:lineRule="exact"/>
        <w:rPr>
          <w:rFonts w:ascii="Times New Roman" w:cs="Times New Roman" w:eastAsia="Times New Roman" w:hAnsi="Times New Roman"/>
          <w:sz w:val="18"/>
          <w:szCs w:val="18"/>
          <w:color w:val="auto"/>
        </w:rPr>
      </w:pPr>
    </w:p>
    <w:p>
      <w:pPr>
        <w:ind w:left="500"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to Exhibit 25.1 to Amendment No. 2 to registration statement on S-4, Registration Number 333-128217 filed on November 15, 2005.</w:t>
      </w:r>
    </w:p>
    <w:p>
      <w:pPr>
        <w:spacing w:after="0" w:line="161" w:lineRule="exact"/>
        <w:rPr>
          <w:rFonts w:ascii="Times New Roman" w:cs="Times New Roman" w:eastAsia="Times New Roman" w:hAnsi="Times New Roman"/>
          <w:sz w:val="18"/>
          <w:szCs w:val="18"/>
          <w:color w:val="auto"/>
        </w:rPr>
      </w:pPr>
    </w:p>
    <w:p>
      <w:pPr>
        <w:ind w:left="500" w:right="360" w:hanging="6"/>
        <w:spacing w:after="0" w:line="282" w:lineRule="auto"/>
        <w:tabs>
          <w:tab w:leader="none" w:pos="7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25.1 to registration statement on form S-3ASR, Registration Number 333-199863 filed on November 5, 2014.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Portland, State of Oregon on the 4th of November, 2020.</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Cheryl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Cheryl Nelson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164465</wp:posOffset>
            </wp:positionV>
            <wp:extent cx="4423410" cy="5786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4423410" cy="578612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4705985" cy="5846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4705985" cy="58464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2020</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Cheryl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Cheryl Nelson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7</w:t>
            </w:r>
          </w:p>
        </w:tc>
        <w:tc>
          <w:tcPr>
            <w:tcW w:w="9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430"/>
        </w:trPr>
        <w:tc>
          <w:tcPr>
            <w:tcW w:w="3640" w:type="dxa"/>
            <w:vAlign w:val="bottom"/>
          </w:tcPr>
          <w:p>
            <w:pPr>
              <w:spacing w:after="0"/>
              <w:rPr>
                <w:sz w:val="24"/>
                <w:szCs w:val="24"/>
                <w:color w:val="auto"/>
              </w:rPr>
            </w:pPr>
          </w:p>
        </w:tc>
        <w:tc>
          <w:tcPr>
            <w:tcW w:w="326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U.S. Bank National Association</w:t>
            </w:r>
          </w:p>
        </w:tc>
        <w:tc>
          <w:tcPr>
            <w:tcW w:w="9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3640" w:type="dxa"/>
            <w:vAlign w:val="bottom"/>
          </w:tcPr>
          <w:p>
            <w:pPr>
              <w:spacing w:after="0"/>
              <w:rPr>
                <w:sz w:val="18"/>
                <w:szCs w:val="18"/>
                <w:color w:val="auto"/>
              </w:rPr>
            </w:pPr>
          </w:p>
        </w:tc>
        <w:tc>
          <w:tcPr>
            <w:tcW w:w="42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tc>
        <w:tc>
          <w:tcPr>
            <w:tcW w:w="3380" w:type="dxa"/>
            <w:vAlign w:val="bottom"/>
          </w:tcPr>
          <w:p>
            <w:pPr>
              <w:spacing w:after="0"/>
              <w:rPr>
                <w:sz w:val="18"/>
                <w:szCs w:val="18"/>
                <w:color w:val="auto"/>
              </w:rPr>
            </w:pPr>
          </w:p>
        </w:tc>
      </w:tr>
      <w:tr>
        <w:trPr>
          <w:trHeight w:val="238"/>
        </w:trPr>
        <w:tc>
          <w:tcPr>
            <w:tcW w:w="3640" w:type="dxa"/>
            <w:vAlign w:val="bottom"/>
          </w:tcPr>
          <w:p>
            <w:pPr>
              <w:spacing w:after="0"/>
              <w:rPr>
                <w:sz w:val="20"/>
                <w:szCs w:val="20"/>
                <w:color w:val="auto"/>
              </w:rPr>
            </w:pPr>
          </w:p>
        </w:tc>
        <w:tc>
          <w:tcPr>
            <w:tcW w:w="326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As of 6/30/2020</w:t>
            </w:r>
          </w:p>
        </w:tc>
        <w:tc>
          <w:tcPr>
            <w:tcW w:w="9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gridSpan w:val="3"/>
          </w:tcPr>
          <w:p>
            <w:pPr>
              <w:jc w:val="center"/>
              <w:ind w:right="856"/>
              <w:spacing w:after="0"/>
              <w:rPr>
                <w:sz w:val="20"/>
                <w:szCs w:val="20"/>
                <w:color w:val="auto"/>
              </w:rPr>
            </w:pPr>
            <w:r>
              <w:rPr>
                <w:rFonts w:ascii="Times New Roman" w:cs="Times New Roman" w:eastAsia="Times New Roman" w:hAnsi="Times New Roman"/>
                <w:sz w:val="18"/>
                <w:szCs w:val="18"/>
                <w:b w:val="1"/>
                <w:bCs w:val="1"/>
                <w:color w:val="auto"/>
                <w:w w:val="98"/>
              </w:rPr>
              <w:t>($000’s)</w:t>
            </w:r>
          </w:p>
        </w:tc>
        <w:tc>
          <w:tcPr>
            <w:tcW w:w="9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32"/>
        </w:trPr>
        <w:tc>
          <w:tcPr>
            <w:tcW w:w="364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6/30/2020</w:t>
            </w:r>
          </w:p>
        </w:tc>
        <w:tc>
          <w:tcPr>
            <w:tcW w:w="3380" w:type="dxa"/>
            <w:vAlign w:val="bottom"/>
          </w:tcPr>
          <w:p>
            <w:pPr>
              <w:spacing w:after="0"/>
              <w:rPr>
                <w:sz w:val="24"/>
                <w:szCs w:val="24"/>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Balances Due From</w:t>
            </w:r>
          </w:p>
        </w:tc>
        <w:tc>
          <w:tcPr>
            <w:tcW w:w="3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52,265,124</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126,598,837</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Funds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311,129,409</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7,834,494</w:t>
            </w: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12,365,020</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26,097,656</w:t>
            </w:r>
          </w:p>
        </w:tc>
        <w:tc>
          <w:tcPr>
            <w:tcW w:w="3380" w:type="dxa"/>
            <w:vAlign w:val="bottom"/>
          </w:tcPr>
          <w:p>
            <w:pPr>
              <w:spacing w:after="0"/>
              <w:rPr>
                <w:sz w:val="18"/>
                <w:szCs w:val="18"/>
                <w:color w:val="auto"/>
              </w:rPr>
            </w:pPr>
          </w:p>
        </w:tc>
      </w:tr>
      <w:tr>
        <w:trPr>
          <w:trHeight w:val="209"/>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536,291,346</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425,279,286</w:t>
            </w: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 Funds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2,453,923</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Demand Notes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Liabilities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1,018,213</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Borrowed Money</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36,976,115</w:t>
            </w: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Acceptances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3,850,000</w:t>
            </w: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14,538,821</w:t>
            </w:r>
          </w:p>
        </w:tc>
        <w:tc>
          <w:tcPr>
            <w:tcW w:w="3380" w:type="dxa"/>
            <w:vAlign w:val="bottom"/>
          </w:tcPr>
          <w:p>
            <w:pPr>
              <w:spacing w:after="0"/>
              <w:rPr>
                <w:sz w:val="18"/>
                <w:szCs w:val="18"/>
                <w:color w:val="auto"/>
              </w:rPr>
            </w:pPr>
          </w:p>
        </w:tc>
      </w:tr>
      <w:tr>
        <w:trPr>
          <w:trHeight w:val="210"/>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484,116,358</w:t>
            </w:r>
          </w:p>
        </w:tc>
        <w:tc>
          <w:tcPr>
            <w:tcW w:w="338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Surplus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14,266,915</w:t>
            </w:r>
          </w:p>
        </w:tc>
        <w:tc>
          <w:tcPr>
            <w:tcW w:w="3380" w:type="dxa"/>
            <w:vAlign w:val="bottom"/>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Undivided Profits</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37,089,306</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800,567</w:t>
            </w:r>
          </w:p>
        </w:tc>
        <w:tc>
          <w:tcPr>
            <w:tcW w:w="3380" w:type="dxa"/>
            <w:vAlign w:val="bottom"/>
          </w:tcPr>
          <w:p>
            <w:pPr>
              <w:spacing w:after="0"/>
              <w:rPr>
                <w:sz w:val="18"/>
                <w:szCs w:val="18"/>
                <w:color w:val="auto"/>
              </w:rPr>
            </w:pPr>
          </w:p>
        </w:tc>
      </w:tr>
      <w:tr>
        <w:trPr>
          <w:trHeight w:val="210"/>
        </w:trPr>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52,174,988</w:t>
            </w:r>
          </w:p>
        </w:tc>
        <w:tc>
          <w:tcPr>
            <w:tcW w:w="33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3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536,291,346</w:t>
            </w:r>
          </w:p>
        </w:tc>
        <w:tc>
          <w:tcPr>
            <w:tcW w:w="3380" w:type="dxa"/>
            <w:vAlign w:val="bottom"/>
          </w:tcPr>
          <w:p>
            <w:pPr>
              <w:spacing w:after="0"/>
              <w:rPr>
                <w:sz w:val="20"/>
                <w:szCs w:val="20"/>
                <w:color w:val="auto"/>
              </w:rPr>
            </w:pPr>
          </w:p>
        </w:tc>
      </w:tr>
      <w:tr>
        <w:trPr>
          <w:trHeight w:val="626"/>
        </w:trPr>
        <w:tc>
          <w:tcPr>
            <w:tcW w:w="3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109CF92E"/>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9">
    <w:nsid w:val="DED726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
    <w:nsid w:val="7FDCC233"/>
    <w:multiLevelType w:val="hybridMultilevel"/>
    <w:lvl w:ilvl="0">
      <w:lvlJc w:val="left"/>
      <w:lvlText w:val="(%1)"/>
      <w:numFmt w:val="lowerLetter"/>
      <w:start w:val="3"/>
    </w:lvl>
  </w:abstractNum>
  <w:abstractNum w:abstractNumId="11">
    <w:nsid w:val="1BEFD79F"/>
    <w:multiLevelType w:val="hybridMultilevel"/>
    <w:lvl w:ilvl="0">
      <w:lvlJc w:val="left"/>
      <w:lvlText w:val="(%1)"/>
      <w:numFmt w:val="lowerRoman"/>
      <w:start w:val="7"/>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2"/>
    </w:lvl>
    <w:lvl w:ilvl="1">
      <w:lvlJc w:val="left"/>
      <w:lvlText w:val="(%2)"/>
      <w:numFmt w:val="lowerLetter"/>
      <w:start w:val="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
      <w:numFmt w:val="bullet"/>
      <w:start w:val="1"/>
    </w:lvl>
    <w:lvl w:ilvl="1">
      <w:lvlJc w:val="left"/>
      <w:lvlText w:val="%2."/>
      <w:numFmt w:val="decimal"/>
      <w:start w:val="1"/>
    </w:lvl>
  </w:abstractNum>
  <w:abstractNum w:abstractNumId="17">
    <w:nsid w:val="431BD7B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jpeg"/><Relationship Id="rId65" Type="http://schemas.openxmlformats.org/officeDocument/2006/relationships/image" Target="media/image52.png"/><Relationship Id="rId66" Type="http://schemas.openxmlformats.org/officeDocument/2006/relationships/image" Target="media/image53.jpe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23" Type="http://schemas.openxmlformats.org/officeDocument/2006/relationships/hyperlink" Target="http://www.sec.gov/ix?doc=/Archives/edgar/data/723125/000072312520000082/mu-20200903.htm" TargetMode="External"/><Relationship Id="rId24" Type="http://schemas.openxmlformats.org/officeDocument/2006/relationships/hyperlink" Target="http://www.sec.gov/ix?doc=/Archives/edgar/data/723125/000072312520000074/mu-20200921.htm" TargetMode="External"/><Relationship Id="rId25" Type="http://schemas.openxmlformats.org/officeDocument/2006/relationships/hyperlink" Target="http://www.sec.gov/Archives/edgar/data/723125/000072312509000145/form8a12b-nasdaq.htm" TargetMode="External"/><Relationship Id="rId41" Type="http://schemas.openxmlformats.org/officeDocument/2006/relationships/hyperlink" Target="http://www.sec.gov/Archives/edgar/data/723125/000110465915004447/a15-3005_2ex99d2.htm" TargetMode="External"/><Relationship Id="rId42" Type="http://schemas.openxmlformats.org/officeDocument/2006/relationships/hyperlink" Target="http://www.sec.gov/Archives/edgar/data/723125/000110465920090285/tm2026510d1_ex99-2.htm" TargetMode="External"/><Relationship Id="rId43" Type="http://schemas.openxmlformats.org/officeDocument/2006/relationships/hyperlink" Target="http://www.sec.gov/Archives/edgar/data/723125/000110465919006069/a18-36862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2020-11-04T07:05:51Z</dcterms:created>
  <dcterms:modified xsi:type="dcterms:W3CDTF">2020-11-04T07:05:51Z</dcterms:modified>
</cp:coreProperties>
</file>