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160655</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On December 21, 2022, we announced the financial results for our first quarter of fiscal 2023 ended December 1, 2022. The full text of the press release issued in connection with the announcement is attached as Exhibit 99.1 to this Current Report on Form 8-K.</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1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8"/>
          <w:szCs w:val="18"/>
          <w:b w:val="1"/>
          <w:bCs w:val="1"/>
          <w:color w:val="auto"/>
        </w:rPr>
        <w:t>Costs Associated with Exit or Disposal Activities.</w:t>
      </w:r>
    </w:p>
    <w:p>
      <w:pPr>
        <w:spacing w:after="0" w:line="3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December 21, 2022, we announced a restructure plan in response to challenging industry conditions. Under the restructure plan, we expect to reduce our headcount by approximately 10% over calendar year 2023, through a combination of voluntary attrition and personnel reductions. In connection with the plan, we expect to incur charges of at least $30 million in the second quarter of fiscal 2023, substantially all in cash expenditures.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This Current Report on Form 8-K contains forward-looking statements regarding our restructure plans and related charges.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micron.com/certainfactors.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8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10080" w:type="dxa"/>
            <w:vAlign w:val="bottom"/>
            <w:gridSpan w:val="5"/>
          </w:tcPr>
          <w:p>
            <w:pPr>
              <w:ind w:left="180"/>
              <w:spacing w:after="0"/>
              <w:rPr>
                <w:sz w:val="20"/>
                <w:szCs w:val="20"/>
                <w:color w:val="auto"/>
              </w:rPr>
            </w:pPr>
            <w:r>
              <w:rPr>
                <w:rFonts w:ascii="Arial" w:cs="Arial" w:eastAsia="Arial" w:hAnsi="Arial"/>
                <w:sz w:val="18"/>
                <w:szCs w:val="18"/>
                <w:color w:val="auto"/>
              </w:rPr>
              <w:t>(d) Exhibits.</w:t>
            </w:r>
          </w:p>
        </w:tc>
      </w:tr>
      <w:tr>
        <w:trPr>
          <w:trHeight w:val="684"/>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160" w:type="dxa"/>
            <w:vAlign w:val="bottom"/>
            <w:tcBorders>
              <w:top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2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Press Release issued on December 21, 2022</w:t>
            </w:r>
          </w:p>
        </w:tc>
        <w:tc>
          <w:tcPr>
            <w:tcW w:w="4760" w:type="dxa"/>
            <w:vAlign w:val="bottom"/>
            <w:tcBorders>
              <w:top w:val="single" w:sz="8" w:color="auto"/>
            </w:tcBorders>
          </w:tcPr>
          <w:p>
            <w:pPr>
              <w:spacing w:after="0"/>
              <w:rPr>
                <w:sz w:val="15"/>
                <w:szCs w:val="15"/>
                <w:color w:val="auto"/>
              </w:rPr>
            </w:pPr>
          </w:p>
        </w:tc>
        <w:tc>
          <w:tcPr>
            <w:tcW w:w="1440" w:type="dxa"/>
            <w:vAlign w:val="bottom"/>
          </w:tcPr>
          <w:p>
            <w:pPr>
              <w:spacing w:after="0"/>
              <w:rPr>
                <w:sz w:val="15"/>
                <w:szCs w:val="15"/>
                <w:color w:val="auto"/>
              </w:rPr>
            </w:pPr>
          </w:p>
        </w:tc>
      </w:tr>
      <w:tr>
        <w:trPr>
          <w:trHeight w:val="254"/>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48"/>
        </w:trPr>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00" w:type="dxa"/>
            <w:vAlign w:val="bottom"/>
          </w:tcPr>
          <w:p>
            <w:pPr>
              <w:spacing w:after="0"/>
              <w:rPr>
                <w:sz w:val="21"/>
                <w:szCs w:val="21"/>
                <w:color w:val="auto"/>
              </w:rPr>
            </w:pPr>
          </w:p>
        </w:tc>
        <w:tc>
          <w:tcPr>
            <w:tcW w:w="7320" w:type="dxa"/>
            <w:vAlign w:val="bottom"/>
            <w:gridSpan w:val="2"/>
          </w:tcPr>
          <w:p>
            <w:pPr>
              <w:ind w:left="156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900" w:type="dxa"/>
            <w:vAlign w:val="bottom"/>
          </w:tcPr>
          <w:p>
            <w:pPr>
              <w:spacing w:after="0"/>
              <w:rPr>
                <w:sz w:val="20"/>
                <w:szCs w:val="20"/>
                <w:color w:val="auto"/>
              </w:rPr>
            </w:pPr>
            <w:r>
              <w:rPr>
                <w:rFonts w:ascii="Arial" w:cs="Arial" w:eastAsia="Arial" w:hAnsi="Arial"/>
                <w:sz w:val="18"/>
                <w:szCs w:val="18"/>
                <w:color w:val="auto"/>
              </w:rPr>
              <w:t>Date:   December 21, 2022</w:t>
            </w:r>
          </w:p>
        </w:tc>
        <w:tc>
          <w:tcPr>
            <w:tcW w:w="2460" w:type="dxa"/>
            <w:vAlign w:val="bottom"/>
          </w:tcPr>
          <w:p>
            <w:pPr>
              <w:ind w:left="15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900" w:type="dxa"/>
            <w:vAlign w:val="bottom"/>
          </w:tcPr>
          <w:p>
            <w:pPr>
              <w:spacing w:after="0"/>
              <w:rPr>
                <w:sz w:val="18"/>
                <w:szCs w:val="18"/>
                <w:color w:val="auto"/>
              </w:rPr>
            </w:pPr>
          </w:p>
        </w:tc>
        <w:tc>
          <w:tcPr>
            <w:tcW w:w="2460" w:type="dxa"/>
            <w:vAlign w:val="bottom"/>
          </w:tcPr>
          <w:p>
            <w:pPr>
              <w:ind w:left="156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900" w:type="dxa"/>
            <w:vAlign w:val="bottom"/>
          </w:tcPr>
          <w:p>
            <w:pPr>
              <w:spacing w:after="0"/>
              <w:rPr>
                <w:sz w:val="20"/>
                <w:szCs w:val="20"/>
                <w:color w:val="auto"/>
              </w:rPr>
            </w:pPr>
          </w:p>
        </w:tc>
        <w:tc>
          <w:tcPr>
            <w:tcW w:w="2460" w:type="dxa"/>
            <w:vAlign w:val="bottom"/>
          </w:tcPr>
          <w:p>
            <w:pPr>
              <w:ind w:left="156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line="195" w:lineRule="exact"/>
              <w:rPr>
                <w:sz w:val="20"/>
                <w:szCs w:val="20"/>
                <w:color w:val="auto"/>
              </w:rPr>
            </w:pPr>
            <w:r>
              <w:rPr>
                <w:rFonts w:ascii="Arial" w:cs="Arial" w:eastAsia="Arial" w:hAnsi="Arial"/>
                <w:sz w:val="18"/>
                <w:szCs w:val="18"/>
                <w:color w:val="0090DA"/>
              </w:rPr>
              <w:t>epompen@micron.com</w:t>
            </w:r>
          </w:p>
        </w:tc>
      </w:tr>
      <w:tr>
        <w:trPr>
          <w:trHeight w:val="254"/>
        </w:trPr>
        <w:tc>
          <w:tcPr>
            <w:tcW w:w="1500" w:type="dxa"/>
            <w:vAlign w:val="bottom"/>
          </w:tcPr>
          <w:p>
            <w:pPr>
              <w:spacing w:after="0"/>
              <w:rPr>
                <w:sz w:val="22"/>
                <w:szCs w:val="22"/>
                <w:color w:val="auto"/>
              </w:rPr>
            </w:pPr>
          </w:p>
        </w:tc>
        <w:tc>
          <w:tcPr>
            <w:tcW w:w="21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40" w:type="dxa"/>
            <w:vAlign w:val="bottom"/>
          </w:tcPr>
          <w:p>
            <w:pPr>
              <w:spacing w:after="0"/>
              <w:rPr>
                <w:sz w:val="22"/>
                <w:szCs w:val="22"/>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OF FISCAL 2023</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Micron navigates industry conditions with supply cuts and expense reductions</w:t>
      </w:r>
    </w:p>
    <w:p>
      <w:pPr>
        <w:spacing w:after="0" w:line="25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December 21, 2022 – Micron Technology, Inc. (Nasdaq: MU) today announced results for its first quarter of fiscal 2023,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1, 2022.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Q1 2023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$4.09 billion versus $6.64 billion for the prior quarter and $7.69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loss of $195 million, or $0.18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loss of $39 million, or $0.04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$943 million versus $3.78 billion for the prior quarter and $3.94 billion for the same period last year</w:t>
      </w:r>
    </w:p>
    <w:p>
      <w:pPr>
        <w:spacing w:after="0" w:line="23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“Micron delivered fiscal first quarter revenue and EPS within guidance ranges despite challenging conditions during the quarter,” said Micron Technology President and CEO Sanjay Mehrotra. “Micron’s strong technology, manufacturing and financial position put us on solid footing to navigate the near-term environment, and we are taking decisive actions to cut our supply and expenses. We expect improving customer inventories to enable higher revenue in the fiscal second half, and to deliver strong profitability once we get past this downturn.”</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6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1000" w:type="dxa"/>
            <w:vAlign w:val="bottom"/>
            <w:tcBorders>
              <w:bottom w:val="single" w:sz="8" w:color="0090DA"/>
            </w:tcBorders>
          </w:tcPr>
          <w:p>
            <w:pPr>
              <w:spacing w:after="0"/>
              <w:rPr>
                <w:sz w:val="23"/>
                <w:szCs w:val="23"/>
                <w:color w:val="auto"/>
              </w:rPr>
            </w:pPr>
          </w:p>
        </w:tc>
        <w:tc>
          <w:tcPr>
            <w:tcW w:w="160" w:type="dxa"/>
            <w:vAlign w:val="bottom"/>
            <w:tcBorders>
              <w:bottom w:val="single" w:sz="8" w:color="0090DA"/>
            </w:tcBorders>
          </w:tcPr>
          <w:p>
            <w:pPr>
              <w:spacing w:after="0"/>
              <w:rPr>
                <w:sz w:val="23"/>
                <w:szCs w:val="23"/>
                <w:color w:val="auto"/>
              </w:rPr>
            </w:pPr>
          </w:p>
        </w:tc>
        <w:tc>
          <w:tcPr>
            <w:tcW w:w="980" w:type="dxa"/>
            <w:vAlign w:val="bottom"/>
            <w:tcBorders>
              <w:bottom w:val="single" w:sz="8" w:color="0090DA"/>
            </w:tcBorders>
          </w:tcPr>
          <w:p>
            <w:pPr>
              <w:jc w:val="right"/>
              <w:ind w:right="170"/>
              <w:spacing w:after="0"/>
              <w:rPr>
                <w:sz w:val="20"/>
                <w:szCs w:val="20"/>
                <w:color w:val="auto"/>
              </w:rPr>
            </w:pPr>
            <w:r>
              <w:rPr>
                <w:rFonts w:ascii="Arial" w:cs="Arial" w:eastAsia="Arial" w:hAnsi="Arial"/>
                <w:sz w:val="18"/>
                <w:szCs w:val="18"/>
                <w:b w:val="1"/>
                <w:bCs w:val="1"/>
                <w:color w:val="auto"/>
                <w:w w:val="98"/>
              </w:rPr>
              <w:t>GAAP</w:t>
            </w:r>
            <w:r>
              <w:rPr>
                <w:rFonts w:ascii="Arial" w:cs="Arial" w:eastAsia="Arial" w:hAnsi="Arial"/>
                <w:sz w:val="23"/>
                <w:szCs w:val="23"/>
                <w:b w:val="1"/>
                <w:bCs w:val="1"/>
                <w:color w:val="auto"/>
                <w:w w:val="98"/>
                <w:vertAlign w:val="superscript"/>
              </w:rPr>
              <w:t>(1)</w:t>
            </w: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0090DA"/>
            </w:tcBorders>
          </w:tcPr>
          <w:p>
            <w:pPr>
              <w:spacing w:after="0"/>
              <w:rPr>
                <w:sz w:val="23"/>
                <w:szCs w:val="23"/>
                <w:color w:val="auto"/>
              </w:rPr>
            </w:pPr>
          </w:p>
        </w:tc>
        <w:tc>
          <w:tcPr>
            <w:tcW w:w="980" w:type="dxa"/>
            <w:vAlign w:val="bottom"/>
            <w:tcBorders>
              <w:bottom w:val="single" w:sz="8" w:color="0090DA"/>
            </w:tcBorders>
          </w:tcPr>
          <w:p>
            <w:pPr>
              <w:spacing w:after="0"/>
              <w:rPr>
                <w:sz w:val="23"/>
                <w:szCs w:val="23"/>
                <w:color w:val="auto"/>
              </w:rPr>
            </w:pPr>
          </w:p>
        </w:tc>
        <w:tc>
          <w:tcPr>
            <w:tcW w:w="1140" w:type="dxa"/>
            <w:vAlign w:val="bottom"/>
            <w:tcBorders>
              <w:bottom w:val="single" w:sz="8" w:color="0090DA"/>
            </w:tcBorders>
            <w:gridSpan w:val="2"/>
          </w:tcPr>
          <w:p>
            <w:pPr>
              <w:ind w:left="20"/>
              <w:spacing w:after="0"/>
              <w:rPr>
                <w:sz w:val="20"/>
                <w:szCs w:val="20"/>
                <w:color w:val="auto"/>
              </w:rPr>
            </w:pPr>
            <w:r>
              <w:rPr>
                <w:rFonts w:ascii="Arial" w:cs="Arial" w:eastAsia="Arial" w:hAnsi="Arial"/>
                <w:sz w:val="18"/>
                <w:szCs w:val="18"/>
                <w:b w:val="1"/>
                <w:bCs w:val="1"/>
                <w:color w:val="auto"/>
                <w:w w:val="98"/>
              </w:rPr>
              <w:t>Non-GAAP</w:t>
            </w:r>
            <w:r>
              <w:rPr>
                <w:rFonts w:ascii="Arial" w:cs="Arial" w:eastAsia="Arial" w:hAnsi="Arial"/>
                <w:sz w:val="23"/>
                <w:szCs w:val="23"/>
                <w:b w:val="1"/>
                <w:bCs w:val="1"/>
                <w:color w:val="auto"/>
                <w:w w:val="98"/>
                <w:vertAlign w:val="superscript"/>
              </w:rPr>
              <w:t>(2)</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FQ1-23</w:t>
            </w:r>
          </w:p>
        </w:tc>
        <w:tc>
          <w:tcPr>
            <w:tcW w:w="1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FQ4-22</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FQ1-22</w:t>
            </w:r>
          </w:p>
        </w:tc>
        <w:tc>
          <w:tcPr>
            <w:tcW w:w="220" w:type="dxa"/>
            <w:vAlign w:val="bottom"/>
          </w:tcPr>
          <w:p>
            <w:pPr>
              <w:spacing w:after="0"/>
              <w:rPr>
                <w:sz w:val="21"/>
                <w:szCs w:val="21"/>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FQ1-23</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FQ4-22</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FQ1-22</w:t>
            </w:r>
          </w:p>
        </w:tc>
      </w:tr>
      <w:tr>
        <w:trPr>
          <w:trHeight w:val="34"/>
        </w:trPr>
        <w:tc>
          <w:tcPr>
            <w:tcW w:w="41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000" w:type="dxa"/>
            <w:vAlign w:val="bottom"/>
            <w:tcBorders>
              <w:top w:val="single" w:sz="8" w:color="0090DA"/>
            </w:tcBorders>
          </w:tcPr>
          <w:p>
            <w:pPr>
              <w:spacing w:after="0"/>
              <w:rPr>
                <w:sz w:val="2"/>
                <w:szCs w:val="2"/>
                <w:color w:val="auto"/>
              </w:rPr>
            </w:pPr>
          </w:p>
        </w:tc>
        <w:tc>
          <w:tcPr>
            <w:tcW w:w="16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30"/>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4,085</w:t>
            </w: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6,643</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4,085</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6,643</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7,687</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2,622</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934</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2,676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3,616</w:t>
            </w:r>
          </w:p>
        </w:tc>
      </w:tr>
      <w:tr>
        <w:trPr>
          <w:trHeight w:val="230"/>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21.9 %</w:t>
            </w:r>
          </w:p>
        </w:tc>
        <w:tc>
          <w:tcPr>
            <w:tcW w:w="16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39.5 %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46.4 %</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22.9 %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40.3 %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47.0 %</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891</w:t>
            </w:r>
          </w:p>
        </w:tc>
      </w:tr>
      <w:tr>
        <w:trPr>
          <w:trHeight w:val="230"/>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1,521</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1,662</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2,725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(5.1 %)</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22.9 %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34.2 %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25.0 %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35.4 %</w:t>
            </w:r>
          </w:p>
        </w:tc>
      </w:tr>
      <w:tr>
        <w:trPr>
          <w:trHeight w:val="230"/>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1,492</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2,306</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1,621</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2,471</w:t>
            </w:r>
          </w:p>
        </w:tc>
      </w:tr>
      <w:tr>
        <w:trPr>
          <w:trHeight w:val="239"/>
        </w:trPr>
        <w:tc>
          <w:tcPr>
            <w:tcW w:w="416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2.16</w:t>
            </w:r>
          </w:p>
        </w:tc>
      </w:tr>
    </w:tbl>
    <w:p>
      <w:pPr>
        <w:spacing w:after="0" w:line="200" w:lineRule="exact"/>
        <w:rPr>
          <w:sz w:val="20"/>
          <w:szCs w:val="20"/>
          <w:color w:val="auto"/>
        </w:rPr>
      </w:pPr>
    </w:p>
    <w:p>
      <w:pPr>
        <w:spacing w:after="0" w:line="339"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$2.47 billion for the first quarter of 2023,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negative $1.53 billion. Micron repurchased approximately 8.6 million shares of its common stock for $ 425 million during the first quarter of 2023 and ended the quarter with cash, marketable investments, and restricted cash of $12.08 billion, for a net cash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position of $1.81 billion. Micron’s Board of Directors has declared a quarterly dividend of $0.115 per share, payable in cash on January 19, 2023, to shareholders of record as of the close of business on January 3, 2023.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652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4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1"/>
        </w:trPr>
        <w:tc>
          <w:tcPr>
            <w:tcW w:w="652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second quarter of 2023:</w:t>
            </w:r>
          </w:p>
        </w:tc>
        <w:tc>
          <w:tcPr>
            <w:tcW w:w="2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65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FQ2-23</w:t>
            </w:r>
          </w:p>
        </w:tc>
        <w:tc>
          <w:tcPr>
            <w:tcW w:w="2480" w:type="dxa"/>
            <w:vAlign w:val="bottom"/>
            <w:tcBorders>
              <w:bottom w:val="single" w:sz="8" w:color="0090DA"/>
            </w:tcBorders>
          </w:tcPr>
          <w:p>
            <w:pPr>
              <w:jc w:val="right"/>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0090DA"/>
            </w:tcBorders>
          </w:tcPr>
          <w:p>
            <w:pPr>
              <w:jc w:val="right"/>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5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6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$3.80 billion ± $200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$3.80 billion ± $200 million</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480" w:type="dxa"/>
            <w:vAlign w:val="bottom"/>
          </w:tcPr>
          <w:p>
            <w:pPr>
              <w:jc w:val="right"/>
              <w:spacing w:after="0"/>
              <w:rPr>
                <w:sz w:val="20"/>
                <w:szCs w:val="20"/>
                <w:color w:val="auto"/>
              </w:rPr>
            </w:pPr>
            <w:r>
              <w:rPr>
                <w:rFonts w:ascii="Arial" w:cs="Arial" w:eastAsia="Arial" w:hAnsi="Arial"/>
                <w:sz w:val="18"/>
                <w:szCs w:val="18"/>
                <w:color w:val="auto"/>
              </w:rPr>
              <w:t>7.5% ± 2.5%</w:t>
            </w:r>
          </w:p>
        </w:tc>
        <w:tc>
          <w:tcPr>
            <w:tcW w:w="2240" w:type="dxa"/>
            <w:vAlign w:val="bottom"/>
          </w:tcPr>
          <w:p>
            <w:pPr>
              <w:jc w:val="right"/>
              <w:spacing w:after="0"/>
              <w:rPr>
                <w:sz w:val="20"/>
                <w:szCs w:val="20"/>
                <w:color w:val="auto"/>
              </w:rPr>
            </w:pPr>
            <w:r>
              <w:rPr>
                <w:rFonts w:ascii="Arial" w:cs="Arial" w:eastAsia="Arial" w:hAnsi="Arial"/>
                <w:sz w:val="18"/>
                <w:szCs w:val="18"/>
                <w:color w:val="auto"/>
              </w:rPr>
              <w:t>8.5% ± 2.5%</w:t>
            </w:r>
          </w:p>
        </w:tc>
      </w:tr>
      <w:tr>
        <w:trPr>
          <w:trHeight w:val="229"/>
        </w:trPr>
        <w:tc>
          <w:tcPr>
            <w:tcW w:w="6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$1.08 billion ± $15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$945 million ± $15 million</w:t>
            </w:r>
          </w:p>
        </w:tc>
      </w:tr>
      <w:tr>
        <w:trPr>
          <w:trHeight w:val="239"/>
        </w:trPr>
        <w:tc>
          <w:tcPr>
            <w:tcW w:w="65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480" w:type="dxa"/>
            <w:vAlign w:val="bottom"/>
          </w:tcPr>
          <w:p>
            <w:pPr>
              <w:jc w:val="right"/>
              <w:spacing w:after="0"/>
              <w:rPr>
                <w:sz w:val="20"/>
                <w:szCs w:val="20"/>
                <w:color w:val="auto"/>
              </w:rPr>
            </w:pPr>
            <w:r>
              <w:rPr>
                <w:rFonts w:ascii="Arial" w:cs="Arial" w:eastAsia="Arial" w:hAnsi="Arial"/>
                <w:sz w:val="18"/>
                <w:szCs w:val="18"/>
                <w:color w:val="auto"/>
              </w:rPr>
              <w:t>($0.79) ± $0.10</w:t>
            </w:r>
          </w:p>
        </w:tc>
        <w:tc>
          <w:tcPr>
            <w:tcW w:w="2240" w:type="dxa"/>
            <w:vAlign w:val="bottom"/>
          </w:tcPr>
          <w:p>
            <w:pPr>
              <w:jc w:val="right"/>
              <w:spacing w:after="0"/>
              <w:rPr>
                <w:sz w:val="20"/>
                <w:szCs w:val="20"/>
                <w:color w:val="auto"/>
              </w:rPr>
            </w:pPr>
            <w:r>
              <w:rPr>
                <w:rFonts w:ascii="Arial" w:cs="Arial" w:eastAsia="Arial" w:hAnsi="Arial"/>
                <w:sz w:val="18"/>
                <w:szCs w:val="18"/>
                <w:color w:val="auto"/>
              </w:rPr>
              <w:t>($0.62) ± $0.10</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regarding Micron’s business outlook is included in the prepared remarks and slides, which have been posted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Micron will host a conference call on Wednesday, December 21, 2022 at 2:30 p.m. Mountain Time to discuss its first quarter financial results and provide forward-looking guidance for its second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xml:space="preserve">. A webcast replay will be available for one year after the call. For Investor Relations and other company updates, follow @MicronTech on Twitter at </w:t>
      </w:r>
      <w:r>
        <w:rPr>
          <w:rFonts w:ascii="Arial" w:cs="Arial" w:eastAsia="Arial" w:hAnsi="Arial"/>
          <w:sz w:val="18"/>
          <w:szCs w:val="18"/>
          <w:u w:val="single" w:color="auto"/>
          <w:color w:val="0090DA"/>
        </w:rPr>
        <w:t>twitter.com/MicronTech</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19" w:lineRule="exact"/>
        <w:rPr>
          <w:sz w:val="20"/>
          <w:szCs w:val="20"/>
          <w:color w:val="auto"/>
        </w:rPr>
      </w:pPr>
    </w:p>
    <w:p>
      <w:pPr>
        <w:ind w:right="520" w:firstLine="8"/>
        <w:spacing w:after="0" w:line="269"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2022 Micron Technology, Inc. All rights reserved. Micron, the Micron logo, and all other Micron trademarks are the property of Micron Technology, Inc. All other trademarks are the property of their respective owners.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 xml:space="preserve">This press release contains forward-looking statements regarding our industry, our strategic position, and our financial and operating results.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7"/>
          <w:szCs w:val="17"/>
          <w:u w:val="single" w:color="auto"/>
          <w:color w:val="0090DA"/>
        </w:rPr>
        <w:t>micron.com/certainfactors</w:t>
      </w:r>
      <w:r>
        <w:rPr>
          <w:rFonts w:ascii="Arial" w:cs="Arial" w:eastAsia="Arial" w:hAnsi="Arial"/>
          <w:sz w:val="17"/>
          <w:szCs w:val="17"/>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5"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net cash, and business outlook. Further information regarding Micron’s use of non-GAAP measures and reconciliations between GAAP and non-GAAP measures are included within this press release.</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90" w:right="3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1st Qtr.</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14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8"/>
              </w:rPr>
              <w:t>December 1,</w:t>
            </w:r>
          </w:p>
        </w:tc>
        <w:tc>
          <w:tcPr>
            <w:tcW w:w="13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September 1,</w:t>
            </w:r>
          </w:p>
        </w:tc>
        <w:tc>
          <w:tcPr>
            <w:tcW w:w="140" w:type="dxa"/>
            <w:vAlign w:val="bottom"/>
          </w:tcPr>
          <w:p>
            <w:pPr>
              <w:spacing w:after="0"/>
              <w:rPr>
                <w:sz w:val="15"/>
                <w:szCs w:val="15"/>
                <w:color w:val="auto"/>
              </w:rPr>
            </w:pPr>
          </w:p>
        </w:tc>
        <w:tc>
          <w:tcPr>
            <w:tcW w:w="120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rPr>
              <w:t>December 2,</w:t>
            </w:r>
          </w:p>
        </w:tc>
      </w:tr>
      <w:tr>
        <w:trPr>
          <w:trHeight w:val="243"/>
        </w:trPr>
        <w:tc>
          <w:tcPr>
            <w:tcW w:w="720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r>
      <w:tr>
        <w:trPr>
          <w:trHeight w:val="34"/>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7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4,085</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6,643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7,687</w:t>
            </w:r>
          </w:p>
        </w:tc>
      </w:tr>
      <w:tr>
        <w:trPr>
          <w:trHeight w:val="230"/>
        </w:trPr>
        <w:tc>
          <w:tcPr>
            <w:tcW w:w="72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r>
      <w:tr>
        <w:trPr>
          <w:trHeight w:val="223"/>
        </w:trPr>
        <w:tc>
          <w:tcPr>
            <w:tcW w:w="72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3,565</w:t>
            </w:r>
          </w:p>
        </w:tc>
      </w:tr>
      <w:tr>
        <w:trPr>
          <w:trHeight w:val="257"/>
        </w:trPr>
        <w:tc>
          <w:tcPr>
            <w:tcW w:w="7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7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712</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7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2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72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2,631</w:t>
            </w:r>
          </w:p>
        </w:tc>
      </w:tr>
      <w:tr>
        <w:trPr>
          <w:trHeight w:val="257"/>
        </w:trPr>
        <w:tc>
          <w:tcPr>
            <w:tcW w:w="7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7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7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56"/>
        </w:trPr>
        <w:tc>
          <w:tcPr>
            <w:tcW w:w="720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7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2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r>
      <w:tr>
        <w:trPr>
          <w:trHeight w:val="20"/>
        </w:trPr>
        <w:tc>
          <w:tcPr>
            <w:tcW w:w="720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72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2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72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56"/>
        </w:trPr>
        <w:tc>
          <w:tcPr>
            <w:tcW w:w="720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2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r>
      <w:tr>
        <w:trPr>
          <w:trHeight w:val="239"/>
        </w:trPr>
        <w:tc>
          <w:tcPr>
            <w:tcW w:w="72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1,090</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40" w:top="890"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43"/>
        </w:trPr>
        <w:tc>
          <w:tcPr>
            <w:tcW w:w="8520" w:type="dxa"/>
            <w:vAlign w:val="bottom"/>
            <w:tcBorders>
              <w:bottom w:val="single" w:sz="8" w:color="0090DA"/>
            </w:tcBorders>
            <w:vMerge w:val="continue"/>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9,574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29"/>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8,359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D1D2D4"/>
            </w:tcBorders>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8520" w:type="dxa"/>
            <w:vAlign w:val="bottom"/>
            <w:shd w:val="clear" w:color="auto" w:fill="D1D2D4"/>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22,921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21,781</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29"/>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39,335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D1D2D4"/>
            </w:tcBorders>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67,874</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852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5,438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Current debt</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D1D2D4"/>
            </w:tcBorders>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3"/>
        </w:trPr>
        <w:tc>
          <w:tcPr>
            <w:tcW w:w="8520" w:type="dxa"/>
            <w:vAlign w:val="bottom"/>
            <w:shd w:val="clear" w:color="auto" w:fill="D1D2D4"/>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6,525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10,094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Noncurrent unearned government incentives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9"/>
        </w:trPr>
        <w:tc>
          <w:tcPr>
            <w:tcW w:w="8520" w:type="dxa"/>
            <w:vAlign w:val="bottom"/>
            <w:shd w:val="clear" w:color="auto" w:fill="D1D2D4"/>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0" w:type="dxa"/>
            <w:vAlign w:val="bottom"/>
          </w:tcPr>
          <w:p>
            <w:pPr>
              <w:spacing w:after="0"/>
              <w:rPr>
                <w:sz w:val="1"/>
                <w:szCs w:val="1"/>
                <w:color w:val="auto"/>
              </w:rPr>
            </w:pPr>
          </w:p>
        </w:tc>
      </w:tr>
      <w:tr>
        <w:trPr>
          <w:trHeight w:val="196"/>
        </w:trPr>
        <w:tc>
          <w:tcPr>
            <w:tcW w:w="852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ind w:left="8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8520" w:type="dxa"/>
            <w:vAlign w:val="bottom"/>
          </w:tcPr>
          <w:p>
            <w:pPr>
              <w:ind w:left="80"/>
              <w:spacing w:after="0"/>
              <w:rPr>
                <w:sz w:val="20"/>
                <w:szCs w:val="20"/>
                <w:color w:val="auto"/>
              </w:rPr>
            </w:pPr>
            <w:r>
              <w:rPr>
                <w:rFonts w:ascii="Arial" w:cs="Arial" w:eastAsia="Arial" w:hAnsi="Arial"/>
                <w:sz w:val="18"/>
                <w:szCs w:val="18"/>
                <w:color w:val="auto"/>
              </w:rPr>
              <w:t>Additional capital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10,335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ind w:left="8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46,873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30"/>
        </w:trPr>
        <w:tc>
          <w:tcPr>
            <w:tcW w:w="8520" w:type="dxa"/>
            <w:vAlign w:val="bottom"/>
          </w:tcPr>
          <w:p>
            <w:pPr>
              <w:ind w:left="80"/>
              <w:spacing w:after="0"/>
              <w:rPr>
                <w:sz w:val="20"/>
                <w:szCs w:val="20"/>
                <w:color w:val="auto"/>
              </w:rPr>
            </w:pPr>
            <w:r>
              <w:rPr>
                <w:rFonts w:ascii="Arial" w:cs="Arial" w:eastAsia="Arial" w:hAnsi="Arial"/>
                <w:sz w:val="18"/>
                <w:szCs w:val="18"/>
                <w:color w:val="auto"/>
              </w:rPr>
              <w:t>Treasury stock</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30"/>
        </w:trPr>
        <w:tc>
          <w:tcPr>
            <w:tcW w:w="8520" w:type="dxa"/>
            <w:vAlign w:val="bottom"/>
            <w:shd w:val="clear" w:color="auto" w:fill="D1D2D4"/>
          </w:tcPr>
          <w:p>
            <w:pPr>
              <w:ind w:left="8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(473)</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49,907</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67,874</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852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6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1,</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(Gain) loss on debt repurchases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(1,697)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(2,449)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 of Lehi, Utah fab</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2,632</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9,642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8,763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Activity</w:t>
      </w:r>
    </w:p>
    <w:p>
      <w:pPr>
        <w:spacing w:after="0" w:line="2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On November 3, 2022, we entered into a Term Loan Agreement consisting of three tranches and borrowed $2.60 billion in aggregate principal amount, including $927 million due November 3, 2025, $746 million due November 3, 2026, and $927 million due November 3, 2027. Borrowings under the Term Loan Agreement will bear interest at adjusted term SOFR plus an applicable interest rate margin ranging from 1.00% to 2.00%, varying by tranche and depending on our corporate credit ratings.</w:t>
      </w:r>
    </w:p>
    <w:p>
      <w:pPr>
        <w:spacing w:after="0" w:line="20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On October 31, 2022, we issued $750 million principal amount of senior notes due 2029 in a public offering and received net proceeds of $744 million. The notes bear interest at a rate of 6.750% per year and will mature on November 1, 2029.</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ind w:left="4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7380" w:type="dxa"/>
        <w:tblCellMar>
          <w:top w:w="0" w:type="dxa"/>
          <w:left w:w="0" w:type="dxa"/>
          <w:bottom w:w="0" w:type="dxa"/>
          <w:right w:w="0" w:type="dxa"/>
        </w:tblCellMar>
      </w:tblPr>
      <w:tr>
        <w:trPr>
          <w:trHeight w:val="230"/>
        </w:trPr>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1st Qtr.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4th Qtr.</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118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8"/>
              </w:rPr>
              <w:t>December 1,</w:t>
            </w:r>
          </w:p>
        </w:tc>
        <w:tc>
          <w:tcPr>
            <w:tcW w:w="13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September 1,</w:t>
            </w:r>
          </w:p>
        </w:tc>
        <w:tc>
          <w:tcPr>
            <w:tcW w:w="1160" w:type="dxa"/>
            <w:vAlign w:val="bottom"/>
          </w:tcPr>
          <w:p>
            <w:pPr>
              <w:jc w:val="center"/>
              <w:ind w:left="10"/>
              <w:spacing w:after="0" w:line="181" w:lineRule="exact"/>
              <w:rPr>
                <w:sz w:val="20"/>
                <w:szCs w:val="20"/>
                <w:color w:val="auto"/>
              </w:rPr>
            </w:pPr>
            <w:r>
              <w:rPr>
                <w:rFonts w:ascii="Arial" w:cs="Arial" w:eastAsia="Arial" w:hAnsi="Arial"/>
                <w:sz w:val="18"/>
                <w:szCs w:val="18"/>
                <w:b w:val="1"/>
                <w:bCs w:val="1"/>
                <w:color w:val="auto"/>
                <w:w w:val="98"/>
              </w:rPr>
              <w:t>December 2,</w:t>
            </w:r>
          </w:p>
        </w:tc>
      </w:tr>
      <w:tr>
        <w:trPr>
          <w:trHeight w:val="247"/>
        </w:trPr>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2022</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2022</w:t>
            </w:r>
          </w:p>
        </w:tc>
        <w:tc>
          <w:tcPr>
            <w:tcW w:w="116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60" w:top="890" w:right="33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-127635</wp:posOffset>
            </wp:positionV>
            <wp:extent cx="71151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6985</wp:posOffset>
            </wp:positionV>
            <wp:extent cx="71151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Other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17780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17780</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Restructure and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17780</wp:posOffset>
            </wp:positionV>
            <wp:extent cx="71151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17780</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Restructure and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11517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17780</wp:posOffset>
            </wp:positionV>
            <wp:extent cx="71151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19" w:lineRule="exact"/>
        <w:rPr>
          <w:sz w:val="20"/>
          <w:szCs w:val="20"/>
          <w:color w:val="auto"/>
        </w:rPr>
      </w:pPr>
    </w:p>
    <w:p>
      <w:pPr>
        <w:ind w:left="120" w:right="2820" w:hanging="121"/>
        <w:spacing w:after="0" w:line="268" w:lineRule="auto"/>
        <w:rPr>
          <w:sz w:val="20"/>
          <w:szCs w:val="20"/>
          <w:color w:val="auto"/>
        </w:rPr>
      </w:pPr>
      <w:r>
        <w:rPr>
          <w:rFonts w:ascii="Arial" w:cs="Arial" w:eastAsia="Arial" w:hAnsi="Arial"/>
          <w:sz w:val="18"/>
          <w:szCs w:val="18"/>
          <w:b w:val="1"/>
          <w:bCs w:val="1"/>
          <w:color w:val="auto"/>
        </w:rPr>
        <w:t xml:space="preserve">GAAP net income (loss) </w:t>
      </w:r>
      <w:r>
        <w:rPr>
          <w:rFonts w:ascii="Arial" w:cs="Arial" w:eastAsia="Arial" w:hAnsi="Arial"/>
          <w:sz w:val="18"/>
          <w:szCs w:val="18"/>
          <w:color w:val="auto"/>
        </w:rPr>
        <w:t>Stock-based compensation Restructure and asset impairments Amortization of debt discount and other costs (Gain) loss on debt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-584200</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-292735</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-1270</wp:posOffset>
            </wp:positionV>
            <wp:extent cx="711517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tax effects of above and other 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115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net income (loss)</w:t>
      </w:r>
    </w:p>
    <w:p>
      <w:pPr>
        <w:spacing w:after="0" w:line="239" w:lineRule="exact"/>
        <w:rPr>
          <w:sz w:val="20"/>
          <w:szCs w:val="20"/>
          <w:color w:val="auto"/>
        </w:rPr>
      </w:pPr>
    </w:p>
    <w:p>
      <w:pPr>
        <w:ind w:left="120" w:right="1180" w:hanging="121"/>
        <w:spacing w:after="0" w:line="289" w:lineRule="auto"/>
        <w:rPr>
          <w:sz w:val="20"/>
          <w:szCs w:val="20"/>
          <w:color w:val="auto"/>
        </w:rPr>
      </w:pPr>
      <w:r>
        <w:rPr>
          <w:rFonts w:ascii="Arial" w:cs="Arial" w:eastAsia="Arial" w:hAnsi="Arial"/>
          <w:sz w:val="18"/>
          <w:szCs w:val="18"/>
          <w:b w:val="1"/>
          <w:bCs w:val="1"/>
          <w:color w:val="auto"/>
        </w:rPr>
        <w:t xml:space="preserve">GAAP weighted-average common shares outstanding - Diluted </w:t>
      </w:r>
      <w:r>
        <w:rPr>
          <w:rFonts w:ascii="Arial" w:cs="Arial" w:eastAsia="Arial" w:hAnsi="Arial"/>
          <w:sz w:val="18"/>
          <w:szCs w:val="18"/>
          <w:color w:val="auto"/>
        </w:rPr>
        <w:t>Adjustment for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-312420</wp:posOffset>
            </wp:positionV>
            <wp:extent cx="711517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-20955</wp:posOffset>
            </wp:positionV>
            <wp:extent cx="71151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Non-GAAP weighted-average common shares outstanding - Diluted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-127635</wp:posOffset>
            </wp:positionV>
            <wp:extent cx="711517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Effects of the above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6985</wp:posOffset>
            </wp:positionV>
            <wp:extent cx="71151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diluted earnings (loss) per share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893</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2,622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3,565</w:t>
            </w:r>
          </w:p>
        </w:tc>
      </w:tr>
      <w:tr>
        <w:trPr>
          <w:trHeight w:val="22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0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1,102</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0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2,631</w:t>
            </w:r>
          </w:p>
        </w:tc>
      </w:tr>
      <w:tr>
        <w:trPr>
          <w:trHeight w:val="22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0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07"/>
        </w:trPr>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1,090</w:t>
            </w: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1,106</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0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(0.18)</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5"/>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40" w:space="720"/>
            <w:col w:w="3940"/>
          </w:cols>
          <w:pgMar w:left="360" w:top="890"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00"/>
          </w:cols>
          <w:pgMar w:left="360" w:top="890" w:right="339" w:bottom="1440" w:gutter="0" w:footer="0" w:header="0"/>
          <w:type w:val="continuous"/>
        </w:sectPr>
      </w:pPr>
    </w:p>
    <w:bookmarkStart w:id="10" w:name="page11"/>
    <w:bookmarkEnd w:id="10"/>
    <w:tbl>
      <w:tblPr>
        <w:tblLayout w:type="fixed"/>
        <w:tblInd w:w="2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8800" w:type="dxa"/>
            <w:vAlign w:val="bottom"/>
            <w:gridSpan w:val="4"/>
          </w:tcPr>
          <w:p>
            <w:pPr>
              <w:ind w:left="286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1st Qtr.</w:t>
            </w:r>
          </w:p>
        </w:tc>
        <w:tc>
          <w:tcPr>
            <w:tcW w:w="24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4th Qtr.</w:t>
            </w:r>
          </w:p>
        </w:tc>
        <w:tc>
          <w:tcPr>
            <w:tcW w:w="120" w:type="dxa"/>
            <w:vAlign w:val="bottom"/>
          </w:tcPr>
          <w:p>
            <w:pPr>
              <w:spacing w:after="0"/>
              <w:rPr>
                <w:sz w:val="24"/>
                <w:szCs w:val="24"/>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1st Qtr.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8"/>
              </w:rPr>
              <w:t>December 1,</w:t>
            </w:r>
          </w:p>
        </w:tc>
        <w:tc>
          <w:tcPr>
            <w:tcW w:w="13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September 1,</w:t>
            </w:r>
          </w:p>
        </w:tc>
        <w:tc>
          <w:tcPr>
            <w:tcW w:w="120" w:type="dxa"/>
            <w:vAlign w:val="bottom"/>
          </w:tcPr>
          <w:p>
            <w:pPr>
              <w:spacing w:after="0"/>
              <w:rPr>
                <w:sz w:val="15"/>
                <w:szCs w:val="15"/>
                <w:color w:val="auto"/>
              </w:rPr>
            </w:pPr>
          </w:p>
        </w:tc>
        <w:tc>
          <w:tcPr>
            <w:tcW w:w="118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8"/>
              </w:rPr>
              <w:t>December 2,</w:t>
            </w:r>
          </w:p>
        </w:tc>
        <w:tc>
          <w:tcPr>
            <w:tcW w:w="0" w:type="dxa"/>
            <w:vAlign w:val="bottom"/>
          </w:tcPr>
          <w:p>
            <w:pPr>
              <w:spacing w:after="0"/>
              <w:rPr>
                <w:sz w:val="1"/>
                <w:szCs w:val="1"/>
                <w:color w:val="auto"/>
              </w:rPr>
            </w:pPr>
          </w:p>
        </w:tc>
      </w:tr>
      <w:tr>
        <w:trPr>
          <w:trHeight w:val="243"/>
        </w:trPr>
        <w:tc>
          <w:tcPr>
            <w:tcW w:w="20" w:type="dxa"/>
            <w:vAlign w:val="bottom"/>
            <w:tcBorders>
              <w:bottom w:val="single" w:sz="8" w:color="0090DA"/>
            </w:tcBorders>
          </w:tcPr>
          <w:p>
            <w:pPr>
              <w:spacing w:after="0"/>
              <w:rPr>
                <w:sz w:val="21"/>
                <w:szCs w:val="21"/>
                <w:color w:val="auto"/>
              </w:rPr>
            </w:pPr>
          </w:p>
        </w:tc>
        <w:tc>
          <w:tcPr>
            <w:tcW w:w="726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726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3,777</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7260" w:type="dxa"/>
            <w:vAlign w:val="bottom"/>
            <w:shd w:val="clear" w:color="auto" w:fill="DBDBDB"/>
          </w:tcPr>
          <w:p>
            <w:pPr>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(2,449)</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(3,613)</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7260" w:type="dxa"/>
            <w:vAlign w:val="bottom"/>
            <w:shd w:val="clear" w:color="auto" w:fill="DBDBDB"/>
          </w:tcPr>
          <w:p>
            <w:pPr>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Borders>
              <w:bottom w:val="single" w:sz="8" w:color="DBDBDB"/>
            </w:tcBorders>
          </w:tcPr>
          <w:p>
            <w:pPr>
              <w:spacing w:after="0"/>
              <w:rPr>
                <w:sz w:val="19"/>
                <w:szCs w:val="19"/>
                <w:color w:val="auto"/>
              </w:rPr>
            </w:pPr>
          </w:p>
        </w:tc>
        <w:tc>
          <w:tcPr>
            <w:tcW w:w="726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Amounts funded by partners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shd w:val="clear" w:color="auto" w:fill="DBDBDB"/>
          </w:tcPr>
          <w:p>
            <w:pPr>
              <w:spacing w:after="0"/>
              <w:rPr>
                <w:sz w:val="19"/>
                <w:szCs w:val="19"/>
                <w:color w:val="auto"/>
              </w:rPr>
            </w:pPr>
          </w:p>
        </w:tc>
        <w:tc>
          <w:tcPr>
            <w:tcW w:w="726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Investments in capital expenditures, net</w:t>
            </w:r>
          </w:p>
        </w:tc>
        <w:tc>
          <w:tcPr>
            <w:tcW w:w="1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(2,471)</w:t>
            </w:r>
          </w:p>
        </w:tc>
        <w:tc>
          <w:tcPr>
            <w:tcW w:w="24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(3,581)</w:t>
            </w:r>
          </w:p>
        </w:tc>
        <w:tc>
          <w:tcPr>
            <w:tcW w:w="1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Adjusted free cash flow</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As of</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December 1,</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September 1,</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Borders>
              <w:bottom w:val="single" w:sz="8" w:color="0090DA"/>
            </w:tcBorders>
            <w:vMerge w:val="continue"/>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890" w:right="339" w:bottom="1440" w:gutter="0" w:footer="0" w:header="0"/>
        </w:sectPr>
      </w:pPr>
    </w:p>
    <w:p>
      <w:pPr>
        <w:ind w:left="60"/>
        <w:spacing w:after="0"/>
        <w:rPr>
          <w:sz w:val="20"/>
          <w:szCs w:val="20"/>
          <w:color w:val="auto"/>
        </w:rPr>
      </w:pPr>
      <w:r>
        <w:rPr>
          <w:rFonts w:ascii="Arial" w:cs="Arial" w:eastAsia="Arial" w:hAnsi="Arial"/>
          <w:sz w:val="18"/>
          <w:szCs w:val="18"/>
          <w:color w:val="auto"/>
        </w:rPr>
        <w:t>Cash and short-term investments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Current and noncurrent restricted cash</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Long-term marketable investments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and long-term debt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10,581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9,331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9,580</w:t>
            </w:r>
          </w:p>
        </w:tc>
      </w:tr>
      <w:tr>
        <w:trPr>
          <w:trHeight w:val="229"/>
        </w:trPr>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1,817</w:t>
            </w:r>
          </w:p>
        </w:tc>
      </w:tr>
      <w:tr>
        <w:trPr>
          <w:trHeight w:val="235"/>
        </w:trPr>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(10,265)</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-4612640</wp:posOffset>
            </wp:positionH>
            <wp:positionV relativeFrom="paragraph">
              <wp:posOffset>-770890</wp:posOffset>
            </wp:positionV>
            <wp:extent cx="710628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-479425</wp:posOffset>
            </wp:positionV>
            <wp:extent cx="710628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-187960</wp:posOffset>
            </wp:positionV>
            <wp:extent cx="710628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3940"/>
          </w:cols>
          <w:pgMar w:left="320" w:top="890" w:right="339" w:bottom="1440" w:gutter="0" w:footer="0" w:header="0"/>
          <w:type w:val="continuous"/>
        </w:sectPr>
      </w:pPr>
    </w:p>
    <w:p>
      <w:pPr>
        <w:spacing w:after="0" w:line="1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(loss), net income (loss), diluted shares, diluted earnings (loss)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routinely excludes the following items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 and</w:t>
      </w:r>
    </w:p>
    <w:p>
      <w:pPr>
        <w:spacing w:after="0" w:line="9" w:lineRule="exact"/>
        <w:rPr>
          <w:rFonts w:ascii="Arial" w:cs="Arial" w:eastAsia="Arial" w:hAnsi="Arial"/>
          <w:sz w:val="18"/>
          <w:szCs w:val="18"/>
          <w:color w:val="auto"/>
        </w:rPr>
      </w:pPr>
    </w:p>
    <w:p>
      <w:pPr>
        <w:ind w:left="660" w:right="50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19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0"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r>
              <w:rPr>
                <w:rFonts w:ascii="Arial" w:cs="Arial" w:eastAsia="Arial" w:hAnsi="Arial"/>
                <w:sz w:val="18"/>
                <w:szCs w:val="18"/>
                <w:b w:val="1"/>
                <w:bCs w:val="1"/>
                <w:color w:val="auto"/>
              </w:rPr>
              <w:t>FQ2-23</w:t>
            </w:r>
          </w:p>
        </w:tc>
        <w:tc>
          <w:tcPr>
            <w:tcW w:w="2760" w:type="dxa"/>
            <w:vAlign w:val="bottom"/>
            <w:gridSpan w:val="2"/>
          </w:tcPr>
          <w:p>
            <w:pPr>
              <w:ind w:left="900"/>
              <w:spacing w:after="0"/>
              <w:rPr>
                <w:sz w:val="20"/>
                <w:szCs w:val="20"/>
                <w:color w:val="auto"/>
              </w:rPr>
            </w:pPr>
            <w:r>
              <w:rPr>
                <w:rFonts w:ascii="Arial" w:cs="Arial" w:eastAsia="Arial" w:hAnsi="Arial"/>
                <w:sz w:val="18"/>
                <w:szCs w:val="18"/>
                <w:b w:val="1"/>
                <w:bCs w:val="1"/>
                <w:color w:val="auto"/>
              </w:rPr>
              <w:t>GAAP Outlook</w:t>
            </w:r>
          </w:p>
        </w:tc>
        <w:tc>
          <w:tcPr>
            <w:tcW w:w="24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Adjustments</w:t>
            </w:r>
          </w:p>
        </w:tc>
        <w:tc>
          <w:tcPr>
            <w:tcW w:w="21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3640" w:type="dxa"/>
            <w:vAlign w:val="bottom"/>
            <w:tcBorders>
              <w:top w:val="single" w:sz="8" w:color="0090DA"/>
            </w:tcBorders>
          </w:tcPr>
          <w:p>
            <w:pPr>
              <w:spacing w:after="0"/>
              <w:rPr>
                <w:sz w:val="2"/>
                <w:szCs w:val="2"/>
                <w:color w:val="auto"/>
              </w:rPr>
            </w:pPr>
          </w:p>
        </w:tc>
        <w:tc>
          <w:tcPr>
            <w:tcW w:w="264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90DA"/>
            </w:tcBorders>
          </w:tcPr>
          <w:p>
            <w:pPr>
              <w:spacing w:after="0"/>
              <w:rPr>
                <w:sz w:val="2"/>
                <w:szCs w:val="2"/>
                <w:color w:val="auto"/>
              </w:rPr>
            </w:pPr>
          </w:p>
        </w:tc>
        <w:tc>
          <w:tcPr>
            <w:tcW w:w="2140" w:type="dxa"/>
            <w:vAlign w:val="bottom"/>
            <w:tcBorders>
              <w:top w:val="single" w:sz="8" w:color="0090DA"/>
            </w:tcBorders>
          </w:tcPr>
          <w:p>
            <w:pPr>
              <w:spacing w:after="0"/>
              <w:rPr>
                <w:sz w:val="2"/>
                <w:szCs w:val="2"/>
                <w:color w:val="auto"/>
              </w:rPr>
            </w:pPr>
          </w:p>
        </w:tc>
      </w:tr>
      <w:tr>
        <w:trPr>
          <w:trHeight w:val="229"/>
        </w:trPr>
        <w:tc>
          <w:tcPr>
            <w:tcW w:w="3640" w:type="dxa"/>
            <w:vAlign w:val="bottom"/>
            <w:shd w:val="clear" w:color="auto" w:fill="CBCBCB"/>
          </w:tcPr>
          <w:p>
            <w:pPr>
              <w:spacing w:after="0"/>
              <w:rPr>
                <w:sz w:val="20"/>
                <w:szCs w:val="20"/>
                <w:color w:val="auto"/>
              </w:rPr>
            </w:pPr>
            <w:r>
              <w:rPr>
                <w:rFonts w:ascii="Arial" w:cs="Arial" w:eastAsia="Arial" w:hAnsi="Arial"/>
                <w:sz w:val="18"/>
                <w:szCs w:val="18"/>
                <w:color w:val="auto"/>
              </w:rPr>
              <w:t>Revenue</w:t>
            </w:r>
          </w:p>
        </w:tc>
        <w:tc>
          <w:tcPr>
            <w:tcW w:w="2760" w:type="dxa"/>
            <w:vAlign w:val="bottom"/>
            <w:gridSpan w:val="2"/>
            <w:shd w:val="clear" w:color="auto" w:fill="CBCBCB"/>
          </w:tcPr>
          <w:p>
            <w:pPr>
              <w:jc w:val="right"/>
              <w:ind w:right="140"/>
              <w:spacing w:after="0"/>
              <w:rPr>
                <w:sz w:val="20"/>
                <w:szCs w:val="20"/>
                <w:color w:val="auto"/>
              </w:rPr>
            </w:pPr>
            <w:r>
              <w:rPr>
                <w:rFonts w:ascii="Arial" w:cs="Arial" w:eastAsia="Arial" w:hAnsi="Arial"/>
                <w:sz w:val="18"/>
                <w:szCs w:val="18"/>
                <w:color w:val="auto"/>
              </w:rPr>
              <w:t>$3.80 billion ± $200 million</w:t>
            </w:r>
          </w:p>
        </w:tc>
        <w:tc>
          <w:tcPr>
            <w:tcW w:w="2480" w:type="dxa"/>
            <w:vAlign w:val="bottom"/>
            <w:gridSpan w:val="3"/>
            <w:shd w:val="clear" w:color="auto" w:fill="CBCBCB"/>
          </w:tcPr>
          <w:p>
            <w:pPr>
              <w:jc w:val="right"/>
              <w:ind w:right="119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BCBCB"/>
          </w:tcPr>
          <w:p>
            <w:pPr>
              <w:jc w:val="right"/>
              <w:spacing w:after="0"/>
              <w:rPr>
                <w:sz w:val="20"/>
                <w:szCs w:val="20"/>
                <w:color w:val="auto"/>
              </w:rPr>
            </w:pPr>
            <w:r>
              <w:rPr>
                <w:rFonts w:ascii="Arial" w:cs="Arial" w:eastAsia="Arial" w:hAnsi="Arial"/>
                <w:sz w:val="18"/>
                <w:szCs w:val="18"/>
                <w:color w:val="auto"/>
                <w:w w:val="99"/>
              </w:rPr>
              <w:t>$3.80 billion ± $200 million</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Gross margin</w:t>
            </w:r>
          </w:p>
        </w:tc>
        <w:tc>
          <w:tcPr>
            <w:tcW w:w="2640" w:type="dxa"/>
            <w:vAlign w:val="bottom"/>
          </w:tcPr>
          <w:p>
            <w:pPr>
              <w:jc w:val="right"/>
              <w:spacing w:after="0"/>
              <w:rPr>
                <w:sz w:val="20"/>
                <w:szCs w:val="20"/>
                <w:color w:val="auto"/>
              </w:rPr>
            </w:pPr>
            <w:r>
              <w:rPr>
                <w:rFonts w:ascii="Arial" w:cs="Arial" w:eastAsia="Arial" w:hAnsi="Arial"/>
                <w:sz w:val="18"/>
                <w:szCs w:val="18"/>
                <w:color w:val="auto"/>
              </w:rPr>
              <w:t>7.5% ± 2.5%</w:t>
            </w:r>
          </w:p>
        </w:tc>
        <w:tc>
          <w:tcPr>
            <w:tcW w:w="120" w:type="dxa"/>
            <w:vAlign w:val="bottom"/>
          </w:tcPr>
          <w:p>
            <w:pPr>
              <w:spacing w:after="0"/>
              <w:rPr>
                <w:sz w:val="19"/>
                <w:szCs w:val="19"/>
                <w:color w:val="auto"/>
              </w:rPr>
            </w:pPr>
          </w:p>
        </w:tc>
        <w:tc>
          <w:tcPr>
            <w:tcW w:w="2480" w:type="dxa"/>
            <w:vAlign w:val="bottom"/>
            <w:gridSpan w:val="3"/>
          </w:tcPr>
          <w:p>
            <w:pPr>
              <w:jc w:val="right"/>
              <w:ind w:right="970"/>
              <w:spacing w:after="0"/>
              <w:rPr>
                <w:sz w:val="20"/>
                <w:szCs w:val="20"/>
                <w:color w:val="auto"/>
              </w:rPr>
            </w:pPr>
            <w:r>
              <w:rPr>
                <w:rFonts w:ascii="Arial" w:cs="Arial" w:eastAsia="Arial" w:hAnsi="Arial"/>
                <w:sz w:val="18"/>
                <w:szCs w:val="18"/>
                <w:color w:val="auto"/>
              </w:rPr>
              <w:t>~1% A</w:t>
            </w:r>
          </w:p>
        </w:tc>
        <w:tc>
          <w:tcPr>
            <w:tcW w:w="2140" w:type="dxa"/>
            <w:vAlign w:val="bottom"/>
          </w:tcPr>
          <w:p>
            <w:pPr>
              <w:jc w:val="right"/>
              <w:spacing w:after="0"/>
              <w:rPr>
                <w:sz w:val="20"/>
                <w:szCs w:val="20"/>
                <w:color w:val="auto"/>
              </w:rPr>
            </w:pPr>
            <w:r>
              <w:rPr>
                <w:rFonts w:ascii="Arial" w:cs="Arial" w:eastAsia="Arial" w:hAnsi="Arial"/>
                <w:sz w:val="18"/>
                <w:szCs w:val="18"/>
                <w:color w:val="auto"/>
              </w:rPr>
              <w:t>8.5% ± 2.5%</w:t>
            </w:r>
          </w:p>
        </w:tc>
      </w:tr>
      <w:tr>
        <w:trPr>
          <w:trHeight w:val="230"/>
        </w:trPr>
        <w:tc>
          <w:tcPr>
            <w:tcW w:w="3640" w:type="dxa"/>
            <w:vAlign w:val="bottom"/>
            <w:shd w:val="clear" w:color="auto" w:fill="CBCBCB"/>
          </w:tcPr>
          <w:p>
            <w:pPr>
              <w:spacing w:after="0"/>
              <w:rPr>
                <w:sz w:val="20"/>
                <w:szCs w:val="20"/>
                <w:color w:val="auto"/>
              </w:rPr>
            </w:pPr>
            <w:r>
              <w:rPr>
                <w:rFonts w:ascii="Arial" w:cs="Arial" w:eastAsia="Arial" w:hAnsi="Arial"/>
                <w:sz w:val="18"/>
                <w:szCs w:val="18"/>
                <w:color w:val="auto"/>
              </w:rPr>
              <w:t>Operating expenses</w:t>
            </w:r>
          </w:p>
        </w:tc>
        <w:tc>
          <w:tcPr>
            <w:tcW w:w="2760" w:type="dxa"/>
            <w:vAlign w:val="bottom"/>
            <w:gridSpan w:val="2"/>
            <w:shd w:val="clear" w:color="auto" w:fill="CBCBCB"/>
          </w:tcPr>
          <w:p>
            <w:pPr>
              <w:jc w:val="right"/>
              <w:ind w:right="140"/>
              <w:spacing w:after="0"/>
              <w:rPr>
                <w:sz w:val="20"/>
                <w:szCs w:val="20"/>
                <w:color w:val="auto"/>
              </w:rPr>
            </w:pPr>
            <w:r>
              <w:rPr>
                <w:rFonts w:ascii="Arial" w:cs="Arial" w:eastAsia="Arial" w:hAnsi="Arial"/>
                <w:sz w:val="18"/>
                <w:szCs w:val="18"/>
                <w:color w:val="auto"/>
              </w:rPr>
              <w:t>$1.08 billion ± $15 million</w:t>
            </w:r>
          </w:p>
        </w:tc>
        <w:tc>
          <w:tcPr>
            <w:tcW w:w="2480" w:type="dxa"/>
            <w:vAlign w:val="bottom"/>
            <w:gridSpan w:val="3"/>
            <w:shd w:val="clear" w:color="auto" w:fill="CBCBCB"/>
          </w:tcPr>
          <w:p>
            <w:pPr>
              <w:jc w:val="right"/>
              <w:ind w:right="970"/>
              <w:spacing w:after="0"/>
              <w:rPr>
                <w:sz w:val="20"/>
                <w:szCs w:val="20"/>
                <w:color w:val="auto"/>
              </w:rPr>
            </w:pPr>
            <w:r>
              <w:rPr>
                <w:rFonts w:ascii="Arial" w:cs="Arial" w:eastAsia="Arial" w:hAnsi="Arial"/>
                <w:sz w:val="18"/>
                <w:szCs w:val="18"/>
                <w:color w:val="auto"/>
              </w:rPr>
              <w:t>$137 million B</w:t>
            </w:r>
          </w:p>
        </w:tc>
        <w:tc>
          <w:tcPr>
            <w:tcW w:w="21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$945 million ± $15 million</w:t>
            </w:r>
          </w:p>
        </w:tc>
      </w:tr>
      <w:tr>
        <w:trPr>
          <w:trHeight w:val="311"/>
        </w:trPr>
        <w:tc>
          <w:tcPr>
            <w:tcW w:w="3640" w:type="dxa"/>
            <w:vAlign w:val="bottom"/>
          </w:tcPr>
          <w:p>
            <w:pPr>
              <w:spacing w:after="0"/>
              <w:rPr>
                <w:sz w:val="20"/>
                <w:szCs w:val="20"/>
                <w:color w:val="auto"/>
              </w:rPr>
            </w:pPr>
            <w:r>
              <w:rPr>
                <w:rFonts w:ascii="Arial" w:cs="Arial" w:eastAsia="Arial" w:hAnsi="Arial"/>
                <w:sz w:val="18"/>
                <w:szCs w:val="18"/>
                <w:color w:val="auto"/>
              </w:rPr>
              <w:t>Diluted earnings (loss) per share</w:t>
            </w:r>
            <w:r>
              <w:rPr>
                <w:rFonts w:ascii="Arial" w:cs="Arial" w:eastAsia="Arial" w:hAnsi="Arial"/>
                <w:sz w:val="23"/>
                <w:szCs w:val="23"/>
                <w:color w:val="auto"/>
                <w:vertAlign w:val="superscript"/>
              </w:rPr>
              <w:t>(1)</w:t>
            </w:r>
          </w:p>
        </w:tc>
        <w:tc>
          <w:tcPr>
            <w:tcW w:w="2640" w:type="dxa"/>
            <w:vAlign w:val="bottom"/>
          </w:tcPr>
          <w:p>
            <w:pPr>
              <w:jc w:val="right"/>
              <w:spacing w:after="0"/>
              <w:rPr>
                <w:sz w:val="20"/>
                <w:szCs w:val="20"/>
                <w:color w:val="auto"/>
              </w:rPr>
            </w:pPr>
            <w:r>
              <w:rPr>
                <w:rFonts w:ascii="Arial" w:cs="Arial" w:eastAsia="Arial" w:hAnsi="Arial"/>
                <w:sz w:val="18"/>
                <w:szCs w:val="18"/>
                <w:color w:val="auto"/>
              </w:rPr>
              <w:t>($0.79) ± $0.10</w:t>
            </w:r>
          </w:p>
        </w:tc>
        <w:tc>
          <w:tcPr>
            <w:tcW w:w="120" w:type="dxa"/>
            <w:vAlign w:val="bottom"/>
          </w:tcPr>
          <w:p>
            <w:pPr>
              <w:spacing w:after="0"/>
              <w:rPr>
                <w:sz w:val="24"/>
                <w:szCs w:val="24"/>
                <w:color w:val="auto"/>
              </w:rPr>
            </w:pPr>
          </w:p>
        </w:tc>
        <w:tc>
          <w:tcPr>
            <w:tcW w:w="2480" w:type="dxa"/>
            <w:vAlign w:val="bottom"/>
            <w:gridSpan w:val="3"/>
          </w:tcPr>
          <w:p>
            <w:pPr>
              <w:jc w:val="right"/>
              <w:ind w:right="510"/>
              <w:spacing w:after="0"/>
              <w:rPr>
                <w:sz w:val="20"/>
                <w:szCs w:val="20"/>
                <w:color w:val="auto"/>
              </w:rPr>
            </w:pPr>
            <w:r>
              <w:rPr>
                <w:rFonts w:ascii="Arial" w:cs="Arial" w:eastAsia="Arial" w:hAnsi="Arial"/>
                <w:sz w:val="18"/>
                <w:szCs w:val="18"/>
                <w:color w:val="auto"/>
              </w:rPr>
              <w:t>$0.17 A, B, C</w:t>
            </w:r>
          </w:p>
        </w:tc>
        <w:tc>
          <w:tcPr>
            <w:tcW w:w="2140" w:type="dxa"/>
            <w:vAlign w:val="bottom"/>
          </w:tcPr>
          <w:p>
            <w:pPr>
              <w:jc w:val="right"/>
              <w:spacing w:after="0"/>
              <w:rPr>
                <w:sz w:val="20"/>
                <w:szCs w:val="20"/>
                <w:color w:val="auto"/>
              </w:rPr>
            </w:pPr>
            <w:r>
              <w:rPr>
                <w:rFonts w:ascii="Arial" w:cs="Arial" w:eastAsia="Arial" w:hAnsi="Arial"/>
                <w:sz w:val="18"/>
                <w:szCs w:val="18"/>
                <w:color w:val="auto"/>
              </w:rPr>
              <w:t>($0.62) ± $0.10</w:t>
            </w: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40"/>
        </w:trPr>
        <w:tc>
          <w:tcPr>
            <w:tcW w:w="3640" w:type="dxa"/>
            <w:vAlign w:val="bottom"/>
            <w:tcBorders>
              <w:bottom w:val="single" w:sz="8" w:color="0090DA"/>
            </w:tcBorders>
          </w:tcPr>
          <w:p>
            <w:pPr>
              <w:spacing w:after="0"/>
              <w:rPr>
                <w:sz w:val="20"/>
                <w:szCs w:val="20"/>
                <w:color w:val="auto"/>
              </w:rPr>
            </w:pPr>
            <w:r>
              <w:rPr>
                <w:rFonts w:ascii="Arial" w:cs="Arial" w:eastAsia="Arial" w:hAnsi="Arial"/>
                <w:sz w:val="18"/>
                <w:szCs w:val="18"/>
                <w:i w:val="1"/>
                <w:iCs w:val="1"/>
                <w:color w:val="auto"/>
              </w:rPr>
              <w:t>(in millions)</w:t>
            </w:r>
          </w:p>
        </w:tc>
        <w:tc>
          <w:tcPr>
            <w:tcW w:w="264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26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00" w:type="dxa"/>
            <w:vAlign w:val="bottom"/>
            <w:tcBorders>
              <w:bottom w:val="single" w:sz="8" w:color="0090DA"/>
            </w:tcBorders>
          </w:tcPr>
          <w:p>
            <w:pPr>
              <w:spacing w:after="0"/>
              <w:rPr>
                <w:sz w:val="20"/>
                <w:szCs w:val="20"/>
                <w:color w:val="auto"/>
              </w:rPr>
            </w:pPr>
          </w:p>
        </w:tc>
        <w:tc>
          <w:tcPr>
            <w:tcW w:w="2140" w:type="dxa"/>
            <w:vAlign w:val="bottom"/>
            <w:tcBorders>
              <w:bottom w:val="single" w:sz="8" w:color="0090DA"/>
            </w:tcBorders>
          </w:tcPr>
          <w:p>
            <w:pPr>
              <w:spacing w:after="0"/>
              <w:rPr>
                <w:sz w:val="20"/>
                <w:szCs w:val="20"/>
                <w:color w:val="auto"/>
              </w:rPr>
            </w:pPr>
          </w:p>
        </w:tc>
      </w:tr>
      <w:tr>
        <w:trPr>
          <w:trHeight w:val="37"/>
        </w:trPr>
        <w:tc>
          <w:tcPr>
            <w:tcW w:w="36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29"/>
        </w:trPr>
        <w:tc>
          <w:tcPr>
            <w:tcW w:w="640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A  Stock-based compensation – cost of goods sold</w:t>
            </w:r>
          </w:p>
        </w:tc>
        <w:tc>
          <w:tcPr>
            <w:tcW w:w="2480" w:type="dxa"/>
            <w:vAlign w:val="bottom"/>
            <w:gridSpan w:val="3"/>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A  Other – cost of goods sold</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40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B  Stock-based compensation – research and development</w:t>
            </w:r>
          </w:p>
        </w:tc>
        <w:tc>
          <w:tcPr>
            <w:tcW w:w="2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6400" w:type="dxa"/>
            <w:vAlign w:val="bottom"/>
            <w:gridSpan w:val="3"/>
          </w:tcPr>
          <w:p>
            <w:pPr>
              <w:spacing w:after="0"/>
              <w:rPr>
                <w:sz w:val="20"/>
                <w:szCs w:val="20"/>
                <w:color w:val="auto"/>
              </w:rPr>
            </w:pPr>
            <w:r>
              <w:rPr>
                <w:rFonts w:ascii="Arial" w:cs="Arial" w:eastAsia="Arial" w:hAnsi="Arial"/>
                <w:sz w:val="18"/>
                <w:szCs w:val="18"/>
                <w:color w:val="auto"/>
              </w:rPr>
              <w:t>B  Stock-based compensation – selling, general, and administrative</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3640" w:type="dxa"/>
            <w:vAlign w:val="bottom"/>
            <w:shd w:val="clear" w:color="auto" w:fill="D1D2D4"/>
          </w:tcPr>
          <w:p>
            <w:pPr>
              <w:spacing w:after="0"/>
              <w:rPr>
                <w:sz w:val="20"/>
                <w:szCs w:val="20"/>
                <w:color w:val="auto"/>
              </w:rPr>
            </w:pPr>
            <w:r>
              <w:rPr>
                <w:rFonts w:ascii="Arial" w:cs="Arial" w:eastAsia="Arial" w:hAnsi="Arial"/>
                <w:sz w:val="18"/>
                <w:szCs w:val="18"/>
                <w:color w:val="auto"/>
              </w:rPr>
              <w:t>B  Restructure and asset impairments</w:t>
            </w:r>
          </w:p>
        </w:tc>
        <w:tc>
          <w:tcPr>
            <w:tcW w:w="26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2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400" w:type="dxa"/>
            <w:vAlign w:val="bottom"/>
            <w:tcBorders>
              <w:bottom w:val="single" w:sz="8" w:color="D1D2D4"/>
            </w:tcBorders>
            <w:gridSpan w:val="3"/>
          </w:tcPr>
          <w:p>
            <w:pPr>
              <w:spacing w:after="0"/>
              <w:rPr>
                <w:sz w:val="20"/>
                <w:szCs w:val="20"/>
                <w:color w:val="auto"/>
              </w:rPr>
            </w:pPr>
            <w:r>
              <w:rPr>
                <w:rFonts w:ascii="Arial" w:cs="Arial" w:eastAsia="Arial" w:hAnsi="Arial"/>
                <w:sz w:val="18"/>
                <w:szCs w:val="18"/>
                <w:color w:val="auto"/>
              </w:rPr>
              <w:t>C  Tax effects of the above items and other tax adjustments</w:t>
            </w:r>
          </w:p>
        </w:tc>
        <w:tc>
          <w:tcPr>
            <w:tcW w:w="2260" w:type="dxa"/>
            <w:vAlign w:val="bottom"/>
            <w:tcBorders>
              <w:bottom w:val="single" w:sz="8" w:color="D1D2D4"/>
            </w:tcBorders>
          </w:tcPr>
          <w:p>
            <w:pPr>
              <w:spacing w:after="0"/>
              <w:rPr>
                <w:sz w:val="19"/>
                <w:szCs w:val="19"/>
                <w:color w:val="auto"/>
              </w:rPr>
            </w:pPr>
          </w:p>
        </w:tc>
        <w:tc>
          <w:tcPr>
            <w:tcW w:w="120" w:type="dxa"/>
            <w:vAlign w:val="bottom"/>
            <w:tcBorders>
              <w:bottom w:val="single" w:sz="8" w:color="D1D2D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3640" w:type="dxa"/>
            <w:vAlign w:val="bottom"/>
            <w:tcBorders>
              <w:bottom w:val="single" w:sz="8" w:color="D1D2D4"/>
            </w:tcBorders>
            <w:shd w:val="clear" w:color="auto" w:fill="D1D2D4"/>
          </w:tcPr>
          <w:p>
            <w:pPr>
              <w:spacing w:after="0"/>
              <w:rPr>
                <w:sz w:val="21"/>
                <w:szCs w:val="21"/>
                <w:color w:val="auto"/>
              </w:rPr>
            </w:pPr>
          </w:p>
        </w:tc>
        <w:tc>
          <w:tcPr>
            <w:tcW w:w="264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D1D2D4"/>
            </w:tcBorders>
            <w:shd w:val="clear" w:color="auto" w:fill="D1D2D4"/>
          </w:tcPr>
          <w:p>
            <w:pPr>
              <w:spacing w:after="0"/>
              <w:rPr>
                <w:sz w:val="21"/>
                <w:szCs w:val="21"/>
                <w:color w:val="auto"/>
              </w:rPr>
            </w:pPr>
          </w:p>
        </w:tc>
        <w:tc>
          <w:tcPr>
            <w:tcW w:w="2380" w:type="dxa"/>
            <w:vAlign w:val="bottom"/>
            <w:tcBorders>
              <w:bottom w:val="single" w:sz="8" w:color="D1D2D4"/>
            </w:tcBorders>
            <w:gridSpan w:val="2"/>
            <w:shd w:val="clear" w:color="auto" w:fill="D1D2D4"/>
          </w:tcPr>
          <w:p>
            <w:pPr>
              <w:spacing w:after="0"/>
              <w:rPr>
                <w:sz w:val="21"/>
                <w:szCs w:val="21"/>
                <w:color w:val="auto"/>
              </w:rPr>
            </w:pPr>
          </w:p>
        </w:tc>
        <w:tc>
          <w:tcPr>
            <w:tcW w:w="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3640" w:type="dxa"/>
            <w:vAlign w:val="bottom"/>
            <w:tcBorders>
              <w:top w:val="single" w:sz="8" w:color="D1D2D4"/>
            </w:tcBorders>
          </w:tcPr>
          <w:p>
            <w:pPr>
              <w:spacing w:after="0" w:line="20" w:lineRule="exact"/>
              <w:rPr>
                <w:sz w:val="1"/>
                <w:szCs w:val="1"/>
                <w:color w:val="auto"/>
              </w:rPr>
            </w:pPr>
          </w:p>
        </w:tc>
        <w:tc>
          <w:tcPr>
            <w:tcW w:w="26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22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2140" w:type="dxa"/>
            <w:vAlign w:val="bottom"/>
            <w:tcBorders>
              <w:top w:val="single" w:sz="8" w:color="D1D2D4"/>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and non-GAAP earnings (loss) per share based on approximately 1.09 billion diluted shares.</w:t>
      </w:r>
    </w:p>
    <w:p>
      <w:pPr>
        <w:spacing w:after="0" w:line="2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2022-12-21T15:03:42Z</dcterms:created>
  <dcterms:modified xsi:type="dcterms:W3CDTF">2022-12-21T15:03:42Z</dcterms:modified>
</cp:coreProperties>
</file>