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1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40" w:type="dxa"/>
            <w:vAlign w:val="bottom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-646430</wp:posOffset>
            </wp:positionV>
            <wp:extent cx="59055" cy="6597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4077335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-1531620</wp:posOffset>
            </wp:positionH>
            <wp:positionV relativeFrom="paragraph">
              <wp:posOffset>27305</wp:posOffset>
            </wp:positionV>
            <wp:extent cx="6989445" cy="52463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46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20" w:space="280"/>
            <w:col w:w="868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Bokan Michael 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8000 S. FEDERAL WAY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01/15/2024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SVP, Worldwide Sales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01/15/2024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1,223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82.39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169,246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17,201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Withholding of common stock shares to satisfy tax withholding obligations in connection with the vesting of previously granted awards.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in a Trust for the benefit of the reporting person and his family, with the reporting person as a co-trustee with his spouse.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Mai Lan Bui, Attorney-in-fact 01/17/2024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8973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1" Type="http://schemas.openxmlformats.org/officeDocument/2006/relationships/hyperlink" Target="http://www.sec.gov/cgi-bin/browse-edgar?action=getcompany&amp;CIK=0001754666" TargetMode="External"/><Relationship Id="rId12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2024-01-17T18:11:29Z</dcterms:created>
  <dcterms:modified xsi:type="dcterms:W3CDTF">2024-01-17T18:11:29Z</dcterms:modified>
</cp:coreProperties>
</file>