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7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831,656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828,556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827,256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825,956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822,756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821,456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817,356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816,309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1,553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811,956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700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14.595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3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Sales pursuant to 10b5-1 Trading Plan entered into on April 18, 2013.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highlight w:val="white"/>
              </w:rPr>
              <w:t>Robert Case, Attorney-in-fact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07/02/2013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0" w:type="dxa"/>
            <w:vAlign w:val="bottom"/>
            <w:gridSpan w:val="4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4"/>
          <w:szCs w:val="14"/>
          <w:color w:val="auto"/>
        </w:rPr>
        <w:t>.</w:t>
      </w:r>
    </w:p>
    <w:p>
      <w:pPr>
        <w:ind w:left="758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or</w:t>
      </w:r>
    </w:p>
    <w:p>
      <w:pPr>
        <w:ind w:left="7580" w:right="1060" w:hanging="753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460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</w:tr>
      <w:tr>
        <w:trPr>
          <w:trHeight w:val="45"/>
        </w:trPr>
        <w:tc>
          <w:tcPr>
            <w:tcW w:w="4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2019-12-16T03:45:14Z</dcterms:created>
  <dcterms:modified xsi:type="dcterms:W3CDTF">2019-12-16T03:45:14Z</dcterms:modified>
</cp:coreProperties>
</file>