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20,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9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On March 20, 2019, we announced the financial results for our second quarter of fiscal year 2019 ended February 28, 2019. The full text of the press release issued in connection with the announcement is attached as Exhibit 99.1 to this Current Report on Form 8-K.</w:t>
      </w:r>
    </w:p>
    <w:p>
      <w:pPr>
        <w:spacing w:after="0" w:line="251" w:lineRule="exact"/>
        <w:rPr>
          <w:sz w:val="20"/>
          <w:szCs w:val="20"/>
          <w:color w:val="auto"/>
        </w:rPr>
      </w:pPr>
    </w:p>
    <w:p>
      <w:pPr>
        <w:jc w:val="both"/>
        <w:ind w:right="160" w:firstLine="324"/>
        <w:spacing w:after="0" w:line="279" w:lineRule="auto"/>
        <w:rPr>
          <w:sz w:val="20"/>
          <w:szCs w:val="20"/>
          <w:color w:val="auto"/>
        </w:rPr>
      </w:pPr>
      <w:r>
        <w:rPr>
          <w:rFonts w:ascii="Arial" w:cs="Arial" w:eastAsia="Arial" w:hAnsi="Arial"/>
          <w:sz w:val="17"/>
          <w:szCs w:val="17"/>
          <w:color w:val="auto"/>
        </w:rPr>
        <w:t>The information in Item 2.02 of this Current Report on Form 8-K shall not be deemed "filed" for the purposes of Section 18 of the Securities Exchange Act of 1934, as amended (the "Exchange Act"), or otherwise subject to the liabilities of that section. The information in Item 2.02 of this Current Report on Form 8-K shall not be incorporated by reference into any filing or other document pursuant to the Securities Act of 1933, as amended (the "Securities Act"), or the Exchange Act, except as shall be expressly set forth by specific reference in such filing or document.</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400" w:type="dxa"/>
            <w:vAlign w:val="bottom"/>
            <w:gridSpan w:val="5"/>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400" w:type="dxa"/>
            <w:vAlign w:val="bottom"/>
            <w:gridSpan w:val="5"/>
          </w:tcPr>
          <w:p>
            <w:pPr>
              <w:ind w:left="120"/>
              <w:spacing w:after="0"/>
              <w:rPr>
                <w:sz w:val="20"/>
                <w:szCs w:val="20"/>
                <w:color w:val="auto"/>
              </w:rPr>
            </w:pPr>
            <w:r>
              <w:rPr>
                <w:rFonts w:ascii="Arial" w:cs="Arial" w:eastAsia="Arial" w:hAnsi="Arial"/>
                <w:sz w:val="18"/>
                <w:szCs w:val="18"/>
                <w:color w:val="auto"/>
              </w:rPr>
              <w:t>(d) Exhibits.</w:t>
            </w:r>
          </w:p>
        </w:tc>
      </w:tr>
      <w:tr>
        <w:trPr>
          <w:trHeight w:val="837"/>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r>
      <w:tr>
        <w:trPr>
          <w:trHeight w:val="196"/>
        </w:trPr>
        <w:tc>
          <w:tcPr>
            <w:tcW w:w="1020" w:type="dxa"/>
            <w:vAlign w:val="bottom"/>
          </w:tcPr>
          <w:p>
            <w:pPr>
              <w:jc w:val="right"/>
              <w:ind w:right="70"/>
              <w:spacing w:after="0" w:line="196" w:lineRule="exact"/>
              <w:rPr>
                <w:sz w:val="20"/>
                <w:szCs w:val="20"/>
                <w:color w:val="auto"/>
              </w:rPr>
            </w:pPr>
            <w:r>
              <w:rPr>
                <w:rFonts w:ascii="Arial" w:cs="Arial" w:eastAsia="Arial" w:hAnsi="Arial"/>
                <w:sz w:val="18"/>
                <w:szCs w:val="18"/>
                <w:color w:val="auto"/>
              </w:rPr>
              <w:t>99.1</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tcBorders>
              <w:bottom w:val="single" w:sz="8" w:color="0000FF"/>
            </w:tcBorders>
          </w:tcPr>
          <w:p>
            <w:pPr>
              <w:spacing w:after="0" w:line="196" w:lineRule="exact"/>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issued on March 20, 2019</w:t>
              </w:r>
            </w:hyperlink>
          </w:p>
        </w:tc>
        <w:tc>
          <w:tcPr>
            <w:tcW w:w="6880" w:type="dxa"/>
            <w:vAlign w:val="bottom"/>
          </w:tcPr>
          <w:p>
            <w:pPr>
              <w:spacing w:after="0"/>
              <w:rPr>
                <w:sz w:val="17"/>
                <w:szCs w:val="17"/>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100" w:type="dxa"/>
            <w:vAlign w:val="bottom"/>
            <w:gridSpan w:val="2"/>
          </w:tcPr>
          <w:p>
            <w:pPr>
              <w:ind w:left="182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180"/>
              <w:spacing w:after="0"/>
              <w:rPr>
                <w:sz w:val="20"/>
                <w:szCs w:val="20"/>
                <w:color w:val="auto"/>
              </w:rPr>
            </w:pPr>
            <w:r>
              <w:rPr>
                <w:rFonts w:ascii="Arial" w:cs="Arial" w:eastAsia="Arial" w:hAnsi="Arial"/>
                <w:sz w:val="18"/>
                <w:szCs w:val="18"/>
                <w:color w:val="auto"/>
              </w:rPr>
              <w:t>March 20, 2019</w:t>
            </w:r>
          </w:p>
        </w:tc>
        <w:tc>
          <w:tcPr>
            <w:tcW w:w="2760" w:type="dxa"/>
            <w:vAlign w:val="bottom"/>
          </w:tcPr>
          <w:p>
            <w:pPr>
              <w:ind w:left="182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760" w:type="dxa"/>
            <w:vAlign w:val="bottom"/>
            <w:vMerge w:val="restart"/>
          </w:tcPr>
          <w:p>
            <w:pPr>
              <w:ind w:left="182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6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760" w:type="dxa"/>
            <w:vAlign w:val="bottom"/>
          </w:tcPr>
          <w:p>
            <w:pPr>
              <w:ind w:left="182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0860"/>
          </w:cols>
          <w:pgMar w:left="240" w:top="796"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700" w:type="dxa"/>
            <w:vAlign w:val="bottom"/>
            <w:gridSpan w:val="3"/>
          </w:tcPr>
          <w:p>
            <w:pPr>
              <w:spacing w:after="0"/>
              <w:rPr>
                <w:sz w:val="20"/>
                <w:szCs w:val="20"/>
                <w:color w:val="auto"/>
              </w:rPr>
            </w:pPr>
            <w:r>
              <w:rPr>
                <w:rFonts w:ascii="Arial" w:cs="Arial" w:eastAsia="Arial" w:hAnsi="Arial"/>
                <w:sz w:val="22"/>
                <w:szCs w:val="22"/>
                <w:b w:val="1"/>
                <w:bCs w:val="1"/>
                <w:color w:val="auto"/>
              </w:rPr>
              <w:t>FOR IMMEDIATE RELEASE</w:t>
            </w: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638"/>
        </w:trPr>
        <w:tc>
          <w:tcPr>
            <w:tcW w:w="3700" w:type="dxa"/>
            <w:vAlign w:val="bottom"/>
            <w:gridSpan w:val="3"/>
          </w:tcPr>
          <w:p>
            <w:pPr>
              <w:ind w:left="40"/>
              <w:spacing w:after="0"/>
              <w:rPr>
                <w:sz w:val="20"/>
                <w:szCs w:val="20"/>
                <w:color w:val="auto"/>
              </w:rPr>
            </w:pPr>
            <w:r>
              <w:rPr>
                <w:rFonts w:ascii="Arial" w:cs="Arial" w:eastAsia="Arial" w:hAnsi="Arial"/>
                <w:sz w:val="22"/>
                <w:szCs w:val="22"/>
                <w:color w:val="auto"/>
                <w:w w:val="87"/>
              </w:rPr>
              <w:t>Contacts:Farhan Ahmad</w:t>
            </w:r>
          </w:p>
        </w:tc>
        <w:tc>
          <w:tcPr>
            <w:tcW w:w="2280" w:type="dxa"/>
            <w:vAlign w:val="bottom"/>
            <w:gridSpan w:val="3"/>
          </w:tcPr>
          <w:p>
            <w:pPr>
              <w:ind w:left="100"/>
              <w:spacing w:after="0"/>
              <w:rPr>
                <w:sz w:val="20"/>
                <w:szCs w:val="20"/>
                <w:color w:val="auto"/>
              </w:rPr>
            </w:pPr>
            <w:r>
              <w:rPr>
                <w:rFonts w:ascii="Arial" w:cs="Arial" w:eastAsia="Arial" w:hAnsi="Arial"/>
                <w:sz w:val="22"/>
                <w:szCs w:val="22"/>
                <w:color w:val="auto"/>
                <w:w w:val="88"/>
              </w:rPr>
              <w:t>Erica Rodriguez Pompen</w:t>
            </w:r>
          </w:p>
        </w:tc>
      </w:tr>
      <w:tr>
        <w:trPr>
          <w:trHeight w:val="297"/>
        </w:trPr>
        <w:tc>
          <w:tcPr>
            <w:tcW w:w="126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rPr>
              <w:t>Investor Relations</w:t>
            </w:r>
          </w:p>
        </w:tc>
        <w:tc>
          <w:tcPr>
            <w:tcW w:w="2280" w:type="dxa"/>
            <w:vAlign w:val="bottom"/>
            <w:gridSpan w:val="3"/>
          </w:tcPr>
          <w:p>
            <w:pPr>
              <w:ind w:left="100"/>
              <w:spacing w:after="0"/>
              <w:rPr>
                <w:sz w:val="20"/>
                <w:szCs w:val="20"/>
                <w:color w:val="auto"/>
              </w:rPr>
            </w:pPr>
            <w:r>
              <w:rPr>
                <w:rFonts w:ascii="Arial" w:cs="Arial" w:eastAsia="Arial" w:hAnsi="Arial"/>
                <w:sz w:val="22"/>
                <w:szCs w:val="22"/>
                <w:color w:val="auto"/>
              </w:rPr>
              <w:t>Media Relations</w:t>
            </w:r>
          </w:p>
        </w:tc>
      </w:tr>
      <w:tr>
        <w:trPr>
          <w:trHeight w:val="247"/>
        </w:trPr>
        <w:tc>
          <w:tcPr>
            <w:tcW w:w="1260" w:type="dxa"/>
            <w:vAlign w:val="bottom"/>
          </w:tcPr>
          <w:p>
            <w:pPr>
              <w:spacing w:after="0"/>
              <w:rPr>
                <w:sz w:val="21"/>
                <w:szCs w:val="21"/>
                <w:color w:val="auto"/>
              </w:rPr>
            </w:pPr>
          </w:p>
        </w:tc>
        <w:tc>
          <w:tcPr>
            <w:tcW w:w="236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8"/>
              </w:rPr>
              <w:t>farhanahmad@micron.com</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8"/>
              </w:rPr>
              <w:t>epompen@micron.com</w:t>
            </w:r>
          </w:p>
        </w:tc>
        <w:tc>
          <w:tcPr>
            <w:tcW w:w="140" w:type="dxa"/>
            <w:vAlign w:val="bottom"/>
          </w:tcPr>
          <w:p>
            <w:pPr>
              <w:spacing w:after="0"/>
              <w:rPr>
                <w:sz w:val="21"/>
                <w:szCs w:val="21"/>
                <w:color w:val="auto"/>
              </w:rPr>
            </w:pPr>
          </w:p>
        </w:tc>
      </w:tr>
      <w:tr>
        <w:trPr>
          <w:trHeight w:val="328"/>
        </w:trPr>
        <w:tc>
          <w:tcPr>
            <w:tcW w:w="3620" w:type="dxa"/>
            <w:vAlign w:val="bottom"/>
            <w:gridSpan w:val="2"/>
          </w:tcPr>
          <w:p>
            <w:pPr>
              <w:ind w:left="1260"/>
              <w:spacing w:after="0"/>
              <w:rPr>
                <w:sz w:val="20"/>
                <w:szCs w:val="20"/>
                <w:color w:val="auto"/>
              </w:rPr>
            </w:pPr>
            <w:r>
              <w:rPr>
                <w:rFonts w:ascii="Arial" w:cs="Arial" w:eastAsia="Arial" w:hAnsi="Arial"/>
                <w:sz w:val="22"/>
                <w:szCs w:val="22"/>
                <w:color w:val="auto"/>
              </w:rPr>
              <w:t>(408) 834-1927</w:t>
            </w:r>
          </w:p>
        </w:tc>
        <w:tc>
          <w:tcPr>
            <w:tcW w:w="80" w:type="dxa"/>
            <w:vAlign w:val="bottom"/>
          </w:tcPr>
          <w:p>
            <w:pPr>
              <w:spacing w:after="0"/>
              <w:rPr>
                <w:sz w:val="24"/>
                <w:szCs w:val="24"/>
                <w:color w:val="auto"/>
              </w:rPr>
            </w:pPr>
          </w:p>
        </w:tc>
        <w:tc>
          <w:tcPr>
            <w:tcW w:w="2140" w:type="dxa"/>
            <w:vAlign w:val="bottom"/>
            <w:gridSpan w:val="2"/>
          </w:tcPr>
          <w:p>
            <w:pPr>
              <w:ind w:left="100"/>
              <w:spacing w:after="0"/>
              <w:rPr>
                <w:sz w:val="20"/>
                <w:szCs w:val="20"/>
                <w:color w:val="auto"/>
              </w:rPr>
            </w:pPr>
            <w:r>
              <w:rPr>
                <w:rFonts w:ascii="Arial" w:cs="Arial" w:eastAsia="Arial" w:hAnsi="Arial"/>
                <w:sz w:val="22"/>
                <w:szCs w:val="22"/>
                <w:color w:val="auto"/>
              </w:rPr>
              <w:t>(408) 834-1873</w:t>
            </w:r>
          </w:p>
        </w:tc>
        <w:tc>
          <w:tcPr>
            <w:tcW w:w="140" w:type="dxa"/>
            <w:vAlign w:val="bottom"/>
          </w:tcPr>
          <w:p>
            <w:pPr>
              <w:spacing w:after="0"/>
              <w:rPr>
                <w:sz w:val="24"/>
                <w:szCs w:val="24"/>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SECOND QUARTER OF FISCAL 2019</w:t>
      </w:r>
    </w:p>
    <w:p>
      <w:pPr>
        <w:spacing w:after="0" w:line="242" w:lineRule="exact"/>
        <w:rPr>
          <w:sz w:val="20"/>
          <w:szCs w:val="20"/>
          <w:color w:val="auto"/>
        </w:rPr>
      </w:pPr>
    </w:p>
    <w:p>
      <w:pPr>
        <w:jc w:val="center"/>
        <w:ind w:left="340"/>
        <w:spacing w:after="0"/>
        <w:rPr>
          <w:sz w:val="20"/>
          <w:szCs w:val="20"/>
          <w:color w:val="auto"/>
        </w:rPr>
      </w:pPr>
      <w:r>
        <w:rPr>
          <w:rFonts w:ascii="Arial" w:cs="Arial" w:eastAsia="Arial" w:hAnsi="Arial"/>
          <w:sz w:val="22"/>
          <w:szCs w:val="22"/>
          <w:i w:val="1"/>
          <w:iCs w:val="1"/>
          <w:color w:val="auto"/>
        </w:rPr>
        <w:t>Strong execution drives healthy profitability and cash flow</w:t>
      </w:r>
    </w:p>
    <w:p>
      <w:pPr>
        <w:spacing w:after="0" w:line="254" w:lineRule="exact"/>
        <w:rPr>
          <w:sz w:val="20"/>
          <w:szCs w:val="20"/>
          <w:color w:val="auto"/>
        </w:rPr>
      </w:pPr>
    </w:p>
    <w:p>
      <w:pPr>
        <w:ind w:right="320" w:firstLine="324"/>
        <w:spacing w:after="0" w:line="269" w:lineRule="auto"/>
        <w:rPr>
          <w:sz w:val="20"/>
          <w:szCs w:val="20"/>
          <w:color w:val="auto"/>
        </w:rPr>
      </w:pPr>
      <w:r>
        <w:rPr>
          <w:rFonts w:ascii="Arial" w:cs="Arial" w:eastAsia="Arial" w:hAnsi="Arial"/>
          <w:sz w:val="22"/>
          <w:szCs w:val="22"/>
          <w:b w:val="1"/>
          <w:bCs w:val="1"/>
          <w:color w:val="auto"/>
        </w:rPr>
        <w:t xml:space="preserve">BOISE, Idaho, </w:t>
      </w:r>
      <w:r>
        <w:rPr>
          <w:rFonts w:ascii="Arial" w:cs="Arial" w:eastAsia="Arial" w:hAnsi="Arial"/>
          <w:sz w:val="22"/>
          <w:szCs w:val="22"/>
          <w:color w:val="auto"/>
        </w:rPr>
        <w:t>March 20, 2019 – Micron Technology, Inc. (Nasdaq: MU), today announced results for its second quarter of</w:t>
      </w:r>
      <w:r>
        <w:rPr>
          <w:rFonts w:ascii="Arial" w:cs="Arial" w:eastAsia="Arial" w:hAnsi="Arial"/>
          <w:sz w:val="22"/>
          <w:szCs w:val="22"/>
          <w:b w:val="1"/>
          <w:bCs w:val="1"/>
          <w:color w:val="auto"/>
        </w:rPr>
        <w:t xml:space="preserve"> </w:t>
      </w:r>
      <w:r>
        <w:rPr>
          <w:rFonts w:ascii="Arial" w:cs="Arial" w:eastAsia="Arial" w:hAnsi="Arial"/>
          <w:sz w:val="22"/>
          <w:szCs w:val="22"/>
          <w:color w:val="auto"/>
        </w:rPr>
        <w:t>fiscal 2019, which ended Feb. 28, 2019.</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Fiscal Q2 2019 Highlights</w:t>
      </w:r>
    </w:p>
    <w:p>
      <w:pPr>
        <w:spacing w:after="0" w:line="28" w:lineRule="exact"/>
        <w:rPr>
          <w:sz w:val="20"/>
          <w:szCs w:val="20"/>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Revenue of $5.84 billion, versus $7.35 billion for the same period last year</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GAAP net income of $1.62 billion, or $1.42 per diluted share</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net income of $1.97 billion, or $1.71 per diluted share</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Operating cash flow of $3.44 billion versus $4.35 billion for the same period last year</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Share repurchases of $702 million under the authorized buyback program</w:t>
      </w:r>
    </w:p>
    <w:p>
      <w:pPr>
        <w:spacing w:after="0" w:line="242" w:lineRule="exact"/>
        <w:rPr>
          <w:sz w:val="20"/>
          <w:szCs w:val="20"/>
          <w:color w:val="auto"/>
        </w:rPr>
      </w:pPr>
    </w:p>
    <w:p>
      <w:pPr>
        <w:ind w:right="240" w:firstLine="324"/>
        <w:spacing w:after="0" w:line="250" w:lineRule="auto"/>
        <w:rPr>
          <w:sz w:val="20"/>
          <w:szCs w:val="20"/>
          <w:color w:val="auto"/>
        </w:rPr>
      </w:pPr>
      <w:r>
        <w:rPr>
          <w:rFonts w:ascii="Arial" w:cs="Arial" w:eastAsia="Arial" w:hAnsi="Arial"/>
          <w:sz w:val="22"/>
          <w:szCs w:val="22"/>
          <w:color w:val="auto"/>
        </w:rPr>
        <w:t>"Micron continues to execute well across a range of product, operational and financial initiatives against the backdrop of a challenging market environment," said Micron Technology President and CEO Sanjay Mehrotra. "These initiatives and our focus on high-value solutions, cost competitiveness and innovation will enable us to emerge even stronger as the market environment improves."</w:t>
      </w:r>
    </w:p>
    <w:p>
      <w:pPr>
        <w:spacing w:after="0" w:line="372" w:lineRule="exact"/>
        <w:rPr>
          <w:sz w:val="20"/>
          <w:szCs w:val="20"/>
          <w:color w:val="auto"/>
        </w:rPr>
      </w:pPr>
    </w:p>
    <w:p>
      <w:pPr>
        <w:ind w:left="1360"/>
        <w:spacing w:after="0"/>
        <w:rPr>
          <w:sz w:val="20"/>
          <w:szCs w:val="20"/>
          <w:color w:val="auto"/>
        </w:rPr>
      </w:pPr>
      <w:r>
        <w:rPr>
          <w:rFonts w:ascii="Arial" w:cs="Arial" w:eastAsia="Arial" w:hAnsi="Arial"/>
          <w:sz w:val="22"/>
          <w:szCs w:val="22"/>
          <w:b w:val="1"/>
          <w:bCs w:val="1"/>
          <w:color w:val="auto"/>
        </w:rPr>
        <w:t>Quarterly Financial Results</w:t>
      </w:r>
    </w:p>
    <w:p>
      <w:pPr>
        <w:spacing w:after="0" w:line="28" w:lineRule="exact"/>
        <w:rPr>
          <w:sz w:val="20"/>
          <w:szCs w:val="20"/>
          <w:color w:val="auto"/>
        </w:rPr>
      </w:pPr>
    </w:p>
    <w:tbl>
      <w:tblPr>
        <w:tblLayout w:type="fixed"/>
        <w:tblInd w:w="1350" w:type="dxa"/>
        <w:tblCellMar>
          <w:top w:w="0" w:type="dxa"/>
          <w:left w:w="0" w:type="dxa"/>
          <w:bottom w:w="0" w:type="dxa"/>
          <w:right w:w="0" w:type="dxa"/>
        </w:tblCellMar>
      </w:tblPr>
      <w:tr>
        <w:trPr>
          <w:trHeight w:val="281"/>
        </w:trPr>
        <w:tc>
          <w:tcPr>
            <w:tcW w:w="3040" w:type="dxa"/>
            <w:vAlign w:val="bottom"/>
            <w:tcBorders>
              <w:top w:val="single" w:sz="8" w:color="auto"/>
              <w:left w:val="single" w:sz="8" w:color="auto"/>
              <w:right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center"/>
              <w:ind w:right="30"/>
              <w:spacing w:after="0" w:line="281" w:lineRule="exact"/>
              <w:rPr>
                <w:sz w:val="20"/>
                <w:szCs w:val="20"/>
                <w:color w:val="auto"/>
              </w:rPr>
            </w:pPr>
            <w:r>
              <w:rPr>
                <w:rFonts w:ascii="Arial" w:cs="Arial" w:eastAsia="Arial" w:hAnsi="Arial"/>
                <w:sz w:val="18"/>
                <w:szCs w:val="18"/>
                <w:b w:val="1"/>
                <w:bCs w:val="1"/>
                <w:color w:val="auto"/>
                <w:w w:val="90"/>
              </w:rPr>
              <w:t xml:space="preserve">GAAP </w:t>
            </w:r>
            <w:r>
              <w:rPr>
                <w:rFonts w:ascii="Arial" w:cs="Arial" w:eastAsia="Arial" w:hAnsi="Arial"/>
                <w:sz w:val="25"/>
                <w:szCs w:val="25"/>
                <w:b w:val="1"/>
                <w:bCs w:val="1"/>
                <w:color w:val="auto"/>
                <w:w w:val="90"/>
                <w:vertAlign w:val="superscript"/>
              </w:rPr>
              <w:t>(1)</w:t>
            </w:r>
          </w:p>
        </w:tc>
        <w:tc>
          <w:tcPr>
            <w:tcW w:w="1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right w:val="single" w:sz="8" w:color="auto"/>
            </w:tcBorders>
          </w:tcPr>
          <w:p>
            <w:pPr>
              <w:spacing w:after="0"/>
              <w:rPr>
                <w:sz w:val="24"/>
                <w:szCs w:val="24"/>
                <w:color w:val="auto"/>
              </w:rPr>
            </w:pPr>
          </w:p>
        </w:tc>
        <w:tc>
          <w:tcPr>
            <w:tcW w:w="120" w:type="dxa"/>
            <w:vAlign w:val="bottom"/>
            <w:tcBorders>
              <w:top w:val="single" w:sz="8" w:color="auto"/>
              <w:bottom w:val="single" w:sz="8" w:color="auto"/>
              <w:right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gridSpan w:val="4"/>
          </w:tcPr>
          <w:p>
            <w:pPr>
              <w:jc w:val="center"/>
              <w:spacing w:after="0" w:line="281" w:lineRule="exact"/>
              <w:rPr>
                <w:sz w:val="20"/>
                <w:szCs w:val="20"/>
                <w:color w:val="auto"/>
              </w:rPr>
            </w:pPr>
            <w:r>
              <w:rPr>
                <w:rFonts w:ascii="Arial" w:cs="Arial" w:eastAsia="Arial" w:hAnsi="Arial"/>
                <w:sz w:val="18"/>
                <w:szCs w:val="18"/>
                <w:b w:val="1"/>
                <w:bCs w:val="1"/>
                <w:color w:val="auto"/>
                <w:w w:val="91"/>
              </w:rPr>
              <w:t xml:space="preserve">Non-GAAP </w:t>
            </w:r>
            <w:r>
              <w:rPr>
                <w:rFonts w:ascii="Arial" w:cs="Arial" w:eastAsia="Arial" w:hAnsi="Arial"/>
                <w:sz w:val="25"/>
                <w:szCs w:val="25"/>
                <w:b w:val="1"/>
                <w:bCs w:val="1"/>
                <w:color w:val="auto"/>
                <w:w w:val="91"/>
                <w:vertAlign w:val="superscript"/>
              </w:rPr>
              <w:t>(2)</w:t>
            </w:r>
          </w:p>
        </w:tc>
        <w:tc>
          <w:tcPr>
            <w:tcW w:w="80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w w:val="96"/>
              </w:rPr>
              <w:t>(in millions, except per share amounts)</w:t>
            </w:r>
          </w:p>
        </w:tc>
        <w:tc>
          <w:tcPr>
            <w:tcW w:w="140" w:type="dxa"/>
            <w:vAlign w:val="bottom"/>
          </w:tcPr>
          <w:p>
            <w:pPr>
              <w:spacing w:after="0"/>
              <w:rPr>
                <w:sz w:val="20"/>
                <w:szCs w:val="20"/>
                <w:color w:val="auto"/>
              </w:rPr>
            </w:pPr>
          </w:p>
        </w:tc>
        <w:tc>
          <w:tcPr>
            <w:tcW w:w="78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FQ2-19</w:t>
            </w:r>
          </w:p>
        </w:tc>
        <w:tc>
          <w:tcPr>
            <w:tcW w:w="120" w:type="dxa"/>
            <w:vAlign w:val="bottom"/>
          </w:tcPr>
          <w:p>
            <w:pPr>
              <w:spacing w:after="0"/>
              <w:rPr>
                <w:sz w:val="20"/>
                <w:szCs w:val="20"/>
                <w:color w:val="auto"/>
              </w:rPr>
            </w:pPr>
          </w:p>
        </w:tc>
        <w:tc>
          <w:tcPr>
            <w:tcW w:w="82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FQ1-19</w:t>
            </w:r>
          </w:p>
        </w:tc>
        <w:tc>
          <w:tcPr>
            <w:tcW w:w="140" w:type="dxa"/>
            <w:vAlign w:val="bottom"/>
          </w:tcPr>
          <w:p>
            <w:pPr>
              <w:spacing w:after="0"/>
              <w:rPr>
                <w:sz w:val="20"/>
                <w:szCs w:val="20"/>
                <w:color w:val="auto"/>
              </w:rPr>
            </w:pPr>
          </w:p>
        </w:tc>
        <w:tc>
          <w:tcPr>
            <w:tcW w:w="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FQ2-18</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8"/>
              </w:rPr>
              <w:t>FQ2-19</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FQ1-19</w:t>
            </w:r>
          </w:p>
        </w:tc>
        <w:tc>
          <w:tcPr>
            <w:tcW w:w="140" w:type="dxa"/>
            <w:vAlign w:val="bottom"/>
          </w:tcPr>
          <w:p>
            <w:pPr>
              <w:spacing w:after="0"/>
              <w:rPr>
                <w:sz w:val="20"/>
                <w:szCs w:val="20"/>
                <w:color w:val="auto"/>
              </w:rPr>
            </w:pP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8"/>
              </w:rPr>
              <w:t>FQ2-18</w:t>
            </w:r>
          </w:p>
        </w:tc>
      </w:tr>
      <w:tr>
        <w:trPr>
          <w:trHeight w:val="27"/>
        </w:trPr>
        <w:tc>
          <w:tcPr>
            <w:tcW w:w="30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69"/>
        </w:trPr>
        <w:tc>
          <w:tcPr>
            <w:tcW w:w="304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5,835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7,913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7,351</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7,913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7,351</w:t>
            </w:r>
          </w:p>
        </w:tc>
      </w:tr>
      <w:tr>
        <w:trPr>
          <w:trHeight w:val="237"/>
        </w:trPr>
        <w:tc>
          <w:tcPr>
            <w:tcW w:w="30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Gross margin</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2,864</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4,615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4,270</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2,928</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4,670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4,296</w:t>
            </w:r>
          </w:p>
        </w:tc>
      </w:tr>
      <w:tr>
        <w:trPr>
          <w:trHeight w:val="270"/>
        </w:trPr>
        <w:tc>
          <w:tcPr>
            <w:tcW w:w="3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40" w:type="dxa"/>
            <w:vAlign w:val="bottom"/>
          </w:tcPr>
          <w:p>
            <w:pPr>
              <w:spacing w:after="0"/>
              <w:rPr>
                <w:sz w:val="23"/>
                <w:szCs w:val="23"/>
                <w:color w:val="auto"/>
              </w:rPr>
            </w:pPr>
          </w:p>
        </w:tc>
        <w:tc>
          <w:tcPr>
            <w:tcW w:w="7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49.1%</w:t>
            </w:r>
          </w:p>
        </w:tc>
        <w:tc>
          <w:tcPr>
            <w:tcW w:w="120" w:type="dxa"/>
            <w:vAlign w:val="bottom"/>
          </w:tcPr>
          <w:p>
            <w:pPr>
              <w:spacing w:after="0"/>
              <w:rPr>
                <w:sz w:val="23"/>
                <w:szCs w:val="23"/>
                <w:color w:val="auto"/>
              </w:rPr>
            </w:pPr>
          </w:p>
        </w:tc>
        <w:tc>
          <w:tcPr>
            <w:tcW w:w="8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i w:val="1"/>
                <w:iCs w:val="1"/>
                <w:color w:val="auto"/>
                <w:w w:val="93"/>
              </w:rPr>
              <w:t>58.3%</w:t>
            </w:r>
          </w:p>
        </w:tc>
        <w:tc>
          <w:tcPr>
            <w:tcW w:w="140" w:type="dxa"/>
            <w:vAlign w:val="bottom"/>
          </w:tcPr>
          <w:p>
            <w:pPr>
              <w:spacing w:after="0"/>
              <w:rPr>
                <w:sz w:val="23"/>
                <w:szCs w:val="23"/>
                <w:color w:val="auto"/>
              </w:rPr>
            </w:pPr>
          </w:p>
        </w:tc>
        <w:tc>
          <w:tcPr>
            <w:tcW w:w="8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58.1%</w:t>
            </w:r>
          </w:p>
        </w:tc>
        <w:tc>
          <w:tcPr>
            <w:tcW w:w="12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i w:val="1"/>
                <w:iCs w:val="1"/>
                <w:color w:val="auto"/>
              </w:rPr>
              <w:t>50.2%</w:t>
            </w:r>
          </w:p>
        </w:tc>
        <w:tc>
          <w:tcPr>
            <w:tcW w:w="12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i w:val="1"/>
                <w:iCs w:val="1"/>
                <w:color w:val="auto"/>
                <w:w w:val="90"/>
              </w:rPr>
              <w:t>59.0%</w:t>
            </w:r>
          </w:p>
        </w:tc>
        <w:tc>
          <w:tcPr>
            <w:tcW w:w="140" w:type="dxa"/>
            <w:vAlign w:val="bottom"/>
          </w:tcPr>
          <w:p>
            <w:pPr>
              <w:spacing w:after="0"/>
              <w:rPr>
                <w:sz w:val="23"/>
                <w:szCs w:val="23"/>
                <w:color w:val="auto"/>
              </w:rPr>
            </w:pPr>
          </w:p>
        </w:tc>
        <w:tc>
          <w:tcPr>
            <w:tcW w:w="80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58.4%</w:t>
            </w:r>
          </w:p>
        </w:tc>
      </w:tr>
      <w:tr>
        <w:trPr>
          <w:trHeight w:val="27"/>
        </w:trPr>
        <w:tc>
          <w:tcPr>
            <w:tcW w:w="30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3,759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3,567</w:t>
            </w:r>
          </w:p>
        </w:tc>
        <w:tc>
          <w:tcPr>
            <w:tcW w:w="12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2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3,887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3,630</w:t>
            </w:r>
          </w:p>
        </w:tc>
      </w:tr>
      <w:tr>
        <w:trPr>
          <w:trHeight w:val="302"/>
        </w:trPr>
        <w:tc>
          <w:tcPr>
            <w:tcW w:w="304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33.5%</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i w:val="1"/>
                <w:iCs w:val="1"/>
                <w:color w:val="auto"/>
                <w:w w:val="93"/>
              </w:rPr>
              <w:t>47.5%</w:t>
            </w: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48.5%</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36.2%</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i w:val="1"/>
                <w:iCs w:val="1"/>
                <w:color w:val="auto"/>
                <w:w w:val="90"/>
              </w:rPr>
              <w:t>49.1%</w:t>
            </w: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49.4%</w:t>
            </w:r>
          </w:p>
        </w:tc>
      </w:tr>
      <w:tr>
        <w:trPr>
          <w:trHeight w:val="237"/>
        </w:trPr>
        <w:tc>
          <w:tcPr>
            <w:tcW w:w="30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 income attributable to Micron</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1,619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3,293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3,309</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3,508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3,495</w:t>
            </w:r>
          </w:p>
        </w:tc>
      </w:tr>
      <w:tr>
        <w:trPr>
          <w:trHeight w:val="270"/>
        </w:trPr>
        <w:tc>
          <w:tcPr>
            <w:tcW w:w="3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1.42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2.81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2.67</w:t>
            </w:r>
          </w:p>
        </w:tc>
        <w:tc>
          <w:tcPr>
            <w:tcW w:w="120" w:type="dxa"/>
            <w:vAlign w:val="bottom"/>
            <w:tcBorders>
              <w:right w:val="single" w:sz="8" w:color="auto"/>
            </w:tcBorders>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right w:val="single" w:sz="8" w:color="auto"/>
            </w:tcBorders>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2.97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2.82</w:t>
            </w:r>
          </w:p>
        </w:tc>
      </w:tr>
      <w:tr>
        <w:trPr>
          <w:trHeight w:val="27"/>
        </w:trPr>
        <w:tc>
          <w:tcPr>
            <w:tcW w:w="30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bl>
    <w:p>
      <w:pPr>
        <w:spacing w:after="0" w:line="249" w:lineRule="exact"/>
        <w:rPr>
          <w:sz w:val="20"/>
          <w:szCs w:val="20"/>
          <w:color w:val="auto"/>
        </w:rPr>
      </w:pPr>
    </w:p>
    <w:p>
      <w:pPr>
        <w:jc w:val="center"/>
        <w:ind w:right="240"/>
        <w:spacing w:after="0"/>
        <w:rPr>
          <w:sz w:val="20"/>
          <w:szCs w:val="20"/>
          <w:color w:val="auto"/>
        </w:rPr>
      </w:pPr>
      <w:r>
        <w:rPr>
          <w:rFonts w:ascii="Arial" w:cs="Arial" w:eastAsia="Arial" w:hAnsi="Arial"/>
          <w:sz w:val="19"/>
          <w:szCs w:val="19"/>
          <w:color w:val="auto"/>
        </w:rPr>
        <w:t>Investments in capital expenditures, net of amounts funded by partners, were $2.45 billion for the second quarter of 2019,</w:t>
      </w:r>
    </w:p>
    <w:p>
      <w:pPr>
        <w:spacing w:after="0" w:line="39" w:lineRule="exact"/>
        <w:rPr>
          <w:sz w:val="20"/>
          <w:szCs w:val="20"/>
          <w:color w:val="auto"/>
        </w:rPr>
      </w:pPr>
    </w:p>
    <w:p>
      <w:pPr>
        <w:ind w:right="100"/>
        <w:spacing w:after="0" w:line="274" w:lineRule="auto"/>
        <w:rPr>
          <w:sz w:val="20"/>
          <w:szCs w:val="20"/>
          <w:color w:val="auto"/>
        </w:rPr>
      </w:pPr>
      <w:r>
        <w:rPr>
          <w:rFonts w:ascii="Arial" w:cs="Arial" w:eastAsia="Arial" w:hAnsi="Arial"/>
          <w:sz w:val="19"/>
          <w:szCs w:val="19"/>
          <w:color w:val="auto"/>
        </w:rPr>
        <w:t>which resulted in adjusted free cash flow</w:t>
      </w:r>
      <w:r>
        <w:rPr>
          <w:rFonts w:ascii="Arial" w:cs="Arial" w:eastAsia="Arial" w:hAnsi="Arial"/>
          <w:sz w:val="25"/>
          <w:szCs w:val="25"/>
          <w:color w:val="auto"/>
          <w:vertAlign w:val="superscript"/>
        </w:rPr>
        <w:t>(3)</w:t>
      </w:r>
      <w:r>
        <w:rPr>
          <w:rFonts w:ascii="Arial" w:cs="Arial" w:eastAsia="Arial" w:hAnsi="Arial"/>
          <w:sz w:val="19"/>
          <w:szCs w:val="19"/>
          <w:color w:val="auto"/>
        </w:rPr>
        <w:t xml:space="preserve"> of $988 million. Micron repurchased an aggregate of 21 million shares of its common stock for $702 million during the quarter in connection with its $10 billion share repurchase authorization. The company ended the second quarter with cash, marketable investments, and restricted cash of $9.22 billion for a net cash</w:t>
      </w:r>
      <w:r>
        <w:rPr>
          <w:rFonts w:ascii="Arial" w:cs="Arial" w:eastAsia="Arial" w:hAnsi="Arial"/>
          <w:sz w:val="25"/>
          <w:szCs w:val="25"/>
          <w:color w:val="auto"/>
          <w:vertAlign w:val="superscript"/>
        </w:rPr>
        <w:t>(4)</w:t>
      </w:r>
      <w:r>
        <w:rPr>
          <w:rFonts w:ascii="Arial" w:cs="Arial" w:eastAsia="Arial" w:hAnsi="Arial"/>
          <w:sz w:val="19"/>
          <w:szCs w:val="19"/>
          <w:color w:val="auto"/>
        </w:rPr>
        <w:t xml:space="preserve"> position of $2.99 billion.</w:t>
      </w:r>
    </w:p>
    <w:p>
      <w:pPr>
        <w:sectPr>
          <w:pgSz w:w="11900" w:h="16838" w:orient="portrait"/>
          <w:cols w:equalWidth="0" w:num="1">
            <w:col w:w="11420"/>
          </w:cols>
          <w:pgMar w:left="240" w:top="625" w:right="239" w:bottom="1440" w:gutter="0" w:footer="0" w:header="0"/>
        </w:sectPr>
      </w:pPr>
    </w:p>
    <w:bookmarkStart w:id="4" w:name="page5"/>
    <w:bookmarkEnd w:id="4"/>
    <w:p>
      <w:pPr>
        <w:ind w:right="60" w:firstLine="324"/>
        <w:spacing w:after="0" w:line="247" w:lineRule="auto"/>
        <w:rPr>
          <w:sz w:val="20"/>
          <w:szCs w:val="20"/>
          <w:color w:val="auto"/>
        </w:rPr>
      </w:pPr>
      <w:r>
        <w:rPr>
          <w:rFonts w:ascii="Arial" w:cs="Arial" w:eastAsia="Arial" w:hAnsi="Arial"/>
          <w:sz w:val="22"/>
          <w:szCs w:val="22"/>
          <w:color w:val="auto"/>
        </w:rPr>
        <w:t xml:space="preserve">Micron will host a conference call on Wednesday, March 20, 2019 at 2:30 p.m. MT to discuss financial results and provide forward-looking guidance for its fiscal third quarter. The call, audio, and slides will be available online at </w:t>
      </w:r>
      <w:r>
        <w:rPr>
          <w:rFonts w:ascii="Arial" w:cs="Arial" w:eastAsia="Arial" w:hAnsi="Arial"/>
          <w:sz w:val="22"/>
          <w:szCs w:val="22"/>
          <w:u w:val="single" w:color="auto"/>
          <w:color w:val="006EBF"/>
        </w:rPr>
        <w:t>investors.micron.com</w:t>
      </w:r>
      <w:r>
        <w:rPr>
          <w:rFonts w:ascii="Arial" w:cs="Arial" w:eastAsia="Arial" w:hAnsi="Arial"/>
          <w:sz w:val="22"/>
          <w:szCs w:val="22"/>
          <w:color w:val="auto"/>
        </w:rPr>
        <w:t xml:space="preserve">. A webcast replay will be available on our website until March 20, 2020. A taped audio replay of the conference call will also be available at 1-404-537-3406 or 1-855-859-2056 (conference number: 7383577) beginning at 5:30 p.m. MT, March 20, 2019 and continuing through March 27, 2019. For Investor Relations and other company updates, follow @MicronTech on Twitter at </w:t>
      </w:r>
      <w:r>
        <w:rPr>
          <w:rFonts w:ascii="Arial" w:cs="Arial" w:eastAsia="Arial" w:hAnsi="Arial"/>
          <w:sz w:val="22"/>
          <w:szCs w:val="22"/>
          <w:u w:val="single" w:color="auto"/>
          <w:color w:val="006EBF"/>
        </w:rPr>
        <w:t>twitter.com/MicronTech</w:t>
      </w:r>
      <w:r>
        <w:rPr>
          <w:rFonts w:ascii="Arial" w:cs="Arial" w:eastAsia="Arial" w:hAnsi="Arial"/>
          <w:sz w:val="22"/>
          <w:szCs w:val="22"/>
          <w:color w:val="000000"/>
        </w:rPr>
        <w:t>.</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Micron Technology, Inc.</w:t>
      </w:r>
    </w:p>
    <w:p>
      <w:pPr>
        <w:spacing w:after="0" w:line="215" w:lineRule="exact"/>
        <w:rPr>
          <w:sz w:val="20"/>
          <w:szCs w:val="20"/>
          <w:color w:val="auto"/>
        </w:rPr>
      </w:pPr>
    </w:p>
    <w:p>
      <w:pPr>
        <w:ind w:firstLine="324"/>
        <w:spacing w:after="0" w:line="268" w:lineRule="auto"/>
        <w:rPr>
          <w:sz w:val="20"/>
          <w:szCs w:val="20"/>
          <w:color w:val="auto"/>
        </w:rPr>
      </w:pPr>
      <w:r>
        <w:rPr>
          <w:rFonts w:ascii="Arial" w:cs="Arial" w:eastAsia="Arial" w:hAnsi="Arial"/>
          <w:sz w:val="19"/>
          <w:szCs w:val="19"/>
          <w:color w:val="auto"/>
        </w:rPr>
        <w:t xml:space="preserve">We are an industry leader in innovative memory and storage solutions. Through our global brands </w:t>
      </w:r>
      <w:r>
        <w:rPr>
          <w:rFonts w:ascii="Arial" w:cs="Arial" w:eastAsia="Arial" w:hAnsi="Arial"/>
          <w:sz w:val="16"/>
          <w:szCs w:val="16"/>
          <w:color w:val="auto"/>
        </w:rPr>
        <w:t>–</w:t>
      </w:r>
      <w:r>
        <w:rPr>
          <w:rFonts w:ascii="Arial" w:cs="Arial" w:eastAsia="Arial" w:hAnsi="Arial"/>
          <w:sz w:val="19"/>
          <w:szCs w:val="19"/>
          <w:color w:val="auto"/>
        </w:rPr>
        <w:t xml:space="preserve"> Micron</w:t>
      </w:r>
      <w:r>
        <w:rPr>
          <w:rFonts w:ascii="Arial" w:cs="Arial" w:eastAsia="Arial" w:hAnsi="Arial"/>
          <w:sz w:val="25"/>
          <w:szCs w:val="25"/>
          <w:color w:val="auto"/>
          <w:vertAlign w:val="superscript"/>
        </w:rPr>
        <w:t>®</w:t>
      </w:r>
      <w:r>
        <w:rPr>
          <w:rFonts w:ascii="Arial" w:cs="Arial" w:eastAsia="Arial" w:hAnsi="Arial"/>
          <w:sz w:val="19"/>
          <w:szCs w:val="19"/>
          <w:color w:val="auto"/>
        </w:rPr>
        <w:t>, Crucial</w:t>
      </w:r>
      <w:r>
        <w:rPr>
          <w:rFonts w:ascii="Arial" w:cs="Arial" w:eastAsia="Arial" w:hAnsi="Arial"/>
          <w:sz w:val="25"/>
          <w:szCs w:val="25"/>
          <w:color w:val="auto"/>
          <w:vertAlign w:val="superscript"/>
        </w:rPr>
        <w:t>®</w:t>
      </w:r>
      <w:r>
        <w:rPr>
          <w:rFonts w:ascii="Arial" w:cs="Arial" w:eastAsia="Arial" w:hAnsi="Arial"/>
          <w:sz w:val="19"/>
          <w:szCs w:val="19"/>
          <w:color w:val="auto"/>
        </w:rPr>
        <w:t>, and Ballistix</w:t>
      </w:r>
      <w:r>
        <w:rPr>
          <w:rFonts w:ascii="Arial" w:cs="Arial" w:eastAsia="Arial" w:hAnsi="Arial"/>
          <w:sz w:val="25"/>
          <w:szCs w:val="25"/>
          <w:color w:val="auto"/>
          <w:vertAlign w:val="superscript"/>
        </w:rPr>
        <w:t>®</w:t>
      </w:r>
      <w:r>
        <w:rPr>
          <w:rFonts w:ascii="Arial" w:cs="Arial" w:eastAsia="Arial" w:hAnsi="Arial"/>
          <w:sz w:val="19"/>
          <w:szCs w:val="19"/>
          <w:color w:val="auto"/>
        </w:rPr>
        <w:t xml:space="preserve"> </w:t>
      </w:r>
      <w:r>
        <w:rPr>
          <w:rFonts w:ascii="Arial" w:cs="Arial" w:eastAsia="Arial" w:hAnsi="Arial"/>
          <w:sz w:val="16"/>
          <w:szCs w:val="16"/>
          <w:color w:val="auto"/>
        </w:rPr>
        <w:t>–</w:t>
      </w:r>
      <w:r>
        <w:rPr>
          <w:rFonts w:ascii="Arial" w:cs="Arial" w:eastAsia="Arial" w:hAnsi="Arial"/>
          <w:sz w:val="19"/>
          <w:szCs w:val="19"/>
          <w:color w:val="auto"/>
        </w:rPr>
        <w:t xml:space="preserve"> our broad portfolio of high-performance memory and storage technologies, including DRAM, NAND, NOR Flash, and 3D XPoint™ memory, is transforming how the world uses information to enrich life. Backed by 40 years of technology leadership, our memory and storage solutions enable disruptive trends, including artificial intelligence, machine learning, and autonomous vehicles, in key market segments like data center, networking, automotive, industrial, mobile, graphics, and client. Our common stock is traded on the Nasdaq under the MU symbol. To learn more about Micron Technology, Inc., visit </w:t>
      </w:r>
      <w:r>
        <w:rPr>
          <w:rFonts w:ascii="Arial" w:cs="Arial" w:eastAsia="Arial" w:hAnsi="Arial"/>
          <w:sz w:val="19"/>
          <w:szCs w:val="19"/>
          <w:u w:val="single" w:color="auto"/>
          <w:color w:val="006EBF"/>
        </w:rPr>
        <w:t>micron.com</w:t>
      </w:r>
      <w:r>
        <w:rPr>
          <w:rFonts w:ascii="Arial" w:cs="Arial" w:eastAsia="Arial" w:hAnsi="Arial"/>
          <w:sz w:val="19"/>
          <w:szCs w:val="19"/>
          <w:color w:val="auto"/>
        </w:rPr>
        <w:t>.</w:t>
      </w:r>
    </w:p>
    <w:p>
      <w:pPr>
        <w:spacing w:after="0" w:line="216" w:lineRule="exact"/>
        <w:rPr>
          <w:sz w:val="20"/>
          <w:szCs w:val="20"/>
          <w:color w:val="auto"/>
        </w:rPr>
      </w:pPr>
    </w:p>
    <w:p>
      <w:pPr>
        <w:ind w:right="140" w:firstLine="324"/>
        <w:spacing w:after="0" w:line="263" w:lineRule="auto"/>
        <w:rPr>
          <w:sz w:val="20"/>
          <w:szCs w:val="20"/>
          <w:color w:val="auto"/>
        </w:rPr>
      </w:pPr>
      <w:r>
        <w:rPr>
          <w:rFonts w:ascii="Arial" w:cs="Arial" w:eastAsia="Arial" w:hAnsi="Arial"/>
          <w:sz w:val="22"/>
          <w:szCs w:val="22"/>
          <w:i w:val="1"/>
          <w:iCs w:val="1"/>
          <w:color w:val="auto"/>
        </w:rPr>
        <w:t>The Micron logo and Micron symbol are trademarks of Micron Technology, Inc. All other trademarks are the property of their respective owners.</w:t>
      </w:r>
    </w:p>
    <w:p>
      <w:pPr>
        <w:spacing w:after="0" w:line="215" w:lineRule="exact"/>
        <w:rPr>
          <w:sz w:val="20"/>
          <w:szCs w:val="20"/>
          <w:color w:val="auto"/>
        </w:rPr>
      </w:pPr>
    </w:p>
    <w:p>
      <w:pPr>
        <w:ind w:right="100" w:firstLine="324"/>
        <w:spacing w:after="0" w:line="290" w:lineRule="auto"/>
        <w:rPr>
          <w:sz w:val="20"/>
          <w:szCs w:val="20"/>
          <w:color w:val="auto"/>
        </w:rPr>
      </w:pPr>
      <w:r>
        <w:rPr>
          <w:rFonts w:ascii="Arial" w:cs="Arial" w:eastAsia="Arial" w:hAnsi="Arial"/>
          <w:sz w:val="19"/>
          <w:szCs w:val="19"/>
          <w:i w:val="1"/>
          <w:iCs w:val="1"/>
          <w:color w:val="auto"/>
        </w:rPr>
        <w:t xml:space="preserve">This press release contains forward-looking statements regarding the industry and our strategic position and financial results. These forward-looking statements are subject to a number of risks and uncertainties that could cause actual results to differ materially. Please refer to the documents we file with the Securities and Exchange Commission, specifically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9"/>
          <w:szCs w:val="19"/>
          <w:i w:val="1"/>
          <w:iCs w:val="1"/>
          <w:u w:val="single" w:color="auto"/>
          <w:color w:val="006EBF"/>
        </w:rPr>
        <w:t>www.micron.com/certainfactors</w:t>
      </w:r>
      <w:r>
        <w:rPr>
          <w:rFonts w:ascii="Arial" w:cs="Arial" w:eastAsia="Arial" w:hAnsi="Arial"/>
          <w:sz w:val="19"/>
          <w:szCs w:val="19"/>
          <w:i w:val="1"/>
          <w:iCs w:val="1"/>
          <w:color w:val="000000"/>
        </w:rPr>
        <w:t>. Although we believe that the expectations reflected in the forward-looking statements are</w:t>
      </w:r>
      <w:r>
        <w:rPr>
          <w:rFonts w:ascii="Arial" w:cs="Arial" w:eastAsia="Arial" w:hAnsi="Arial"/>
          <w:sz w:val="19"/>
          <w:szCs w:val="19"/>
          <w:i w:val="1"/>
          <w:iCs w:val="1"/>
          <w:color w:val="006EBF"/>
        </w:rPr>
        <w:t xml:space="preserve"> </w:t>
      </w:r>
      <w:r>
        <w:rPr>
          <w:rFonts w:ascii="Arial" w:cs="Arial" w:eastAsia="Arial" w:hAnsi="Arial"/>
          <w:sz w:val="19"/>
          <w:szCs w:val="19"/>
          <w:i w:val="1"/>
          <w:iCs w:val="1"/>
          <w:color w:val="000000"/>
        </w:rPr>
        <w:t>reasonable, we cannot guarantee future results, levels of activity, performance, or achievements. We are under no duty to update any of the forward-looking statements after the date of this release to conform these statements to actual results.</w:t>
      </w:r>
    </w:p>
    <w:p>
      <w:pPr>
        <w:spacing w:after="0" w:line="161" w:lineRule="exact"/>
        <w:rPr>
          <w:sz w:val="20"/>
          <w:szCs w:val="20"/>
          <w:color w:val="auto"/>
        </w:rPr>
      </w:pPr>
    </w:p>
    <w:p>
      <w:pPr>
        <w:ind w:left="560" w:hanging="228"/>
        <w:spacing w:after="0"/>
        <w:tabs>
          <w:tab w:leader="none" w:pos="560" w:val="left"/>
        </w:tabs>
        <w:numPr>
          <w:ilvl w:val="0"/>
          <w:numId w:val="3"/>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GAAP represents U.S. Generally Accepted Accounting Principles.</w:t>
      </w:r>
    </w:p>
    <w:p>
      <w:pPr>
        <w:ind w:right="260" w:firstLine="332"/>
        <w:spacing w:after="0" w:line="258" w:lineRule="auto"/>
        <w:tabs>
          <w:tab w:leader="none" w:pos="546" w:val="left"/>
        </w:tabs>
        <w:numPr>
          <w:ilvl w:val="0"/>
          <w:numId w:val="3"/>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Non-GAAP represents GAAP excluding the impact of certain activities which our management excludes in analyzing our operating results and understanding trends in our earnings. Non-GAAP shares used in per share calculations also include the impact of our outstanding capped call transactions and the effect of stock-based compensation. For a reconciliation of GAAP to non-GAAP results, see the accompanying financial tables and footnotes.</w:t>
      </w:r>
    </w:p>
    <w:p>
      <w:pPr>
        <w:ind w:right="140" w:firstLine="332"/>
        <w:spacing w:after="0" w:line="238" w:lineRule="auto"/>
        <w:tabs>
          <w:tab w:leader="none" w:pos="546" w:val="left"/>
        </w:tabs>
        <w:numPr>
          <w:ilvl w:val="0"/>
          <w:numId w:val="3"/>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Adjusted free cash flow consists of cash provided by operating activities of $3.44 billion for the second quarter of 2019 less investments in capital expenditures, net of amounts funded by partners.</w:t>
      </w:r>
    </w:p>
    <w:p>
      <w:pPr>
        <w:ind w:left="560" w:hanging="228"/>
        <w:spacing w:after="0" w:line="198" w:lineRule="auto"/>
        <w:tabs>
          <w:tab w:leader="none" w:pos="560" w:val="left"/>
        </w:tabs>
        <w:numPr>
          <w:ilvl w:val="0"/>
          <w:numId w:val="3"/>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Net cash consists of cash, marketable investments, and restricted cash less current and long-term debt of $6.24 billion.</w:t>
      </w:r>
    </w:p>
    <w:p>
      <w:pPr>
        <w:sectPr>
          <w:pgSz w:w="11900" w:h="16838" w:orient="portrait"/>
          <w:cols w:equalWidth="0" w:num="1">
            <w:col w:w="11360"/>
          </w:cols>
          <w:pgMar w:left="240" w:top="631" w:right="299" w:bottom="1440" w:gutter="0" w:footer="0" w:header="0"/>
        </w:sectPr>
      </w:pPr>
    </w:p>
    <w:bookmarkStart w:id="5" w:name="page6"/>
    <w:bookmarkEnd w:id="5"/>
    <w:p>
      <w:pPr>
        <w:jc w:val="center"/>
        <w:ind w:left="340"/>
        <w:spacing w:after="0"/>
        <w:rPr>
          <w:sz w:val="20"/>
          <w:szCs w:val="20"/>
          <w:color w:val="auto"/>
        </w:rPr>
      </w:pPr>
      <w:r>
        <w:rPr>
          <w:rFonts w:ascii="Arial" w:cs="Arial" w:eastAsia="Arial" w:hAnsi="Arial"/>
          <w:sz w:val="22"/>
          <w:szCs w:val="22"/>
          <w:b w:val="1"/>
          <w:bCs w:val="1"/>
          <w:color w:val="auto"/>
        </w:rPr>
        <w:t>MICRON TECHNOLOGY, INC.</w:t>
      </w:r>
    </w:p>
    <w:p>
      <w:pPr>
        <w:spacing w:after="0" w:line="28"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CONSOLIDATED FINANCIAL SUMMARY</w:t>
      </w:r>
    </w:p>
    <w:p>
      <w:pPr>
        <w:spacing w:after="0" w:line="4"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(in millions except per share amounts)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ind w:left="28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25"/>
                <w:szCs w:val="25"/>
                <w:b w:val="1"/>
                <w:bCs w:val="1"/>
                <w:color w:val="auto"/>
                <w:vertAlign w:val="superscript"/>
              </w:rPr>
              <w:t>nd</w:t>
            </w:r>
            <w:r>
              <w:rPr>
                <w:rFonts w:ascii="Arial" w:cs="Arial" w:eastAsia="Arial" w:hAnsi="Arial"/>
                <w:sz w:val="18"/>
                <w:szCs w:val="18"/>
                <w:b w:val="1"/>
                <w:bCs w:val="1"/>
                <w:color w:val="auto"/>
              </w:rPr>
              <w:t xml:space="preserve"> Qtr.</w:t>
            </w:r>
          </w:p>
        </w:tc>
        <w:tc>
          <w:tcPr>
            <w:tcW w:w="140" w:type="dxa"/>
            <w:vAlign w:val="bottom"/>
          </w:tcPr>
          <w:p>
            <w:pPr>
              <w:spacing w:after="0"/>
              <w:rPr>
                <w:sz w:val="24"/>
                <w:szCs w:val="24"/>
                <w:color w:val="auto"/>
              </w:rPr>
            </w:pPr>
          </w:p>
        </w:tc>
        <w:tc>
          <w:tcPr>
            <w:tcW w:w="1440" w:type="dxa"/>
            <w:vAlign w:val="bottom"/>
            <w:gridSpan w:val="2"/>
          </w:tcPr>
          <w:p>
            <w:pPr>
              <w:ind w:left="320"/>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25"/>
                <w:szCs w:val="25"/>
                <w:b w:val="1"/>
                <w:bCs w:val="1"/>
                <w:color w:val="auto"/>
                <w:vertAlign w:val="superscript"/>
              </w:rPr>
              <w:t>st</w:t>
            </w:r>
            <w:r>
              <w:rPr>
                <w:rFonts w:ascii="Arial" w:cs="Arial" w:eastAsia="Arial" w:hAnsi="Arial"/>
                <w:sz w:val="18"/>
                <w:szCs w:val="18"/>
                <w:b w:val="1"/>
                <w:bCs w:val="1"/>
                <w:color w:val="auto"/>
              </w:rPr>
              <w:t xml:space="preserve"> Qtr.</w:t>
            </w:r>
          </w:p>
        </w:tc>
        <w:tc>
          <w:tcPr>
            <w:tcW w:w="24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25"/>
                <w:szCs w:val="25"/>
                <w:b w:val="1"/>
                <w:bCs w:val="1"/>
                <w:color w:val="auto"/>
                <w:vertAlign w:val="superscript"/>
              </w:rPr>
              <w:t>nd</w:t>
            </w:r>
            <w:r>
              <w:rPr>
                <w:rFonts w:ascii="Arial" w:cs="Arial" w:eastAsia="Arial" w:hAnsi="Arial"/>
                <w:sz w:val="18"/>
                <w:szCs w:val="18"/>
                <w:b w:val="1"/>
                <w:bCs w:val="1"/>
                <w:color w:val="auto"/>
              </w:rPr>
              <w:t xml:space="preserve"> Qtr.</w:t>
            </w:r>
          </w:p>
        </w:tc>
        <w:tc>
          <w:tcPr>
            <w:tcW w:w="180" w:type="dxa"/>
            <w:vAlign w:val="bottom"/>
          </w:tcPr>
          <w:p>
            <w:pPr>
              <w:spacing w:after="0"/>
              <w:rPr>
                <w:sz w:val="24"/>
                <w:szCs w:val="24"/>
                <w:color w:val="auto"/>
              </w:rPr>
            </w:pPr>
          </w:p>
        </w:tc>
        <w:tc>
          <w:tcPr>
            <w:tcW w:w="28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16"/>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28,</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29,</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1,</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28,</w:t>
            </w:r>
          </w:p>
        </w:tc>
        <w:tc>
          <w:tcPr>
            <w:tcW w:w="24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1,</w:t>
            </w:r>
          </w:p>
        </w:tc>
      </w:tr>
      <w:tr>
        <w:trPr>
          <w:trHeight w:val="234"/>
        </w:trPr>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5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Revenue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5,835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7,913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7,351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13,748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14,154</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2,971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6,137</w:t>
            </w:r>
          </w:p>
        </w:tc>
      </w:tr>
      <w:tr>
        <w:trPr>
          <w:trHeight w:val="27"/>
        </w:trPr>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8,017</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387</w:t>
            </w: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Other operating (income) expense, net</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6,664</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5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4"/>
              </w:rPr>
              <w:t xml:space="preserve">Other non-operating income (expense), net </w:t>
            </w:r>
            <w:r>
              <w:rPr>
                <w:rFonts w:ascii="Arial" w:cs="Arial" w:eastAsia="Arial" w:hAnsi="Arial"/>
                <w:sz w:val="25"/>
                <w:szCs w:val="25"/>
                <w:color w:val="auto"/>
                <w:w w:val="94"/>
                <w:vertAlign w:val="superscript"/>
              </w:rPr>
              <w:t>(2)</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70"/>
        </w:trPr>
        <w:tc>
          <w:tcPr>
            <w:tcW w:w="35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Income tax provision </w:t>
            </w:r>
            <w:r>
              <w:rPr>
                <w:rFonts w:ascii="Arial" w:cs="Arial" w:eastAsia="Arial" w:hAnsi="Arial"/>
                <w:sz w:val="25"/>
                <w:szCs w:val="25"/>
                <w:color w:val="auto"/>
                <w:vertAlign w:val="superscript"/>
              </w:rPr>
              <w:t>(3)</w:t>
            </w: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 net income of equity method</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investees</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56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5,987</w:t>
            </w:r>
          </w:p>
        </w:tc>
      </w:tr>
      <w:tr>
        <w:trPr>
          <w:trHeight w:val="20"/>
        </w:trPr>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84"/>
        </w:trPr>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5.23</w:t>
            </w: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r>
      <w:tr>
        <w:trPr>
          <w:trHeight w:val="297"/>
        </w:trPr>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shares used in per share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calculations</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1,145</w:t>
            </w: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1,232</w:t>
            </w:r>
          </w:p>
        </w:tc>
      </w:tr>
      <w:tr>
        <w:trPr>
          <w:trHeight w:val="27"/>
        </w:trPr>
        <w:tc>
          <w:tcPr>
            <w:tcW w:w="35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625"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CONSOLIDATED FINANCIAL SUMMARY, Continued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28,</w:t>
            </w:r>
          </w:p>
        </w:tc>
        <w:tc>
          <w:tcPr>
            <w:tcW w:w="16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29,</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30,</w:t>
            </w:r>
          </w:p>
        </w:tc>
      </w:t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short-term investments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6,802</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Receivables </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5,418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5,478</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3,595</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Total current assets </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16,550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15,039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16,039</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marketable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26,204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24,807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23,672</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47,487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44,595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43,376</w:t>
            </w:r>
          </w:p>
        </w:tc>
      </w:tr>
      <w:tr>
        <w:trPr>
          <w:trHeight w:val="297"/>
        </w:trPr>
        <w:tc>
          <w:tcPr>
            <w:tcW w:w="6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4,374</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Current debt </w:t>
            </w:r>
            <w:r>
              <w:rPr>
                <w:rFonts w:ascii="Arial" w:cs="Arial" w:eastAsia="Arial" w:hAnsi="Arial"/>
                <w:sz w:val="25"/>
                <w:szCs w:val="25"/>
                <w:color w:val="auto"/>
                <w:vertAlign w:val="superscript"/>
              </w:rPr>
              <w:t>(2)(4)</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7,361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5,189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5,754</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3,777</w:t>
            </w:r>
          </w:p>
        </w:tc>
      </w:tr>
      <w:tr>
        <w:trPr>
          <w:trHeight w:val="29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67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Total Micron shareholders' equity </w:t>
            </w:r>
            <w:r>
              <w:rPr>
                <w:rFonts w:ascii="Arial" w:cs="Arial" w:eastAsia="Arial" w:hAnsi="Arial"/>
                <w:sz w:val="25"/>
                <w:szCs w:val="25"/>
                <w:color w:val="auto"/>
                <w:vertAlign w:val="superscript"/>
              </w:rPr>
              <w:t>(1)(2)(5)</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34,567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33,869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32,294</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Noncontrolling interests in subsidiaries </w:t>
            </w:r>
            <w:r>
              <w:rPr>
                <w:rFonts w:ascii="Arial" w:cs="Arial" w:eastAsia="Arial" w:hAnsi="Arial"/>
                <w:sz w:val="25"/>
                <w:szCs w:val="25"/>
                <w:color w:val="auto"/>
                <w:vertAlign w:val="superscript"/>
              </w:rPr>
              <w:t>(4)</w:t>
            </w:r>
          </w:p>
        </w:tc>
        <w:tc>
          <w:tcPr>
            <w:tcW w:w="18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870</w:t>
            </w:r>
          </w:p>
        </w:tc>
      </w:tr>
      <w:tr>
        <w:trPr>
          <w:trHeight w:val="243"/>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34,739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33,164</w:t>
            </w:r>
          </w:p>
        </w:tc>
      </w:tr>
      <w:tr>
        <w:trPr>
          <w:trHeight w:val="27"/>
        </w:trPr>
        <w:tc>
          <w:tcPr>
            <w:tcW w:w="6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52"/>
        </w:trPr>
        <w:tc>
          <w:tcPr>
            <w:tcW w:w="8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28,</w:t>
            </w:r>
          </w:p>
        </w:tc>
        <w:tc>
          <w:tcPr>
            <w:tcW w:w="240" w:type="dxa"/>
            <w:vAlign w:val="bottom"/>
          </w:tcPr>
          <w:p>
            <w:pPr>
              <w:spacing w:after="0"/>
              <w:rPr>
                <w:sz w:val="21"/>
                <w:szCs w:val="21"/>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1,</w:t>
            </w:r>
          </w:p>
        </w:tc>
      </w:tr>
      <w:tr>
        <w:trPr>
          <w:trHeight w:val="234"/>
        </w:trPr>
        <w:tc>
          <w:tcPr>
            <w:tcW w:w="8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(used for) investing activities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(3,843)</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r>
      <w:tr>
        <w:trPr>
          <w:trHeight w:val="297"/>
        </w:trPr>
        <w:tc>
          <w:tcPr>
            <w:tcW w:w="8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Investments in capital expenditures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(4,370)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debt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(3,379)</w:t>
            </w:r>
          </w:p>
        </w:tc>
      </w:tr>
      <w:tr>
        <w:trPr>
          <w:trHeight w:val="270"/>
        </w:trPr>
        <w:tc>
          <w:tcPr>
            <w:tcW w:w="83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Payments to acquire treasury stock </w:t>
            </w:r>
            <w:r>
              <w:rPr>
                <w:rFonts w:ascii="Arial" w:cs="Arial" w:eastAsia="Arial" w:hAnsi="Arial"/>
                <w:sz w:val="25"/>
                <w:szCs w:val="25"/>
                <w:color w:val="auto"/>
                <w:vertAlign w:val="superscript"/>
              </w:rPr>
              <w:t>(5)</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stock</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w:t>
            </w:r>
          </w:p>
        </w:tc>
      </w:tr>
      <w:tr>
        <w:trPr>
          <w:trHeight w:val="341"/>
        </w:trPr>
        <w:tc>
          <w:tcPr>
            <w:tcW w:w="8360" w:type="dxa"/>
            <w:vAlign w:val="bottom"/>
          </w:tcPr>
          <w:p>
            <w:pPr>
              <w:ind w:left="40"/>
              <w:spacing w:after="0"/>
              <w:rPr>
                <w:sz w:val="20"/>
                <w:szCs w:val="20"/>
                <w:color w:val="auto"/>
              </w:rPr>
            </w:pPr>
            <w:r>
              <w:rPr>
                <w:rFonts w:ascii="Arial" w:cs="Arial" w:eastAsia="Arial" w:hAnsi="Arial"/>
                <w:sz w:val="18"/>
                <w:szCs w:val="18"/>
                <w:color w:val="auto"/>
              </w:rPr>
              <w:t xml:space="preserve">Proceeds from issuance of debt </w:t>
            </w:r>
            <w:r>
              <w:rPr>
                <w:rFonts w:ascii="Arial" w:cs="Arial" w:eastAsia="Arial" w:hAnsi="Arial"/>
                <w:sz w:val="25"/>
                <w:szCs w:val="25"/>
                <w:color w:val="auto"/>
                <w:vertAlign w:val="superscript"/>
              </w:rPr>
              <w:t>(2)</w:t>
            </w:r>
          </w:p>
        </w:tc>
        <w:tc>
          <w:tcPr>
            <w:tcW w:w="16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650</w:t>
            </w:r>
          </w:p>
        </w:tc>
      </w:tr>
    </w:tbl>
    <w:p>
      <w:pPr>
        <w:sectPr>
          <w:pgSz w:w="11900" w:h="16838" w:orient="portrait"/>
          <w:cols w:equalWidth="0" w:num="1">
            <w:col w:w="11420"/>
          </w:cols>
          <w:pgMar w:left="240" w:top="625" w:right="239" w:bottom="1440" w:gutter="0" w:footer="0" w:header="0"/>
        </w:sectPr>
      </w:pPr>
    </w:p>
    <w:bookmarkStart w:id="7" w:name="page8"/>
    <w:bookmarkEnd w:id="7"/>
    <w:p>
      <w:pPr>
        <w:ind w:left="340" w:hanging="332"/>
        <w:spacing w:after="0" w:line="255"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 the first quarter of 2019, we adopted ASU 2014-09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 amended, "ASC 606"), which supersedes nearly all existing revenue recognition guidance under generally accepted accounting principles in the United States. The core principal of ASC 606 is that an entity should recognize revenue when it transfers control of promised goods or services to customers in an amount that reflects the consideration to which the entity expects to be entitled in exchange for those goods or services. We adopted ASC 606 in the first quarter of 2019 under the modified retrospective method and, in connection therewith, made certain adjustments to our opening balances as of August 31, 2018. Adjustments to opening balances included an increase to receivables of $114 million, reduction of deferred tax assets of $92 million, increase of other current assets of $30 million, and an increase to retained earnings of $50 million.</w:t>
      </w:r>
    </w:p>
    <w:p>
      <w:pPr>
        <w:spacing w:after="0" w:line="189" w:lineRule="exact"/>
        <w:rPr>
          <w:rFonts w:ascii="Arial" w:cs="Arial" w:eastAsia="Arial" w:hAnsi="Arial"/>
          <w:sz w:val="18"/>
          <w:szCs w:val="18"/>
          <w:color w:val="auto"/>
        </w:rPr>
      </w:pPr>
    </w:p>
    <w:p>
      <w:pPr>
        <w:ind w:left="340" w:right="60" w:hanging="332"/>
        <w:spacing w:after="0" w:line="255"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February 6, 2019, we issued $600 million, $500 million, and $700 million in principal of senior unsecured notes due in 2024, 2026, and 2029, respectively. On February 8, 2019, we notified the holders of our convertible senior notes due in 2043 ("2043G Notes") that we would redeem all of the outstanding 2043G Notes on March 13, 2019. In connection with our notice, we made an irrevocable election to settle any conversions in cash. As a result, we reclassified $336 million from equity to a derivative debt liability. As of February 28, 2019, current debt included an aggregate of $1.11 billion for the settlement obligation (including principal and amounts in excess of principal) of all of our 2043G Notes. In the second quarter of 2019, we recognized non-operating losses of $84 million related to the redemption of the 2043G notes. On March 13, 2019, we paid $1.43 billion to settle the conversions.</w:t>
      </w:r>
    </w:p>
    <w:p>
      <w:pPr>
        <w:spacing w:after="0" w:line="189" w:lineRule="exact"/>
        <w:rPr>
          <w:rFonts w:ascii="Arial" w:cs="Arial" w:eastAsia="Arial" w:hAnsi="Arial"/>
          <w:sz w:val="18"/>
          <w:szCs w:val="18"/>
          <w:color w:val="auto"/>
        </w:rPr>
      </w:pPr>
    </w:p>
    <w:p>
      <w:pPr>
        <w:jc w:val="both"/>
        <w:ind w:left="340" w:right="28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December 22, 2017, the United States enacted comprehensive tax legislation, commonly referred to as the Tax Cuts and Jobs Act (the "Tax Act"), which imposed a one-time transition tax in 2018 (the "Repatriation Tax") and created a new minimum tax on certain foreign earnings. Our income tax provision consisted of the following:</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2</w:t>
            </w:r>
            <w:r>
              <w:rPr>
                <w:rFonts w:ascii="Arial" w:cs="Arial" w:eastAsia="Arial" w:hAnsi="Arial"/>
                <w:sz w:val="25"/>
                <w:szCs w:val="25"/>
                <w:b w:val="1"/>
                <w:bCs w:val="1"/>
                <w:color w:val="auto"/>
                <w:w w:val="85"/>
                <w:vertAlign w:val="superscript"/>
              </w:rPr>
              <w:t>nd</w:t>
            </w:r>
            <w:r>
              <w:rPr>
                <w:rFonts w:ascii="Arial" w:cs="Arial" w:eastAsia="Arial" w:hAnsi="Arial"/>
                <w:sz w:val="18"/>
                <w:szCs w:val="18"/>
                <w:b w:val="1"/>
                <w:bCs w:val="1"/>
                <w:color w:val="auto"/>
                <w:w w:val="85"/>
              </w:rPr>
              <w:t xml:space="preserve"> Qtr.</w:t>
            </w: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1</w:t>
            </w:r>
            <w:r>
              <w:rPr>
                <w:rFonts w:ascii="Arial" w:cs="Arial" w:eastAsia="Arial" w:hAnsi="Arial"/>
                <w:sz w:val="25"/>
                <w:szCs w:val="25"/>
                <w:b w:val="1"/>
                <w:bCs w:val="1"/>
                <w:color w:val="auto"/>
                <w:w w:val="87"/>
                <w:vertAlign w:val="superscript"/>
              </w:rPr>
              <w:t>st</w:t>
            </w:r>
            <w:r>
              <w:rPr>
                <w:rFonts w:ascii="Arial" w:cs="Arial" w:eastAsia="Arial" w:hAnsi="Arial"/>
                <w:sz w:val="18"/>
                <w:szCs w:val="18"/>
                <w:b w:val="1"/>
                <w:bCs w:val="1"/>
                <w:color w:val="auto"/>
                <w:w w:val="87"/>
              </w:rPr>
              <w:t xml:space="preserve"> Qtr.</w:t>
            </w:r>
          </w:p>
        </w:tc>
        <w:tc>
          <w:tcPr>
            <w:tcW w:w="24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2</w:t>
            </w:r>
            <w:r>
              <w:rPr>
                <w:rFonts w:ascii="Arial" w:cs="Arial" w:eastAsia="Arial" w:hAnsi="Arial"/>
                <w:sz w:val="25"/>
                <w:szCs w:val="25"/>
                <w:b w:val="1"/>
                <w:bCs w:val="1"/>
                <w:color w:val="auto"/>
                <w:w w:val="85"/>
                <w:vertAlign w:val="superscript"/>
              </w:rPr>
              <w:t>nd</w:t>
            </w:r>
            <w:r>
              <w:rPr>
                <w:rFonts w:ascii="Arial" w:cs="Arial" w:eastAsia="Arial" w:hAnsi="Arial"/>
                <w:sz w:val="18"/>
                <w:szCs w:val="18"/>
                <w:b w:val="1"/>
                <w:bCs w:val="1"/>
                <w:color w:val="auto"/>
                <w:w w:val="85"/>
              </w:rPr>
              <w:t xml:space="preserve"> Qtr.</w:t>
            </w:r>
          </w:p>
        </w:tc>
        <w:tc>
          <w:tcPr>
            <w:tcW w:w="180" w:type="dxa"/>
            <w:vAlign w:val="bottom"/>
          </w:tcPr>
          <w:p>
            <w:pPr>
              <w:spacing w:after="0"/>
              <w:rPr>
                <w:sz w:val="24"/>
                <w:szCs w:val="24"/>
                <w:color w:val="auto"/>
              </w:rPr>
            </w:pPr>
          </w:p>
        </w:tc>
        <w:tc>
          <w:tcPr>
            <w:tcW w:w="28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16"/>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February 28,</w:t>
            </w:r>
          </w:p>
        </w:tc>
        <w:tc>
          <w:tcPr>
            <w:tcW w:w="1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November 29,</w:t>
            </w:r>
          </w:p>
        </w:tc>
        <w:tc>
          <w:tcPr>
            <w:tcW w:w="2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1,</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28,</w:t>
            </w:r>
          </w:p>
        </w:tc>
        <w:tc>
          <w:tcPr>
            <w:tcW w:w="24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1,</w:t>
            </w:r>
          </w:p>
        </w:tc>
      </w:tr>
      <w:tr>
        <w:trPr>
          <w:trHeight w:val="234"/>
        </w:trPr>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(provision) benefit, excluding</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7"/>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items below</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rPr>
              <w:t>Utilization of and other changes in net</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560" w:type="dxa"/>
            <w:vAlign w:val="bottom"/>
          </w:tcPr>
          <w:p>
            <w:pPr>
              <w:ind w:left="200"/>
              <w:spacing w:after="0"/>
              <w:rPr>
                <w:sz w:val="20"/>
                <w:szCs w:val="20"/>
                <w:color w:val="auto"/>
              </w:rPr>
            </w:pPr>
            <w:r>
              <w:rPr>
                <w:rFonts w:ascii="Arial" w:cs="Arial" w:eastAsia="Arial" w:hAnsi="Arial"/>
                <w:sz w:val="18"/>
                <w:szCs w:val="18"/>
                <w:color w:val="auto"/>
              </w:rPr>
              <w:t>deferred tax assets of MMJ, MMT, and</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560" w:type="dxa"/>
            <w:vAlign w:val="bottom"/>
          </w:tcPr>
          <w:p>
            <w:pPr>
              <w:ind w:left="200"/>
              <w:spacing w:after="0"/>
              <w:rPr>
                <w:sz w:val="20"/>
                <w:szCs w:val="20"/>
                <w:color w:val="auto"/>
              </w:rPr>
            </w:pPr>
            <w:r>
              <w:rPr>
                <w:rFonts w:ascii="Arial" w:cs="Arial" w:eastAsia="Arial" w:hAnsi="Arial"/>
                <w:sz w:val="18"/>
                <w:szCs w:val="18"/>
                <w:color w:val="auto"/>
              </w:rPr>
              <w:t>MTTW</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Repatriation Tax, net of adjustments related to</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uncertain tax positions</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w w:val="96"/>
              </w:rPr>
              <w:t>Release of the valuation allowance on the net</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560" w:type="dxa"/>
            <w:vAlign w:val="bottom"/>
          </w:tcPr>
          <w:p>
            <w:pPr>
              <w:ind w:left="200"/>
              <w:spacing w:after="0"/>
              <w:rPr>
                <w:sz w:val="20"/>
                <w:szCs w:val="20"/>
                <w:color w:val="auto"/>
              </w:rPr>
            </w:pPr>
            <w:r>
              <w:rPr>
                <w:rFonts w:ascii="Arial" w:cs="Arial" w:eastAsia="Arial" w:hAnsi="Arial"/>
                <w:sz w:val="18"/>
                <w:szCs w:val="18"/>
                <w:color w:val="auto"/>
              </w:rPr>
              <w:t>deferred tax assets of our U.S. operations</w:t>
            </w:r>
          </w:p>
        </w:tc>
        <w:tc>
          <w:tcPr>
            <w:tcW w:w="18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1,337</w:t>
            </w: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Remeasurement of deferred tax assets and</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6"/>
        </w:trPr>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liabilities reflecting the lower U.S. corporate</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57"/>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tax rates</w:t>
            </w:r>
          </w:p>
        </w:tc>
        <w:tc>
          <w:tcPr>
            <w:tcW w:w="1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7"/>
        </w:trPr>
        <w:tc>
          <w:tcPr>
            <w:tcW w:w="35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r>
      <w:tr>
        <w:trPr>
          <w:trHeight w:val="27"/>
        </w:trPr>
        <w:tc>
          <w:tcPr>
            <w:tcW w:w="3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5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January 14, 2019, we exercised our option to acquire Intel's interest in our joint venture, IM Flash Technologies, LLC ("IMFT"). Intel can elect to set the closing date of the transaction to be any time between approximately six months to one year from the date we exercised our call option. At the time of closing, we expect to pay Intel approximately $1.5 billion in cash for Intel's noncontrolling interest in IMFT and IMFT member debt. Current debt as of February 28, 2019 included $1.0 billion for IMFT member debt.</w:t>
      </w:r>
    </w:p>
    <w:p>
      <w:pPr>
        <w:spacing w:after="0" w:line="186" w:lineRule="exact"/>
        <w:rPr>
          <w:rFonts w:ascii="Arial" w:cs="Arial" w:eastAsia="Arial" w:hAnsi="Arial"/>
          <w:sz w:val="18"/>
          <w:szCs w:val="18"/>
          <w:color w:val="auto"/>
        </w:rPr>
      </w:pPr>
    </w:p>
    <w:p>
      <w:pPr>
        <w:ind w:left="340" w:right="38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the second quarter of 2019, we repurchased 21 million shares of our common stock for $702 million through a Rule 10b5-1 plan. The shares were recorded as treasury stock. In the first quarter of 2019, we repurchased 42 million shares of our common stock for $1.80 billion.</w:t>
      </w:r>
    </w:p>
    <w:p>
      <w:pPr>
        <w:sectPr>
          <w:pgSz w:w="11900" w:h="16838" w:orient="portrait"/>
          <w:cols w:equalWidth="0" w:num="1">
            <w:col w:w="11420"/>
          </w:cols>
          <w:pgMar w:left="240" w:top="625" w:right="239" w:bottom="1440" w:gutter="0" w:footer="0" w:header="0"/>
        </w:sectPr>
      </w:pPr>
    </w:p>
    <w:bookmarkStart w:id="8" w:name="page9"/>
    <w:bookmarkEnd w:id="8"/>
    <w:p>
      <w:pPr>
        <w:jc w:val="center"/>
        <w:ind w:left="32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9"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35" w:lineRule="exact"/>
        <w:rPr>
          <w:sz w:val="20"/>
          <w:szCs w:val="20"/>
          <w:color w:val="auto"/>
        </w:rPr>
      </w:pPr>
    </w:p>
    <w:tbl>
      <w:tblPr>
        <w:tblLayout w:type="fixed"/>
        <w:tblInd w:w="1120" w:type="dxa"/>
        <w:tblCellMar>
          <w:top w:w="0" w:type="dxa"/>
          <w:left w:w="0" w:type="dxa"/>
          <w:bottom w:w="0" w:type="dxa"/>
          <w:right w:w="0" w:type="dxa"/>
        </w:tblCellMar>
      </w:tblPr>
      <w:tr>
        <w:trPr>
          <w:trHeight w:val="287"/>
        </w:trPr>
        <w:tc>
          <w:tcPr>
            <w:tcW w:w="5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2</w:t>
            </w:r>
            <w:r>
              <w:rPr>
                <w:rFonts w:ascii="Arial" w:cs="Arial" w:eastAsia="Arial" w:hAnsi="Arial"/>
                <w:sz w:val="25"/>
                <w:szCs w:val="25"/>
                <w:b w:val="1"/>
                <w:bCs w:val="1"/>
                <w:color w:val="auto"/>
                <w:w w:val="85"/>
                <w:vertAlign w:val="superscript"/>
              </w:rPr>
              <w:t>nd</w:t>
            </w:r>
            <w:r>
              <w:rPr>
                <w:rFonts w:ascii="Arial" w:cs="Arial" w:eastAsia="Arial" w:hAnsi="Arial"/>
                <w:sz w:val="18"/>
                <w:szCs w:val="18"/>
                <w:b w:val="1"/>
                <w:bCs w:val="1"/>
                <w:color w:val="auto"/>
                <w:w w:val="85"/>
              </w:rPr>
              <w:t xml:space="preserve"> Qtr.</w:t>
            </w:r>
          </w:p>
        </w:tc>
        <w:tc>
          <w:tcPr>
            <w:tcW w:w="220" w:type="dxa"/>
            <w:vAlign w:val="bottom"/>
          </w:tcPr>
          <w:p>
            <w:pPr>
              <w:spacing w:after="0"/>
              <w:rPr>
                <w:sz w:val="24"/>
                <w:szCs w:val="2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1</w:t>
            </w:r>
            <w:r>
              <w:rPr>
                <w:rFonts w:ascii="Arial" w:cs="Arial" w:eastAsia="Arial" w:hAnsi="Arial"/>
                <w:sz w:val="25"/>
                <w:szCs w:val="25"/>
                <w:b w:val="1"/>
                <w:bCs w:val="1"/>
                <w:color w:val="auto"/>
                <w:w w:val="87"/>
                <w:vertAlign w:val="superscript"/>
              </w:rPr>
              <w:t>st</w:t>
            </w:r>
            <w:r>
              <w:rPr>
                <w:rFonts w:ascii="Arial" w:cs="Arial" w:eastAsia="Arial" w:hAnsi="Arial"/>
                <w:sz w:val="18"/>
                <w:szCs w:val="18"/>
                <w:b w:val="1"/>
                <w:bCs w:val="1"/>
                <w:color w:val="auto"/>
                <w:w w:val="87"/>
              </w:rPr>
              <w:t xml:space="preserve"> Qtr.</w:t>
            </w:r>
          </w:p>
        </w:tc>
        <w:tc>
          <w:tcPr>
            <w:tcW w:w="220" w:type="dxa"/>
            <w:vAlign w:val="bottom"/>
          </w:tcPr>
          <w:p>
            <w:pPr>
              <w:spacing w:after="0"/>
              <w:rPr>
                <w:sz w:val="24"/>
                <w:szCs w:val="24"/>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2</w:t>
            </w:r>
            <w:r>
              <w:rPr>
                <w:rFonts w:ascii="Arial" w:cs="Arial" w:eastAsia="Arial" w:hAnsi="Arial"/>
                <w:sz w:val="25"/>
                <w:szCs w:val="25"/>
                <w:b w:val="1"/>
                <w:bCs w:val="1"/>
                <w:color w:val="auto"/>
                <w:w w:val="94"/>
                <w:vertAlign w:val="superscript"/>
              </w:rPr>
              <w:t>nd</w:t>
            </w:r>
            <w:r>
              <w:rPr>
                <w:rFonts w:ascii="Arial" w:cs="Arial" w:eastAsia="Arial" w:hAnsi="Arial"/>
                <w:sz w:val="18"/>
                <w:szCs w:val="18"/>
                <w:b w:val="1"/>
                <w:bCs w:val="1"/>
                <w:color w:val="auto"/>
                <w:w w:val="94"/>
              </w:rPr>
              <w:t xml:space="preserve"> Qtr.</w:t>
            </w:r>
          </w:p>
        </w:tc>
      </w:tr>
      <w:tr>
        <w:trPr>
          <w:trHeight w:val="216"/>
        </w:trPr>
        <w:tc>
          <w:tcPr>
            <w:tcW w:w="544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February 28,</w:t>
            </w:r>
          </w:p>
        </w:tc>
        <w:tc>
          <w:tcPr>
            <w:tcW w:w="12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November 29,</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5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March 1, 2018</w:t>
            </w:r>
          </w:p>
        </w:tc>
      </w:tr>
      <w:tr>
        <w:trPr>
          <w:trHeight w:val="27"/>
        </w:trPr>
        <w:tc>
          <w:tcPr>
            <w:tcW w:w="5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color w:val="auto"/>
              </w:rPr>
              <w:t>GAAP gross margin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4,615</w:t>
            </w:r>
          </w:p>
        </w:tc>
        <w:tc>
          <w:tcPr>
            <w:tcW w:w="10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4,270</w:t>
            </w:r>
          </w:p>
        </w:tc>
      </w:tr>
      <w:tr>
        <w:trPr>
          <w:trHeight w:val="27"/>
        </w:trPr>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Start-up and preproduction costs</w:t>
            </w:r>
          </w:p>
        </w:tc>
        <w:tc>
          <w:tcPr>
            <w:tcW w:w="2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severance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w:t>
            </w:r>
          </w:p>
        </w:tc>
      </w:tr>
      <w:tr>
        <w:trPr>
          <w:trHeight w:val="27"/>
        </w:trPr>
        <w:tc>
          <w:tcPr>
            <w:tcW w:w="5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gross margin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4,670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4,296</w:t>
            </w: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4"/>
        </w:trPr>
        <w:tc>
          <w:tcPr>
            <w:tcW w:w="5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operating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3,567</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52</w:t>
            </w:r>
          </w:p>
        </w:tc>
      </w:tr>
      <w:tr>
        <w:trPr>
          <w:trHeight w:val="27"/>
        </w:trPr>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Start-up and preproduction costs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Employee severance</w:t>
            </w:r>
          </w:p>
        </w:tc>
        <w:tc>
          <w:tcPr>
            <w:tcW w:w="2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Restructure and asset impairments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w:t>
            </w:r>
          </w:p>
        </w:tc>
      </w:tr>
      <w:tr>
        <w:trPr>
          <w:trHeight w:val="27"/>
        </w:trPr>
        <w:tc>
          <w:tcPr>
            <w:tcW w:w="5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operating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3,887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3,630</w:t>
            </w: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5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income attributable to Micron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3,309</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52</w:t>
            </w:r>
          </w:p>
        </w:tc>
      </w:tr>
      <w:tr>
        <w:trPr>
          <w:trHeight w:val="27"/>
        </w:trPr>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Start-up and preproduction costs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Employee severance</w:t>
            </w:r>
          </w:p>
        </w:tc>
        <w:tc>
          <w:tcPr>
            <w:tcW w:w="2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Restructure and asset impairments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Amortization of debt discount and other costs</w:t>
            </w:r>
          </w:p>
        </w:tc>
        <w:tc>
          <w:tcPr>
            <w:tcW w:w="2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26</w:t>
            </w:r>
          </w:p>
        </w:tc>
      </w:tr>
      <w:tr>
        <w:trPr>
          <w:trHeight w:val="27"/>
        </w:trPr>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on debt repurchases and conversions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(Gain) loss from changes in currency exchange rates</w:t>
            </w:r>
          </w:p>
        </w:tc>
        <w:tc>
          <w:tcPr>
            <w:tcW w:w="2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27</w:t>
            </w:r>
          </w:p>
        </w:tc>
      </w:tr>
      <w:tr>
        <w:trPr>
          <w:trHeight w:val="27"/>
        </w:trPr>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Impact of U.S. income tax reform</w:t>
            </w:r>
          </w:p>
        </w:tc>
        <w:tc>
          <w:tcPr>
            <w:tcW w:w="2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131</w:t>
            </w:r>
          </w:p>
        </w:tc>
      </w:tr>
      <w:tr>
        <w:trPr>
          <w:trHeight w:val="27"/>
        </w:trPr>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Estimated tax effects of above, non-cash changes in net deferred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5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taxes, and assessments of tax exposures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97"/>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net income attributable to Micron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1,971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3,508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3,495</w:t>
            </w:r>
          </w:p>
        </w:tc>
      </w:tr>
      <w:tr>
        <w:trPr>
          <w:trHeight w:val="284"/>
        </w:trPr>
        <w:tc>
          <w:tcPr>
            <w:tcW w:w="5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GAAP weighted-average common shares outstanding - Diluted</w:t>
            </w:r>
          </w:p>
        </w:tc>
        <w:tc>
          <w:tcPr>
            <w:tcW w:w="2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1,238</w:t>
            </w:r>
          </w:p>
        </w:tc>
      </w:tr>
      <w:tr>
        <w:trPr>
          <w:trHeight w:val="27"/>
        </w:trPr>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 for capped calls and stock-based compensation</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r>
      <w:tr>
        <w:trPr>
          <w:trHeight w:val="297"/>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9"/>
              </w:rPr>
              <w:t>Non-GAAP weighted-average common shares outstanding - Diluted</w:t>
            </w:r>
          </w:p>
        </w:tc>
        <w:tc>
          <w:tcPr>
            <w:tcW w:w="2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1,240</w:t>
            </w:r>
          </w:p>
        </w:tc>
      </w:tr>
      <w:tr>
        <w:trPr>
          <w:trHeight w:val="284"/>
        </w:trPr>
        <w:tc>
          <w:tcPr>
            <w:tcW w:w="5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GAAP diluted earnings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2.67</w:t>
            </w:r>
          </w:p>
        </w:tc>
      </w:tr>
      <w:tr>
        <w:trPr>
          <w:trHeight w:val="27"/>
        </w:trPr>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Effects of the above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0.15</w:t>
            </w:r>
          </w:p>
        </w:tc>
      </w:tr>
      <w:tr>
        <w:trPr>
          <w:trHeight w:val="257"/>
        </w:trPr>
        <w:tc>
          <w:tcPr>
            <w:tcW w:w="5440" w:type="dxa"/>
            <w:vAlign w:val="bottom"/>
          </w:tcPr>
          <w:p>
            <w:pPr>
              <w:ind w:left="40"/>
              <w:spacing w:after="0"/>
              <w:rPr>
                <w:sz w:val="20"/>
                <w:szCs w:val="20"/>
                <w:color w:val="auto"/>
              </w:rPr>
            </w:pPr>
            <w:r>
              <w:rPr>
                <w:rFonts w:ascii="Arial" w:cs="Arial" w:eastAsia="Arial" w:hAnsi="Arial"/>
                <w:sz w:val="18"/>
                <w:szCs w:val="18"/>
                <w:color w:val="auto"/>
              </w:rPr>
              <w:t>Non-GAAP diluted earnings per share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2.82</w:t>
            </w: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tables above reconcile GAAP to non-GAAP gross margin, operating income, net income attributable to Micron, diluted shares, and diluted earnings per share. The non-GAAP adjustments above may or may not be infrequent or nonrecurring in nature but are a result of periodic or non-core operating activities. We believe this non-GAAP information is helpful to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w:t>
      </w:r>
    </w:p>
    <w:p>
      <w:pPr>
        <w:sectPr>
          <w:pgSz w:w="11900" w:h="16838" w:orient="portrait"/>
          <w:cols w:equalWidth="0" w:num="1">
            <w:col w:w="11300"/>
          </w:cols>
          <w:pgMar w:left="240" w:top="621" w:right="35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t>numbers presented in accordance with U.S. GAAP and therefore may not be comparable to amounts reported by other companies. Our management excludes the following items in analyzing our operating results and understanding trends in our earnings:</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Flow-through of business acquisition-related inventory adjustments;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Start-up and preproduction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 severance;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our convertible debt and MMJ creditor debt;</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from debt repurchases and conversions;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from changes in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from business acquisition activities;</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 of the U.S. income tax reform for the Repatriation Tax, release of U.S. valuation allowance, and remeasurement of net deferred taxes reflecting the lower U.S. corporate tax rates; and</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and assessments of tax exposures.</w:t>
      </w:r>
    </w:p>
    <w:p>
      <w:pPr>
        <w:spacing w:after="0" w:line="21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outstanding capped call transactions are anti-dilutive in GAAP earnings per share but are expected to mitigate the dilutive effect of our convertible notes. In periods with non-GAAP income attributable to Micron, non-GAAP diluted shares include the impact of capped calls based on the average share price for the period the capped calls are outstanding. Non-GAAP diluted shares are also adjusted for the impact of additional shares resulting from the exclusion of stock-based compensation from non-GAAP income.</w:t>
      </w:r>
    </w:p>
    <w:sectPr>
      <w:pgSz w:w="11900" w:h="16838" w:orient="portrait"/>
      <w:cols w:equalWidth="0" w:num="1">
        <w:col w:w="11340"/>
      </w:cols>
      <w:pgMar w:left="240" w:top="6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2019-12-28T14:36:43Z</dcterms:created>
  <dcterms:modified xsi:type="dcterms:W3CDTF">2019-12-28T14:36:43Z</dcterms:modified>
</cp:coreProperties>
</file>