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94" w:right="1440" w:bottom="1440" w:gutter="0" w:footer="0" w:header="0"/>
        </w:sectPr>
      </w:pPr>
    </w:p>
    <w:p>
      <w:pPr>
        <w:spacing w:after="0" w:line="390" w:lineRule="exact"/>
        <w:rPr>
          <w:sz w:val="24"/>
          <w:szCs w:val="24"/>
          <w:color w:val="auto"/>
        </w:rPr>
      </w:pPr>
    </w:p>
    <w:tbl>
      <w:tblPr>
        <w:tblLayout w:type="fixed"/>
        <w:tblInd w:w="480" w:type="dxa"/>
        <w:tblCellMar>
          <w:top w:w="0" w:type="dxa"/>
          <w:left w:w="0" w:type="dxa"/>
          <w:bottom w:w="0" w:type="dxa"/>
          <w:right w:w="0" w:type="dxa"/>
        </w:tblCellMar>
      </w:tblPr>
      <w:tr>
        <w:trPr>
          <w:trHeight w:val="549"/>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5"/>
              </w:rPr>
              <w:t>Exchange</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6"/>
              </w:rPr>
              <w:t>buy these</w:t>
            </w:r>
          </w:p>
        </w:tc>
      </w:tr>
      <w:tr>
        <w:trPr>
          <w:trHeight w:val="1137"/>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U.S. Securities and</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5"/>
              </w:rPr>
              <w:t>soliciting an offer to</w:t>
            </w:r>
          </w:p>
        </w:tc>
      </w:tr>
      <w:tr>
        <w:trPr>
          <w:trHeight w:val="2264"/>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to these notes has been filed with the</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7"/>
              </w:rPr>
              <w:t>offer to sell these notes and they are not</w:t>
            </w:r>
          </w:p>
        </w:tc>
      </w:tr>
      <w:tr>
        <w:trPr>
          <w:trHeight w:val="6433"/>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This preliminary prospectus supplement is not complete and may be changed. A registration statement relating</w:t>
            </w:r>
          </w:p>
        </w:tc>
        <w:tc>
          <w:tcPr>
            <w:tcW w:w="260" w:type="dxa"/>
            <w:vAlign w:val="bottom"/>
            <w:textDirection w:val="btLr"/>
          </w:tcPr>
          <w:p>
            <w:pPr>
              <w:ind w:left="134"/>
              <w:spacing w:after="0"/>
              <w:rPr>
                <w:sz w:val="20"/>
                <w:szCs w:val="20"/>
                <w:color w:val="auto"/>
              </w:rPr>
            </w:pPr>
            <w:r>
              <w:rPr>
                <w:rFonts w:ascii="Arial" w:cs="Arial" w:eastAsia="Arial" w:hAnsi="Arial"/>
                <w:sz w:val="11"/>
                <w:szCs w:val="11"/>
                <w:b w:val="1"/>
                <w:bCs w:val="1"/>
                <w:color w:val="FC0014"/>
                <w:w w:val="70"/>
              </w:rPr>
              <w:t>Commission and is effective. This preliminary prospectus supplement and the accompanying prospectus are not annotesinanyjurisdictionwheretheofferorsaleisnotpermitted.</w:t>
            </w:r>
          </w:p>
        </w:tc>
      </w:tr>
    </w:tbl>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jc w:val="right"/>
        <w:ind w:right="499"/>
        <w:spacing w:after="0"/>
        <w:rPr>
          <w:sz w:val="20"/>
          <w:szCs w:val="20"/>
          <w:color w:val="auto"/>
        </w:rPr>
      </w:pPr>
      <w:r>
        <w:rPr>
          <w:rFonts w:ascii="Arial" w:cs="Arial" w:eastAsia="Arial" w:hAnsi="Arial"/>
          <w:sz w:val="15"/>
          <w:szCs w:val="15"/>
          <w:b w:val="1"/>
          <w:bCs w:val="1"/>
          <w:color w:val="auto"/>
        </w:rPr>
        <w:t> Filed Pursuant to Rule 424(b)(2)​</w:t>
      </w:r>
    </w:p>
    <w:p>
      <w:pPr>
        <w:jc w:val="right"/>
        <w:ind w:right="499"/>
        <w:spacing w:after="0" w:line="227" w:lineRule="auto"/>
        <w:rPr>
          <w:sz w:val="20"/>
          <w:szCs w:val="20"/>
          <w:color w:val="auto"/>
        </w:rPr>
      </w:pPr>
      <w:r>
        <w:rPr>
          <w:rFonts w:ascii="Arial" w:cs="Arial" w:eastAsia="Arial" w:hAnsi="Arial"/>
          <w:sz w:val="15"/>
          <w:szCs w:val="15"/>
          <w:b w:val="1"/>
          <w:bCs w:val="1"/>
          <w:color w:val="auto"/>
        </w:rPr>
        <w:t> Registration No. 333-275276​</w:t>
      </w:r>
    </w:p>
    <w:p>
      <w:pPr>
        <w:ind w:left="2430"/>
        <w:spacing w:after="0"/>
        <w:rPr>
          <w:sz w:val="20"/>
          <w:szCs w:val="20"/>
          <w:color w:val="auto"/>
        </w:rPr>
      </w:pPr>
      <w:r>
        <w:rPr>
          <w:rFonts w:ascii="Arial" w:cs="Arial" w:eastAsia="Arial" w:hAnsi="Arial"/>
          <w:sz w:val="13"/>
          <w:szCs w:val="13"/>
          <w:b w:val="1"/>
          <w:bCs w:val="1"/>
          <w:color w:val="FC0014"/>
        </w:rPr>
        <w:t>Subject to Completion, dated April 24, 2025</w:t>
      </w:r>
    </w:p>
    <w:p>
      <w:pPr>
        <w:spacing w:after="0" w:line="31"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Preliminary Prospectus Supplement</w:t>
      </w:r>
    </w:p>
    <w:p>
      <w:pPr>
        <w:spacing w:after="0" w:line="17"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(To Prospectus dated November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1524000</wp:posOffset>
            </wp:positionH>
            <wp:positionV relativeFrom="paragraph">
              <wp:posOffset>58420</wp:posOffset>
            </wp:positionV>
            <wp:extent cx="1682115" cy="350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2115" cy="350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1890"/>
        <w:spacing w:after="0"/>
        <w:rPr>
          <w:sz w:val="20"/>
          <w:szCs w:val="20"/>
          <w:color w:val="auto"/>
        </w:rPr>
      </w:pPr>
      <w:r>
        <w:rPr>
          <w:rFonts w:ascii="Arial" w:cs="Arial" w:eastAsia="Arial" w:hAnsi="Arial"/>
          <w:sz w:val="32"/>
          <w:szCs w:val="32"/>
          <w:b w:val="1"/>
          <w:bCs w:val="1"/>
          <w:color w:val="auto"/>
        </w:rPr>
        <w:t>Micron Technology, Inc.</w:t>
      </w:r>
    </w:p>
    <w:p>
      <w:pPr>
        <w:spacing w:after="0" w:line="60" w:lineRule="exact"/>
        <w:rPr>
          <w:sz w:val="24"/>
          <w:szCs w:val="24"/>
          <w:color w:val="auto"/>
        </w:rPr>
      </w:pPr>
    </w:p>
    <w:p>
      <w:pPr>
        <w:ind w:left="2330"/>
        <w:spacing w:after="0"/>
        <w:rPr>
          <w:sz w:val="20"/>
          <w:szCs w:val="20"/>
          <w:color w:val="auto"/>
        </w:rPr>
      </w:pPr>
      <w:r>
        <w:rPr>
          <w:rFonts w:ascii="Arial" w:cs="Arial" w:eastAsia="Arial" w:hAnsi="Arial"/>
          <w:sz w:val="19"/>
          <w:szCs w:val="19"/>
          <w:b w:val="1"/>
          <w:bCs w:val="1"/>
          <w:color w:val="auto"/>
        </w:rPr>
        <w:t xml:space="preserve">$        % Senior Notes due 20   </w:t>
      </w:r>
    </w:p>
    <w:p>
      <w:pPr>
        <w:spacing w:after="0" w:line="25" w:lineRule="exact"/>
        <w:rPr>
          <w:sz w:val="24"/>
          <w:szCs w:val="24"/>
          <w:color w:val="auto"/>
        </w:rPr>
      </w:pPr>
    </w:p>
    <w:p>
      <w:pPr>
        <w:ind w:left="2330"/>
        <w:spacing w:after="0"/>
        <w:rPr>
          <w:sz w:val="20"/>
          <w:szCs w:val="20"/>
          <w:color w:val="auto"/>
        </w:rPr>
      </w:pPr>
      <w:r>
        <w:rPr>
          <w:rFonts w:ascii="Arial" w:cs="Arial" w:eastAsia="Arial" w:hAnsi="Arial"/>
          <w:sz w:val="19"/>
          <w:szCs w:val="19"/>
          <w:b w:val="1"/>
          <w:bCs w:val="1"/>
          <w:color w:val="auto"/>
        </w:rPr>
        <w:t xml:space="preserve">$        % Senior Notes due 20   </w:t>
      </w:r>
    </w:p>
    <w:p>
      <w:pPr>
        <w:spacing w:after="0" w:line="35" w:lineRule="exact"/>
        <w:rPr>
          <w:sz w:val="24"/>
          <w:szCs w:val="24"/>
          <w:color w:val="auto"/>
        </w:rPr>
      </w:pPr>
    </w:p>
    <w:p>
      <w:pPr>
        <w:ind w:left="10" w:right="679"/>
        <w:spacing w:after="0" w:line="249" w:lineRule="auto"/>
        <w:rPr>
          <w:sz w:val="20"/>
          <w:szCs w:val="20"/>
          <w:color w:val="auto"/>
        </w:rPr>
      </w:pPr>
      <w:r>
        <w:rPr>
          <w:rFonts w:ascii="Arial" w:cs="Arial" w:eastAsia="Arial" w:hAnsi="Arial"/>
          <w:sz w:val="13"/>
          <w:szCs w:val="13"/>
          <w:color w:val="auto"/>
        </w:rPr>
        <w:t xml:space="preserve">Micron Technology, Inc. is offering $        aggregate principal amount of        % senior notes due 20    (the “20    notes”) and $          aggregate principal amount of         % senior notes due 20    (the “20    notes”, and together with the 20   </w:t>
      </w:r>
    </w:p>
    <w:p>
      <w:pPr>
        <w:spacing w:after="0" w:line="1" w:lineRule="exact"/>
        <w:rPr>
          <w:sz w:val="24"/>
          <w:szCs w:val="24"/>
          <w:color w:val="auto"/>
        </w:rPr>
      </w:pPr>
    </w:p>
    <w:p>
      <w:pPr>
        <w:ind w:left="10"/>
        <w:spacing w:after="0"/>
        <w:rPr>
          <w:sz w:val="20"/>
          <w:szCs w:val="20"/>
          <w:color w:val="auto"/>
        </w:rPr>
      </w:pPr>
      <w:r>
        <w:rPr>
          <w:rFonts w:ascii="Arial" w:cs="Arial" w:eastAsia="Arial" w:hAnsi="Arial"/>
          <w:sz w:val="14"/>
          <w:szCs w:val="14"/>
          <w:color w:val="auto"/>
        </w:rPr>
        <w:t>notes, the “notes”). The 20    notes and the 20    notes are each referred to herein as a series of notes.</w:t>
      </w:r>
    </w:p>
    <w:p>
      <w:pPr>
        <w:spacing w:after="0" w:line="24" w:lineRule="exact"/>
        <w:rPr>
          <w:sz w:val="24"/>
          <w:szCs w:val="24"/>
          <w:color w:val="auto"/>
        </w:rPr>
      </w:pPr>
    </w:p>
    <w:p>
      <w:pPr>
        <w:ind w:left="10"/>
        <w:spacing w:after="0"/>
        <w:rPr>
          <w:sz w:val="20"/>
          <w:szCs w:val="20"/>
          <w:color w:val="auto"/>
        </w:rPr>
      </w:pPr>
      <w:r>
        <w:rPr>
          <w:rFonts w:ascii="Arial" w:cs="Arial" w:eastAsia="Arial" w:hAnsi="Arial"/>
          <w:sz w:val="13"/>
          <w:szCs w:val="13"/>
          <w:color w:val="auto"/>
        </w:rPr>
        <w:t>The 20    notes will bear interest at the rate of         % per year and the 20    notes will bear interest at the rate of        %</w:t>
      </w:r>
    </w:p>
    <w:p>
      <w:pPr>
        <w:spacing w:after="0" w:line="19" w:lineRule="exact"/>
        <w:rPr>
          <w:sz w:val="24"/>
          <w:szCs w:val="24"/>
          <w:color w:val="auto"/>
        </w:rPr>
      </w:pPr>
    </w:p>
    <w:p>
      <w:pPr>
        <w:ind w:left="10" w:right="759"/>
        <w:spacing w:after="0" w:line="234" w:lineRule="auto"/>
        <w:rPr>
          <w:sz w:val="20"/>
          <w:szCs w:val="20"/>
          <w:color w:val="auto"/>
        </w:rPr>
      </w:pPr>
      <w:r>
        <w:rPr>
          <w:rFonts w:ascii="Arial" w:cs="Arial" w:eastAsia="Arial" w:hAnsi="Arial"/>
          <w:sz w:val="14"/>
          <w:szCs w:val="14"/>
          <w:color w:val="auto"/>
        </w:rPr>
        <w:t>per year. Interest on each series of notes will be payable semi-annually in arrears on             and             of each year, beginning                     , 2025.</w:t>
      </w:r>
    </w:p>
    <w:p>
      <w:pPr>
        <w:spacing w:after="0" w:line="36" w:lineRule="exact"/>
        <w:rPr>
          <w:sz w:val="24"/>
          <w:szCs w:val="24"/>
          <w:color w:val="auto"/>
        </w:rPr>
      </w:pPr>
    </w:p>
    <w:p>
      <w:pPr>
        <w:ind w:left="10"/>
        <w:spacing w:after="0"/>
        <w:rPr>
          <w:sz w:val="20"/>
          <w:szCs w:val="20"/>
          <w:color w:val="auto"/>
        </w:rPr>
      </w:pPr>
      <w:r>
        <w:rPr>
          <w:rFonts w:ascii="Arial" w:cs="Arial" w:eastAsia="Arial" w:hAnsi="Arial"/>
          <w:sz w:val="14"/>
          <w:szCs w:val="14"/>
          <w:color w:val="auto"/>
        </w:rPr>
        <w:t>The 20    notes will mature on                     , 20    and the 20    notes will mature on                     , 20    .</w:t>
      </w:r>
    </w:p>
    <w:p>
      <w:pPr>
        <w:spacing w:after="0" w:line="49" w:lineRule="exact"/>
        <w:rPr>
          <w:sz w:val="24"/>
          <w:szCs w:val="24"/>
          <w:color w:val="auto"/>
        </w:rPr>
      </w:pPr>
    </w:p>
    <w:p>
      <w:pPr>
        <w:ind w:left="10"/>
        <w:spacing w:after="0"/>
        <w:rPr>
          <w:sz w:val="20"/>
          <w:szCs w:val="20"/>
          <w:color w:val="auto"/>
        </w:rPr>
      </w:pPr>
      <w:r>
        <w:rPr>
          <w:rFonts w:ascii="Arial" w:cs="Arial" w:eastAsia="Arial" w:hAnsi="Arial"/>
          <w:sz w:val="14"/>
          <w:szCs w:val="14"/>
          <w:color w:val="auto"/>
        </w:rPr>
        <w:t>We may redeem some or all of the notes, at any time or from time to time, at a redemption price equal to the greater of</w:t>
      </w:r>
    </w:p>
    <w:p>
      <w:pPr>
        <w:spacing w:after="0" w:line="1" w:lineRule="exact"/>
        <w:rPr>
          <w:sz w:val="24"/>
          <w:szCs w:val="24"/>
          <w:color w:val="auto"/>
        </w:rPr>
      </w:pPr>
    </w:p>
    <w:p>
      <w:pPr>
        <w:ind w:left="150" w:hanging="150"/>
        <w:spacing w:after="0"/>
        <w:tabs>
          <w:tab w:leader="none" w:pos="150" w:val="left"/>
        </w:tabs>
        <w:numPr>
          <w:ilvl w:val="0"/>
          <w:numId w:val="1"/>
        </w:numPr>
        <w:rPr>
          <w:rFonts w:ascii="Arial" w:cs="Arial" w:eastAsia="Arial" w:hAnsi="Arial"/>
          <w:sz w:val="14"/>
          <w:szCs w:val="14"/>
          <w:color w:val="auto"/>
        </w:rPr>
      </w:pPr>
      <w:r>
        <w:rPr>
          <w:rFonts w:ascii="Arial" w:cs="Arial" w:eastAsia="Arial" w:hAnsi="Arial"/>
          <w:sz w:val="14"/>
          <w:szCs w:val="14"/>
          <w:color w:val="auto"/>
        </w:rPr>
        <w:t>a make-whole amount (as described in the section entitled “Description of the Notes — Optional Redemption”) and</w:t>
      </w:r>
    </w:p>
    <w:p>
      <w:pPr>
        <w:ind w:left="10" w:right="539" w:hanging="10"/>
        <w:spacing w:after="0" w:line="252" w:lineRule="auto"/>
        <w:tabs>
          <w:tab w:leader="none" w:pos="199" w:val="left"/>
        </w:tabs>
        <w:numPr>
          <w:ilvl w:val="0"/>
          <w:numId w:val="1"/>
        </w:numPr>
        <w:rPr>
          <w:rFonts w:ascii="Arial" w:cs="Arial" w:eastAsia="Arial" w:hAnsi="Arial"/>
          <w:sz w:val="13"/>
          <w:szCs w:val="13"/>
          <w:color w:val="auto"/>
        </w:rPr>
      </w:pPr>
      <w:r>
        <w:rPr>
          <w:rFonts w:ascii="Arial" w:cs="Arial" w:eastAsia="Arial" w:hAnsi="Arial"/>
          <w:sz w:val="13"/>
          <w:szCs w:val="13"/>
          <w:color w:val="auto"/>
        </w:rPr>
        <w:t>100% of the principal amount of the notes to be redeemed, plus accrued and unpaid interest thereon to, but excluding, the redemption date. In addition, we may redeem the 20    notes, in whole or in part, at any time from or after                   , 20    , and the 20    notes, in whole or in part, at any time from or after                   , 20    , in each case,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with respect to such series. See the section entitled “Description of the Notes — Repurchase of Notes Upon a Change of Control Triggering Event” for more information.</w:t>
      </w:r>
    </w:p>
    <w:p>
      <w:pPr>
        <w:spacing w:after="0" w:line="19" w:lineRule="exact"/>
        <w:rPr>
          <w:sz w:val="24"/>
          <w:szCs w:val="24"/>
          <w:color w:val="auto"/>
        </w:rPr>
      </w:pPr>
    </w:p>
    <w:p>
      <w:pPr>
        <w:ind w:left="10" w:right="599"/>
        <w:spacing w:after="0" w:line="265" w:lineRule="auto"/>
        <w:rPr>
          <w:sz w:val="20"/>
          <w:szCs w:val="20"/>
          <w:color w:val="auto"/>
        </w:rPr>
      </w:pPr>
      <w:r>
        <w:rPr>
          <w:rFonts w:ascii="Arial" w:cs="Arial" w:eastAsia="Arial" w:hAnsi="Arial"/>
          <w:sz w:val="14"/>
          <w:szCs w:val="14"/>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17780</wp:posOffset>
            </wp:positionV>
            <wp:extent cx="10096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10" w:lineRule="exact"/>
        <w:rPr>
          <w:sz w:val="24"/>
          <w:szCs w:val="24"/>
          <w:color w:val="auto"/>
        </w:rPr>
      </w:pPr>
    </w:p>
    <w:p>
      <w:pPr>
        <w:ind w:left="10" w:right="579"/>
        <w:spacing w:after="0" w:line="277" w:lineRule="auto"/>
        <w:rPr>
          <w:sz w:val="20"/>
          <w:szCs w:val="20"/>
          <w:color w:val="auto"/>
        </w:rPr>
      </w:pPr>
      <w:r>
        <w:rPr>
          <w:rFonts w:ascii="Arial" w:cs="Arial" w:eastAsia="Arial" w:hAnsi="Arial"/>
          <w:sz w:val="14"/>
          <w:szCs w:val="14"/>
          <w:b w:val="1"/>
          <w:bCs w:val="1"/>
          <w:color w:val="auto"/>
        </w:rPr>
        <w:t xml:space="preserve">Investing in the notes involves risks. See “Risk Factors” beginning on page </w:t>
      </w:r>
      <w:r>
        <w:rPr>
          <w:rFonts w:ascii="Arial" w:cs="Arial" w:eastAsia="Arial" w:hAnsi="Arial"/>
          <w:sz w:val="14"/>
          <w:szCs w:val="14"/>
          <w:b w:val="1"/>
          <w:bCs w:val="1"/>
          <w:u w:val="single" w:color="auto"/>
          <w:color w:val="0000EE"/>
        </w:rPr>
        <w:t>S-5</w:t>
      </w:r>
      <w:r>
        <w:rPr>
          <w:rFonts w:ascii="Arial" w:cs="Arial" w:eastAsia="Arial" w:hAnsi="Arial"/>
          <w:sz w:val="14"/>
          <w:szCs w:val="14"/>
          <w:b w:val="1"/>
          <w:bCs w:val="1"/>
          <w:color w:val="auto"/>
        </w:rPr>
        <w:t xml:space="preserve"> for a discussion of certain risks that should be considered in connection with an investment in the notes.</w:t>
      </w:r>
    </w:p>
    <w:p>
      <w:pPr>
        <w:spacing w:after="0" w:line="4" w:lineRule="exact"/>
        <w:rPr>
          <w:sz w:val="24"/>
          <w:szCs w:val="24"/>
          <w:color w:val="auto"/>
        </w:rPr>
      </w:pPr>
    </w:p>
    <w:p>
      <w:pPr>
        <w:ind w:left="10" w:right="819"/>
        <w:spacing w:after="0" w:line="25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18415</wp:posOffset>
            </wp:positionV>
            <wp:extent cx="10096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9"/>
              </w:rPr>
              <w:t>Public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Underwriting</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Proceeds</w:t>
            </w: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8"/>
              </w:rPr>
              <w:t>offering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780" w:type="dxa"/>
            <w:vAlign w:val="bottom"/>
            <w:gridSpan w:val="3"/>
          </w:tcPr>
          <w:p>
            <w:pPr>
              <w:spacing w:after="0" w:line="122" w:lineRule="exact"/>
              <w:rPr>
                <w:sz w:val="20"/>
                <w:szCs w:val="20"/>
                <w:color w:val="auto"/>
              </w:rPr>
            </w:pPr>
            <w:r>
              <w:rPr>
                <w:rFonts w:ascii="Arial" w:cs="Arial" w:eastAsia="Arial" w:hAnsi="Arial"/>
                <w:sz w:val="12"/>
                <w:szCs w:val="12"/>
                <w:b w:val="1"/>
                <w:bCs w:val="1"/>
                <w:color w:val="auto"/>
              </w:rPr>
              <w:t>to us, before</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20"/>
                <w:szCs w:val="20"/>
                <w:color w:val="auto"/>
              </w:rPr>
            </w:pPr>
            <w:r>
              <w:rPr>
                <w:rFonts w:ascii="Arial" w:cs="Arial" w:eastAsia="Arial" w:hAnsi="Arial"/>
                <w:sz w:val="12"/>
                <w:szCs w:val="12"/>
                <w:b w:val="1"/>
                <w:bCs w:val="1"/>
                <w:color w:val="auto"/>
              </w:rPr>
              <w:t>​</w:t>
            </w:r>
          </w:p>
        </w:tc>
        <w:tc>
          <w:tcPr>
            <w:tcW w:w="2620" w:type="dxa"/>
            <w:vAlign w:val="bottom"/>
          </w:tcPr>
          <w:p>
            <w:pPr>
              <w:spacing w:after="0"/>
              <w:rPr>
                <w:sz w:val="13"/>
                <w:szCs w:val="13"/>
                <w:color w:val="auto"/>
              </w:rPr>
            </w:pPr>
          </w:p>
        </w:tc>
        <w:tc>
          <w:tcPr>
            <w:tcW w:w="2580" w:type="dxa"/>
            <w:vAlign w:val="bottom"/>
            <w:gridSpan w:val="2"/>
          </w:tcPr>
          <w:p>
            <w:pPr>
              <w:ind w:left="1960"/>
              <w:spacing w:after="0" w:line="152" w:lineRule="exact"/>
              <w:rPr>
                <w:sz w:val="20"/>
                <w:szCs w:val="20"/>
                <w:color w:val="auto"/>
              </w:rPr>
            </w:pPr>
            <w:r>
              <w:rPr>
                <w:rFonts w:ascii="Arial" w:cs="Arial" w:eastAsia="Arial" w:hAnsi="Arial"/>
                <w:sz w:val="12"/>
                <w:szCs w:val="12"/>
                <w:b w:val="1"/>
                <w:bCs w:val="1"/>
                <w:color w:val="auto"/>
              </w:rPr>
              <w:t>​ ​  price</w:t>
            </w:r>
            <w:r>
              <w:rPr>
                <w:rFonts w:ascii="Arial" w:cs="Arial" w:eastAsia="Arial" w:hAnsi="Arial"/>
                <w:sz w:val="14"/>
                <w:szCs w:val="14"/>
                <w:b w:val="1"/>
                <w:bCs w:val="1"/>
                <w:color w:val="auto"/>
                <w:vertAlign w:val="superscript"/>
              </w:rPr>
              <w:t>(1)</w:t>
            </w: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discount</w:t>
            </w:r>
            <w:r>
              <w:rPr>
                <w:rFonts w:ascii="Arial" w:cs="Arial" w:eastAsia="Arial" w:hAnsi="Arial"/>
                <w:sz w:val="7"/>
                <w:szCs w:val="7"/>
                <w:b w:val="1"/>
                <w:bCs w:val="1"/>
                <w:color w:val="auto"/>
                <w:w w:val="95"/>
              </w:rPr>
              <w:t>(2)</w:t>
            </w: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expenses</w:t>
            </w:r>
            <w:r>
              <w:rPr>
                <w:rFonts w:ascii="Arial" w:cs="Arial" w:eastAsia="Arial" w:hAnsi="Arial"/>
                <w:sz w:val="7"/>
                <w:szCs w:val="7"/>
                <w:b w:val="1"/>
                <w:bCs w:val="1"/>
                <w:color w:val="auto"/>
              </w:rPr>
              <w:t>(1)</w:t>
            </w:r>
            <w:r>
              <w:rPr>
                <w:rFonts w:ascii="Arial" w:cs="Arial" w:eastAsia="Arial" w:hAnsi="Arial"/>
                <w:sz w:val="12"/>
                <w:szCs w:val="12"/>
                <w:b w:val="1"/>
                <w:bCs w:val="1"/>
                <w:color w:val="auto"/>
              </w:rPr>
              <w:t xml:space="preserve">  ​</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3"/>
                <w:szCs w:val="13"/>
                <w:color w:val="auto"/>
              </w:rPr>
              <w:t>Per 20      Note</w:t>
            </w:r>
          </w:p>
        </w:tc>
        <w:tc>
          <w:tcPr>
            <w:tcW w:w="2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 ​</w:t>
            </w: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960" w:type="dxa"/>
            <w:vAlign w:val="bottom"/>
            <w:gridSpan w:val="2"/>
            <w:vMerge w:val="continue"/>
          </w:tcPr>
          <w:p>
            <w:pPr>
              <w:spacing w:after="0"/>
              <w:rPr>
                <w:sz w:val="12"/>
                <w:szCs w:val="12"/>
                <w:color w:val="auto"/>
              </w:rPr>
            </w:pPr>
          </w:p>
        </w:tc>
        <w:tc>
          <w:tcPr>
            <w:tcW w:w="2600" w:type="dxa"/>
            <w:vAlign w:val="bottom"/>
            <w:gridSpan w:val="3"/>
          </w:tcPr>
          <w:p>
            <w:pPr>
              <w:ind w:left="1960"/>
              <w:spacing w:after="0" w:line="146" w:lineRule="exact"/>
              <w:rPr>
                <w:sz w:val="20"/>
                <w:szCs w:val="20"/>
                <w:color w:val="auto"/>
              </w:rPr>
            </w:pPr>
            <w:r>
              <w:rPr>
                <w:rFonts w:ascii="Arial" w:cs="Arial" w:eastAsia="Arial" w:hAnsi="Arial"/>
                <w:sz w:val="13"/>
                <w:szCs w:val="13"/>
                <w:color w:val="auto"/>
              </w:rPr>
              <w:t xml:space="preserve">​ ​​ ​           </w:t>
            </w:r>
          </w:p>
        </w:tc>
        <w:tc>
          <w:tcPr>
            <w:tcW w:w="180" w:type="dxa"/>
            <w:vAlign w:val="bottom"/>
            <w:gridSpan w:val="2"/>
            <w:vMerge w:val="continue"/>
          </w:tcPr>
          <w:p>
            <w:pPr>
              <w:spacing w:after="0"/>
              <w:rPr>
                <w:sz w:val="12"/>
                <w:szCs w:val="12"/>
                <w:color w:val="auto"/>
              </w:rPr>
            </w:pPr>
          </w:p>
        </w:tc>
        <w:tc>
          <w:tcPr>
            <w:tcW w:w="160" w:type="dxa"/>
            <w:vAlign w:val="bottom"/>
          </w:tcPr>
          <w:p>
            <w:pPr>
              <w:ind w:left="6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spacing w:after="0" w:line="146" w:lineRule="exact"/>
              <w:rPr>
                <w:sz w:val="20"/>
                <w:szCs w:val="20"/>
                <w:color w:val="auto"/>
              </w:rPr>
            </w:pPr>
            <w:r>
              <w:rPr>
                <w:rFonts w:ascii="Arial" w:cs="Arial" w:eastAsia="Arial" w:hAnsi="Arial"/>
                <w:sz w:val="13"/>
                <w:szCs w:val="13"/>
                <w:color w:val="auto"/>
              </w:rPr>
              <w:t>​             %​​ ​</w:t>
            </w:r>
          </w:p>
        </w:tc>
        <w:tc>
          <w:tcPr>
            <w:tcW w:w="220" w:type="dxa"/>
            <w:vAlign w:val="bottom"/>
          </w:tcPr>
          <w:p>
            <w:pPr>
              <w:ind w:left="160"/>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20"/>
                <w:szCs w:val="20"/>
                <w:color w:val="auto"/>
              </w:rPr>
            </w:pPr>
            <w:r>
              <w:rPr>
                <w:rFonts w:ascii="Arial" w:cs="Arial" w:eastAsia="Arial" w:hAnsi="Arial"/>
                <w:sz w:val="13"/>
                <w:szCs w:val="13"/>
                <w:color w:val="auto"/>
              </w:rPr>
              <w:t xml:space="preserve">20     </w:t>
            </w:r>
          </w:p>
        </w:tc>
        <w:tc>
          <w:tcPr>
            <w:tcW w:w="2620" w:type="dxa"/>
            <w:vAlign w:val="bottom"/>
          </w:tcPr>
          <w:p>
            <w:pPr>
              <w:ind w:left="40"/>
              <w:spacing w:after="0"/>
              <w:rPr>
                <w:sz w:val="20"/>
                <w:szCs w:val="20"/>
                <w:color w:val="auto"/>
              </w:rPr>
            </w:pPr>
            <w:r>
              <w:rPr>
                <w:rFonts w:ascii="Arial" w:cs="Arial" w:eastAsia="Arial" w:hAnsi="Arial"/>
                <w:sz w:val="13"/>
                <w:szCs w:val="13"/>
                <w:color w:val="auto"/>
              </w:rPr>
              <w:t>Notes Total</w:t>
            </w:r>
          </w:p>
        </w:tc>
        <w:tc>
          <w:tcPr>
            <w:tcW w:w="2580" w:type="dxa"/>
            <w:vAlign w:val="bottom"/>
            <w:gridSpan w:val="2"/>
          </w:tcPr>
          <w:p>
            <w:pPr>
              <w:ind w:left="1960"/>
              <w:spacing w:after="0"/>
              <w:rPr>
                <w:sz w:val="20"/>
                <w:szCs w:val="20"/>
                <w:color w:val="auto"/>
              </w:rPr>
            </w:pPr>
            <w:r>
              <w:rPr>
                <w:rFonts w:ascii="Arial" w:cs="Arial" w:eastAsia="Arial" w:hAnsi="Arial"/>
                <w:sz w:val="13"/>
                <w:szCs w:val="13"/>
                <w:color w:val="auto"/>
              </w:rPr>
              <w:t>​ ​​$</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2960" w:type="dxa"/>
            <w:vAlign w:val="bottom"/>
            <w:gridSpan w:val="2"/>
          </w:tcPr>
          <w:p>
            <w:pPr>
              <w:spacing w:after="0"/>
              <w:rPr>
                <w:sz w:val="20"/>
                <w:szCs w:val="20"/>
                <w:color w:val="auto"/>
              </w:rPr>
            </w:pPr>
            <w:r>
              <w:rPr>
                <w:rFonts w:ascii="Arial" w:cs="Arial" w:eastAsia="Arial" w:hAnsi="Arial"/>
                <w:sz w:val="13"/>
                <w:szCs w:val="13"/>
                <w:color w:val="auto"/>
              </w:rPr>
              <w:t>Per 20      Note</w:t>
            </w:r>
          </w:p>
        </w:tc>
        <w:tc>
          <w:tcPr>
            <w:tcW w:w="2580" w:type="dxa"/>
            <w:vAlign w:val="bottom"/>
            <w:gridSpan w:val="2"/>
          </w:tcPr>
          <w:p>
            <w:pPr>
              <w:ind w:left="1960"/>
              <w:spacing w:after="0"/>
              <w:rPr>
                <w:sz w:val="20"/>
                <w:szCs w:val="20"/>
                <w:color w:val="auto"/>
              </w:rPr>
            </w:pPr>
            <w:r>
              <w:rPr>
                <w:rFonts w:ascii="Arial" w:cs="Arial" w:eastAsia="Arial" w:hAnsi="Arial"/>
                <w:sz w:val="13"/>
                <w:szCs w:val="13"/>
                <w:color w:val="auto"/>
              </w:rPr>
              <w:t>​ ​​ ​</w:t>
            </w:r>
          </w:p>
        </w:tc>
        <w:tc>
          <w:tcPr>
            <w:tcW w:w="20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220" w:type="dxa"/>
            <w:vAlign w:val="bottom"/>
          </w:tcPr>
          <w:p>
            <w:pPr>
              <w:ind w:left="1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340" w:type="dxa"/>
            <w:vAlign w:val="bottom"/>
          </w:tcPr>
          <w:p>
            <w:pPr>
              <w:spacing w:after="0"/>
              <w:rPr>
                <w:sz w:val="20"/>
                <w:szCs w:val="20"/>
                <w:color w:val="auto"/>
              </w:rPr>
            </w:pPr>
            <w:r>
              <w:rPr>
                <w:rFonts w:ascii="Arial" w:cs="Arial" w:eastAsia="Arial" w:hAnsi="Arial"/>
                <w:sz w:val="13"/>
                <w:szCs w:val="13"/>
                <w:color w:val="auto"/>
              </w:rPr>
              <w:t xml:space="preserve">20     </w:t>
            </w:r>
          </w:p>
        </w:tc>
        <w:tc>
          <w:tcPr>
            <w:tcW w:w="2620" w:type="dxa"/>
            <w:vAlign w:val="bottom"/>
          </w:tcPr>
          <w:p>
            <w:pPr>
              <w:ind w:left="40"/>
              <w:spacing w:after="0"/>
              <w:rPr>
                <w:sz w:val="20"/>
                <w:szCs w:val="20"/>
                <w:color w:val="auto"/>
              </w:rPr>
            </w:pPr>
            <w:r>
              <w:rPr>
                <w:rFonts w:ascii="Arial" w:cs="Arial" w:eastAsia="Arial" w:hAnsi="Arial"/>
                <w:sz w:val="13"/>
                <w:szCs w:val="13"/>
                <w:color w:val="auto"/>
              </w:rPr>
              <w:t>Notes Total</w:t>
            </w:r>
          </w:p>
        </w:tc>
        <w:tc>
          <w:tcPr>
            <w:tcW w:w="2580" w:type="dxa"/>
            <w:vAlign w:val="bottom"/>
            <w:gridSpan w:val="2"/>
          </w:tcPr>
          <w:p>
            <w:pPr>
              <w:ind w:left="1960"/>
              <w:spacing w:after="0"/>
              <w:rPr>
                <w:sz w:val="20"/>
                <w:szCs w:val="20"/>
                <w:color w:val="auto"/>
              </w:rPr>
            </w:pPr>
            <w:r>
              <w:rPr>
                <w:rFonts w:ascii="Arial" w:cs="Arial" w:eastAsia="Arial" w:hAnsi="Arial"/>
                <w:sz w:val="13"/>
                <w:szCs w:val="13"/>
                <w:color w:val="auto"/>
              </w:rPr>
              <w:t>​ ​​$</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340" w:type="dxa"/>
            <w:vAlign w:val="bottom"/>
          </w:tcPr>
          <w:p>
            <w:pPr>
              <w:spacing w:after="0"/>
              <w:rPr>
                <w:sz w:val="20"/>
                <w:szCs w:val="20"/>
                <w:color w:val="auto"/>
              </w:rPr>
            </w:pPr>
            <w:r>
              <w:rPr>
                <w:rFonts w:ascii="Arial" w:cs="Arial" w:eastAsia="Arial" w:hAnsi="Arial"/>
                <w:sz w:val="13"/>
                <w:szCs w:val="13"/>
                <w:color w:val="auto"/>
              </w:rPr>
              <w:t>Total</w:t>
            </w:r>
          </w:p>
        </w:tc>
        <w:tc>
          <w:tcPr>
            <w:tcW w:w="2620" w:type="dxa"/>
            <w:vAlign w:val="bottom"/>
          </w:tcPr>
          <w:p>
            <w:pPr>
              <w:spacing w:after="0"/>
              <w:rPr>
                <w:sz w:val="15"/>
                <w:szCs w:val="15"/>
                <w:color w:val="auto"/>
              </w:rPr>
            </w:pPr>
          </w:p>
        </w:tc>
        <w:tc>
          <w:tcPr>
            <w:tcW w:w="2580" w:type="dxa"/>
            <w:vAlign w:val="bottom"/>
            <w:gridSpan w:val="2"/>
          </w:tcPr>
          <w:p>
            <w:pPr>
              <w:ind w:left="1960"/>
              <w:spacing w:after="0"/>
              <w:rPr>
                <w:sz w:val="20"/>
                <w:szCs w:val="20"/>
                <w:color w:val="auto"/>
              </w:rPr>
            </w:pPr>
            <w:r>
              <w:rPr>
                <w:rFonts w:ascii="Arial" w:cs="Arial" w:eastAsia="Arial" w:hAnsi="Arial"/>
                <w:sz w:val="13"/>
                <w:szCs w:val="13"/>
                <w:color w:val="auto"/>
              </w:rPr>
              <w:t>​ ​​$</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4718050" cy="112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18050" cy="1123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-111760</wp:posOffset>
            </wp:positionV>
            <wp:extent cx="4718050" cy="112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0" cy="1123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-546100</wp:posOffset>
            </wp:positionV>
            <wp:extent cx="471805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0" cy="1054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126365</wp:posOffset>
            </wp:positionV>
            <wp:extent cx="10096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307" w:lineRule="exact"/>
        <w:rPr>
          <w:sz w:val="24"/>
          <w:szCs w:val="24"/>
          <w:color w:val="auto"/>
        </w:rPr>
      </w:pPr>
    </w:p>
    <w:p>
      <w:pPr>
        <w:ind w:left="290" w:hanging="290"/>
        <w:spacing w:after="0"/>
        <w:tabs>
          <w:tab w:leader="none" w:pos="290" w:val="left"/>
        </w:tabs>
        <w:numPr>
          <w:ilvl w:val="0"/>
          <w:numId w:val="2"/>
        </w:numPr>
        <w:rPr>
          <w:rFonts w:ascii="Arial" w:cs="Arial" w:eastAsia="Arial" w:hAnsi="Arial"/>
          <w:sz w:val="13"/>
          <w:szCs w:val="13"/>
          <w:color w:val="auto"/>
        </w:rPr>
      </w:pPr>
      <w:r>
        <w:rPr>
          <w:rFonts w:ascii="Arial" w:cs="Arial" w:eastAsia="Arial" w:hAnsi="Arial"/>
          <w:sz w:val="13"/>
          <w:szCs w:val="13"/>
          <w:color w:val="auto"/>
        </w:rPr>
        <w:t>Plus accrued interest, if any, from                     , 2025.</w:t>
      </w:r>
    </w:p>
    <w:p>
      <w:pPr>
        <w:spacing w:after="0" w:line="60" w:lineRule="exact"/>
        <w:rPr>
          <w:rFonts w:ascii="Arial" w:cs="Arial" w:eastAsia="Arial" w:hAnsi="Arial"/>
          <w:sz w:val="13"/>
          <w:szCs w:val="13"/>
          <w:color w:val="auto"/>
        </w:rPr>
      </w:pPr>
    </w:p>
    <w:p>
      <w:pPr>
        <w:ind w:left="290" w:hanging="290"/>
        <w:spacing w:after="0"/>
        <w:tabs>
          <w:tab w:leader="none" w:pos="29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underwriters have agreed to reimburse us for certain expenses in connection with the offering. See “Underwriting.”</w:t>
      </w:r>
    </w:p>
    <w:p>
      <w:pPr>
        <w:spacing w:after="0" w:line="45" w:lineRule="exact"/>
        <w:rPr>
          <w:sz w:val="24"/>
          <w:szCs w:val="24"/>
          <w:color w:val="auto"/>
        </w:rPr>
      </w:pPr>
    </w:p>
    <w:p>
      <w:pPr>
        <w:ind w:left="10" w:right="819"/>
        <w:spacing w:after="0" w:line="247" w:lineRule="auto"/>
        <w:rPr>
          <w:sz w:val="20"/>
          <w:szCs w:val="20"/>
          <w:color w:val="auto"/>
        </w:rPr>
      </w:pPr>
      <w:r>
        <w:rPr>
          <w:rFonts w:ascii="Arial" w:cs="Arial" w:eastAsia="Arial" w:hAnsi="Arial"/>
          <w:sz w:val="14"/>
          <w:szCs w:val="14"/>
          <w:color w:val="auto"/>
        </w:rPr>
        <w:t>Interest on the notes will accrue from                   , 2025.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33" w:lineRule="exact"/>
        <w:rPr>
          <w:sz w:val="24"/>
          <w:szCs w:val="24"/>
          <w:color w:val="auto"/>
        </w:rPr>
      </w:pPr>
    </w:p>
    <w:p>
      <w:pPr>
        <w:ind w:left="10" w:right="559"/>
        <w:spacing w:after="0" w:line="247" w:lineRule="auto"/>
        <w:rPr>
          <w:sz w:val="20"/>
          <w:szCs w:val="20"/>
          <w:color w:val="auto"/>
        </w:rPr>
      </w:pPr>
      <w:r>
        <w:rPr>
          <w:rFonts w:ascii="Arial" w:cs="Arial" w:eastAsia="Arial" w:hAnsi="Arial"/>
          <w:sz w:val="14"/>
          <w:szCs w:val="14"/>
          <w:color w:val="auto"/>
        </w:rPr>
        <w:t>The underwriters expect to deliver the notes to purchasers through the book-entry delivery system of The Depository Trust Company and its participants, including Euroclear Bank S.A./N.V and Clearstream Banking, S.A., on or about                     , 2025, which will be the third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33020</wp:posOffset>
            </wp:positionV>
            <wp:extent cx="10096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36" w:lineRule="exact"/>
        <w:rPr>
          <w:sz w:val="24"/>
          <w:szCs w:val="24"/>
          <w:color w:val="auto"/>
        </w:rPr>
      </w:pPr>
    </w:p>
    <w:p>
      <w:pPr>
        <w:jc w:val="center"/>
        <w:ind w:right="529"/>
        <w:spacing w:after="0"/>
        <w:rPr>
          <w:sz w:val="20"/>
          <w:szCs w:val="20"/>
          <w:color w:val="auto"/>
        </w:rPr>
      </w:pPr>
      <w:r>
        <w:rPr>
          <w:rFonts w:ascii="Arial" w:cs="Arial" w:eastAsia="Arial" w:hAnsi="Arial"/>
          <w:sz w:val="14"/>
          <w:szCs w:val="14"/>
          <w:i w:val="1"/>
          <w:iCs w:val="1"/>
          <w:color w:val="auto"/>
        </w:rPr>
        <w:t>Joint Book-Running Managers</w:t>
      </w:r>
    </w:p>
    <w:p>
      <w:pPr>
        <w:spacing w:after="0" w:line="36" w:lineRule="exact"/>
        <w:rPr>
          <w:sz w:val="24"/>
          <w:szCs w:val="24"/>
          <w:color w:val="auto"/>
        </w:rPr>
      </w:pPr>
    </w:p>
    <w:p>
      <w:pPr>
        <w:ind w:left="10"/>
        <w:spacing w:after="0"/>
        <w:tabs>
          <w:tab w:leader="none" w:pos="2029" w:val="left"/>
          <w:tab w:leader="none" w:pos="4089" w:val="left"/>
          <w:tab w:leader="none" w:pos="5229" w:val="left"/>
        </w:tabs>
        <w:rPr>
          <w:sz w:val="20"/>
          <w:szCs w:val="20"/>
          <w:color w:val="auto"/>
        </w:rPr>
      </w:pPr>
      <w:r>
        <w:rPr>
          <w:rFonts w:ascii="Arial" w:cs="Arial" w:eastAsia="Arial" w:hAnsi="Arial"/>
          <w:sz w:val="21"/>
          <w:szCs w:val="21"/>
          <w:b w:val="1"/>
          <w:bCs w:val="1"/>
          <w:color w:val="auto"/>
        </w:rPr>
        <w:t>Morgan Stanley</w:t>
      </w:r>
      <w:r>
        <w:rPr>
          <w:sz w:val="20"/>
          <w:szCs w:val="20"/>
          <w:color w:val="auto"/>
        </w:rPr>
        <w:tab/>
      </w:r>
      <w:r>
        <w:rPr>
          <w:rFonts w:ascii="Arial" w:cs="Arial" w:eastAsia="Arial" w:hAnsi="Arial"/>
          <w:sz w:val="21"/>
          <w:szCs w:val="21"/>
          <w:b w:val="1"/>
          <w:bCs w:val="1"/>
          <w:color w:val="auto"/>
        </w:rPr>
        <w:t>BofA Securities</w:t>
      </w:r>
      <w:r>
        <w:rPr>
          <w:sz w:val="20"/>
          <w:szCs w:val="20"/>
          <w:color w:val="auto"/>
        </w:rPr>
        <w:tab/>
      </w:r>
      <w:r>
        <w:rPr>
          <w:rFonts w:ascii="Arial" w:cs="Arial" w:eastAsia="Arial" w:hAnsi="Arial"/>
          <w:sz w:val="21"/>
          <w:szCs w:val="21"/>
          <w:b w:val="1"/>
          <w:bCs w:val="1"/>
          <w:color w:val="auto"/>
        </w:rPr>
        <w:t>HSBC</w:t>
      </w:r>
      <w:r>
        <w:rPr>
          <w:sz w:val="20"/>
          <w:szCs w:val="20"/>
          <w:color w:val="auto"/>
        </w:rPr>
        <w:tab/>
      </w:r>
      <w:r>
        <w:rPr>
          <w:rFonts w:ascii="Arial" w:cs="Arial" w:eastAsia="Arial" w:hAnsi="Arial"/>
          <w:sz w:val="20"/>
          <w:szCs w:val="20"/>
          <w:b w:val="1"/>
          <w:bCs w:val="1"/>
          <w:color w:val="auto"/>
        </w:rPr>
        <w:t>Wells Fargo Securities</w:t>
      </w:r>
    </w:p>
    <w:p>
      <w:pPr>
        <w:spacing w:after="0" w:line="56" w:lineRule="exact"/>
        <w:rPr>
          <w:sz w:val="24"/>
          <w:szCs w:val="24"/>
          <w:color w:val="auto"/>
        </w:rPr>
      </w:pPr>
    </w:p>
    <w:p>
      <w:pPr>
        <w:jc w:val="center"/>
        <w:ind w:right="529"/>
        <w:spacing w:after="0"/>
        <w:rPr>
          <w:sz w:val="20"/>
          <w:szCs w:val="20"/>
          <w:color w:val="auto"/>
        </w:rPr>
      </w:pPr>
      <w:r>
        <w:rPr>
          <w:rFonts w:ascii="Arial" w:cs="Arial" w:eastAsia="Arial" w:hAnsi="Arial"/>
          <w:sz w:val="14"/>
          <w:szCs w:val="14"/>
          <w:color w:val="auto"/>
        </w:rPr>
        <w: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478790</wp:posOffset>
            </wp:positionV>
            <wp:extent cx="555879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8790" cy="39370"/>
                    </a:xfrm>
                    <a:prstGeom prst="rect">
                      <a:avLst/>
                    </a:prstGeom>
                    <a:noFill/>
                  </pic:spPr>
                </pic:pic>
              </a:graphicData>
            </a:graphic>
          </wp:anchor>
        </w:drawing>
      </w:r>
    </w:p>
    <w:p>
      <w:pPr>
        <w:sectPr>
          <w:pgSz w:w="11900" w:h="16838" w:orient="portrait"/>
          <w:cols w:equalWidth="0" w:num="2">
            <w:col w:w="860" w:space="190"/>
            <w:col w:w="7969"/>
          </w:cols>
          <w:pgMar w:left="1440" w:top="194" w:right="1440" w:bottom="1440" w:gutter="0" w:footer="0" w:header="0"/>
          <w:type w:val="continuous"/>
        </w:sectPr>
      </w:pPr>
    </w:p>
    <w:bookmarkStart w:id="1" w:name="page2"/>
    <w:bookmarkEnd w:id="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Prospectus Supplement</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wp:posOffset>
            </wp:positionV>
            <wp:extent cx="4262120" cy="140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Cautionary Note on Forward-Looking Statements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Summary</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Use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Description of the Notes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Underwriting</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Where You Can Find More Information</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Prospectus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wp:posOffset>
            </wp:positionV>
            <wp:extent cx="4262120" cy="140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About This Prospectus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The Company</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Use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Plan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S-ii</w:t>
      </w:r>
      <w:r>
        <w:rPr>
          <w:rFonts w:ascii="Arial" w:cs="Arial" w:eastAsia="Arial" w:hAnsi="Arial"/>
          <w:sz w:val="15"/>
          <w:szCs w:val="15"/>
          <w:color w:val="auto"/>
        </w:rPr>
        <w: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S-iv</w:t>
      </w:r>
      <w:r>
        <w:rPr>
          <w:rFonts w:ascii="Arial" w:cs="Arial" w:eastAsia="Arial" w:hAnsi="Arial"/>
          <w:sz w:val="15"/>
          <w:szCs w:val="15"/>
          <w:color w:val="auto"/>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S-1</w:t>
      </w:r>
      <w:r>
        <w:rPr>
          <w:rFonts w:ascii="Arial" w:cs="Arial" w:eastAsia="Arial" w:hAnsi="Arial"/>
          <w:sz w:val="15"/>
          <w:szCs w:val="15"/>
          <w:color w:val="auto"/>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S-5</w:t>
      </w:r>
      <w:r>
        <w:rPr>
          <w:rFonts w:ascii="Arial" w:cs="Arial" w:eastAsia="Arial" w:hAnsi="Arial"/>
          <w:sz w:val="15"/>
          <w:szCs w:val="15"/>
          <w:color w:val="auto"/>
        </w:rPr>
        <w: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S-9</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S-10</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S-11</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S-34</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S-39</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 xml:space="preserve"> ​</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 xml:space="preserve"> ​</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 xml:space="preserve"> ​</w:t>
      </w:r>
    </w:p>
    <w:p>
      <w:pPr>
        <w:sectPr>
          <w:pgSz w:w="11900" w:h="16838" w:orient="portrait"/>
          <w:cols w:equalWidth="0" w:num="2">
            <w:col w:w="6620" w:space="720"/>
            <w:col w:w="1679"/>
          </w:cols>
          <w:pgMar w:left="1440" w:top="98" w:right="1440" w:bottom="1440" w:gutter="0" w:footer="0" w:header="0"/>
        </w:sectPr>
      </w:pPr>
    </w:p>
    <w:bookmarkStart w:id="2" w:name="page3"/>
    <w:bookmarkEnd w:id="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CAUTIONARY NOTE ON FORWARD-</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LOOKING</w:t>
      </w:r>
    </w:p>
    <w:p>
      <w:pPr>
        <w:ind w:left="1140"/>
        <w:spacing w:after="0"/>
        <w:rPr>
          <w:sz w:val="20"/>
          <w:szCs w:val="20"/>
          <w:color w:val="auto"/>
        </w:rPr>
      </w:pPr>
      <w:r>
        <w:rPr>
          <w:rFonts w:ascii="Arial" w:cs="Arial" w:eastAsia="Arial" w:hAnsi="Arial"/>
          <w:sz w:val="32"/>
          <w:szCs w:val="32"/>
          <w:b w:val="1"/>
          <w:bCs w:val="1"/>
          <w:color w:val="auto"/>
        </w:rPr>
        <w:t>STATEMENTS</w:t>
      </w:r>
    </w:p>
    <w:p>
      <w:pPr>
        <w:spacing w:after="0" w:line="98" w:lineRule="exact"/>
        <w:rPr>
          <w:sz w:val="20"/>
          <w:szCs w:val="20"/>
          <w:color w:val="auto"/>
        </w:rPr>
      </w:pPr>
    </w:p>
    <w:p>
      <w:pPr>
        <w:ind w:left="1140" w:right="1199"/>
        <w:spacing w:after="0" w:line="250" w:lineRule="auto"/>
        <w:rPr>
          <w:sz w:val="20"/>
          <w:szCs w:val="20"/>
          <w:color w:val="auto"/>
        </w:rPr>
      </w:pPr>
      <w:r>
        <w:rPr>
          <w:rFonts w:ascii="Arial" w:cs="Arial" w:eastAsia="Arial" w:hAnsi="Arial"/>
          <w:sz w:val="15"/>
          <w:szCs w:val="15"/>
          <w:color w:val="auto"/>
        </w:rPr>
        <w:t>This prospectus supplement, the accompanying prospectus and the information incorporated herein and therein by reference contain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100" w:lineRule="exact"/>
        <w:rPr>
          <w:sz w:val="20"/>
          <w:szCs w:val="20"/>
          <w:color w:val="auto"/>
        </w:rPr>
      </w:pPr>
    </w:p>
    <w:p>
      <w:pPr>
        <w:ind w:left="1140" w:right="1619"/>
        <w:spacing w:after="0" w:line="274" w:lineRule="auto"/>
        <w:rPr>
          <w:sz w:val="20"/>
          <w:szCs w:val="20"/>
          <w:color w:val="auto"/>
        </w:rPr>
      </w:pPr>
      <w:r>
        <w:rPr>
          <w:rFonts w:ascii="Arial" w:cs="Arial" w:eastAsia="Arial" w:hAnsi="Arial"/>
          <w:sz w:val="15"/>
          <w:szCs w:val="15"/>
          <w:color w:val="auto"/>
        </w:rPr>
        <w:t>Specific forward-looking statements include, but are not limited to statements such as those made regarding:</w:t>
      </w:r>
    </w:p>
    <w:p>
      <w:pPr>
        <w:spacing w:after="0" w:line="48" w:lineRule="exact"/>
        <w:rPr>
          <w:sz w:val="20"/>
          <w:szCs w:val="20"/>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expected production ramp of certain products;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plans to invest in research and development, including the plans to implement EUV lithography;</w:t>
      </w:r>
    </w:p>
    <w:p>
      <w:pPr>
        <w:spacing w:after="0" w:line="114" w:lineRule="exact"/>
        <w:rPr>
          <w:rFonts w:ascii="Arial" w:cs="Arial" w:eastAsia="Arial" w:hAnsi="Arial"/>
          <w:sz w:val="14"/>
          <w:szCs w:val="14"/>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anticipated technological developments;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potential change and impact in our effective tax rate;</w:t>
      </w:r>
    </w:p>
    <w:p>
      <w:pPr>
        <w:spacing w:after="0" w:line="92" w:lineRule="exact"/>
        <w:rPr>
          <w:rFonts w:ascii="Arial" w:cs="Arial" w:eastAsia="Arial" w:hAnsi="Arial"/>
          <w:sz w:val="15"/>
          <w:szCs w:val="15"/>
          <w:color w:val="auto"/>
        </w:rPr>
      </w:pPr>
    </w:p>
    <w:p>
      <w:pPr>
        <w:ind w:left="1580" w:right="1339" w:hanging="138"/>
        <w:spacing w:after="0" w:line="274"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for construction, expansion and ramping of production for our facilities, including new memory manufacturing fabs in the United States;</w:t>
      </w:r>
    </w:p>
    <w:p>
      <w:pPr>
        <w:spacing w:after="0" w:line="47" w:lineRule="exact"/>
        <w:rPr>
          <w:rFonts w:ascii="Arial" w:cs="Arial" w:eastAsia="Arial" w:hAnsi="Arial"/>
          <w:sz w:val="15"/>
          <w:szCs w:val="15"/>
          <w:color w:val="auto"/>
        </w:rPr>
      </w:pPr>
    </w:p>
    <w:p>
      <w:pPr>
        <w:ind w:left="1580" w:right="1679" w:hanging="138"/>
        <w:spacing w:after="0" w:line="274"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receipt, timing, and utilization of government incentives and our ability to satisfy conditions attached to those incentives;</w:t>
      </w:r>
    </w:p>
    <w:p>
      <w:pPr>
        <w:spacing w:after="0" w:line="58"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payment of future cash dividends;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market conditions and profitability in our industry;</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future demand for our products and factors that may impact such demand;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DRAM bit shipments in future periods;</w:t>
      </w:r>
    </w:p>
    <w:p>
      <w:pPr>
        <w:spacing w:after="0" w:line="103" w:lineRule="exact"/>
        <w:rPr>
          <w:rFonts w:ascii="Arial" w:cs="Arial" w:eastAsia="Arial" w:hAnsi="Arial"/>
          <w:sz w:val="15"/>
          <w:szCs w:val="15"/>
          <w:color w:val="auto"/>
        </w:rPr>
      </w:pPr>
    </w:p>
    <w:p>
      <w:pPr>
        <w:ind w:left="1580" w:right="1599" w:hanging="138"/>
        <w:spacing w:after="0" w:line="274"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actions to align our NAND supply and the pace of ramp up of our new technology node, fab utilization and inventories with industry demand trends;</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the Cyberspace Administration of China decision;</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capital spending in 2025;</w:t>
      </w:r>
    </w:p>
    <w:p>
      <w:pPr>
        <w:spacing w:after="0" w:line="92" w:lineRule="exact"/>
        <w:rPr>
          <w:rFonts w:ascii="Arial" w:cs="Arial" w:eastAsia="Arial" w:hAnsi="Arial"/>
          <w:sz w:val="15"/>
          <w:szCs w:val="15"/>
          <w:color w:val="auto"/>
        </w:rPr>
      </w:pPr>
    </w:p>
    <w:p>
      <w:pPr>
        <w:ind w:left="1580" w:right="1239" w:hanging="138"/>
        <w:spacing w:after="0" w:line="274"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impact of business, economic, political, legal and regulatory developments upon our global operations;</w:t>
      </w:r>
    </w:p>
    <w:p>
      <w:pPr>
        <w:spacing w:after="0" w:line="58"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sufficiency of our cash and investments;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intended use of proceeds from the offering of notes.</w:t>
      </w:r>
    </w:p>
    <w:p>
      <w:pPr>
        <w:spacing w:after="0" w:line="126"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Reports on Form 10-Q incorporated by reference herein and as may be updated in this prospectus supplement and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90" w:lineRule="exact"/>
        <w:rPr>
          <w:sz w:val="20"/>
          <w:szCs w:val="20"/>
          <w:color w:val="auto"/>
        </w:rPr>
      </w:pPr>
    </w:p>
    <w:p>
      <w:pPr>
        <w:ind w:left="1140" w:right="1199"/>
        <w:spacing w:after="0" w:line="311" w:lineRule="auto"/>
        <w:rPr>
          <w:sz w:val="20"/>
          <w:szCs w:val="20"/>
          <w:color w:val="auto"/>
        </w:rPr>
      </w:pPr>
      <w:r>
        <w:rPr>
          <w:rFonts w:ascii="Arial" w:cs="Arial" w:eastAsia="Arial" w:hAnsi="Arial"/>
          <w:sz w:val="14"/>
          <w:szCs w:val="14"/>
          <w:color w:val="auto"/>
        </w:rPr>
        <w:t>All subsequent written and oral forward-looking statements attributable to us or any person acting on our behalf are expressly qualified in their entirety by the cautionary statements contained or referred to</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 w:name="page4"/>
    <w:bookmarkEnd w:id="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87" w:lineRule="auto"/>
        <w:rPr>
          <w:sz w:val="20"/>
          <w:szCs w:val="20"/>
          <w:color w:val="auto"/>
        </w:rPr>
      </w:pPr>
      <w:r>
        <w:rPr>
          <w:rFonts w:ascii="Arial" w:cs="Arial" w:eastAsia="Arial" w:hAnsi="Arial"/>
          <w:sz w:val="14"/>
          <w:szCs w:val="14"/>
          <w:color w:val="auto"/>
        </w:rPr>
        <w:t>in this prospectus supplement and any other cautionary statements that may accompany such forward-looking statements. We do not undertake any obligation to update any of these forward-looking statements to conform these statements to actual results, unless the securities laws require us to do so.</w:t>
      </w:r>
    </w:p>
    <w:p>
      <w:pPr>
        <w:spacing w:after="0" w:line="12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Trademarks and Service Marks</w:t>
      </w:r>
    </w:p>
    <w:p>
      <w:pPr>
        <w:spacing w:after="0" w:line="133" w:lineRule="exact"/>
        <w:rPr>
          <w:sz w:val="20"/>
          <w:szCs w:val="20"/>
          <w:color w:val="auto"/>
        </w:rPr>
      </w:pPr>
    </w:p>
    <w:p>
      <w:pPr>
        <w:ind w:left="1140" w:right="1159"/>
        <w:spacing w:after="0" w:line="250" w:lineRule="auto"/>
        <w:rPr>
          <w:sz w:val="20"/>
          <w:szCs w:val="20"/>
          <w:color w:val="auto"/>
        </w:rPr>
      </w:pPr>
      <w:r>
        <w:rPr>
          <w:rFonts w:ascii="Arial" w:cs="Arial" w:eastAsia="Arial" w:hAnsi="Arial"/>
          <w:sz w:val="15"/>
          <w:szCs w:val="15"/>
          <w:color w:val="auto"/>
        </w:rPr>
        <w:t>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 and ™ symbols, but we will assert, to the fullest extent under applicable law, our rights or the rights of the applicable licensors to these trademarks, service 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 SUPPLEMENT</w:t>
      </w:r>
    </w:p>
    <w:p>
      <w:pPr>
        <w:spacing w:after="0" w:line="130" w:lineRule="exact"/>
        <w:rPr>
          <w:sz w:val="20"/>
          <w:szCs w:val="20"/>
          <w:color w:val="auto"/>
        </w:rPr>
      </w:pPr>
    </w:p>
    <w:p>
      <w:pPr>
        <w:ind w:left="1140" w:right="1199"/>
        <w:spacing w:after="0" w:line="267" w:lineRule="auto"/>
        <w:rPr>
          <w:sz w:val="20"/>
          <w:szCs w:val="20"/>
          <w:color w:val="auto"/>
        </w:rPr>
      </w:pPr>
      <w:r>
        <w:rPr>
          <w:rFonts w:ascii="Arial" w:cs="Arial" w:eastAsia="Arial" w:hAnsi="Arial"/>
          <w:sz w:val="14"/>
          <w:szCs w:val="14"/>
          <w:color w:val="auto"/>
        </w:rPr>
        <w:t>This prospectus supplement and the accompanying prospectus dated November 2, 2023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w:t>
      </w:r>
    </w:p>
    <w:p>
      <w:pPr>
        <w:spacing w:after="0" w:line="2" w:lineRule="exact"/>
        <w:rPr>
          <w:sz w:val="20"/>
          <w:szCs w:val="20"/>
          <w:color w:val="auto"/>
        </w:rPr>
      </w:pPr>
    </w:p>
    <w:p>
      <w:pPr>
        <w:ind w:left="1140" w:right="1179" w:firstLine="8"/>
        <w:spacing w:after="0" w:line="265" w:lineRule="auto"/>
        <w:tabs>
          <w:tab w:leader="none" w:pos="13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93"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93"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95" w:lineRule="exact"/>
        <w:rPr>
          <w:sz w:val="20"/>
          <w:szCs w:val="20"/>
          <w:color w:val="auto"/>
        </w:rPr>
      </w:pPr>
    </w:p>
    <w:p>
      <w:pPr>
        <w:ind w:left="1140" w:right="1419"/>
        <w:spacing w:after="0" w:line="260" w:lineRule="auto"/>
        <w:rPr>
          <w:sz w:val="20"/>
          <w:szCs w:val="20"/>
          <w:color w:val="auto"/>
        </w:rPr>
      </w:pPr>
      <w:r>
        <w:rPr>
          <w:rFonts w:ascii="Arial" w:cs="Arial" w:eastAsia="Arial" w:hAnsi="Arial"/>
          <w:sz w:val="15"/>
          <w:szCs w:val="15"/>
          <w:color w:val="auto"/>
        </w:rPr>
        <w:t>Unless the context requires otherwise or unless otherwise specified, references in this prospectus supplement to “Micron,” “we,” “our,” “us,” and the “Company” refer to Micron Technology, Inc. and our consolidated subsidiaries.</w:t>
      </w:r>
    </w:p>
    <w:p>
      <w:pPr>
        <w:spacing w:after="0" w:line="91"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We expect that delivery of the notes will be made to investors on or about                     , 2025, which will be the third business day following the date of this prospectus supplement (such settlement being referred to as T+3).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 2025 will be required, by virtue of the fact that the notes initially settle in T+3, to specify an alternate settlement arrangement to prevent a failed settlement. Purchasers of the notes who wish to trade the notes more than one business day prior to                   , 2025 should consult their advisors.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auto"/>
        </w:rPr>
        <w:t>SUMMARY</w:t>
      </w:r>
    </w:p>
    <w:p>
      <w:pPr>
        <w:spacing w:after="0" w:line="88" w:lineRule="exact"/>
        <w:rPr>
          <w:sz w:val="20"/>
          <w:szCs w:val="20"/>
          <w:color w:val="auto"/>
        </w:rPr>
      </w:pPr>
    </w:p>
    <w:p>
      <w:pPr>
        <w:ind w:left="1160" w:right="1199"/>
        <w:spacing w:after="0" w:line="238" w:lineRule="auto"/>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w:t>
      </w:r>
      <w:hyperlink r:id="rId33">
        <w:r>
          <w:rPr>
            <w:rFonts w:ascii="Arial" w:cs="Arial" w:eastAsia="Arial" w:hAnsi="Arial"/>
            <w:sz w:val="15"/>
            <w:szCs w:val="15"/>
            <w:i w:val="1"/>
            <w:iCs w:val="1"/>
            <w:u w:val="single" w:color="auto"/>
            <w:color w:val="0000EE"/>
          </w:rPr>
          <w:t>Annual Report on Form 10-K for the fiscal year ended August 29, 2024</w:t>
        </w:r>
      </w:hyperlink>
      <w:r>
        <w:rPr>
          <w:rFonts w:ascii="Arial" w:cs="Arial" w:eastAsia="Arial" w:hAnsi="Arial"/>
          <w:sz w:val="15"/>
          <w:szCs w:val="15"/>
          <w:i w:val="1"/>
          <w:iCs w:val="1"/>
          <w:color w:val="auto"/>
        </w:rPr>
        <w:t xml:space="preserve">, our </w:t>
      </w:r>
      <w:hyperlink r:id="rId34">
        <w:r>
          <w:rPr>
            <w:rFonts w:ascii="Arial" w:cs="Arial" w:eastAsia="Arial" w:hAnsi="Arial"/>
            <w:sz w:val="15"/>
            <w:szCs w:val="15"/>
            <w:i w:val="1"/>
            <w:iCs w:val="1"/>
            <w:u w:val="single" w:color="auto"/>
            <w:color w:val="0000EE"/>
          </w:rPr>
          <w:t>Quarterly Report on Form 10-Q for the fiscal quarter ended February 27, 2025</w:t>
        </w:r>
      </w:hyperlink>
      <w:r>
        <w:rPr>
          <w:rFonts w:ascii="Arial" w:cs="Arial" w:eastAsia="Arial" w:hAnsi="Arial"/>
          <w:sz w:val="15"/>
          <w:szCs w:val="15"/>
          <w:i w:val="1"/>
          <w:iCs w:val="1"/>
          <w:color w:val="auto"/>
        </w:rPr>
        <w:t>, documents that we subsequently file with the SEC and the financial statements and other information included or incorporated by reference in this prospectus supplement and the accompanying prospectus, before making an investment decision.</w:t>
      </w:r>
    </w:p>
    <w:p>
      <w:pPr>
        <w:spacing w:after="0" w:line="4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6CB7"/>
        </w:rPr>
        <w:t>Micron Technology, Inc.</w:t>
      </w:r>
    </w:p>
    <w:p>
      <w:pPr>
        <w:spacing w:after="0" w:line="8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Overview</w:t>
      </w:r>
    </w:p>
    <w:p>
      <w:pPr>
        <w:spacing w:after="0" w:line="79" w:lineRule="exact"/>
        <w:rPr>
          <w:sz w:val="20"/>
          <w:szCs w:val="20"/>
          <w:color w:val="auto"/>
        </w:rPr>
      </w:pPr>
    </w:p>
    <w:p>
      <w:pPr>
        <w:ind w:left="1160" w:right="1259"/>
        <w:spacing w:after="0" w:line="242" w:lineRule="auto"/>
        <w:rPr>
          <w:sz w:val="20"/>
          <w:szCs w:val="20"/>
          <w:color w:val="auto"/>
        </w:rPr>
      </w:pPr>
      <w:r>
        <w:rPr>
          <w:rFonts w:ascii="Arial" w:cs="Arial" w:eastAsia="Arial" w:hAnsi="Arial"/>
          <w:sz w:val="14"/>
          <w:szCs w:val="14"/>
          <w:color w:val="auto"/>
        </w:rPr>
        <w:t xml:space="preserve">We are an industry leader in innovative memory and storage solutions transforming how the world uses information to enrich life </w:t>
      </w:r>
      <w:r>
        <w:rPr>
          <w:rFonts w:ascii="Arial" w:cs="Arial" w:eastAsia="Arial" w:hAnsi="Arial"/>
          <w:sz w:val="14"/>
          <w:szCs w:val="14"/>
          <w:i w:val="1"/>
          <w:iCs w:val="1"/>
          <w:color w:val="auto"/>
        </w:rPr>
        <w:t>for all</w:t>
      </w:r>
      <w:r>
        <w:rPr>
          <w:rFonts w:ascii="Arial" w:cs="Arial" w:eastAsia="Arial" w:hAnsi="Arial"/>
          <w:sz w:val="14"/>
          <w:szCs w:val="14"/>
          <w:color w:val="auto"/>
        </w:rPr>
        <w:t>. With a relentless focus on our customers, technology leadership, manufacturing, and operational excellence, Micron delivers a rich portfolio of high-performance DRAM, NAND, and NOR memory and storage products through our Micron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Crucial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52" w:lineRule="exact"/>
        <w:rPr>
          <w:sz w:val="20"/>
          <w:szCs w:val="20"/>
          <w:color w:val="auto"/>
        </w:rPr>
      </w:pPr>
    </w:p>
    <w:p>
      <w:pPr>
        <w:ind w:left="1160" w:right="1139"/>
        <w:spacing w:after="0" w:line="256"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42" w:lineRule="exact"/>
        <w:rPr>
          <w:sz w:val="20"/>
          <w:szCs w:val="20"/>
          <w:color w:val="auto"/>
        </w:rPr>
      </w:pPr>
    </w:p>
    <w:p>
      <w:pPr>
        <w:ind w:left="1160" w:right="1259"/>
        <w:spacing w:after="0" w:line="263" w:lineRule="auto"/>
        <w:rPr>
          <w:sz w:val="20"/>
          <w:szCs w:val="20"/>
          <w:color w:val="auto"/>
        </w:rPr>
      </w:pPr>
      <w:r>
        <w:rPr>
          <w:rFonts w:ascii="Arial" w:cs="Arial" w:eastAsia="Arial" w:hAnsi="Arial"/>
          <w:sz w:val="14"/>
          <w:szCs w:val="14"/>
          <w:color w:val="auto"/>
        </w:rPr>
        <w:t>We face intense competition in the semiconductor memory and storage markets. To remain competitive we must continuously develop and implement new products and technologies and decrease manufacturing costs in spite of inflationary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79" w:lineRule="exact"/>
        <w:rPr>
          <w:sz w:val="20"/>
          <w:szCs w:val="20"/>
          <w:color w:val="auto"/>
        </w:rPr>
      </w:pPr>
    </w:p>
    <w:p>
      <w:pPr>
        <w:ind w:left="1160" w:right="1159"/>
        <w:spacing w:after="0" w:line="241" w:lineRule="auto"/>
        <w:rPr>
          <w:sz w:val="20"/>
          <w:szCs w:val="20"/>
          <w:color w:val="auto"/>
        </w:rPr>
      </w:pPr>
      <w:r>
        <w:rPr>
          <w:rFonts w:ascii="Arial" w:cs="Arial" w:eastAsia="Arial" w:hAnsi="Arial"/>
          <w:sz w:val="15"/>
          <w:szCs w:val="15"/>
          <w:color w:val="auto"/>
        </w:rPr>
        <w:t>Concurrently with the pricing of the offering of notes, we intend to issue a notice of redemption to redeem in full our existing 4.185% Senior Notes due 2027 (the “2027 notes” and such redemption, the “2027 notes Redemption”). The 2027 notes Redemption will be contingent on the issuance of the notes contemplated hereby. Nothing contained in this prospectus supplement should be deemed to be an offer to repurchase any 2027 notes.</w:t>
      </w:r>
    </w:p>
    <w:p>
      <w:pPr>
        <w:spacing w:after="0" w:line="271" w:lineRule="exact"/>
        <w:rPr>
          <w:sz w:val="20"/>
          <w:szCs w:val="20"/>
          <w:color w:val="auto"/>
        </w:rPr>
      </w:pPr>
    </w:p>
    <w:p>
      <w:pPr>
        <w:ind w:left="1160" w:right="1159"/>
        <w:spacing w:after="0" w:line="241" w:lineRule="auto"/>
        <w:rPr>
          <w:sz w:val="20"/>
          <w:szCs w:val="20"/>
          <w:color w:val="auto"/>
        </w:rPr>
      </w:pPr>
      <w:r>
        <w:rPr>
          <w:rFonts w:ascii="Arial" w:cs="Arial" w:eastAsia="Arial" w:hAnsi="Arial"/>
          <w:sz w:val="15"/>
          <w:szCs w:val="15"/>
          <w:color w:val="auto"/>
        </w:rPr>
        <w:t>Our executive offices are located at 8000 South Federal Way, Boise, Idaho 83716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53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4505960" cy="655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6CB7"/>
        </w:rPr>
        <w:t>The Offering</w:t>
      </w:r>
    </w:p>
    <w:p>
      <w:pPr>
        <w:spacing w:after="0" w:line="135" w:lineRule="exact"/>
        <w:rPr>
          <w:sz w:val="20"/>
          <w:szCs w:val="20"/>
          <w:color w:val="auto"/>
        </w:rPr>
      </w:pPr>
    </w:p>
    <w:p>
      <w:pPr>
        <w:ind w:left="1160" w:right="1199"/>
        <w:spacing w:after="0" w:line="250" w:lineRule="auto"/>
        <w:rPr>
          <w:sz w:val="20"/>
          <w:szCs w:val="20"/>
          <w:color w:val="auto"/>
        </w:rPr>
      </w:pPr>
      <w:r>
        <w:rPr>
          <w:rFonts w:ascii="Arial" w:cs="Arial" w:eastAsia="Arial" w:hAnsi="Arial"/>
          <w:sz w:val="15"/>
          <w:szCs w:val="15"/>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68"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140" w:type="dxa"/>
            <w:vAlign w:val="bottom"/>
          </w:tcPr>
          <w:p>
            <w:pPr>
              <w:spacing w:after="0"/>
              <w:rPr>
                <w:sz w:val="20"/>
                <w:szCs w:val="20"/>
                <w:color w:val="auto"/>
              </w:rPr>
            </w:pPr>
            <w:r>
              <w:rPr>
                <w:rFonts w:ascii="Arial" w:cs="Arial" w:eastAsia="Arial" w:hAnsi="Arial"/>
                <w:sz w:val="15"/>
                <w:szCs w:val="15"/>
                <w:color w:val="auto"/>
              </w:rPr>
              <w:t>Issuer</w:t>
            </w: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Micron Technology, Inc.</w:t>
            </w:r>
          </w:p>
        </w:tc>
      </w:tr>
      <w:tr>
        <w:trPr>
          <w:trHeight w:val="248"/>
        </w:trPr>
        <w:tc>
          <w:tcPr>
            <w:tcW w:w="2140" w:type="dxa"/>
            <w:vAlign w:val="bottom"/>
          </w:tcPr>
          <w:p>
            <w:pPr>
              <w:spacing w:after="0"/>
              <w:rPr>
                <w:sz w:val="20"/>
                <w:szCs w:val="20"/>
                <w:color w:val="auto"/>
              </w:rPr>
            </w:pPr>
            <w:r>
              <w:rPr>
                <w:rFonts w:ascii="Arial" w:cs="Arial" w:eastAsia="Arial" w:hAnsi="Arial"/>
                <w:sz w:val="15"/>
                <w:szCs w:val="15"/>
                <w:color w:val="auto"/>
              </w:rPr>
              <w:t>Securities Offered</w:t>
            </w: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w w:val="98"/>
              </w:rPr>
              <w:t>$            aggregate principal amount of        % Senior Notes due</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w w:val="95"/>
              </w:rPr>
              <w:t>20        and $            aggregate principal amount of        % Senior</w:t>
            </w:r>
          </w:p>
        </w:tc>
      </w:tr>
      <w:tr>
        <w:trPr>
          <w:trHeight w:val="193"/>
        </w:trPr>
        <w:tc>
          <w:tcPr>
            <w:tcW w:w="2140" w:type="dxa"/>
            <w:vAlign w:val="bottom"/>
          </w:tcPr>
          <w:p>
            <w:pPr>
              <w:spacing w:after="0"/>
              <w:rPr>
                <w:sz w:val="16"/>
                <w:szCs w:val="16"/>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Notes due 20        .</w:t>
            </w:r>
          </w:p>
        </w:tc>
      </w:tr>
      <w:tr>
        <w:trPr>
          <w:trHeight w:val="248"/>
        </w:trPr>
        <w:tc>
          <w:tcPr>
            <w:tcW w:w="2140" w:type="dxa"/>
            <w:vAlign w:val="bottom"/>
          </w:tcPr>
          <w:p>
            <w:pPr>
              <w:spacing w:after="0"/>
              <w:rPr>
                <w:sz w:val="20"/>
                <w:szCs w:val="20"/>
                <w:color w:val="auto"/>
              </w:rPr>
            </w:pPr>
            <w:r>
              <w:rPr>
                <w:rFonts w:ascii="Arial" w:cs="Arial" w:eastAsia="Arial" w:hAnsi="Arial"/>
                <w:sz w:val="15"/>
                <w:szCs w:val="15"/>
                <w:color w:val="auto"/>
              </w:rPr>
              <w:t>Maturity</w:t>
            </w: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The 20        notes will mature on                    , 20        and the</w:t>
            </w:r>
          </w:p>
        </w:tc>
      </w:tr>
      <w:tr>
        <w:trPr>
          <w:trHeight w:val="193"/>
        </w:trPr>
        <w:tc>
          <w:tcPr>
            <w:tcW w:w="2140" w:type="dxa"/>
            <w:vAlign w:val="bottom"/>
          </w:tcPr>
          <w:p>
            <w:pPr>
              <w:spacing w:after="0"/>
              <w:rPr>
                <w:sz w:val="16"/>
                <w:szCs w:val="16"/>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20        notes will mature on                    , 20        .</w:t>
            </w:r>
          </w:p>
        </w:tc>
      </w:tr>
      <w:tr>
        <w:trPr>
          <w:trHeight w:val="248"/>
        </w:trPr>
        <w:tc>
          <w:tcPr>
            <w:tcW w:w="2140" w:type="dxa"/>
            <w:vAlign w:val="bottom"/>
          </w:tcPr>
          <w:p>
            <w:pPr>
              <w:spacing w:after="0"/>
              <w:rPr>
                <w:sz w:val="20"/>
                <w:szCs w:val="20"/>
                <w:color w:val="auto"/>
              </w:rPr>
            </w:pPr>
            <w:r>
              <w:rPr>
                <w:rFonts w:ascii="Arial" w:cs="Arial" w:eastAsia="Arial" w:hAnsi="Arial"/>
                <w:sz w:val="15"/>
                <w:szCs w:val="15"/>
                <w:color w:val="auto"/>
              </w:rPr>
              <w:t>Interest and Payment Dates</w:t>
            </w: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        % per year on the principal amount of the 20      notes</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w w:val="98"/>
              </w:rPr>
              <w:t>and        % per year on the principal amount of the 20      notes.</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Interest on each series of notes is payable on                     and</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                of each year after the date of issuance, commencing</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w w:val="94"/>
              </w:rPr>
              <w:t>                , 2025. Interest on the notes will accrue from                 ,</w:t>
            </w:r>
          </w:p>
        </w:tc>
      </w:tr>
      <w:tr>
        <w:trPr>
          <w:trHeight w:val="193"/>
        </w:trPr>
        <w:tc>
          <w:tcPr>
            <w:tcW w:w="2140" w:type="dxa"/>
            <w:vAlign w:val="bottom"/>
          </w:tcPr>
          <w:p>
            <w:pPr>
              <w:spacing w:after="0"/>
              <w:rPr>
                <w:sz w:val="16"/>
                <w:szCs w:val="16"/>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2025.</w:t>
            </w:r>
          </w:p>
        </w:tc>
      </w:tr>
      <w:tr>
        <w:trPr>
          <w:trHeight w:val="248"/>
        </w:trPr>
        <w:tc>
          <w:tcPr>
            <w:tcW w:w="2140" w:type="dxa"/>
            <w:vAlign w:val="bottom"/>
          </w:tcPr>
          <w:p>
            <w:pPr>
              <w:spacing w:after="0"/>
              <w:rPr>
                <w:sz w:val="20"/>
                <w:szCs w:val="20"/>
                <w:color w:val="auto"/>
              </w:rPr>
            </w:pPr>
            <w:r>
              <w:rPr>
                <w:rFonts w:ascii="Arial" w:cs="Arial" w:eastAsia="Arial" w:hAnsi="Arial"/>
                <w:sz w:val="15"/>
                <w:szCs w:val="15"/>
                <w:color w:val="auto"/>
              </w:rPr>
              <w:t>Ranking of the Notes</w:t>
            </w: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The notes will be senior unsecured obligations and will rank</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equally with all of our other existing and future unsecured and</w:t>
            </w:r>
          </w:p>
        </w:tc>
      </w:tr>
      <w:tr>
        <w:trPr>
          <w:trHeight w:val="193"/>
        </w:trPr>
        <w:tc>
          <w:tcPr>
            <w:tcW w:w="2140" w:type="dxa"/>
            <w:vAlign w:val="bottom"/>
          </w:tcPr>
          <w:p>
            <w:pPr>
              <w:spacing w:after="0"/>
              <w:rPr>
                <w:sz w:val="16"/>
                <w:szCs w:val="16"/>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unsubordinated indebtedness from time to time outstanding.</w:t>
            </w:r>
          </w:p>
        </w:tc>
      </w:tr>
      <w:tr>
        <w:trPr>
          <w:trHeight w:val="287"/>
        </w:trPr>
        <w:tc>
          <w:tcPr>
            <w:tcW w:w="2140" w:type="dxa"/>
            <w:vAlign w:val="bottom"/>
          </w:tcPr>
          <w:p>
            <w:pPr>
              <w:spacing w:after="0"/>
              <w:rPr>
                <w:sz w:val="24"/>
                <w:szCs w:val="24"/>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As of February 27, 2025:</w:t>
            </w:r>
          </w:p>
        </w:tc>
      </w:tr>
      <w:tr>
        <w:trPr>
          <w:trHeight w:val="282"/>
        </w:trPr>
        <w:tc>
          <w:tcPr>
            <w:tcW w:w="2140" w:type="dxa"/>
            <w:vAlign w:val="bottom"/>
          </w:tcPr>
          <w:p>
            <w:pPr>
              <w:spacing w:after="0"/>
              <w:rPr>
                <w:sz w:val="24"/>
                <w:szCs w:val="24"/>
                <w:color w:val="auto"/>
              </w:rPr>
            </w:pP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060" w:type="dxa"/>
            <w:vAlign w:val="bottom"/>
          </w:tcPr>
          <w:p>
            <w:pPr>
              <w:ind w:left="140"/>
              <w:spacing w:after="0"/>
              <w:rPr>
                <w:sz w:val="20"/>
                <w:szCs w:val="20"/>
                <w:color w:val="auto"/>
              </w:rPr>
            </w:pPr>
            <w:r>
              <w:rPr>
                <w:rFonts w:ascii="Arial" w:cs="Arial" w:eastAsia="Arial" w:hAnsi="Arial"/>
                <w:sz w:val="15"/>
                <w:szCs w:val="15"/>
                <w:color w:val="auto"/>
              </w:rPr>
              <w:t>we had approximately $11.9 billion aggregate principal</w:t>
            </w:r>
          </w:p>
        </w:tc>
      </w:tr>
      <w:tr>
        <w:trPr>
          <w:trHeight w:val="193"/>
        </w:trPr>
        <w:tc>
          <w:tcPr>
            <w:tcW w:w="2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Arial" w:cs="Arial" w:eastAsia="Arial" w:hAnsi="Arial"/>
                <w:sz w:val="15"/>
                <w:szCs w:val="15"/>
                <w:color w:val="auto"/>
              </w:rPr>
              <w:t>amount of indebtedness; and</w:t>
            </w:r>
          </w:p>
        </w:tc>
      </w:tr>
      <w:tr>
        <w:trPr>
          <w:trHeight w:val="282"/>
        </w:trPr>
        <w:tc>
          <w:tcPr>
            <w:tcW w:w="2140" w:type="dxa"/>
            <w:vAlign w:val="bottom"/>
          </w:tcPr>
          <w:p>
            <w:pPr>
              <w:spacing w:after="0"/>
              <w:rPr>
                <w:sz w:val="24"/>
                <w:szCs w:val="24"/>
                <w:color w:val="auto"/>
              </w:rPr>
            </w:pPr>
          </w:p>
        </w:tc>
        <w:tc>
          <w:tcPr>
            <w:tcW w:w="500" w:type="dxa"/>
            <w:vAlign w:val="bottom"/>
          </w:tcPr>
          <w:p>
            <w:pPr>
              <w:ind w:left="340"/>
              <w:spacing w:after="0"/>
              <w:rPr>
                <w:sz w:val="20"/>
                <w:szCs w:val="20"/>
                <w:color w:val="auto"/>
              </w:rPr>
            </w:pPr>
            <w:r>
              <w:rPr>
                <w:rFonts w:ascii="Arial" w:cs="Arial" w:eastAsia="Arial" w:hAnsi="Arial"/>
                <w:sz w:val="15"/>
                <w:szCs w:val="15"/>
                <w:color w:val="auto"/>
              </w:rPr>
              <w:t>•</w:t>
            </w:r>
          </w:p>
        </w:tc>
        <w:tc>
          <w:tcPr>
            <w:tcW w:w="4060" w:type="dxa"/>
            <w:vAlign w:val="bottom"/>
          </w:tcPr>
          <w:p>
            <w:pPr>
              <w:ind w:left="140"/>
              <w:spacing w:after="0"/>
              <w:rPr>
                <w:sz w:val="20"/>
                <w:szCs w:val="20"/>
                <w:color w:val="auto"/>
              </w:rPr>
            </w:pPr>
            <w:r>
              <w:rPr>
                <w:rFonts w:ascii="Arial" w:cs="Arial" w:eastAsia="Arial" w:hAnsi="Arial"/>
                <w:sz w:val="15"/>
                <w:szCs w:val="15"/>
                <w:color w:val="auto"/>
              </w:rPr>
              <w:t>our subsidiaries had outstanding liabilities (including trade</w:t>
            </w:r>
          </w:p>
        </w:tc>
      </w:tr>
      <w:tr>
        <w:trPr>
          <w:trHeight w:val="177"/>
        </w:trPr>
        <w:tc>
          <w:tcPr>
            <w:tcW w:w="2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60" w:type="dxa"/>
            <w:vAlign w:val="bottom"/>
          </w:tcPr>
          <w:p>
            <w:pPr>
              <w:ind w:left="140"/>
              <w:spacing w:after="0"/>
              <w:rPr>
                <w:sz w:val="20"/>
                <w:szCs w:val="20"/>
                <w:color w:val="auto"/>
              </w:rPr>
            </w:pPr>
            <w:r>
              <w:rPr>
                <w:rFonts w:ascii="Arial" w:cs="Arial" w:eastAsia="Arial" w:hAnsi="Arial"/>
                <w:sz w:val="15"/>
                <w:szCs w:val="15"/>
                <w:color w:val="auto"/>
                <w:w w:val="99"/>
              </w:rPr>
              <w:t>payables and indebtedness to third parties at the full stated</w:t>
            </w:r>
          </w:p>
        </w:tc>
      </w:tr>
      <w:tr>
        <w:trPr>
          <w:trHeight w:val="177"/>
        </w:trPr>
        <w:tc>
          <w:tcPr>
            <w:tcW w:w="2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60" w:type="dxa"/>
            <w:vAlign w:val="bottom"/>
          </w:tcPr>
          <w:p>
            <w:pPr>
              <w:ind w:left="140"/>
              <w:spacing w:after="0"/>
              <w:rPr>
                <w:sz w:val="20"/>
                <w:szCs w:val="20"/>
                <w:color w:val="auto"/>
              </w:rPr>
            </w:pPr>
            <w:r>
              <w:rPr>
                <w:rFonts w:ascii="Arial" w:cs="Arial" w:eastAsia="Arial" w:hAnsi="Arial"/>
                <w:sz w:val="15"/>
                <w:szCs w:val="15"/>
                <w:color w:val="auto"/>
              </w:rPr>
              <w:t>amount thereof but excluding intercompany indebtedness</w:t>
            </w:r>
          </w:p>
        </w:tc>
      </w:tr>
      <w:tr>
        <w:trPr>
          <w:trHeight w:val="177"/>
        </w:trPr>
        <w:tc>
          <w:tcPr>
            <w:tcW w:w="2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60" w:type="dxa"/>
            <w:vAlign w:val="bottom"/>
          </w:tcPr>
          <w:p>
            <w:pPr>
              <w:ind w:left="140"/>
              <w:spacing w:after="0"/>
              <w:rPr>
                <w:sz w:val="20"/>
                <w:szCs w:val="20"/>
                <w:color w:val="auto"/>
              </w:rPr>
            </w:pPr>
            <w:r>
              <w:rPr>
                <w:rFonts w:ascii="Arial" w:cs="Arial" w:eastAsia="Arial" w:hAnsi="Arial"/>
                <w:sz w:val="15"/>
                <w:szCs w:val="15"/>
                <w:color w:val="auto"/>
                <w:w w:val="99"/>
              </w:rPr>
              <w:t>and other obligations and liabilities of a type not required to</w:t>
            </w:r>
          </w:p>
        </w:tc>
      </w:tr>
      <w:tr>
        <w:trPr>
          <w:trHeight w:val="177"/>
        </w:trPr>
        <w:tc>
          <w:tcPr>
            <w:tcW w:w="2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60" w:type="dxa"/>
            <w:vAlign w:val="bottom"/>
          </w:tcPr>
          <w:p>
            <w:pPr>
              <w:ind w:left="140"/>
              <w:spacing w:after="0"/>
              <w:rPr>
                <w:sz w:val="20"/>
                <w:szCs w:val="20"/>
                <w:color w:val="auto"/>
              </w:rPr>
            </w:pPr>
            <w:r>
              <w:rPr>
                <w:rFonts w:ascii="Arial" w:cs="Arial" w:eastAsia="Arial" w:hAnsi="Arial"/>
                <w:sz w:val="15"/>
                <w:szCs w:val="15"/>
                <w:color w:val="auto"/>
              </w:rPr>
              <w:t>be reflected on a balance sheet of such subsidiaries in</w:t>
            </w:r>
          </w:p>
        </w:tc>
      </w:tr>
      <w:tr>
        <w:trPr>
          <w:trHeight w:val="177"/>
        </w:trPr>
        <w:tc>
          <w:tcPr>
            <w:tcW w:w="2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60" w:type="dxa"/>
            <w:vAlign w:val="bottom"/>
          </w:tcPr>
          <w:p>
            <w:pPr>
              <w:ind w:left="140"/>
              <w:spacing w:after="0"/>
              <w:rPr>
                <w:sz w:val="20"/>
                <w:szCs w:val="20"/>
                <w:color w:val="auto"/>
              </w:rPr>
            </w:pPr>
            <w:r>
              <w:rPr>
                <w:rFonts w:ascii="Arial" w:cs="Arial" w:eastAsia="Arial" w:hAnsi="Arial"/>
                <w:sz w:val="15"/>
                <w:szCs w:val="15"/>
                <w:color w:val="auto"/>
                <w:w w:val="98"/>
              </w:rPr>
              <w:t>accordance with GAAP) of approximately $10.8 billion, all of</w:t>
            </w:r>
          </w:p>
        </w:tc>
      </w:tr>
      <w:tr>
        <w:trPr>
          <w:trHeight w:val="177"/>
        </w:trPr>
        <w:tc>
          <w:tcPr>
            <w:tcW w:w="2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60" w:type="dxa"/>
            <w:vAlign w:val="bottom"/>
          </w:tcPr>
          <w:p>
            <w:pPr>
              <w:ind w:left="140"/>
              <w:spacing w:after="0"/>
              <w:rPr>
                <w:sz w:val="20"/>
                <w:szCs w:val="20"/>
                <w:color w:val="auto"/>
              </w:rPr>
            </w:pPr>
            <w:r>
              <w:rPr>
                <w:rFonts w:ascii="Arial" w:cs="Arial" w:eastAsia="Arial" w:hAnsi="Arial"/>
                <w:sz w:val="15"/>
                <w:szCs w:val="15"/>
                <w:color w:val="auto"/>
              </w:rPr>
              <w:t>which will be structurally senior to the notes with respect to</w:t>
            </w:r>
          </w:p>
        </w:tc>
      </w:tr>
      <w:tr>
        <w:trPr>
          <w:trHeight w:val="193"/>
        </w:trPr>
        <w:tc>
          <w:tcPr>
            <w:tcW w:w="2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Arial" w:cs="Arial" w:eastAsia="Arial" w:hAnsi="Arial"/>
                <w:sz w:val="15"/>
                <w:szCs w:val="15"/>
                <w:color w:val="auto"/>
              </w:rPr>
              <w:t>claims on the assets and cash flows of our subsidiaries.</w:t>
            </w:r>
          </w:p>
        </w:tc>
      </w:tr>
      <w:tr>
        <w:trPr>
          <w:trHeight w:val="265"/>
        </w:trPr>
        <w:tc>
          <w:tcPr>
            <w:tcW w:w="2140" w:type="dxa"/>
            <w:vAlign w:val="bottom"/>
          </w:tcPr>
          <w:p>
            <w:pPr>
              <w:spacing w:after="0"/>
              <w:rPr>
                <w:sz w:val="20"/>
                <w:szCs w:val="20"/>
                <w:color w:val="auto"/>
              </w:rPr>
            </w:pPr>
            <w:r>
              <w:rPr>
                <w:rFonts w:ascii="Arial" w:cs="Arial" w:eastAsia="Arial" w:hAnsi="Arial"/>
                <w:sz w:val="15"/>
                <w:szCs w:val="15"/>
                <w:color w:val="auto"/>
              </w:rPr>
              <w:t>Sinking Fund</w:t>
            </w: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None.</w:t>
            </w:r>
          </w:p>
        </w:tc>
      </w:tr>
      <w:tr>
        <w:trPr>
          <w:trHeight w:val="248"/>
        </w:trPr>
        <w:tc>
          <w:tcPr>
            <w:tcW w:w="2140" w:type="dxa"/>
            <w:vAlign w:val="bottom"/>
          </w:tcPr>
          <w:p>
            <w:pPr>
              <w:spacing w:after="0"/>
              <w:rPr>
                <w:sz w:val="20"/>
                <w:szCs w:val="20"/>
                <w:color w:val="auto"/>
              </w:rPr>
            </w:pPr>
            <w:r>
              <w:rPr>
                <w:rFonts w:ascii="Arial" w:cs="Arial" w:eastAsia="Arial" w:hAnsi="Arial"/>
                <w:sz w:val="15"/>
                <w:szCs w:val="15"/>
                <w:color w:val="auto"/>
              </w:rPr>
              <w:t>Optional Redemption</w:t>
            </w: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w w:val="96"/>
              </w:rPr>
              <w:t>Each series of notes will be redeemable at our option, in whole or</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in part, at any time and from time to time at a redemption price</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w w:val="95"/>
              </w:rPr>
              <w:t>equal to the greater of (i) the make-whole amount (as described in</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the section entitled “Description of the Notes — Optional</w:t>
            </w:r>
          </w:p>
        </w:tc>
      </w:tr>
      <w:tr>
        <w:trPr>
          <w:trHeight w:val="177"/>
        </w:trPr>
        <w:tc>
          <w:tcPr>
            <w:tcW w:w="2140" w:type="dxa"/>
            <w:vAlign w:val="bottom"/>
          </w:tcPr>
          <w:p>
            <w:pPr>
              <w:spacing w:after="0"/>
              <w:rPr>
                <w:sz w:val="15"/>
                <w:szCs w:val="15"/>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w w:val="95"/>
              </w:rPr>
              <w:t>Redemption”) and (ii) 100% of the principal amount of the notes to</w:t>
            </w:r>
          </w:p>
        </w:tc>
      </w:tr>
      <w:tr>
        <w:trPr>
          <w:trHeight w:val="191"/>
        </w:trPr>
        <w:tc>
          <w:tcPr>
            <w:tcW w:w="2140" w:type="dxa"/>
            <w:vAlign w:val="bottom"/>
          </w:tcPr>
          <w:p>
            <w:pPr>
              <w:spacing w:after="0"/>
              <w:rPr>
                <w:sz w:val="16"/>
                <w:szCs w:val="16"/>
                <w:color w:val="auto"/>
              </w:rPr>
            </w:pPr>
          </w:p>
        </w:tc>
        <w:tc>
          <w:tcPr>
            <w:tcW w:w="4560" w:type="dxa"/>
            <w:vAlign w:val="bottom"/>
            <w:gridSpan w:val="2"/>
          </w:tcPr>
          <w:p>
            <w:pPr>
              <w:ind w:left="340"/>
              <w:spacing w:after="0"/>
              <w:rPr>
                <w:sz w:val="20"/>
                <w:szCs w:val="20"/>
                <w:color w:val="auto"/>
              </w:rPr>
            </w:pPr>
            <w:r>
              <w:rPr>
                <w:rFonts w:ascii="Arial" w:cs="Arial" w:eastAsia="Arial" w:hAnsi="Arial"/>
                <w:sz w:val="15"/>
                <w:szCs w:val="15"/>
                <w:color w:val="auto"/>
              </w:rPr>
              <w:t>be redeemed, plus accrued and unpaid interest thereon to, but</w:t>
            </w:r>
          </w:p>
        </w:tc>
      </w:tr>
    </w:tbl>
    <w:p>
      <w:pPr>
        <w:ind w:left="3640"/>
        <w:spacing w:after="0"/>
        <w:rPr>
          <w:sz w:val="20"/>
          <w:szCs w:val="20"/>
          <w:color w:val="auto"/>
        </w:rPr>
      </w:pPr>
      <w:r>
        <w:rPr>
          <w:rFonts w:ascii="Arial" w:cs="Arial" w:eastAsia="Arial" w:hAnsi="Arial"/>
          <w:sz w:val="14"/>
          <w:szCs w:val="14"/>
          <w:color w:val="auto"/>
        </w:rPr>
        <w:t>excluding, the redemption date. In addition, on or after                 ,</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20      , in the case of the 20        notes (        months prior to the</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maturity date of the 20        notes) and on or after                    ,</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20      , in the case of the 20        notes (        months prior to the</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maturity date of the 20      notes), we may redeem the notes of</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such series at a redemption price equal to 100% of the principal</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amount thereof plus accrued and unpaid interest to, but excluding,</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the date of redemption. See “Description of the Notes — Optional</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Redemption.”</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269875</wp:posOffset>
            </wp:positionV>
            <wp:extent cx="4505960" cy="651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20" w:hanging="146"/>
        <w:spacing w:after="0" w:line="287" w:lineRule="auto"/>
        <w:rPr>
          <w:sz w:val="20"/>
          <w:szCs w:val="20"/>
          <w:color w:val="auto"/>
        </w:rPr>
      </w:pPr>
      <w:r>
        <w:rPr>
          <w:rFonts w:ascii="Arial" w:cs="Arial" w:eastAsia="Arial" w:hAnsi="Arial"/>
          <w:sz w:val="14"/>
          <w:szCs w:val="14"/>
          <w:color w:val="auto"/>
        </w:rPr>
        <w:t>Mandatory Offer to Repurchase Upon a Change of Control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No Prior Market; No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 w:right="1159"/>
        <w:spacing w:after="0" w:line="271" w:lineRule="auto"/>
        <w:rPr>
          <w:sz w:val="20"/>
          <w:szCs w:val="20"/>
          <w:color w:val="auto"/>
        </w:rPr>
      </w:pPr>
      <w:r>
        <w:rPr>
          <w:rFonts w:ascii="Arial" w:cs="Arial" w:eastAsia="Arial" w:hAnsi="Arial"/>
          <w:sz w:val="14"/>
          <w:szCs w:val="14"/>
          <w:color w:val="auto"/>
        </w:rPr>
        <w:t>Upon the occurrence of a Change of Control Triggering Event (as defined elsewhere in this prospectus supplement) with respect to a series of notes, we will be required to make an offer to purchase the notes of such series at a price equal to 101% of their principal amount plus accrued and unpaid interest to, but excluding, the date of purchase. See “Description of the Notes — Repurchase of Notes Upon a Change of Control Triggering Event.”</w:t>
      </w:r>
    </w:p>
    <w:p>
      <w:pPr>
        <w:spacing w:after="0" w:line="52" w:lineRule="exact"/>
        <w:rPr>
          <w:sz w:val="20"/>
          <w:szCs w:val="20"/>
          <w:color w:val="auto"/>
        </w:rPr>
      </w:pPr>
    </w:p>
    <w:p>
      <w:pPr>
        <w:ind w:left="4" w:right="1279"/>
        <w:spacing w:after="0" w:line="251" w:lineRule="auto"/>
        <w:rPr>
          <w:sz w:val="20"/>
          <w:szCs w:val="20"/>
          <w:color w:val="auto"/>
        </w:rPr>
      </w:pPr>
      <w:r>
        <w:rPr>
          <w:rFonts w:ascii="Arial" w:cs="Arial" w:eastAsia="Arial" w:hAnsi="Arial"/>
          <w:sz w:val="15"/>
          <w:szCs w:val="15"/>
          <w:color w:val="auto"/>
        </w:rPr>
        <w:t>The indenture that will govern each series of notes contains covenants that, subject to significant exceptions, limit our ability and/or the ability of our restricted subsidiaries (which are generally domestic subsidiaries in which we own at least 80% of the voting stock and which own Principal Property (as defined herein)) to:</w:t>
      </w:r>
    </w:p>
    <w:p>
      <w:pPr>
        <w:spacing w:after="0" w:line="99" w:lineRule="exact"/>
        <w:rPr>
          <w:sz w:val="20"/>
          <w:szCs w:val="20"/>
          <w:color w:val="auto"/>
        </w:rPr>
      </w:pPr>
    </w:p>
    <w:p>
      <w:pPr>
        <w:jc w:val="both"/>
        <w:ind w:left="304" w:right="1279" w:hanging="304"/>
        <w:spacing w:after="0" w:line="279" w:lineRule="auto"/>
        <w:tabs>
          <w:tab w:leader="none" w:pos="304" w:val="left"/>
        </w:tabs>
        <w:numPr>
          <w:ilvl w:val="0"/>
          <w:numId w:val="5"/>
        </w:numPr>
        <w:rPr>
          <w:rFonts w:ascii="Arial" w:cs="Arial" w:eastAsia="Arial" w:hAnsi="Arial"/>
          <w:sz w:val="14"/>
          <w:szCs w:val="14"/>
          <w:color w:val="auto"/>
        </w:rPr>
      </w:pPr>
      <w:r>
        <w:rPr>
          <w:rFonts w:ascii="Arial" w:cs="Arial" w:eastAsia="Arial" w:hAnsi="Arial"/>
          <w:sz w:val="14"/>
          <w:szCs w:val="14"/>
          <w:color w:val="auto"/>
        </w:rPr>
        <w:t>create or incur certain liens on Principal Property owned by us or a Restricted Subsidiary and shares of capital stock of any restricted subsidiary and enter into sale and lease-back transactions with respect to Principal Property; and</w:t>
      </w:r>
    </w:p>
    <w:p>
      <w:pPr>
        <w:spacing w:after="0" w:line="68" w:lineRule="exact"/>
        <w:rPr>
          <w:rFonts w:ascii="Arial" w:cs="Arial" w:eastAsia="Arial" w:hAnsi="Arial"/>
          <w:sz w:val="14"/>
          <w:szCs w:val="14"/>
          <w:color w:val="auto"/>
        </w:rPr>
      </w:pPr>
    </w:p>
    <w:p>
      <w:pPr>
        <w:jc w:val="both"/>
        <w:ind w:left="304" w:right="1259" w:hanging="304"/>
        <w:spacing w:after="0" w:line="311" w:lineRule="auto"/>
        <w:tabs>
          <w:tab w:leader="none" w:pos="304"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consolidate with or merge with or into, or convey, transfer or lease all or substantially all of our assets, to another person.</w:t>
      </w:r>
    </w:p>
    <w:p>
      <w:pPr>
        <w:spacing w:after="0" w:line="57" w:lineRule="exact"/>
        <w:rPr>
          <w:sz w:val="20"/>
          <w:szCs w:val="20"/>
          <w:color w:val="auto"/>
        </w:rPr>
      </w:pPr>
    </w:p>
    <w:p>
      <w:pPr>
        <w:ind w:left="4" w:right="1239"/>
        <w:spacing w:after="0" w:line="244" w:lineRule="auto"/>
        <w:rPr>
          <w:sz w:val="20"/>
          <w:szCs w:val="20"/>
          <w:color w:val="auto"/>
        </w:rPr>
      </w:pPr>
      <w:r>
        <w:rPr>
          <w:rFonts w:ascii="Arial" w:cs="Arial" w:eastAsia="Arial" w:hAnsi="Arial"/>
          <w:sz w:val="15"/>
          <w:szCs w:val="15"/>
          <w:color w:val="auto"/>
        </w:rPr>
        <w:t>These covenants are subject to a number of important limitations and exceptions as described under “Description of the Notes Certain Covenants.”</w:t>
      </w:r>
    </w:p>
    <w:p>
      <w:pPr>
        <w:spacing w:after="0" w:line="70" w:lineRule="exact"/>
        <w:rPr>
          <w:sz w:val="20"/>
          <w:szCs w:val="20"/>
          <w:color w:val="auto"/>
        </w:rPr>
      </w:pPr>
    </w:p>
    <w:p>
      <w:pPr>
        <w:ind w:left="4" w:right="1179"/>
        <w:spacing w:after="0" w:line="268" w:lineRule="auto"/>
        <w:rPr>
          <w:sz w:val="20"/>
          <w:szCs w:val="20"/>
          <w:color w:val="auto"/>
        </w:rPr>
      </w:pPr>
      <w:r>
        <w:rPr>
          <w:rFonts w:ascii="Arial" w:cs="Arial" w:eastAsia="Arial" w:hAnsi="Arial"/>
          <w:sz w:val="14"/>
          <w:szCs w:val="14"/>
          <w:color w:val="auto"/>
        </w:rPr>
        <w:t>Each series of notes will be a new issue of securities for which there is currently no established public market. Although the underwriters have informed us that they intend to make a market in the notes of each series, they are not obligated to do so and may discontinue market-making with respect to the notes at any time without notice. Accordingly, a liquid market for the notes may not develop or be maintained. See “Risk Factors — Risks Related to the Notes — Your ability to transfer the notes may be limited by the absence of an active trading market, and an active trading market may not develop for the notes.”</w:t>
      </w:r>
    </w:p>
    <w:p>
      <w:pPr>
        <w:spacing w:after="0" w:line="79" w:lineRule="exact"/>
        <w:rPr>
          <w:sz w:val="20"/>
          <w:szCs w:val="20"/>
          <w:color w:val="auto"/>
        </w:rPr>
      </w:pPr>
    </w:p>
    <w:p>
      <w:pPr>
        <w:ind w:left="4" w:right="1179"/>
        <w:spacing w:after="0" w:line="252" w:lineRule="auto"/>
        <w:rPr>
          <w:sz w:val="20"/>
          <w:szCs w:val="20"/>
          <w:color w:val="auto"/>
        </w:rPr>
      </w:pPr>
      <w:r>
        <w:rPr>
          <w:rFonts w:ascii="Arial" w:cs="Arial" w:eastAsia="Arial" w:hAnsi="Arial"/>
          <w:sz w:val="15"/>
          <w:szCs w:val="15"/>
          <w:color w:val="auto"/>
        </w:rPr>
        <w:t>We do not intend to apply for the listing of the notes on any securities exchange or for the quotation of the notes in any dealer quotation system.</w:t>
      </w:r>
    </w:p>
    <w:p>
      <w:pPr>
        <w:spacing w:after="0" w:line="53" w:lineRule="exact"/>
        <w:rPr>
          <w:sz w:val="20"/>
          <w:szCs w:val="20"/>
          <w:color w:val="auto"/>
        </w:rPr>
      </w:pPr>
    </w:p>
    <w:p>
      <w:pPr>
        <w:ind w:left="4" w:right="1219"/>
        <w:spacing w:after="0" w:line="269" w:lineRule="auto"/>
        <w:rPr>
          <w:sz w:val="20"/>
          <w:szCs w:val="20"/>
          <w:color w:val="auto"/>
        </w:rPr>
      </w:pPr>
      <w:r>
        <w:rPr>
          <w:rFonts w:ascii="Arial" w:cs="Arial" w:eastAsia="Arial" w:hAnsi="Arial"/>
          <w:sz w:val="14"/>
          <w:szCs w:val="14"/>
          <w:color w:val="auto"/>
        </w:rPr>
        <w:t>We estimate net proceeds from the sale of the notes, after deducting underwriter discounts and other estimated offering expenses, will be approximately $            . We intend to use the net proceeds from the sale of the notes to pay the redemption price of the 2027 notes Redemption, to pay the cost of unwinding the fixed-to-floating interest rate swaps we entered into in connection with the 2027 notes, and any remainder of the net proceeds for general corporate purposes, which may include the repayment of other indebtedness. See “Use of Proceeds.”</w:t>
      </w:r>
    </w:p>
    <w:p>
      <w:pPr>
        <w:spacing w:after="0" w:line="54" w:lineRule="exact"/>
        <w:rPr>
          <w:sz w:val="20"/>
          <w:szCs w:val="20"/>
          <w:color w:val="auto"/>
        </w:rPr>
      </w:pPr>
    </w:p>
    <w:p>
      <w:pPr>
        <w:ind w:left="4" w:right="1179"/>
        <w:spacing w:after="0" w:line="260" w:lineRule="auto"/>
        <w:rPr>
          <w:sz w:val="20"/>
          <w:szCs w:val="20"/>
          <w:color w:val="auto"/>
        </w:rPr>
      </w:pPr>
      <w:r>
        <w:rPr>
          <w:rFonts w:ascii="Arial" w:cs="Arial" w:eastAsia="Arial" w:hAnsi="Arial"/>
          <w:sz w:val="15"/>
          <w:szCs w:val="15"/>
          <w:color w:val="auto"/>
        </w:rPr>
        <w:t>You should carefully consider all of the information set forth in this prospectus supplement and the accompanying prospectus and the documents, including the information incorporated by</w:t>
      </w:r>
    </w:p>
    <w:p>
      <w:pPr>
        <w:spacing w:after="0" w:line="200" w:lineRule="exact"/>
        <w:rPr>
          <w:sz w:val="20"/>
          <w:szCs w:val="20"/>
          <w:color w:val="auto"/>
        </w:rPr>
      </w:pPr>
    </w:p>
    <w:p>
      <w:pPr>
        <w:sectPr>
          <w:pgSz w:w="11900" w:h="16838" w:orient="portrait"/>
          <w:cols w:equalWidth="0" w:num="2">
            <w:col w:w="3200" w:space="436"/>
            <w:col w:w="5384"/>
          </w:cols>
          <w:pgMar w:left="1440" w:top="105" w:right="1440" w:bottom="1440" w:gutter="0" w:footer="0" w:header="0"/>
          <w:type w:val="continuous"/>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217170</wp:posOffset>
            </wp:positionV>
            <wp:extent cx="55841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8" w:name="page9"/>
    <w:bookmarkEnd w:id="8"/>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reference, and, in particular, should evaluate the specific factors</w:t>
      </w:r>
    </w:p>
    <w:p>
      <w:pPr>
        <w:spacing w:after="0" w:line="30"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set forth in this prospectus supplement under “Risk Factors” for an</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explanation of certain risks you should consider before investing</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in the notes.</w:t>
      </w:r>
    </w:p>
    <w:p>
      <w:pPr>
        <w:sectPr>
          <w:pgSz w:w="11900" w:h="16838" w:orient="portrait"/>
          <w:cols w:equalWidth="0" w:num="1">
            <w:col w:w="9019"/>
          </w:cols>
          <w:pgMar w:left="1440" w:top="98" w:right="1440" w:bottom="1440" w:gutter="0" w:footer="0" w:header="0"/>
        </w:sectPr>
      </w:pPr>
    </w:p>
    <w:p>
      <w:pPr>
        <w:spacing w:after="0" w:line="7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Form and Denomination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159"/>
        <w:spacing w:after="0" w:line="265" w:lineRule="auto"/>
        <w:rPr>
          <w:sz w:val="20"/>
          <w:szCs w:val="20"/>
          <w:color w:val="auto"/>
        </w:rPr>
      </w:pPr>
      <w:r>
        <w:rPr>
          <w:rFonts w:ascii="Arial" w:cs="Arial" w:eastAsia="Arial" w:hAnsi="Arial"/>
          <w:sz w:val="14"/>
          <w:szCs w:val="14"/>
          <w:color w:val="auto"/>
        </w:rPr>
        <w:t>Each series of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(“DTC”). Except in the limited circumstances described under “Description of the Notes — Book-Entry, Form, Denomination and Delivery of Notes,” notes in certificated form will not be issued or exchanged for interests in global securities. Investors may hold their interests in a global note directly through Euroclear Bank S.A./N.V, as operator of the Euroclear System (“Euroclear”), and Clearstream Banking, S.A.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67"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Trustee, Registrar and Paying</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Agent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U.S. Bank Trust Company, National Association.</w:t>
      </w:r>
    </w:p>
    <w:p>
      <w:pPr>
        <w:spacing w:after="0" w:line="103" w:lineRule="exact"/>
        <w:rPr>
          <w:sz w:val="20"/>
          <w:szCs w:val="20"/>
          <w:color w:val="auto"/>
        </w:rPr>
      </w:pPr>
    </w:p>
    <w:p>
      <w:pPr>
        <w:sectPr>
          <w:pgSz w:w="11900" w:h="16838" w:orient="portrait"/>
          <w:cols w:equalWidth="0" w:num="2">
            <w:col w:w="3080" w:space="560"/>
            <w:col w:w="5379"/>
          </w:cols>
          <w:pgMar w:left="1440" w:top="98" w:right="1440"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Governing Law</w:t>
      </w:r>
    </w:p>
    <w:p>
      <w:pPr>
        <w:spacing w:after="0" w:line="20" w:lineRule="exact"/>
        <w:rPr>
          <w:sz w:val="20"/>
          <w:szCs w:val="20"/>
          <w:color w:val="auto"/>
        </w:rPr>
      </w:pPr>
      <w:r>
        <w:rPr>
          <w:sz w:val="20"/>
          <w:szCs w:val="20"/>
          <w:color w:val="auto"/>
        </w:rPr>
        <w:br w:type="column"/>
      </w:r>
    </w:p>
    <w:p>
      <w:pPr>
        <w:ind w:right="1319"/>
        <w:spacing w:after="0" w:line="274" w:lineRule="auto"/>
        <w:rPr>
          <w:sz w:val="20"/>
          <w:szCs w:val="20"/>
          <w:color w:val="auto"/>
        </w:rPr>
      </w:pPr>
      <w:r>
        <w:rPr>
          <w:rFonts w:ascii="Arial" w:cs="Arial" w:eastAsia="Arial" w:hAnsi="Arial"/>
          <w:sz w:val="15"/>
          <w:szCs w:val="15"/>
          <w:color w:val="auto"/>
        </w:rPr>
        <w:t>The indenture and the notes will be governed by the laws of the State of New York.</w:t>
      </w:r>
    </w:p>
    <w:p>
      <w:pPr>
        <w:spacing w:after="0" w:line="200"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 w:name="page10"/>
    <w:bookmarkEnd w:id="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32" w:lineRule="exact"/>
        <w:rPr>
          <w:sz w:val="20"/>
          <w:szCs w:val="20"/>
          <w:color w:val="auto"/>
        </w:rPr>
      </w:pPr>
    </w:p>
    <w:p>
      <w:pPr>
        <w:ind w:left="1140" w:right="1199"/>
        <w:spacing w:after="0" w:line="250" w:lineRule="auto"/>
        <w:rPr>
          <w:rFonts w:ascii="Arial" w:cs="Arial" w:eastAsia="Arial" w:hAnsi="Arial"/>
          <w:sz w:val="15"/>
          <w:szCs w:val="15"/>
          <w:i w:val="1"/>
          <w:iCs w:val="1"/>
          <w:color w:val="0000EE"/>
        </w:rPr>
      </w:pPr>
      <w:r>
        <w:rPr>
          <w:rFonts w:ascii="Arial" w:cs="Arial" w:eastAsia="Arial" w:hAnsi="Arial"/>
          <w:sz w:val="15"/>
          <w:szCs w:val="15"/>
          <w:i w:val="1"/>
          <w:iCs w:val="1"/>
          <w:color w:val="auto"/>
        </w:rPr>
        <w:t xml:space="preserve">In considering whether to purchase the notes, you should carefully consider all the information contained or incorporated by reference in this prospectus supplement and the accompanying </w:t>
      </w:r>
      <w:hyperlink r:id="rId34">
        <w:r>
          <w:rPr>
            <w:rFonts w:ascii="Arial" w:cs="Arial" w:eastAsia="Arial" w:hAnsi="Arial"/>
            <w:sz w:val="15"/>
            <w:szCs w:val="15"/>
            <w:i w:val="1"/>
            <w:iCs w:val="1"/>
            <w:color w:val="auto"/>
          </w:rPr>
          <w:t xml:space="preserve">prospectus. In particular, you should carefully consider the risk factors in our </w:t>
        </w:r>
        <w:r>
          <w:rPr>
            <w:rFonts w:ascii="Arial" w:cs="Arial" w:eastAsia="Arial" w:hAnsi="Arial"/>
            <w:sz w:val="15"/>
            <w:szCs w:val="15"/>
            <w:i w:val="1"/>
            <w:iCs w:val="1"/>
            <w:u w:val="single" w:color="auto"/>
            <w:color w:val="0000EE"/>
          </w:rPr>
          <w:t>Quarterly Report on Form</w:t>
        </w:r>
      </w:hyperlink>
      <w:r>
        <w:rPr>
          <w:rFonts w:ascii="Arial" w:cs="Arial" w:eastAsia="Arial" w:hAnsi="Arial"/>
          <w:sz w:val="15"/>
          <w:szCs w:val="15"/>
          <w:i w:val="1"/>
          <w:iCs w:val="1"/>
          <w:color w:val="auto"/>
        </w:rPr>
        <w:t xml:space="preserve"> </w:t>
      </w:r>
      <w:hyperlink r:id="rId34">
        <w:r>
          <w:rPr>
            <w:rFonts w:ascii="Arial" w:cs="Arial" w:eastAsia="Arial" w:hAnsi="Arial"/>
            <w:sz w:val="15"/>
            <w:szCs w:val="15"/>
            <w:i w:val="1"/>
            <w:iCs w:val="1"/>
            <w:u w:val="single" w:color="auto"/>
            <w:color w:val="0000EE"/>
          </w:rPr>
          <w:t>10-Q for the fiscal quarter ended February 27, 2025</w:t>
        </w:r>
        <w:r>
          <w:rPr>
            <w:rFonts w:ascii="Arial" w:cs="Arial" w:eastAsia="Arial" w:hAnsi="Arial"/>
            <w:sz w:val="15"/>
            <w:szCs w:val="15"/>
            <w:i w:val="1"/>
            <w:iCs w:val="1"/>
            <w:color w:val="0000EE"/>
          </w:rPr>
          <w:t xml:space="preserve"> </w:t>
        </w:r>
        <w:r>
          <w:rPr>
            <w:rFonts w:ascii="Arial" w:cs="Arial" w:eastAsia="Arial" w:hAnsi="Arial"/>
            <w:sz w:val="15"/>
            <w:szCs w:val="15"/>
            <w:i w:val="1"/>
            <w:iCs w:val="1"/>
            <w:color w:val="000000"/>
          </w:rPr>
          <w:t>as well as the risk factors described below, which</w:t>
        </w:r>
      </w:hyperlink>
      <w:r>
        <w:rPr>
          <w:rFonts w:ascii="Arial" w:cs="Arial" w:eastAsia="Arial" w:hAnsi="Arial"/>
          <w:sz w:val="15"/>
          <w:szCs w:val="15"/>
          <w:i w:val="1"/>
          <w:iCs w:val="1"/>
          <w:color w:val="0000EE"/>
        </w:rPr>
        <w:t xml:space="preserve"> </w:t>
      </w:r>
      <w:r>
        <w:rPr>
          <w:rFonts w:ascii="Arial" w:cs="Arial" w:eastAsia="Arial" w:hAnsi="Arial"/>
          <w:sz w:val="15"/>
          <w:szCs w:val="15"/>
          <w:i w:val="1"/>
          <w:iCs w:val="1"/>
          <w:color w:val="000000"/>
        </w:rPr>
        <w:t>are not exhaustive. In this section, references to “Micron,” “us,” “we,” or “our” refer only to Micron Technology, Inc. and not to any of its subsidiaries.</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Risks Related to Our Business</w:t>
      </w:r>
    </w:p>
    <w:p>
      <w:pPr>
        <w:spacing w:after="0" w:line="122" w:lineRule="exact"/>
        <w:rPr>
          <w:sz w:val="20"/>
          <w:szCs w:val="20"/>
          <w:color w:val="auto"/>
        </w:rPr>
      </w:pPr>
    </w:p>
    <w:p>
      <w:pPr>
        <w:ind w:left="1140" w:right="1219"/>
        <w:spacing w:after="0" w:line="274" w:lineRule="auto"/>
        <w:rPr>
          <w:rFonts w:ascii="Arial" w:cs="Arial" w:eastAsia="Arial" w:hAnsi="Arial"/>
          <w:sz w:val="15"/>
          <w:szCs w:val="15"/>
          <w:color w:val="0000EE"/>
        </w:rPr>
      </w:pPr>
      <w:hyperlink r:id="rId34">
        <w:r>
          <w:rPr>
            <w:rFonts w:ascii="Arial" w:cs="Arial" w:eastAsia="Arial" w:hAnsi="Arial"/>
            <w:sz w:val="15"/>
            <w:szCs w:val="15"/>
            <w:color w:val="auto"/>
          </w:rPr>
          <w:t xml:space="preserve">We hereby incorporate by reference the risk factors in Item 1A of our </w:t>
        </w:r>
        <w:r>
          <w:rPr>
            <w:rFonts w:ascii="Arial" w:cs="Arial" w:eastAsia="Arial" w:hAnsi="Arial"/>
            <w:sz w:val="15"/>
            <w:szCs w:val="15"/>
            <w:u w:val="single" w:color="auto"/>
            <w:color w:val="0000EE"/>
          </w:rPr>
          <w:t>Quarterly Report on Form 10-Q for</w:t>
        </w:r>
      </w:hyperlink>
      <w:r>
        <w:rPr>
          <w:rFonts w:ascii="Arial" w:cs="Arial" w:eastAsia="Arial" w:hAnsi="Arial"/>
          <w:sz w:val="15"/>
          <w:szCs w:val="15"/>
          <w:color w:val="auto"/>
        </w:rPr>
        <w:t xml:space="preserve"> </w:t>
      </w:r>
      <w:hyperlink r:id="rId34">
        <w:r>
          <w:rPr>
            <w:rFonts w:ascii="Arial" w:cs="Arial" w:eastAsia="Arial" w:hAnsi="Arial"/>
            <w:sz w:val="15"/>
            <w:szCs w:val="15"/>
            <w:u w:val="single" w:color="auto"/>
            <w:color w:val="0000EE"/>
          </w:rPr>
          <w:t>the fiscal quarter ended February 27, 2025</w:t>
        </w:r>
        <w:r>
          <w:rPr>
            <w:rFonts w:ascii="Arial" w:cs="Arial" w:eastAsia="Arial" w:hAnsi="Arial"/>
            <w:sz w:val="15"/>
            <w:szCs w:val="15"/>
            <w:color w:val="000000"/>
          </w:rPr>
          <w:t>.</w:t>
        </w:r>
      </w:hyperlink>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Risks Related to the Notes</w:t>
      </w:r>
    </w:p>
    <w:p>
      <w:pPr>
        <w:spacing w:after="0" w:line="190" w:lineRule="exact"/>
        <w:rPr>
          <w:sz w:val="20"/>
          <w:szCs w:val="20"/>
          <w:color w:val="auto"/>
        </w:rPr>
      </w:pPr>
    </w:p>
    <w:p>
      <w:pPr>
        <w:ind w:left="1140" w:right="1399"/>
        <w:spacing w:after="0" w:line="282" w:lineRule="auto"/>
        <w:rPr>
          <w:sz w:val="20"/>
          <w:szCs w:val="20"/>
          <w:color w:val="auto"/>
        </w:rPr>
      </w:pPr>
      <w:r>
        <w:rPr>
          <w:rFonts w:ascii="Arial" w:cs="Arial" w:eastAsia="Arial" w:hAnsi="Arial"/>
          <w:sz w:val="15"/>
          <w:szCs w:val="15"/>
          <w:b w:val="1"/>
          <w:bCs w:val="1"/>
          <w:i w:val="1"/>
          <w:iCs w:val="1"/>
          <w:color w:val="auto"/>
        </w:rPr>
        <w:t>We may not be able to generate sufficient cash to service our debt obligations, including our obligations under the notes.</w:t>
      </w:r>
    </w:p>
    <w:p>
      <w:pPr>
        <w:spacing w:after="0" w:line="67" w:lineRule="exact"/>
        <w:rPr>
          <w:sz w:val="20"/>
          <w:szCs w:val="20"/>
          <w:color w:val="auto"/>
        </w:rPr>
      </w:pPr>
    </w:p>
    <w:p>
      <w:pPr>
        <w:ind w:left="1140" w:right="1279"/>
        <w:spacing w:after="0" w:line="252" w:lineRule="auto"/>
        <w:rPr>
          <w:sz w:val="20"/>
          <w:szCs w:val="20"/>
          <w:color w:val="auto"/>
        </w:rPr>
      </w:pPr>
      <w:r>
        <w:rPr>
          <w:rFonts w:ascii="Arial" w:cs="Arial" w:eastAsia="Arial" w:hAnsi="Arial"/>
          <w:sz w:val="15"/>
          <w:szCs w:val="15"/>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88" w:lineRule="exact"/>
        <w:rPr>
          <w:sz w:val="20"/>
          <w:szCs w:val="20"/>
          <w:color w:val="auto"/>
        </w:rPr>
      </w:pPr>
    </w:p>
    <w:p>
      <w:pPr>
        <w:ind w:left="1140" w:right="1219"/>
        <w:spacing w:after="0" w:line="269" w:lineRule="auto"/>
        <w:rPr>
          <w:sz w:val="20"/>
          <w:szCs w:val="20"/>
          <w:color w:val="auto"/>
        </w:rPr>
      </w:pPr>
      <w:r>
        <w:rPr>
          <w:rFonts w:ascii="Arial" w:cs="Arial" w:eastAsia="Arial" w:hAnsi="Arial"/>
          <w:sz w:val="14"/>
          <w:szCs w:val="14"/>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87"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56" w:lineRule="exact"/>
        <w:rPr>
          <w:sz w:val="20"/>
          <w:szCs w:val="20"/>
          <w:color w:val="auto"/>
        </w:rPr>
      </w:pPr>
    </w:p>
    <w:p>
      <w:pPr>
        <w:ind w:left="1140" w:right="1379"/>
        <w:spacing w:after="0" w:line="282" w:lineRule="auto"/>
        <w:rPr>
          <w:sz w:val="20"/>
          <w:szCs w:val="20"/>
          <w:color w:val="auto"/>
        </w:rPr>
      </w:pPr>
      <w:r>
        <w:rPr>
          <w:rFonts w:ascii="Arial" w:cs="Arial" w:eastAsia="Arial" w:hAnsi="Arial"/>
          <w:sz w:val="15"/>
          <w:szCs w:val="15"/>
          <w:b w:val="1"/>
          <w:bCs w:val="1"/>
          <w:i w:val="1"/>
          <w:iCs w:val="1"/>
          <w:color w:val="auto"/>
        </w:rPr>
        <w:t>Despite current indebtedness levels, we are able to incur substantially more debt. This could further exacerbate the risks described herein.</w:t>
      </w:r>
    </w:p>
    <w:p>
      <w:pPr>
        <w:spacing w:after="0" w:line="67" w:lineRule="exact"/>
        <w:rPr>
          <w:sz w:val="20"/>
          <w:szCs w:val="20"/>
          <w:color w:val="auto"/>
        </w:rPr>
      </w:pPr>
    </w:p>
    <w:p>
      <w:pPr>
        <w:ind w:left="1140" w:right="1159"/>
        <w:spacing w:after="0" w:line="268" w:lineRule="auto"/>
        <w:rPr>
          <w:sz w:val="20"/>
          <w:szCs w:val="20"/>
          <w:color w:val="auto"/>
        </w:rPr>
      </w:pPr>
      <w:r>
        <w:rPr>
          <w:rFonts w:ascii="Arial" w:cs="Arial" w:eastAsia="Arial" w:hAnsi="Arial"/>
          <w:sz w:val="14"/>
          <w:szCs w:val="14"/>
          <w:color w:val="auto"/>
        </w:rPr>
        <w:t xml:space="preserve">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notes, the holders of that debt will be entitled to share ratably with you in any proceeds distributed in connection with any insolvency, liquidation, reorganization,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89" w:lineRule="auto"/>
        <w:rPr>
          <w:sz w:val="20"/>
          <w:szCs w:val="20"/>
          <w:color w:val="auto"/>
        </w:rPr>
      </w:pPr>
      <w:r>
        <w:rPr>
          <w:rFonts w:ascii="Arial" w:cs="Arial" w:eastAsia="Arial" w:hAnsi="Arial"/>
          <w:sz w:val="15"/>
          <w:szCs w:val="15"/>
          <w:color w:val="auto"/>
        </w:rPr>
        <w:t>dissolution or other winding-up of us. If new debt is added to our current debt levels, the related risks that we and our subsidiaries now face could intensify. See “Description of the Notes.”</w:t>
      </w:r>
    </w:p>
    <w:p>
      <w:pPr>
        <w:spacing w:after="0" w:line="139" w:lineRule="exact"/>
        <w:rPr>
          <w:sz w:val="20"/>
          <w:szCs w:val="20"/>
          <w:color w:val="auto"/>
        </w:rPr>
      </w:pPr>
    </w:p>
    <w:p>
      <w:pPr>
        <w:ind w:left="1140" w:right="1299"/>
        <w:spacing w:after="0" w:line="282" w:lineRule="auto"/>
        <w:rPr>
          <w:sz w:val="20"/>
          <w:szCs w:val="20"/>
          <w:color w:val="auto"/>
        </w:rPr>
      </w:pPr>
      <w:r>
        <w:rPr>
          <w:rFonts w:ascii="Arial" w:cs="Arial" w:eastAsia="Arial" w:hAnsi="Arial"/>
          <w:sz w:val="15"/>
          <w:szCs w:val="15"/>
          <w:b w:val="1"/>
          <w:bCs w:val="1"/>
          <w:i w:val="1"/>
          <w:iCs w:val="1"/>
          <w:color w:val="auto"/>
        </w:rPr>
        <w:t>The indenture governing each series of notes will contain negative covenants that may have a limited effect but these covenants may still restrict the operation of our business.</w:t>
      </w:r>
    </w:p>
    <w:p>
      <w:pPr>
        <w:spacing w:after="0" w:line="78" w:lineRule="exact"/>
        <w:rPr>
          <w:sz w:val="20"/>
          <w:szCs w:val="20"/>
          <w:color w:val="auto"/>
        </w:rPr>
      </w:pPr>
    </w:p>
    <w:p>
      <w:pPr>
        <w:ind w:left="1140" w:right="1159"/>
        <w:spacing w:after="0" w:line="276" w:lineRule="auto"/>
        <w:rPr>
          <w:sz w:val="20"/>
          <w:szCs w:val="20"/>
          <w:color w:val="auto"/>
        </w:rPr>
      </w:pPr>
      <w:r>
        <w:rPr>
          <w:rFonts w:ascii="Arial" w:cs="Arial" w:eastAsia="Arial" w:hAnsi="Arial"/>
          <w:sz w:val="14"/>
          <w:szCs w:val="14"/>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99" w:lineRule="exact"/>
        <w:rPr>
          <w:sz w:val="20"/>
          <w:szCs w:val="20"/>
          <w:color w:val="auto"/>
        </w:rPr>
      </w:pPr>
    </w:p>
    <w:p>
      <w:pPr>
        <w:ind w:left="1140" w:right="1219"/>
        <w:spacing w:after="0" w:line="279" w:lineRule="auto"/>
        <w:rPr>
          <w:sz w:val="20"/>
          <w:szCs w:val="20"/>
          <w:color w:val="auto"/>
        </w:rPr>
      </w:pPr>
      <w:r>
        <w:rPr>
          <w:rFonts w:ascii="Arial" w:cs="Arial" w:eastAsia="Arial" w:hAnsi="Arial"/>
          <w:sz w:val="14"/>
          <w:szCs w:val="14"/>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92" w:lineRule="exact"/>
        <w:rPr>
          <w:sz w:val="20"/>
          <w:szCs w:val="20"/>
          <w:color w:val="auto"/>
        </w:rPr>
      </w:pPr>
    </w:p>
    <w:p>
      <w:pPr>
        <w:ind w:left="1140" w:right="1239"/>
        <w:spacing w:after="0" w:line="282" w:lineRule="auto"/>
        <w:rPr>
          <w:sz w:val="20"/>
          <w:szCs w:val="20"/>
          <w:color w:val="auto"/>
        </w:rPr>
      </w:pPr>
      <w:r>
        <w:rPr>
          <w:rFonts w:ascii="Arial" w:cs="Arial" w:eastAsia="Arial" w:hAnsi="Arial"/>
          <w:sz w:val="14"/>
          <w:szCs w:val="14"/>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48" w:lineRule="exact"/>
        <w:rPr>
          <w:sz w:val="20"/>
          <w:szCs w:val="20"/>
          <w:color w:val="auto"/>
        </w:rPr>
      </w:pPr>
    </w:p>
    <w:p>
      <w:pPr>
        <w:ind w:left="1140" w:right="2039"/>
        <w:spacing w:after="0" w:line="282" w:lineRule="auto"/>
        <w:rPr>
          <w:sz w:val="20"/>
          <w:szCs w:val="20"/>
          <w:color w:val="auto"/>
        </w:rPr>
      </w:pPr>
      <w:r>
        <w:rPr>
          <w:rFonts w:ascii="Arial" w:cs="Arial" w:eastAsia="Arial" w:hAnsi="Arial"/>
          <w:sz w:val="15"/>
          <w:szCs w:val="15"/>
          <w:b w:val="1"/>
          <w:bCs w:val="1"/>
          <w:i w:val="1"/>
          <w:iCs w:val="1"/>
          <w:color w:val="auto"/>
        </w:rPr>
        <w:t>Claims of noteholders will be structurally subordinated to claims of creditors of our subsidiaries.</w:t>
      </w:r>
    </w:p>
    <w:p>
      <w:pPr>
        <w:spacing w:after="0" w:line="56" w:lineRule="exact"/>
        <w:rPr>
          <w:sz w:val="20"/>
          <w:szCs w:val="20"/>
          <w:color w:val="auto"/>
        </w:rPr>
      </w:pPr>
    </w:p>
    <w:p>
      <w:pPr>
        <w:ind w:left="1140" w:right="1159"/>
        <w:spacing w:after="0" w:line="277" w:lineRule="auto"/>
        <w:rPr>
          <w:sz w:val="20"/>
          <w:szCs w:val="20"/>
          <w:color w:val="auto"/>
        </w:rPr>
      </w:pPr>
      <w:r>
        <w:rPr>
          <w:rFonts w:ascii="Arial" w:cs="Arial" w:eastAsia="Arial" w:hAnsi="Arial"/>
          <w:sz w:val="14"/>
          <w:szCs w:val="14"/>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February 27, 2025,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$10.8 billion, all of which will be structurally senior to the notes with respect to claims on the assets and cash flows of our subsidiaries.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40" w:right="1339"/>
        <w:spacing w:after="0" w:line="264" w:lineRule="auto"/>
        <w:rPr>
          <w:sz w:val="20"/>
          <w:szCs w:val="20"/>
          <w:color w:val="auto"/>
        </w:rPr>
      </w:pPr>
      <w:r>
        <w:rPr>
          <w:rFonts w:ascii="Arial" w:cs="Arial" w:eastAsia="Arial" w:hAnsi="Arial"/>
          <w:sz w:val="15"/>
          <w:szCs w:val="15"/>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80"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Changes in our credit rating may adversely affect your investment in the notes.</w:t>
      </w:r>
    </w:p>
    <w:p>
      <w:pPr>
        <w:spacing w:after="0" w:line="124"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92"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56" w:lineRule="exact"/>
        <w:rPr>
          <w:sz w:val="20"/>
          <w:szCs w:val="20"/>
          <w:color w:val="auto"/>
        </w:rPr>
      </w:pPr>
    </w:p>
    <w:p>
      <w:pPr>
        <w:ind w:left="1140" w:right="1179"/>
        <w:spacing w:after="0" w:line="282" w:lineRule="auto"/>
        <w:rPr>
          <w:sz w:val="20"/>
          <w:szCs w:val="20"/>
          <w:color w:val="auto"/>
        </w:rPr>
      </w:pPr>
      <w:r>
        <w:rPr>
          <w:rFonts w:ascii="Arial" w:cs="Arial" w:eastAsia="Arial" w:hAnsi="Arial"/>
          <w:sz w:val="15"/>
          <w:szCs w:val="15"/>
          <w:b w:val="1"/>
          <w:bCs w:val="1"/>
          <w:i w:val="1"/>
          <w:iCs w:val="1"/>
          <w:color w:val="auto"/>
        </w:rPr>
        <w:t>Your ability to transfer the notes may be limited by the absence of an active trading market, and an active trading market may not develop for the notes.</w:t>
      </w:r>
    </w:p>
    <w:p>
      <w:pPr>
        <w:spacing w:after="0" w:line="67"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Each series of notes is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83" w:lineRule="exact"/>
        <w:rPr>
          <w:sz w:val="20"/>
          <w:szCs w:val="20"/>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number of holders of notes;</w:t>
      </w:r>
    </w:p>
    <w:p>
      <w:pPr>
        <w:spacing w:after="0" w:line="114" w:lineRule="exact"/>
        <w:rPr>
          <w:rFonts w:ascii="Arial" w:cs="Arial" w:eastAsia="Arial" w:hAnsi="Arial"/>
          <w:sz w:val="15"/>
          <w:szCs w:val="15"/>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operating performance and financial condition;</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market for similar securities;</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interest of securities dealers in making a market in the notes; and</w:t>
      </w:r>
    </w:p>
    <w:p>
      <w:pPr>
        <w:spacing w:after="0" w:line="114" w:lineRule="exact"/>
        <w:rPr>
          <w:rFonts w:ascii="Arial" w:cs="Arial" w:eastAsia="Arial" w:hAnsi="Arial"/>
          <w:sz w:val="15"/>
          <w:szCs w:val="15"/>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prevailing interest rates.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72" w:lineRule="auto"/>
        <w:rPr>
          <w:sz w:val="20"/>
          <w:szCs w:val="20"/>
          <w:color w:val="auto"/>
        </w:rPr>
      </w:pPr>
      <w:r>
        <w:rPr>
          <w:rFonts w:ascii="Arial" w:cs="Arial" w:eastAsia="Arial" w:hAnsi="Arial"/>
          <w:sz w:val="14"/>
          <w:szCs w:val="14"/>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44" w:lineRule="exact"/>
        <w:rPr>
          <w:sz w:val="20"/>
          <w:szCs w:val="20"/>
          <w:color w:val="auto"/>
        </w:rPr>
      </w:pPr>
    </w:p>
    <w:p>
      <w:pPr>
        <w:ind w:left="1140" w:right="1379"/>
        <w:spacing w:after="0" w:line="264" w:lineRule="auto"/>
        <w:rPr>
          <w:sz w:val="20"/>
          <w:szCs w:val="20"/>
          <w:color w:val="auto"/>
        </w:rPr>
      </w:pPr>
      <w:r>
        <w:rPr>
          <w:rFonts w:ascii="Arial" w:cs="Arial" w:eastAsia="Arial" w:hAnsi="Arial"/>
          <w:sz w:val="15"/>
          <w:szCs w:val="15"/>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80" w:lineRule="exact"/>
        <w:rPr>
          <w:sz w:val="20"/>
          <w:szCs w:val="20"/>
          <w:color w:val="auto"/>
        </w:rPr>
      </w:pPr>
    </w:p>
    <w:p>
      <w:pPr>
        <w:ind w:left="1140" w:right="1199"/>
        <w:spacing w:after="0" w:line="267" w:lineRule="auto"/>
        <w:rPr>
          <w:sz w:val="20"/>
          <w:szCs w:val="20"/>
          <w:color w:val="auto"/>
        </w:rPr>
      </w:pPr>
      <w:r>
        <w:rPr>
          <w:rFonts w:ascii="Arial" w:cs="Arial" w:eastAsia="Arial" w:hAnsi="Arial"/>
          <w:sz w:val="14"/>
          <w:szCs w:val="14"/>
          <w:color w:val="auto"/>
        </w:rPr>
        <w:t>Upon the occurrence of a Change of Control Triggering Event (as defined in the indenture governing each series of notes) with respect to a series of notes, holders of such series of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of a series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46" w:lineRule="exact"/>
        <w:rPr>
          <w:sz w:val="20"/>
          <w:szCs w:val="20"/>
          <w:color w:val="auto"/>
        </w:rPr>
      </w:pPr>
    </w:p>
    <w:p>
      <w:pPr>
        <w:ind w:left="1140" w:right="1679"/>
        <w:spacing w:after="0" w:line="282" w:lineRule="auto"/>
        <w:rPr>
          <w:sz w:val="20"/>
          <w:szCs w:val="20"/>
          <w:color w:val="auto"/>
        </w:rPr>
      </w:pPr>
      <w:r>
        <w:rPr>
          <w:rFonts w:ascii="Arial" w:cs="Arial" w:eastAsia="Arial" w:hAnsi="Arial"/>
          <w:sz w:val="15"/>
          <w:szCs w:val="15"/>
          <w:b w:val="1"/>
          <w:bCs w:val="1"/>
          <w:i w:val="1"/>
          <w:iCs w:val="1"/>
          <w:color w:val="auto"/>
        </w:rPr>
        <w:t>The provisions of the notes will not necessarily protect you in the event of certain highly leveraged transactions.</w:t>
      </w:r>
    </w:p>
    <w:p>
      <w:pPr>
        <w:spacing w:after="0" w:line="67"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Upon the occurrence of a Change of Control Triggering Event with respect to a series of notes, you will have the right to require us to purchase the notes of such series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ratings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 w:name="page14"/>
    <w:bookmarkEnd w:id="1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30" w:lineRule="exact"/>
        <w:rPr>
          <w:sz w:val="20"/>
          <w:szCs w:val="20"/>
          <w:color w:val="auto"/>
        </w:rPr>
      </w:pPr>
    </w:p>
    <w:p>
      <w:pPr>
        <w:ind w:left="1140" w:right="1419"/>
        <w:spacing w:after="0" w:line="274" w:lineRule="auto"/>
        <w:rPr>
          <w:sz w:val="20"/>
          <w:szCs w:val="20"/>
          <w:color w:val="auto"/>
        </w:rPr>
      </w:pPr>
      <w:r>
        <w:rPr>
          <w:rFonts w:ascii="Arial" w:cs="Arial" w:eastAsia="Arial" w:hAnsi="Arial"/>
          <w:sz w:val="15"/>
          <w:szCs w:val="15"/>
          <w:color w:val="auto"/>
        </w:rPr>
        <w:t>We estimate net proceeds from the sale of the notes, after deducting underwriter discounts and other estimated offering expenses, will be approximately $            .</w:t>
      </w:r>
    </w:p>
    <w:p>
      <w:pPr>
        <w:spacing w:after="0" w:line="81" w:lineRule="exact"/>
        <w:rPr>
          <w:sz w:val="20"/>
          <w:szCs w:val="20"/>
          <w:color w:val="auto"/>
        </w:rPr>
      </w:pPr>
    </w:p>
    <w:p>
      <w:pPr>
        <w:ind w:left="1140" w:right="1299"/>
        <w:spacing w:after="0" w:line="252" w:lineRule="auto"/>
        <w:rPr>
          <w:sz w:val="20"/>
          <w:szCs w:val="20"/>
          <w:color w:val="auto"/>
        </w:rPr>
      </w:pPr>
      <w:r>
        <w:rPr>
          <w:rFonts w:ascii="Arial" w:cs="Arial" w:eastAsia="Arial" w:hAnsi="Arial"/>
          <w:sz w:val="15"/>
          <w:szCs w:val="15"/>
          <w:color w:val="auto"/>
        </w:rPr>
        <w:t>We intend to use the net proceeds from the sale of the notes to pay the redemption price of the 2027 notes Redemption and to pay the cost of unwinding the fixed-to-floating interest rate swaps we entered into in connection with the 2027 notes. The 2027 notes bear interest at a rate of 4.185% per annum, mature on February 15, 2027, and as of February 27, 2025, $900 million in aggregate principal amount was outstanding.</w:t>
      </w:r>
    </w:p>
    <w:p>
      <w:pPr>
        <w:spacing w:after="0" w:line="88" w:lineRule="exact"/>
        <w:rPr>
          <w:sz w:val="20"/>
          <w:szCs w:val="20"/>
          <w:color w:val="auto"/>
        </w:rPr>
      </w:pPr>
    </w:p>
    <w:p>
      <w:pPr>
        <w:ind w:left="1140" w:right="1479"/>
        <w:spacing w:after="0" w:line="274" w:lineRule="auto"/>
        <w:rPr>
          <w:sz w:val="20"/>
          <w:szCs w:val="20"/>
          <w:color w:val="auto"/>
        </w:rPr>
      </w:pPr>
      <w:r>
        <w:rPr>
          <w:rFonts w:ascii="Arial" w:cs="Arial" w:eastAsia="Arial" w:hAnsi="Arial"/>
          <w:sz w:val="15"/>
          <w:szCs w:val="15"/>
          <w:color w:val="auto"/>
        </w:rPr>
        <w:t>We intend to use any remainder of the net proceeds from the sale of the notes for general corporate purposes, which may include the repayment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CASH AND CAPITALIZATION</w:t>
      </w:r>
    </w:p>
    <w:p>
      <w:pPr>
        <w:spacing w:after="0" w:line="130" w:lineRule="exact"/>
        <w:rPr>
          <w:sz w:val="20"/>
          <w:szCs w:val="20"/>
          <w:color w:val="auto"/>
        </w:rPr>
      </w:pPr>
    </w:p>
    <w:p>
      <w:pPr>
        <w:jc w:val="both"/>
        <w:ind w:left="1140" w:right="1759"/>
        <w:spacing w:after="0" w:line="294" w:lineRule="auto"/>
        <w:rPr>
          <w:sz w:val="20"/>
          <w:szCs w:val="20"/>
          <w:color w:val="auto"/>
        </w:rPr>
      </w:pPr>
      <w:r>
        <w:rPr>
          <w:rFonts w:ascii="Arial" w:cs="Arial" w:eastAsia="Arial" w:hAnsi="Arial"/>
          <w:sz w:val="14"/>
          <w:szCs w:val="14"/>
          <w:color w:val="auto"/>
        </w:rPr>
        <w:t>The following table sets forth a summary of our consolidated cash, cash equivalents, short-term investments and long-term marketable investments and capitalization as of February 27, 2025:</w:t>
      </w:r>
    </w:p>
    <w:p>
      <w:pPr>
        <w:spacing w:after="0" w:line="25" w:lineRule="exact"/>
        <w:rPr>
          <w:sz w:val="20"/>
          <w:szCs w:val="20"/>
          <w:color w:val="auto"/>
        </w:rPr>
      </w:pPr>
    </w:p>
    <w:p>
      <w:pPr>
        <w:ind w:left="1580" w:hanging="138"/>
        <w:spacing w:after="0"/>
        <w:tabs>
          <w:tab w:leader="none" w:pos="1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an actual basis; and</w:t>
      </w:r>
    </w:p>
    <w:p>
      <w:pPr>
        <w:spacing w:after="0" w:line="81" w:lineRule="exact"/>
        <w:rPr>
          <w:rFonts w:ascii="Arial" w:cs="Arial" w:eastAsia="Arial" w:hAnsi="Arial"/>
          <w:sz w:val="15"/>
          <w:szCs w:val="15"/>
          <w:color w:val="auto"/>
        </w:rPr>
      </w:pPr>
    </w:p>
    <w:p>
      <w:pPr>
        <w:ind w:left="1580" w:right="1379" w:hanging="138"/>
        <w:spacing w:after="0" w:line="275" w:lineRule="auto"/>
        <w:tabs>
          <w:tab w:leader="none" w:pos="1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an as adjusted basis to give effect to (i) the issuance of the notes offered by this prospectus supplement as if the offering had occurred on February 27, 2025, and (ii) the application of a portion of the net proceeds therefrom as described in “Use of Proceeds” to pay the redemption price for the 2027 notes Redemption and to pay the estimated cost of unwinding the fixed-to-floating interest rate swaps we entered into in connection with the 2027 notes.</w:t>
      </w:r>
    </w:p>
    <w:p>
      <w:pPr>
        <w:spacing w:after="0" w:line="82" w:lineRule="exact"/>
        <w:rPr>
          <w:sz w:val="20"/>
          <w:szCs w:val="20"/>
          <w:color w:val="auto"/>
        </w:rPr>
      </w:pPr>
    </w:p>
    <w:p>
      <w:pPr>
        <w:ind w:left="1140" w:right="1559"/>
        <w:spacing w:after="0" w:line="259" w:lineRule="auto"/>
        <w:rPr>
          <w:sz w:val="20"/>
          <w:szCs w:val="20"/>
          <w:color w:val="auto"/>
        </w:rPr>
      </w:pPr>
      <w:r>
        <w:rPr>
          <w:rFonts w:ascii="Arial" w:cs="Arial" w:eastAsia="Arial" w:hAnsi="Arial"/>
          <w:sz w:val="15"/>
          <w:szCs w:val="15"/>
          <w:color w:val="auto"/>
        </w:rPr>
        <w:t>This table should be read in conjunction with our consolidated financial statements incorporated by reference in this prospectus supplement.</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1980" w:type="dxa"/>
            <w:vAlign w:val="bottom"/>
            <w:gridSpan w:val="3"/>
          </w:tcPr>
          <w:p>
            <w:pPr>
              <w:spacing w:after="0"/>
              <w:rPr>
                <w:sz w:val="20"/>
                <w:szCs w:val="20"/>
                <w:color w:val="auto"/>
              </w:rPr>
            </w:pPr>
            <w:r>
              <w:rPr>
                <w:rFonts w:ascii="Arial" w:cs="Arial" w:eastAsia="Arial" w:hAnsi="Arial"/>
                <w:sz w:val="12"/>
                <w:szCs w:val="12"/>
                <w:b w:val="1"/>
                <w:bCs w:val="1"/>
                <w:color w:val="auto"/>
              </w:rPr>
              <w:t>​</w:t>
            </w:r>
          </w:p>
        </w:tc>
        <w:tc>
          <w:tcPr>
            <w:tcW w:w="2960" w:type="dxa"/>
            <w:vAlign w:val="bottom"/>
          </w:tcPr>
          <w:p>
            <w:pPr>
              <w:spacing w:after="0"/>
              <w:rPr>
                <w:sz w:val="13"/>
                <w:szCs w:val="13"/>
                <w:color w:val="auto"/>
              </w:rPr>
            </w:pPr>
          </w:p>
        </w:tc>
        <w:tc>
          <w:tcPr>
            <w:tcW w:w="280" w:type="dxa"/>
            <w:vAlign w:val="bottom"/>
            <w:gridSpan w:val="2"/>
          </w:tcPr>
          <w:p>
            <w:pPr>
              <w:ind w:left="1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3"/>
                <w:szCs w:val="13"/>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w w:val="99"/>
              </w:rPr>
              <w:t>As of February 27, 2025</w:t>
            </w:r>
          </w:p>
        </w:tc>
        <w:tc>
          <w:tcPr>
            <w:tcW w:w="10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6"/>
        </w:trPr>
        <w:tc>
          <w:tcPr>
            <w:tcW w:w="1980" w:type="dxa"/>
            <w:vAlign w:val="bottom"/>
            <w:gridSpan w:val="3"/>
          </w:tcPr>
          <w:p>
            <w:pPr>
              <w:spacing w:after="0"/>
              <w:rPr>
                <w:sz w:val="20"/>
                <w:szCs w:val="20"/>
                <w:color w:val="auto"/>
              </w:rPr>
            </w:pPr>
            <w:r>
              <w:rPr>
                <w:rFonts w:ascii="Arial" w:cs="Arial" w:eastAsia="Arial" w:hAnsi="Arial"/>
                <w:sz w:val="12"/>
                <w:szCs w:val="12"/>
                <w:b w:val="1"/>
                <w:bCs w:val="1"/>
                <w:color w:val="auto"/>
              </w:rPr>
              <w:t>​</w:t>
            </w: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Actual  ​</w:t>
            </w:r>
          </w:p>
        </w:tc>
        <w:tc>
          <w:tcPr>
            <w:tcW w:w="820" w:type="dxa"/>
            <w:vAlign w:val="bottom"/>
            <w:gridSpan w:val="5"/>
          </w:tcPr>
          <w:p>
            <w:pPr>
              <w:jc w:val="right"/>
              <w:spacing w:after="0"/>
              <w:rPr>
                <w:sz w:val="20"/>
                <w:szCs w:val="20"/>
                <w:color w:val="auto"/>
              </w:rPr>
            </w:pPr>
            <w:r>
              <w:rPr>
                <w:rFonts w:ascii="Arial" w:cs="Arial" w:eastAsia="Arial" w:hAnsi="Arial"/>
                <w:sz w:val="12"/>
                <w:szCs w:val="12"/>
                <w:b w:val="1"/>
                <w:bCs w:val="1"/>
                <w:color w:val="auto"/>
              </w:rPr>
              <w:t>​ As Adjusted ​</w:t>
            </w:r>
          </w:p>
        </w:tc>
        <w:tc>
          <w:tcPr>
            <w:tcW w:w="0" w:type="dxa"/>
            <w:vAlign w:val="bottom"/>
          </w:tcPr>
          <w:p>
            <w:pPr>
              <w:spacing w:after="0"/>
              <w:rPr>
                <w:sz w:val="1"/>
                <w:szCs w:val="1"/>
                <w:color w:val="auto"/>
              </w:rPr>
            </w:pPr>
          </w:p>
        </w:tc>
      </w:tr>
      <w:tr>
        <w:trPr>
          <w:trHeight w:val="146"/>
        </w:trPr>
        <w:tc>
          <w:tcPr>
            <w:tcW w:w="1980" w:type="dxa"/>
            <w:vAlign w:val="bottom"/>
            <w:gridSpan w:val="3"/>
          </w:tcPr>
          <w:p>
            <w:pPr>
              <w:spacing w:after="0"/>
              <w:rPr>
                <w:sz w:val="20"/>
                <w:szCs w:val="20"/>
                <w:color w:val="auto"/>
              </w:rPr>
            </w:pPr>
            <w:r>
              <w:rPr>
                <w:rFonts w:ascii="Arial" w:cs="Arial" w:eastAsia="Arial" w:hAnsi="Arial"/>
                <w:sz w:val="12"/>
                <w:szCs w:val="12"/>
                <w:b w:val="1"/>
                <w:bCs w:val="1"/>
                <w:color w:val="auto"/>
              </w:rPr>
              <w:t>​</w:t>
            </w:r>
          </w:p>
        </w:tc>
        <w:tc>
          <w:tcPr>
            <w:tcW w:w="2960" w:type="dxa"/>
            <w:vAlign w:val="bottom"/>
          </w:tcPr>
          <w:p>
            <w:pPr>
              <w:spacing w:after="0"/>
              <w:rPr>
                <w:sz w:val="12"/>
                <w:szCs w:val="12"/>
                <w:color w:val="auto"/>
              </w:rPr>
            </w:pPr>
          </w:p>
        </w:tc>
        <w:tc>
          <w:tcPr>
            <w:tcW w:w="280" w:type="dxa"/>
            <w:vAlign w:val="bottom"/>
            <w:gridSpan w:val="2"/>
          </w:tcPr>
          <w:p>
            <w:pPr>
              <w:ind w:left="1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Cash and equivalents</w:t>
            </w:r>
          </w:p>
        </w:tc>
        <w:tc>
          <w:tcPr>
            <w:tcW w:w="2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5"/>
                <w:szCs w:val="15"/>
                <w:color w:val="auto"/>
              </w:rPr>
              <w:t>​ ​​$</w:t>
            </w:r>
          </w:p>
        </w:tc>
        <w:tc>
          <w:tcPr>
            <w:tcW w:w="800" w:type="dxa"/>
            <w:vAlign w:val="bottom"/>
            <w:gridSpan w:val="4"/>
            <w:shd w:val="clear" w:color="auto" w:fill="CCEEFF"/>
          </w:tcPr>
          <w:p>
            <w:pPr>
              <w:ind w:left="20"/>
              <w:spacing w:after="0" w:line="166" w:lineRule="exact"/>
              <w:rPr>
                <w:sz w:val="20"/>
                <w:szCs w:val="20"/>
                <w:color w:val="auto"/>
              </w:rPr>
            </w:pPr>
            <w:r>
              <w:rPr>
                <w:rFonts w:ascii="Arial" w:cs="Arial" w:eastAsia="Arial" w:hAnsi="Arial"/>
                <w:sz w:val="15"/>
                <w:szCs w:val="15"/>
                <w:color w:val="auto"/>
              </w:rPr>
              <w:t>7,552​​ ​ ​$</w:t>
            </w:r>
          </w:p>
        </w:tc>
        <w:tc>
          <w:tcPr>
            <w:tcW w:w="4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tcPr>
          <w:p>
            <w:pPr>
              <w:spacing w:after="0" w:line="166" w:lineRule="exact"/>
              <w:rPr>
                <w:sz w:val="20"/>
                <w:szCs w:val="20"/>
                <w:color w:val="auto"/>
              </w:rPr>
            </w:pPr>
            <w:r>
              <w:rPr>
                <w:rFonts w:ascii="Arial" w:cs="Arial" w:eastAsia="Arial" w:hAnsi="Arial"/>
                <w:sz w:val="15"/>
                <w:szCs w:val="15"/>
                <w:color w:val="auto"/>
              </w:rPr>
              <w:t>Short-term investments</w:t>
            </w: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3"/>
          </w:tcPr>
          <w:p>
            <w:pPr>
              <w:ind w:left="40"/>
              <w:spacing w:after="0" w:line="166" w:lineRule="exact"/>
              <w:rPr>
                <w:sz w:val="20"/>
                <w:szCs w:val="20"/>
                <w:color w:val="auto"/>
              </w:rPr>
            </w:pPr>
            <w:r>
              <w:rPr>
                <w:rFonts w:ascii="Arial" w:cs="Arial" w:eastAsia="Arial" w:hAnsi="Arial"/>
                <w:sz w:val="15"/>
                <w:szCs w:val="15"/>
                <w:color w:val="auto"/>
              </w:rPr>
              <w:t>​ ​​ ​</w:t>
            </w:r>
          </w:p>
        </w:tc>
        <w:tc>
          <w:tcPr>
            <w:tcW w:w="640" w:type="dxa"/>
            <w:vAlign w:val="bottom"/>
            <w:gridSpan w:val="3"/>
          </w:tcPr>
          <w:p>
            <w:pPr>
              <w:jc w:val="right"/>
              <w:ind w:right="21"/>
              <w:spacing w:after="0" w:line="166" w:lineRule="exact"/>
              <w:rPr>
                <w:sz w:val="20"/>
                <w:szCs w:val="20"/>
                <w:color w:val="auto"/>
              </w:rPr>
            </w:pPr>
            <w:r>
              <w:rPr>
                <w:rFonts w:ascii="Arial" w:cs="Arial" w:eastAsia="Arial" w:hAnsi="Arial"/>
                <w:sz w:val="15"/>
                <w:szCs w:val="15"/>
                <w:color w:val="auto"/>
              </w:rPr>
              <w:t>663​​ ​</w:t>
            </w:r>
          </w:p>
        </w:tc>
        <w:tc>
          <w:tcPr>
            <w:tcW w:w="160" w:type="dxa"/>
            <w:vAlign w:val="bottom"/>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tcPr>
          <w:p>
            <w:pPr>
              <w:jc w:val="right"/>
              <w:spacing w:after="0" w:line="166" w:lineRule="exact"/>
              <w:rPr>
                <w:sz w:val="20"/>
                <w:szCs w:val="20"/>
                <w:color w:val="auto"/>
              </w:rPr>
            </w:pPr>
            <w:r>
              <w:rPr>
                <w:rFonts w:ascii="Arial" w:cs="Arial" w:eastAsia="Arial" w:hAnsi="Arial"/>
                <w:sz w:val="15"/>
                <w:szCs w:val="15"/>
                <w:color w:val="auto"/>
              </w:rPr>
              <w:t>663</w:t>
            </w:r>
          </w:p>
        </w:tc>
        <w:tc>
          <w:tcPr>
            <w:tcW w:w="8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Long-term marketable investments</w:t>
            </w:r>
          </w:p>
        </w:tc>
        <w:tc>
          <w:tcPr>
            <w:tcW w:w="160" w:type="dxa"/>
            <w:vAlign w:val="bottom"/>
            <w:shd w:val="clear" w:color="auto" w:fill="CCEEFF"/>
          </w:tcPr>
          <w:p>
            <w:pPr>
              <w:spacing w:after="0"/>
              <w:rPr>
                <w:sz w:val="15"/>
                <w:szCs w:val="15"/>
                <w:color w:val="auto"/>
              </w:rPr>
            </w:pPr>
          </w:p>
        </w:tc>
        <w:tc>
          <w:tcPr>
            <w:tcW w:w="1140" w:type="dxa"/>
            <w:vAlign w:val="bottom"/>
            <w:gridSpan w:val="7"/>
            <w:shd w:val="clear" w:color="auto" w:fill="CCEEFF"/>
          </w:tcPr>
          <w:p>
            <w:pPr>
              <w:ind w:left="40"/>
              <w:spacing w:after="0"/>
              <w:rPr>
                <w:sz w:val="20"/>
                <w:szCs w:val="20"/>
                <w:color w:val="auto"/>
              </w:rPr>
            </w:pPr>
            <w:r>
              <w:rPr>
                <w:rFonts w:ascii="Arial" w:cs="Arial" w:eastAsia="Arial" w:hAnsi="Arial"/>
                <w:sz w:val="15"/>
                <w:szCs w:val="15"/>
                <w:color w:val="auto"/>
              </w:rPr>
              <w:t>​ ​​ ​ 1,375​​ ​ ​ ​</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1,375</w:t>
            </w:r>
          </w:p>
        </w:tc>
        <w:tc>
          <w:tcPr>
            <w:tcW w:w="8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34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920" w:type="dxa"/>
            <w:vAlign w:val="bottom"/>
            <w:gridSpan w:val="3"/>
          </w:tcPr>
          <w:p>
            <w:pPr>
              <w:ind w:left="140"/>
              <w:spacing w:after="0" w:line="164" w:lineRule="exact"/>
              <w:rPr>
                <w:sz w:val="20"/>
                <w:szCs w:val="20"/>
                <w:color w:val="auto"/>
              </w:rPr>
            </w:pPr>
            <w:r>
              <w:rPr>
                <w:rFonts w:ascii="Arial" w:cs="Arial" w:eastAsia="Arial" w:hAnsi="Arial"/>
                <w:sz w:val="15"/>
                <w:szCs w:val="15"/>
                <w:color w:val="auto"/>
                <w:w w:val="99"/>
              </w:rPr>
              <w:t>Cash and equivalents, short-term investments and long-term marketable</w:t>
            </w:r>
          </w:p>
        </w:tc>
        <w:tc>
          <w:tcPr>
            <w:tcW w:w="160" w:type="dxa"/>
            <w:vAlign w:val="bottom"/>
          </w:tcPr>
          <w:p>
            <w:pPr>
              <w:spacing w:after="0"/>
              <w:rPr>
                <w:sz w:val="14"/>
                <w:szCs w:val="14"/>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5"/>
                <w:szCs w:val="15"/>
                <w:color w:val="auto"/>
              </w:rPr>
              <w:t>​ ​​$</w:t>
            </w:r>
          </w:p>
        </w:tc>
        <w:tc>
          <w:tcPr>
            <w:tcW w:w="640" w:type="dxa"/>
            <w:vAlign w:val="bottom"/>
            <w:gridSpan w:val="3"/>
            <w:vMerge w:val="restart"/>
          </w:tcPr>
          <w:p>
            <w:pPr>
              <w:jc w:val="right"/>
              <w:ind w:right="21"/>
              <w:spacing w:after="0"/>
              <w:rPr>
                <w:sz w:val="20"/>
                <w:szCs w:val="20"/>
                <w:color w:val="auto"/>
              </w:rPr>
            </w:pPr>
            <w:r>
              <w:rPr>
                <w:rFonts w:ascii="Arial" w:cs="Arial" w:eastAsia="Arial" w:hAnsi="Arial"/>
                <w:sz w:val="15"/>
                <w:szCs w:val="15"/>
                <w:color w:val="auto"/>
              </w:rPr>
              <w:t>9,590​​ ​</w:t>
            </w:r>
          </w:p>
        </w:tc>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60" w:type="dxa"/>
            <w:vAlign w:val="bottom"/>
            <w:gridSpan w:val="2"/>
          </w:tcPr>
          <w:p>
            <w:pPr>
              <w:ind w:left="280"/>
              <w:spacing w:after="0" w:line="159" w:lineRule="exact"/>
              <w:rPr>
                <w:sz w:val="20"/>
                <w:szCs w:val="20"/>
                <w:color w:val="auto"/>
              </w:rPr>
            </w:pPr>
            <w:r>
              <w:rPr>
                <w:rFonts w:ascii="Arial" w:cs="Arial" w:eastAsia="Arial" w:hAnsi="Arial"/>
                <w:sz w:val="15"/>
                <w:szCs w:val="15"/>
                <w:color w:val="auto"/>
              </w:rPr>
              <w:t>investments</w:t>
            </w: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9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Finance lease obligations</w:t>
            </w:r>
          </w:p>
        </w:tc>
        <w:tc>
          <w:tcPr>
            <w:tcW w:w="2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ind w:left="40"/>
              <w:spacing w:after="0" w:line="161" w:lineRule="exact"/>
              <w:rPr>
                <w:sz w:val="20"/>
                <w:szCs w:val="20"/>
                <w:color w:val="auto"/>
              </w:rPr>
            </w:pPr>
            <w:r>
              <w:rPr>
                <w:rFonts w:ascii="Arial" w:cs="Arial" w:eastAsia="Arial" w:hAnsi="Arial"/>
                <w:sz w:val="15"/>
                <w:szCs w:val="15"/>
                <w:color w:val="auto"/>
              </w:rPr>
              <w:t>​ ​​ ​</w:t>
            </w:r>
          </w:p>
        </w:tc>
        <w:tc>
          <w:tcPr>
            <w:tcW w:w="4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504</w:t>
            </w:r>
          </w:p>
        </w:tc>
        <w:tc>
          <w:tcPr>
            <w:tcW w:w="240" w:type="dxa"/>
            <w:vAlign w:val="bottom"/>
            <w:tcBorders>
              <w:right w:val="single" w:sz="8" w:color="CCEEFF"/>
            </w:tcBorders>
            <w:gridSpan w:val="2"/>
            <w:shd w:val="clear" w:color="auto" w:fill="CCEEFF"/>
          </w:tcPr>
          <w:p>
            <w:pPr>
              <w:jc w:val="right"/>
              <w:ind w:right="21"/>
              <w:spacing w:after="0" w:line="161" w:lineRule="exact"/>
              <w:rPr>
                <w:sz w:val="20"/>
                <w:szCs w:val="20"/>
                <w:color w:val="auto"/>
              </w:rPr>
            </w:pPr>
            <w:r>
              <w:rPr>
                <w:rFonts w:ascii="Arial" w:cs="Arial" w:eastAsia="Arial" w:hAnsi="Arial"/>
                <w:sz w:val="15"/>
                <w:szCs w:val="15"/>
                <w:color w:val="auto"/>
              </w:rPr>
              <w:t>​​ ​</w:t>
            </w:r>
          </w:p>
        </w:tc>
        <w:tc>
          <w:tcPr>
            <w:tcW w:w="1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504</w:t>
            </w:r>
          </w:p>
        </w:tc>
        <w:tc>
          <w:tcPr>
            <w:tcW w:w="80" w:type="dxa"/>
            <w:vAlign w:val="bottom"/>
            <w:tcBorders>
              <w:left w:val="single" w:sz="8" w:color="CCEEFF"/>
            </w:tcBorders>
            <w:shd w:val="clear" w:color="auto" w:fill="CCEEFF"/>
          </w:tcPr>
          <w:p>
            <w:pPr>
              <w:spacing w:after="0"/>
              <w:rPr>
                <w:sz w:val="13"/>
                <w:szCs w:val="13"/>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gridSpan w:val="2"/>
          </w:tcPr>
          <w:p>
            <w:pPr>
              <w:ind w:left="280"/>
              <w:spacing w:after="0" w:line="156" w:lineRule="exact"/>
              <w:rPr>
                <w:sz w:val="20"/>
                <w:szCs w:val="20"/>
                <w:color w:val="auto"/>
              </w:rPr>
            </w:pPr>
            <w:r>
              <w:rPr>
                <w:rFonts w:ascii="Arial" w:cs="Arial" w:eastAsia="Arial" w:hAnsi="Arial"/>
                <w:sz w:val="15"/>
                <w:szCs w:val="15"/>
                <w:color w:val="auto"/>
              </w:rPr>
              <w:t>Total current debt</w:t>
            </w: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3"/>
          </w:tcPr>
          <w:p>
            <w:pPr>
              <w:ind w:left="40"/>
              <w:spacing w:after="0" w:line="157" w:lineRule="exact"/>
              <w:rPr>
                <w:sz w:val="20"/>
                <w:szCs w:val="20"/>
                <w:color w:val="auto"/>
              </w:rPr>
            </w:pPr>
            <w:r>
              <w:rPr>
                <w:rFonts w:ascii="Arial" w:cs="Arial" w:eastAsia="Arial" w:hAnsi="Arial"/>
                <w:sz w:val="11"/>
                <w:szCs w:val="11"/>
                <w:color w:val="auto"/>
              </w:rPr>
              <w:t>​ ​​</w:t>
            </w:r>
            <w:r>
              <w:rPr>
                <w:rFonts w:ascii="Arial" w:cs="Arial" w:eastAsia="Arial" w:hAnsi="Arial"/>
                <w:sz w:val="18"/>
                <w:szCs w:val="18"/>
                <w:color w:val="auto"/>
                <w:vertAlign w:val="superscript"/>
              </w:rPr>
              <w:t>$</w:t>
            </w:r>
          </w:p>
        </w:tc>
        <w:tc>
          <w:tcPr>
            <w:tcW w:w="400" w:type="dxa"/>
            <w:vAlign w:val="bottom"/>
          </w:tcPr>
          <w:p>
            <w:pPr>
              <w:jc w:val="right"/>
              <w:spacing w:after="0" w:line="156" w:lineRule="exact"/>
              <w:rPr>
                <w:sz w:val="20"/>
                <w:szCs w:val="20"/>
                <w:color w:val="auto"/>
              </w:rPr>
            </w:pPr>
            <w:r>
              <w:rPr>
                <w:rFonts w:ascii="Arial" w:cs="Arial" w:eastAsia="Arial" w:hAnsi="Arial"/>
                <w:sz w:val="15"/>
                <w:szCs w:val="15"/>
                <w:color w:val="auto"/>
              </w:rPr>
              <w:t>504</w:t>
            </w:r>
          </w:p>
        </w:tc>
        <w:tc>
          <w:tcPr>
            <w:tcW w:w="240" w:type="dxa"/>
            <w:vAlign w:val="bottom"/>
            <w:gridSpan w:val="2"/>
          </w:tcPr>
          <w:p>
            <w:pPr>
              <w:jc w:val="right"/>
              <w:ind w:right="21"/>
              <w:spacing w:after="0" w:line="156" w:lineRule="exact"/>
              <w:rPr>
                <w:sz w:val="20"/>
                <w:szCs w:val="20"/>
                <w:color w:val="auto"/>
              </w:rPr>
            </w:pPr>
            <w:r>
              <w:rPr>
                <w:rFonts w:ascii="Arial" w:cs="Arial" w:eastAsia="Arial" w:hAnsi="Arial"/>
                <w:sz w:val="15"/>
                <w:szCs w:val="15"/>
                <w:color w:val="auto"/>
              </w:rPr>
              <w:t>​​ ​</w:t>
            </w:r>
          </w:p>
        </w:tc>
        <w:tc>
          <w:tcPr>
            <w:tcW w:w="160" w:type="dxa"/>
            <w:vAlign w:val="bottom"/>
          </w:tcPr>
          <w:p>
            <w:pPr>
              <w:spacing w:after="0" w:line="157"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w:t>
            </w:r>
          </w:p>
        </w:tc>
        <w:tc>
          <w:tcPr>
            <w:tcW w:w="420" w:type="dxa"/>
            <w:vAlign w:val="bottom"/>
          </w:tcPr>
          <w:p>
            <w:pPr>
              <w:jc w:val="right"/>
              <w:spacing w:after="0" w:line="156" w:lineRule="exact"/>
              <w:rPr>
                <w:sz w:val="20"/>
                <w:szCs w:val="20"/>
                <w:color w:val="auto"/>
              </w:rPr>
            </w:pPr>
            <w:r>
              <w:rPr>
                <w:rFonts w:ascii="Arial" w:cs="Arial" w:eastAsia="Arial" w:hAnsi="Arial"/>
                <w:sz w:val="15"/>
                <w:szCs w:val="15"/>
                <w:color w:val="auto"/>
              </w:rPr>
              <w:t>504</w:t>
            </w:r>
          </w:p>
        </w:tc>
        <w:tc>
          <w:tcPr>
            <w:tcW w:w="100" w:type="dxa"/>
            <w:vAlign w:val="bottom"/>
            <w:gridSpan w:val="2"/>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4920" w:type="dxa"/>
            <w:vAlign w:val="bottom"/>
            <w:gridSpan w:val="3"/>
            <w:shd w:val="clear" w:color="auto" w:fill="CCEEFF"/>
          </w:tcPr>
          <w:p>
            <w:pPr>
              <w:spacing w:after="0" w:line="128" w:lineRule="exact"/>
              <w:rPr>
                <w:sz w:val="20"/>
                <w:szCs w:val="20"/>
                <w:color w:val="auto"/>
              </w:rPr>
            </w:pPr>
            <w:r>
              <w:rPr>
                <w:rFonts w:ascii="Arial" w:cs="Arial" w:eastAsia="Arial" w:hAnsi="Arial"/>
                <w:sz w:val="14"/>
                <w:szCs w:val="14"/>
                <w:color w:val="auto"/>
              </w:rPr>
              <w:t>Long-term debt and finance lease obligations, excluding current portion:</w:t>
            </w:r>
          </w:p>
        </w:tc>
        <w:tc>
          <w:tcPr>
            <w:tcW w:w="160" w:type="dxa"/>
            <w:vAlign w:val="bottom"/>
            <w:shd w:val="clear" w:color="auto" w:fill="CCEEFF"/>
          </w:tcPr>
          <w:p>
            <w:pPr>
              <w:spacing w:after="0"/>
              <w:rPr>
                <w:sz w:val="11"/>
                <w:szCs w:val="11"/>
                <w:color w:val="auto"/>
              </w:rPr>
            </w:pPr>
          </w:p>
        </w:tc>
        <w:tc>
          <w:tcPr>
            <w:tcW w:w="340" w:type="dxa"/>
            <w:vAlign w:val="bottom"/>
            <w:gridSpan w:val="3"/>
            <w:shd w:val="clear" w:color="auto" w:fill="CCEEFF"/>
          </w:tcPr>
          <w:p>
            <w:pPr>
              <w:ind w:left="40"/>
              <w:spacing w:after="0" w:line="128" w:lineRule="exact"/>
              <w:rPr>
                <w:sz w:val="20"/>
                <w:szCs w:val="20"/>
                <w:color w:val="auto"/>
              </w:rPr>
            </w:pPr>
            <w:r>
              <w:rPr>
                <w:rFonts w:ascii="Arial" w:cs="Arial" w:eastAsia="Arial" w:hAnsi="Arial"/>
                <w:sz w:val="14"/>
                <w:szCs w:val="14"/>
                <w:color w:val="auto"/>
              </w:rPr>
              <w:t>​ ​​ ​</w:t>
            </w:r>
          </w:p>
        </w:tc>
        <w:tc>
          <w:tcPr>
            <w:tcW w:w="400" w:type="dxa"/>
            <w:vAlign w:val="bottom"/>
            <w:shd w:val="clear" w:color="auto" w:fill="CCEEFF"/>
          </w:tcPr>
          <w:p>
            <w:pPr>
              <w:spacing w:after="0"/>
              <w:rPr>
                <w:sz w:val="11"/>
                <w:szCs w:val="11"/>
                <w:color w:val="auto"/>
              </w:rPr>
            </w:pPr>
          </w:p>
        </w:tc>
        <w:tc>
          <w:tcPr>
            <w:tcW w:w="240" w:type="dxa"/>
            <w:vAlign w:val="bottom"/>
            <w:tcBorders>
              <w:right w:val="single" w:sz="8" w:color="CCEEFF"/>
            </w:tcBorders>
            <w:gridSpan w:val="2"/>
            <w:shd w:val="clear" w:color="auto" w:fill="CCEEFF"/>
          </w:tcPr>
          <w:p>
            <w:pPr>
              <w:jc w:val="right"/>
              <w:ind w:right="21"/>
              <w:spacing w:after="0" w:line="128"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line="12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tcPr>
          <w:p>
            <w:pPr>
              <w:spacing w:after="0" w:line="166" w:lineRule="exact"/>
              <w:rPr>
                <w:sz w:val="20"/>
                <w:szCs w:val="20"/>
                <w:color w:val="auto"/>
              </w:rPr>
            </w:pPr>
            <w:r>
              <w:rPr>
                <w:rFonts w:ascii="Arial" w:cs="Arial" w:eastAsia="Arial" w:hAnsi="Arial"/>
                <w:sz w:val="15"/>
                <w:szCs w:val="15"/>
                <w:color w:val="auto"/>
                <w:w w:val="99"/>
              </w:rPr>
              <w:t xml:space="preserve">        % senior notes due 20   </w:t>
            </w:r>
          </w:p>
        </w:tc>
        <w:tc>
          <w:tcPr>
            <w:tcW w:w="2960" w:type="dxa"/>
            <w:vAlign w:val="bottom"/>
          </w:tcPr>
          <w:p>
            <w:pPr>
              <w:spacing w:after="0" w:line="166" w:lineRule="exact"/>
              <w:rPr>
                <w:sz w:val="20"/>
                <w:szCs w:val="20"/>
                <w:color w:val="auto"/>
              </w:rPr>
            </w:pPr>
            <w:r>
              <w:rPr>
                <w:rFonts w:ascii="Arial" w:cs="Arial" w:eastAsia="Arial" w:hAnsi="Arial"/>
                <w:sz w:val="15"/>
                <w:szCs w:val="15"/>
                <w:color w:val="auto"/>
              </w:rPr>
              <w:t>offered hereby</w:t>
            </w:r>
          </w:p>
        </w:tc>
        <w:tc>
          <w:tcPr>
            <w:tcW w:w="160" w:type="dxa"/>
            <w:vAlign w:val="bottom"/>
          </w:tcPr>
          <w:p>
            <w:pPr>
              <w:spacing w:after="0"/>
              <w:rPr>
                <w:sz w:val="14"/>
                <w:szCs w:val="14"/>
                <w:color w:val="auto"/>
              </w:rPr>
            </w:pPr>
          </w:p>
        </w:tc>
        <w:tc>
          <w:tcPr>
            <w:tcW w:w="340" w:type="dxa"/>
            <w:vAlign w:val="bottom"/>
            <w:gridSpan w:val="3"/>
          </w:tcPr>
          <w:p>
            <w:pPr>
              <w:ind w:left="40"/>
              <w:spacing w:after="0" w:line="166" w:lineRule="exact"/>
              <w:rPr>
                <w:sz w:val="20"/>
                <w:szCs w:val="20"/>
                <w:color w:val="auto"/>
              </w:rPr>
            </w:pPr>
            <w:r>
              <w:rPr>
                <w:rFonts w:ascii="Arial" w:cs="Arial" w:eastAsia="Arial" w:hAnsi="Arial"/>
                <w:sz w:val="15"/>
                <w:szCs w:val="15"/>
                <w:color w:val="auto"/>
              </w:rPr>
              <w:t>​ ​​$</w:t>
            </w:r>
          </w:p>
        </w:tc>
        <w:tc>
          <w:tcPr>
            <w:tcW w:w="640" w:type="dxa"/>
            <w:vAlign w:val="bottom"/>
            <w:gridSpan w:val="3"/>
          </w:tcPr>
          <w:p>
            <w:pPr>
              <w:jc w:val="right"/>
              <w:ind w:right="21"/>
              <w:spacing w:after="0" w:line="166" w:lineRule="exact"/>
              <w:rPr>
                <w:sz w:val="20"/>
                <w:szCs w:val="20"/>
                <w:color w:val="auto"/>
              </w:rPr>
            </w:pPr>
            <w:r>
              <w:rPr>
                <w:rFonts w:ascii="Arial" w:cs="Arial" w:eastAsia="Arial" w:hAnsi="Arial"/>
                <w:sz w:val="15"/>
                <w:szCs w:val="15"/>
                <w:color w:val="auto"/>
              </w:rPr>
              <w:t>—​​ ​</w:t>
            </w:r>
          </w:p>
        </w:tc>
        <w:tc>
          <w:tcPr>
            <w:tcW w:w="160" w:type="dxa"/>
            <w:vAlign w:val="bottom"/>
          </w:tcPr>
          <w:p>
            <w:pPr>
              <w:spacing w:after="0" w:line="166"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w w:val="99"/>
              </w:rPr>
              <w:t xml:space="preserve">        % senior notes due 20   </w:t>
            </w:r>
          </w:p>
        </w:tc>
        <w:tc>
          <w:tcPr>
            <w:tcW w:w="29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offered hereby</w:t>
            </w:r>
          </w:p>
        </w:tc>
        <w:tc>
          <w:tcPr>
            <w:tcW w:w="1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5"/>
                <w:szCs w:val="15"/>
                <w:color w:val="auto"/>
              </w:rPr>
              <w:t>​ ​​ ​</w:t>
            </w:r>
          </w:p>
        </w:tc>
        <w:tc>
          <w:tcPr>
            <w:tcW w:w="640" w:type="dxa"/>
            <w:vAlign w:val="bottom"/>
            <w:tcBorders>
              <w:right w:val="single" w:sz="8" w:color="CCEEFF"/>
            </w:tcBorders>
            <w:gridSpan w:val="3"/>
            <w:shd w:val="clear" w:color="auto" w:fill="CCEEFF"/>
          </w:tcPr>
          <w:p>
            <w:pPr>
              <w:jc w:val="right"/>
              <w:ind w:right="21"/>
              <w:spacing w:after="0" w:line="166" w:lineRule="exact"/>
              <w:rPr>
                <w:sz w:val="20"/>
                <w:szCs w:val="20"/>
                <w:color w:val="auto"/>
              </w:rPr>
            </w:pPr>
            <w:r>
              <w:rPr>
                <w:rFonts w:ascii="Arial" w:cs="Arial" w:eastAsia="Arial" w:hAnsi="Arial"/>
                <w:sz w:val="15"/>
                <w:szCs w:val="15"/>
                <w:color w:val="auto"/>
              </w:rPr>
              <w:t>—​​ ​</w:t>
            </w:r>
          </w:p>
        </w:tc>
        <w:tc>
          <w:tcPr>
            <w:tcW w:w="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20" w:type="dxa"/>
            <w:vAlign w:val="bottom"/>
            <w:gridSpan w:val="3"/>
          </w:tcPr>
          <w:p>
            <w:pPr>
              <w:spacing w:after="0" w:line="188" w:lineRule="exact"/>
              <w:rPr>
                <w:sz w:val="20"/>
                <w:szCs w:val="20"/>
                <w:color w:val="auto"/>
              </w:rPr>
            </w:pPr>
            <w:r>
              <w:rPr>
                <w:rFonts w:ascii="Arial" w:cs="Arial" w:eastAsia="Arial" w:hAnsi="Arial"/>
                <w:sz w:val="15"/>
                <w:szCs w:val="15"/>
                <w:color w:val="auto"/>
              </w:rPr>
              <w:t>4.185% senior notes due 2027</w:t>
            </w:r>
            <w:r>
              <w:rPr>
                <w:rFonts w:ascii="Arial" w:cs="Arial" w:eastAsia="Arial" w:hAnsi="Arial"/>
                <w:sz w:val="19"/>
                <w:szCs w:val="19"/>
                <w:color w:val="auto"/>
                <w:vertAlign w:val="superscript"/>
              </w:rPr>
              <w:t>(1)</w:t>
            </w:r>
          </w:p>
        </w:tc>
        <w:tc>
          <w:tcPr>
            <w:tcW w:w="16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5"/>
                <w:szCs w:val="15"/>
                <w:color w:val="auto"/>
              </w:rPr>
              <w:t>846​​ ​</w:t>
            </w:r>
          </w:p>
        </w:tc>
        <w:tc>
          <w:tcPr>
            <w:tcW w:w="160" w:type="dxa"/>
            <w:vAlign w:val="bottom"/>
          </w:tcPr>
          <w:p>
            <w:pPr>
              <w:spacing w:after="0"/>
              <w:rPr>
                <w:sz w:val="20"/>
                <w:szCs w:val="20"/>
                <w:color w:val="auto"/>
              </w:rPr>
            </w:pPr>
            <w:r>
              <w:rPr>
                <w:rFonts w:ascii="Arial" w:cs="Arial" w:eastAsia="Arial" w:hAnsi="Arial"/>
                <w:sz w:val="15"/>
                <w:szCs w:val="15"/>
                <w:color w:val="auto"/>
              </w:rPr>
              <w:t>​ ​</w:t>
            </w: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w w:val="95"/>
              </w:rPr>
              <w:t>5.375% senior notes due 2028</w:t>
            </w:r>
          </w:p>
        </w:tc>
        <w:tc>
          <w:tcPr>
            <w:tcW w:w="2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5"/>
                <w:szCs w:val="15"/>
                <w:color w:val="auto"/>
              </w:rPr>
              <w:t>​ ​​ ​</w:t>
            </w:r>
          </w:p>
        </w:tc>
        <w:tc>
          <w:tcPr>
            <w:tcW w:w="640" w:type="dxa"/>
            <w:vAlign w:val="bottom"/>
            <w:tcBorders>
              <w:right w:val="single" w:sz="8" w:color="CCEEFF"/>
            </w:tcBorders>
            <w:gridSpan w:val="3"/>
            <w:shd w:val="clear" w:color="auto" w:fill="CCEEFF"/>
          </w:tcPr>
          <w:p>
            <w:pPr>
              <w:jc w:val="right"/>
              <w:ind w:right="21"/>
              <w:spacing w:after="0" w:line="166" w:lineRule="exact"/>
              <w:rPr>
                <w:sz w:val="20"/>
                <w:szCs w:val="20"/>
                <w:color w:val="auto"/>
              </w:rPr>
            </w:pPr>
            <w:r>
              <w:rPr>
                <w:rFonts w:ascii="Arial" w:cs="Arial" w:eastAsia="Arial" w:hAnsi="Arial"/>
                <w:sz w:val="15"/>
                <w:szCs w:val="15"/>
                <w:color w:val="auto"/>
              </w:rPr>
              <w:t>597​​ ​</w:t>
            </w:r>
          </w:p>
        </w:tc>
        <w:tc>
          <w:tcPr>
            <w:tcW w:w="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597</w:t>
            </w: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tcPr>
          <w:p>
            <w:pPr>
              <w:spacing w:after="0" w:line="166" w:lineRule="exact"/>
              <w:rPr>
                <w:sz w:val="20"/>
                <w:szCs w:val="20"/>
                <w:color w:val="auto"/>
              </w:rPr>
            </w:pPr>
            <w:r>
              <w:rPr>
                <w:rFonts w:ascii="Arial" w:cs="Arial" w:eastAsia="Arial" w:hAnsi="Arial"/>
                <w:sz w:val="15"/>
                <w:szCs w:val="15"/>
                <w:color w:val="auto"/>
              </w:rPr>
              <w:t>2029 Term Loan A</w:t>
            </w: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6"/>
          </w:tcPr>
          <w:p>
            <w:pPr>
              <w:ind w:left="40"/>
              <w:spacing w:after="0" w:line="166" w:lineRule="exact"/>
              <w:rPr>
                <w:sz w:val="20"/>
                <w:szCs w:val="20"/>
                <w:color w:val="auto"/>
              </w:rPr>
            </w:pPr>
            <w:r>
              <w:rPr>
                <w:rFonts w:ascii="Arial" w:cs="Arial" w:eastAsia="Arial" w:hAnsi="Arial"/>
                <w:sz w:val="15"/>
                <w:szCs w:val="15"/>
                <w:color w:val="auto"/>
              </w:rPr>
              <w:t>​ ​​ ​ 1,681​​ ​</w:t>
            </w:r>
          </w:p>
        </w:tc>
        <w:tc>
          <w:tcPr>
            <w:tcW w:w="160" w:type="dxa"/>
            <w:vAlign w:val="bottom"/>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tcPr>
          <w:p>
            <w:pPr>
              <w:jc w:val="right"/>
              <w:spacing w:after="0" w:line="166" w:lineRule="exact"/>
              <w:rPr>
                <w:sz w:val="20"/>
                <w:szCs w:val="20"/>
                <w:color w:val="auto"/>
              </w:rPr>
            </w:pPr>
            <w:r>
              <w:rPr>
                <w:rFonts w:ascii="Arial" w:cs="Arial" w:eastAsia="Arial" w:hAnsi="Arial"/>
                <w:sz w:val="15"/>
                <w:szCs w:val="15"/>
                <w:color w:val="auto"/>
              </w:rPr>
              <w:t>1,681</w:t>
            </w:r>
          </w:p>
        </w:tc>
        <w:tc>
          <w:tcPr>
            <w:tcW w:w="8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w w:val="95"/>
              </w:rPr>
              <w:t>5.327% senior notes due 2029</w:t>
            </w:r>
          </w:p>
        </w:tc>
        <w:tc>
          <w:tcPr>
            <w:tcW w:w="2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5"/>
                <w:szCs w:val="15"/>
                <w:color w:val="auto"/>
              </w:rPr>
              <w:t>​ ​​ ​</w:t>
            </w:r>
          </w:p>
        </w:tc>
        <w:tc>
          <w:tcPr>
            <w:tcW w:w="640" w:type="dxa"/>
            <w:vAlign w:val="bottom"/>
            <w:tcBorders>
              <w:right w:val="single" w:sz="8" w:color="CCEEFF"/>
            </w:tcBorders>
            <w:gridSpan w:val="3"/>
            <w:shd w:val="clear" w:color="auto" w:fill="CCEEFF"/>
          </w:tcPr>
          <w:p>
            <w:pPr>
              <w:jc w:val="right"/>
              <w:ind w:right="21"/>
              <w:spacing w:after="0" w:line="166" w:lineRule="exact"/>
              <w:rPr>
                <w:sz w:val="20"/>
                <w:szCs w:val="20"/>
                <w:color w:val="auto"/>
              </w:rPr>
            </w:pPr>
            <w:r>
              <w:rPr>
                <w:rFonts w:ascii="Arial" w:cs="Arial" w:eastAsia="Arial" w:hAnsi="Arial"/>
                <w:sz w:val="15"/>
                <w:szCs w:val="15"/>
                <w:color w:val="auto"/>
              </w:rPr>
              <w:t>698​​ ​</w:t>
            </w:r>
          </w:p>
        </w:tc>
        <w:tc>
          <w:tcPr>
            <w:tcW w:w="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698</w:t>
            </w: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tcPr>
          <w:p>
            <w:pPr>
              <w:spacing w:after="0" w:line="166" w:lineRule="exact"/>
              <w:rPr>
                <w:sz w:val="20"/>
                <w:szCs w:val="20"/>
                <w:color w:val="auto"/>
              </w:rPr>
            </w:pPr>
            <w:r>
              <w:rPr>
                <w:rFonts w:ascii="Arial" w:cs="Arial" w:eastAsia="Arial" w:hAnsi="Arial"/>
                <w:sz w:val="15"/>
                <w:szCs w:val="15"/>
                <w:color w:val="auto"/>
                <w:w w:val="95"/>
              </w:rPr>
              <w:t>6.750% senior notes due 2029</w:t>
            </w: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6"/>
          </w:tcPr>
          <w:p>
            <w:pPr>
              <w:ind w:left="40"/>
              <w:spacing w:after="0" w:line="166" w:lineRule="exact"/>
              <w:rPr>
                <w:sz w:val="20"/>
                <w:szCs w:val="20"/>
                <w:color w:val="auto"/>
              </w:rPr>
            </w:pPr>
            <w:r>
              <w:rPr>
                <w:rFonts w:ascii="Arial" w:cs="Arial" w:eastAsia="Arial" w:hAnsi="Arial"/>
                <w:sz w:val="15"/>
                <w:szCs w:val="15"/>
                <w:color w:val="auto"/>
              </w:rPr>
              <w:t>​ ​​ ​ 1,260​​ ​</w:t>
            </w:r>
          </w:p>
        </w:tc>
        <w:tc>
          <w:tcPr>
            <w:tcW w:w="160" w:type="dxa"/>
            <w:vAlign w:val="bottom"/>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tcPr>
          <w:p>
            <w:pPr>
              <w:jc w:val="right"/>
              <w:spacing w:after="0" w:line="166" w:lineRule="exact"/>
              <w:rPr>
                <w:sz w:val="20"/>
                <w:szCs w:val="20"/>
                <w:color w:val="auto"/>
              </w:rPr>
            </w:pPr>
            <w:r>
              <w:rPr>
                <w:rFonts w:ascii="Arial" w:cs="Arial" w:eastAsia="Arial" w:hAnsi="Arial"/>
                <w:sz w:val="15"/>
                <w:szCs w:val="15"/>
                <w:color w:val="auto"/>
              </w:rPr>
              <w:t>1,260</w:t>
            </w:r>
          </w:p>
        </w:tc>
        <w:tc>
          <w:tcPr>
            <w:tcW w:w="8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w w:val="95"/>
              </w:rPr>
              <w:t>4.663% senior notes due 2030</w:t>
            </w:r>
          </w:p>
        </w:tc>
        <w:tc>
          <w:tcPr>
            <w:tcW w:w="2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5"/>
                <w:szCs w:val="15"/>
                <w:color w:val="auto"/>
              </w:rPr>
              <w:t>​ ​​ ​</w:t>
            </w:r>
          </w:p>
        </w:tc>
        <w:tc>
          <w:tcPr>
            <w:tcW w:w="640" w:type="dxa"/>
            <w:vAlign w:val="bottom"/>
            <w:tcBorders>
              <w:right w:val="single" w:sz="8" w:color="CCEEFF"/>
            </w:tcBorders>
            <w:gridSpan w:val="3"/>
            <w:shd w:val="clear" w:color="auto" w:fill="CCEEFF"/>
          </w:tcPr>
          <w:p>
            <w:pPr>
              <w:jc w:val="right"/>
              <w:ind w:right="21"/>
              <w:spacing w:after="0" w:line="166" w:lineRule="exact"/>
              <w:rPr>
                <w:sz w:val="20"/>
                <w:szCs w:val="20"/>
                <w:color w:val="auto"/>
              </w:rPr>
            </w:pPr>
            <w:r>
              <w:rPr>
                <w:rFonts w:ascii="Arial" w:cs="Arial" w:eastAsia="Arial" w:hAnsi="Arial"/>
                <w:sz w:val="15"/>
                <w:szCs w:val="15"/>
                <w:color w:val="auto"/>
              </w:rPr>
              <w:t>847​​ ​</w:t>
            </w:r>
          </w:p>
        </w:tc>
        <w:tc>
          <w:tcPr>
            <w:tcW w:w="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847</w:t>
            </w: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tcPr>
          <w:p>
            <w:pPr>
              <w:spacing w:after="0" w:line="166" w:lineRule="exact"/>
              <w:rPr>
                <w:sz w:val="20"/>
                <w:szCs w:val="20"/>
                <w:color w:val="auto"/>
              </w:rPr>
            </w:pPr>
            <w:r>
              <w:rPr>
                <w:rFonts w:ascii="Arial" w:cs="Arial" w:eastAsia="Arial" w:hAnsi="Arial"/>
                <w:sz w:val="15"/>
                <w:szCs w:val="15"/>
                <w:color w:val="auto"/>
                <w:w w:val="95"/>
              </w:rPr>
              <w:t>5.300% senior notes due 2031</w:t>
            </w: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3"/>
          </w:tcPr>
          <w:p>
            <w:pPr>
              <w:ind w:left="40"/>
              <w:spacing w:after="0" w:line="166" w:lineRule="exact"/>
              <w:rPr>
                <w:sz w:val="20"/>
                <w:szCs w:val="20"/>
                <w:color w:val="auto"/>
              </w:rPr>
            </w:pPr>
            <w:r>
              <w:rPr>
                <w:rFonts w:ascii="Arial" w:cs="Arial" w:eastAsia="Arial" w:hAnsi="Arial"/>
                <w:sz w:val="15"/>
                <w:szCs w:val="15"/>
                <w:color w:val="auto"/>
              </w:rPr>
              <w:t>​ ​​ ​</w:t>
            </w:r>
          </w:p>
        </w:tc>
        <w:tc>
          <w:tcPr>
            <w:tcW w:w="640" w:type="dxa"/>
            <w:vAlign w:val="bottom"/>
            <w:gridSpan w:val="3"/>
          </w:tcPr>
          <w:p>
            <w:pPr>
              <w:jc w:val="right"/>
              <w:ind w:right="21"/>
              <w:spacing w:after="0" w:line="166" w:lineRule="exact"/>
              <w:rPr>
                <w:sz w:val="20"/>
                <w:szCs w:val="20"/>
                <w:color w:val="auto"/>
              </w:rPr>
            </w:pPr>
            <w:r>
              <w:rPr>
                <w:rFonts w:ascii="Arial" w:cs="Arial" w:eastAsia="Arial" w:hAnsi="Arial"/>
                <w:sz w:val="15"/>
                <w:szCs w:val="15"/>
                <w:color w:val="auto"/>
              </w:rPr>
              <w:t>994​​ ​</w:t>
            </w:r>
          </w:p>
        </w:tc>
        <w:tc>
          <w:tcPr>
            <w:tcW w:w="160" w:type="dxa"/>
            <w:vAlign w:val="bottom"/>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tcPr>
          <w:p>
            <w:pPr>
              <w:jc w:val="right"/>
              <w:spacing w:after="0" w:line="166" w:lineRule="exact"/>
              <w:rPr>
                <w:sz w:val="20"/>
                <w:szCs w:val="20"/>
                <w:color w:val="auto"/>
              </w:rPr>
            </w:pPr>
            <w:r>
              <w:rPr>
                <w:rFonts w:ascii="Arial" w:cs="Arial" w:eastAsia="Arial" w:hAnsi="Arial"/>
                <w:sz w:val="15"/>
                <w:szCs w:val="15"/>
                <w:color w:val="auto"/>
              </w:rPr>
              <w:t>994</w:t>
            </w:r>
          </w:p>
        </w:tc>
        <w:tc>
          <w:tcPr>
            <w:tcW w:w="8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w w:val="95"/>
              </w:rPr>
              <w:t>2.703% senior notes due 2032</w:t>
            </w:r>
          </w:p>
        </w:tc>
        <w:tc>
          <w:tcPr>
            <w:tcW w:w="2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5"/>
                <w:szCs w:val="15"/>
                <w:color w:val="auto"/>
              </w:rPr>
              <w:t>​ ​​ ​</w:t>
            </w:r>
          </w:p>
        </w:tc>
        <w:tc>
          <w:tcPr>
            <w:tcW w:w="640" w:type="dxa"/>
            <w:vAlign w:val="bottom"/>
            <w:tcBorders>
              <w:right w:val="single" w:sz="8" w:color="CCEEFF"/>
            </w:tcBorders>
            <w:gridSpan w:val="3"/>
            <w:shd w:val="clear" w:color="auto" w:fill="CCEEFF"/>
          </w:tcPr>
          <w:p>
            <w:pPr>
              <w:jc w:val="right"/>
              <w:ind w:right="21"/>
              <w:spacing w:after="0" w:line="166" w:lineRule="exact"/>
              <w:rPr>
                <w:sz w:val="20"/>
                <w:szCs w:val="20"/>
                <w:color w:val="auto"/>
              </w:rPr>
            </w:pPr>
            <w:r>
              <w:rPr>
                <w:rFonts w:ascii="Arial" w:cs="Arial" w:eastAsia="Arial" w:hAnsi="Arial"/>
                <w:sz w:val="15"/>
                <w:szCs w:val="15"/>
                <w:color w:val="auto"/>
              </w:rPr>
              <w:t>996​​ ​</w:t>
            </w:r>
          </w:p>
        </w:tc>
        <w:tc>
          <w:tcPr>
            <w:tcW w:w="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996</w:t>
            </w: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1980" w:type="dxa"/>
            <w:vAlign w:val="bottom"/>
            <w:gridSpan w:val="3"/>
          </w:tcPr>
          <w:p>
            <w:pPr>
              <w:spacing w:after="0"/>
              <w:rPr>
                <w:sz w:val="20"/>
                <w:szCs w:val="20"/>
                <w:color w:val="auto"/>
              </w:rPr>
            </w:pPr>
            <w:r>
              <w:rPr>
                <w:rFonts w:ascii="Arial" w:cs="Arial" w:eastAsia="Arial" w:hAnsi="Arial"/>
                <w:sz w:val="15"/>
                <w:szCs w:val="15"/>
                <w:color w:val="auto"/>
                <w:w w:val="96"/>
              </w:rPr>
              <w:t>5.875% senior notes due 2033</w:t>
            </w: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5"/>
                <w:szCs w:val="15"/>
                <w:color w:val="auto"/>
              </w:rPr>
              <w:t>746​​ ​</w:t>
            </w:r>
          </w:p>
        </w:tc>
        <w:tc>
          <w:tcPr>
            <w:tcW w:w="160" w:type="dxa"/>
            <w:vAlign w:val="bottom"/>
          </w:tcPr>
          <w:p>
            <w:pPr>
              <w:spacing w:after="0"/>
              <w:rPr>
                <w:sz w:val="20"/>
                <w:szCs w:val="20"/>
                <w:color w:val="auto"/>
              </w:rPr>
            </w:pPr>
            <w:r>
              <w:rPr>
                <w:rFonts w:ascii="Arial" w:cs="Arial" w:eastAsia="Arial" w:hAnsi="Arial"/>
                <w:sz w:val="15"/>
                <w:szCs w:val="15"/>
                <w:color w:val="auto"/>
              </w:rPr>
              <w:t>​ ​</w:t>
            </w:r>
          </w:p>
        </w:tc>
        <w:tc>
          <w:tcPr>
            <w:tcW w:w="420" w:type="dxa"/>
            <w:vAlign w:val="bottom"/>
          </w:tcPr>
          <w:p>
            <w:pPr>
              <w:jc w:val="right"/>
              <w:spacing w:after="0"/>
              <w:rPr>
                <w:sz w:val="20"/>
                <w:szCs w:val="20"/>
                <w:color w:val="auto"/>
              </w:rPr>
            </w:pPr>
            <w:r>
              <w:rPr>
                <w:rFonts w:ascii="Arial" w:cs="Arial" w:eastAsia="Arial" w:hAnsi="Arial"/>
                <w:sz w:val="15"/>
                <w:szCs w:val="15"/>
                <w:color w:val="auto"/>
              </w:rPr>
              <w:t>746</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5.875% senior notes due 2033</w:t>
            </w:r>
          </w:p>
        </w:tc>
        <w:tc>
          <w:tcPr>
            <w:tcW w:w="2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5"/>
                <w:szCs w:val="15"/>
                <w:color w:val="auto"/>
              </w:rPr>
              <w:t>891​​ ​</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w:t>
            </w:r>
          </w:p>
        </w:tc>
        <w:tc>
          <w:tcPr>
            <w:tcW w:w="8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1980" w:type="dxa"/>
            <w:vAlign w:val="bottom"/>
            <w:gridSpan w:val="3"/>
          </w:tcPr>
          <w:p>
            <w:pPr>
              <w:spacing w:after="0"/>
              <w:rPr>
                <w:sz w:val="20"/>
                <w:szCs w:val="20"/>
                <w:color w:val="auto"/>
              </w:rPr>
            </w:pPr>
            <w:r>
              <w:rPr>
                <w:rFonts w:ascii="Arial" w:cs="Arial" w:eastAsia="Arial" w:hAnsi="Arial"/>
                <w:sz w:val="15"/>
                <w:szCs w:val="15"/>
                <w:color w:val="auto"/>
                <w:w w:val="96"/>
              </w:rPr>
              <w:t>5.800% senior notes due 2035</w:t>
            </w: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5"/>
                <w:szCs w:val="15"/>
                <w:color w:val="auto"/>
              </w:rPr>
              <w:t>992​​ ​</w:t>
            </w:r>
          </w:p>
        </w:tc>
        <w:tc>
          <w:tcPr>
            <w:tcW w:w="160" w:type="dxa"/>
            <w:vAlign w:val="bottom"/>
          </w:tcPr>
          <w:p>
            <w:pPr>
              <w:spacing w:after="0"/>
              <w:rPr>
                <w:sz w:val="20"/>
                <w:szCs w:val="20"/>
                <w:color w:val="auto"/>
              </w:rPr>
            </w:pPr>
            <w:r>
              <w:rPr>
                <w:rFonts w:ascii="Arial" w:cs="Arial" w:eastAsia="Arial" w:hAnsi="Arial"/>
                <w:sz w:val="15"/>
                <w:szCs w:val="15"/>
                <w:color w:val="auto"/>
              </w:rPr>
              <w:t>​ ​</w:t>
            </w:r>
          </w:p>
        </w:tc>
        <w:tc>
          <w:tcPr>
            <w:tcW w:w="420" w:type="dxa"/>
            <w:vAlign w:val="bottom"/>
          </w:tcPr>
          <w:p>
            <w:pPr>
              <w:jc w:val="right"/>
              <w:spacing w:after="0"/>
              <w:rPr>
                <w:sz w:val="20"/>
                <w:szCs w:val="20"/>
                <w:color w:val="auto"/>
              </w:rPr>
            </w:pPr>
            <w:r>
              <w:rPr>
                <w:rFonts w:ascii="Arial" w:cs="Arial" w:eastAsia="Arial" w:hAnsi="Arial"/>
                <w:sz w:val="15"/>
                <w:szCs w:val="15"/>
                <w:color w:val="auto"/>
              </w:rPr>
              <w:t>992</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3.366% senior notes due 2041</w:t>
            </w:r>
          </w:p>
        </w:tc>
        <w:tc>
          <w:tcPr>
            <w:tcW w:w="2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5"/>
                <w:szCs w:val="15"/>
                <w:color w:val="auto"/>
              </w:rPr>
              <w:t>497​​ ​</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8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1980" w:type="dxa"/>
            <w:vAlign w:val="bottom"/>
            <w:gridSpan w:val="3"/>
          </w:tcPr>
          <w:p>
            <w:pPr>
              <w:spacing w:after="0"/>
              <w:rPr>
                <w:sz w:val="20"/>
                <w:szCs w:val="20"/>
                <w:color w:val="auto"/>
              </w:rPr>
            </w:pPr>
            <w:r>
              <w:rPr>
                <w:rFonts w:ascii="Arial" w:cs="Arial" w:eastAsia="Arial" w:hAnsi="Arial"/>
                <w:sz w:val="15"/>
                <w:szCs w:val="15"/>
                <w:color w:val="auto"/>
                <w:w w:val="96"/>
              </w:rPr>
              <w:t>3.477% senior notes due 2051</w:t>
            </w: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5"/>
                <w:szCs w:val="15"/>
                <w:color w:val="auto"/>
              </w:rPr>
              <w:t>496​​ ​</w:t>
            </w:r>
          </w:p>
        </w:tc>
        <w:tc>
          <w:tcPr>
            <w:tcW w:w="160" w:type="dxa"/>
            <w:vAlign w:val="bottom"/>
          </w:tcPr>
          <w:p>
            <w:pPr>
              <w:spacing w:after="0"/>
              <w:rPr>
                <w:sz w:val="20"/>
                <w:szCs w:val="20"/>
                <w:color w:val="auto"/>
              </w:rPr>
            </w:pPr>
            <w:r>
              <w:rPr>
                <w:rFonts w:ascii="Arial" w:cs="Arial" w:eastAsia="Arial" w:hAnsi="Arial"/>
                <w:sz w:val="15"/>
                <w:szCs w:val="15"/>
                <w:color w:val="auto"/>
              </w:rPr>
              <w:t>​ ​</w:t>
            </w:r>
          </w:p>
        </w:tc>
        <w:tc>
          <w:tcPr>
            <w:tcW w:w="420" w:type="dxa"/>
            <w:vAlign w:val="bottom"/>
          </w:tcPr>
          <w:p>
            <w:pPr>
              <w:jc w:val="right"/>
              <w:spacing w:after="0"/>
              <w:rPr>
                <w:sz w:val="20"/>
                <w:szCs w:val="20"/>
                <w:color w:val="auto"/>
              </w:rPr>
            </w:pPr>
            <w:r>
              <w:rPr>
                <w:rFonts w:ascii="Arial" w:cs="Arial" w:eastAsia="Arial" w:hAnsi="Arial"/>
                <w:sz w:val="15"/>
                <w:szCs w:val="15"/>
                <w:color w:val="auto"/>
              </w:rPr>
              <w:t>496</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Finance lease obligations</w:t>
            </w:r>
          </w:p>
        </w:tc>
        <w:tc>
          <w:tcPr>
            <w:tcW w:w="2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 2,310​​ ​</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2,310</w:t>
            </w: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20" w:type="dxa"/>
            <w:vAlign w:val="bottom"/>
            <w:tcBorders>
              <w:top w:val="single" w:sz="8" w:color="CCEEFF"/>
            </w:tcBorders>
            <w:gridSpan w:val="3"/>
          </w:tcPr>
          <w:p>
            <w:pPr>
              <w:ind w:left="140"/>
              <w:spacing w:after="0" w:line="164" w:lineRule="exact"/>
              <w:rPr>
                <w:sz w:val="20"/>
                <w:szCs w:val="20"/>
                <w:color w:val="auto"/>
              </w:rPr>
            </w:pPr>
            <w:r>
              <w:rPr>
                <w:rFonts w:ascii="Arial" w:cs="Arial" w:eastAsia="Arial" w:hAnsi="Arial"/>
                <w:sz w:val="15"/>
                <w:szCs w:val="15"/>
                <w:color w:val="auto"/>
              </w:rPr>
              <w:t>Total long-term debt and finance lease obligations, excluding current</w:t>
            </w: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80"/>
              <w:spacing w:after="0"/>
              <w:rPr>
                <w:sz w:val="20"/>
                <w:szCs w:val="20"/>
                <w:color w:val="auto"/>
              </w:rPr>
            </w:pPr>
            <w:r>
              <w:rPr>
                <w:rFonts w:ascii="Arial" w:cs="Arial" w:eastAsia="Arial" w:hAnsi="Arial"/>
                <w:sz w:val="15"/>
                <w:szCs w:val="15"/>
                <w:color w:val="auto"/>
              </w:rPr>
              <w:t>portion</w:t>
            </w:r>
          </w:p>
        </w:tc>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6"/>
          </w:tcPr>
          <w:p>
            <w:pPr>
              <w:ind w:left="40"/>
              <w:spacing w:after="0"/>
              <w:rPr>
                <w:sz w:val="20"/>
                <w:szCs w:val="20"/>
                <w:color w:val="auto"/>
              </w:rPr>
            </w:pPr>
            <w:r>
              <w:rPr>
                <w:rFonts w:ascii="Arial" w:cs="Arial" w:eastAsia="Arial" w:hAnsi="Arial"/>
                <w:sz w:val="15"/>
                <w:szCs w:val="15"/>
                <w:color w:val="auto"/>
              </w:rPr>
              <w:t>​ ​​$13,851​​ ​</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shareholders’ equity</w:t>
            </w:r>
          </w:p>
        </w:tc>
        <w:tc>
          <w:tcPr>
            <w:tcW w:w="2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​48,633​​ ​</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xml:space="preserve">​ ​           </w:t>
            </w: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80" w:type="dxa"/>
            <w:vAlign w:val="bottom"/>
            <w:gridSpan w:val="3"/>
          </w:tcPr>
          <w:p>
            <w:pPr>
              <w:spacing w:after="0" w:line="168" w:lineRule="exact"/>
              <w:rPr>
                <w:sz w:val="20"/>
                <w:szCs w:val="20"/>
                <w:color w:val="auto"/>
              </w:rPr>
            </w:pPr>
            <w:r>
              <w:rPr>
                <w:rFonts w:ascii="Arial" w:cs="Arial" w:eastAsia="Arial" w:hAnsi="Arial"/>
                <w:sz w:val="15"/>
                <w:szCs w:val="15"/>
                <w:color w:val="auto"/>
              </w:rPr>
              <w:t>Total capitalization</w:t>
            </w: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6"/>
          </w:tcPr>
          <w:p>
            <w:pPr>
              <w:ind w:left="40"/>
              <w:spacing w:after="0" w:line="168" w:lineRule="exact"/>
              <w:rPr>
                <w:sz w:val="20"/>
                <w:szCs w:val="20"/>
                <w:color w:val="auto"/>
              </w:rPr>
            </w:pPr>
            <w:r>
              <w:rPr>
                <w:rFonts w:ascii="Arial" w:cs="Arial" w:eastAsia="Arial" w:hAnsi="Arial"/>
                <w:sz w:val="19"/>
                <w:szCs w:val="19"/>
                <w:color w:val="auto"/>
                <w:vertAlign w:val="subscript"/>
              </w:rPr>
              <w:t>​ ​​</w:t>
            </w:r>
            <w:r>
              <w:rPr>
                <w:rFonts w:ascii="Arial" w:cs="Arial" w:eastAsia="Arial" w:hAnsi="Arial"/>
                <w:sz w:val="11"/>
                <w:szCs w:val="11"/>
                <w:u w:val="single" w:color="auto"/>
                <w:color w:val="auto"/>
              </w:rPr>
              <w:t>$</w:t>
            </w:r>
            <w:r>
              <w:rPr>
                <w:rFonts w:ascii="Arial" w:cs="Arial" w:eastAsia="Arial" w:hAnsi="Arial"/>
                <w:sz w:val="11"/>
                <w:szCs w:val="11"/>
                <w:color w:val="auto"/>
              </w:rPr>
              <w:t>62,484</w:t>
            </w:r>
            <w:r>
              <w:rPr>
                <w:rFonts w:ascii="Arial" w:cs="Arial" w:eastAsia="Arial" w:hAnsi="Arial"/>
                <w:sz w:val="19"/>
                <w:szCs w:val="19"/>
                <w:color w:val="auto"/>
                <w:vertAlign w:val="subscript"/>
              </w:rPr>
              <w:t>​​ ​</w:t>
            </w:r>
          </w:p>
        </w:tc>
        <w:tc>
          <w:tcPr>
            <w:tcW w:w="160" w:type="dxa"/>
            <w:vAlign w:val="bottom"/>
          </w:tcPr>
          <w:p>
            <w:pPr>
              <w:spacing w:after="0" w:line="168"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perscript"/>
              </w:rPr>
              <w:t>$</w:t>
            </w:r>
          </w:p>
        </w:tc>
        <w:tc>
          <w:tcPr>
            <w:tcW w:w="420" w:type="dxa"/>
            <w:vAlign w:val="bottom"/>
          </w:tcPr>
          <w:p>
            <w:pPr>
              <w:spacing w:after="0"/>
              <w:rPr>
                <w:sz w:val="15"/>
                <w:szCs w:val="15"/>
                <w:color w:val="auto"/>
              </w:rPr>
            </w:pPr>
          </w:p>
        </w:tc>
        <w:tc>
          <w:tcPr>
            <w:tcW w:w="100" w:type="dxa"/>
            <w:vAlign w:val="bottom"/>
            <w:gridSpan w:val="2"/>
          </w:tcPr>
          <w:p>
            <w:pPr>
              <w:jc w:val="right"/>
              <w:spacing w:after="0" w:line="168"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-3336290</wp:posOffset>
            </wp:positionV>
            <wp:extent cx="11239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76" w:lineRule="exact"/>
        <w:rPr>
          <w:sz w:val="20"/>
          <w:szCs w:val="20"/>
          <w:color w:val="auto"/>
        </w:rPr>
      </w:pPr>
    </w:p>
    <w:p>
      <w:pPr>
        <w:ind w:left="1440" w:right="1279" w:hanging="292"/>
        <w:spacing w:after="0" w:line="271" w:lineRule="auto"/>
        <w:tabs>
          <w:tab w:leader="none" w:pos="1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 We estimate that the amount we will be required to pay to the counterparties to terminate the fixed-to-floating interest rate swaps will be approximately $            .</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THE NOTES</w:t>
      </w:r>
    </w:p>
    <w:p>
      <w:pPr>
        <w:spacing w:after="0" w:line="132" w:lineRule="exact"/>
        <w:rPr>
          <w:sz w:val="20"/>
          <w:szCs w:val="20"/>
          <w:color w:val="auto"/>
        </w:rPr>
      </w:pPr>
    </w:p>
    <w:p>
      <w:pPr>
        <w:ind w:left="1140" w:right="1199"/>
        <w:spacing w:after="0"/>
        <w:rPr>
          <w:sz w:val="20"/>
          <w:szCs w:val="20"/>
          <w:color w:val="auto"/>
        </w:rPr>
      </w:pPr>
      <w:r>
        <w:rPr>
          <w:rFonts w:ascii="Arial" w:cs="Arial" w:eastAsia="Arial" w:hAnsi="Arial"/>
          <w:sz w:val="15"/>
          <w:szCs w:val="15"/>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 2025, with respect to the notes (the “Supplemental Indenture” and, together with the Base Indenture, the “Indenture”).</w:t>
      </w:r>
    </w:p>
    <w:p>
      <w:pPr>
        <w:spacing w:after="0" w:line="98" w:lineRule="exact"/>
        <w:rPr>
          <w:sz w:val="20"/>
          <w:szCs w:val="20"/>
          <w:color w:val="auto"/>
        </w:rPr>
      </w:pPr>
    </w:p>
    <w:p>
      <w:pPr>
        <w:ind w:left="1140" w:right="1159"/>
        <w:spacing w:after="0" w:line="244" w:lineRule="auto"/>
        <w:rPr>
          <w:sz w:val="20"/>
          <w:szCs w:val="20"/>
          <w:color w:val="auto"/>
        </w:rPr>
      </w:pPr>
      <w:r>
        <w:rPr>
          <w:rFonts w:ascii="Arial" w:cs="Arial" w:eastAsia="Arial" w:hAnsi="Arial"/>
          <w:sz w:val="15"/>
          <w:szCs w:val="15"/>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93" w:lineRule="exact"/>
        <w:rPr>
          <w:sz w:val="20"/>
          <w:szCs w:val="20"/>
          <w:color w:val="auto"/>
        </w:rPr>
      </w:pPr>
    </w:p>
    <w:p>
      <w:pPr>
        <w:ind w:left="1140" w:right="1759"/>
        <w:spacing w:after="0" w:line="271" w:lineRule="auto"/>
        <w:rPr>
          <w:sz w:val="20"/>
          <w:szCs w:val="20"/>
          <w:color w:val="auto"/>
        </w:rPr>
      </w:pPr>
      <w:r>
        <w:rPr>
          <w:rFonts w:ascii="Arial" w:cs="Arial" w:eastAsia="Arial" w:hAnsi="Arial"/>
          <w:sz w:val="15"/>
          <w:szCs w:val="15"/>
          <w:i w:val="1"/>
          <w:iCs w:val="1"/>
          <w:color w:val="auto"/>
        </w:rPr>
        <w:t>The registered holder of a note will be treated as the owner of such note for all purposes. Only registered holders will have rights under the Indenture.</w:t>
      </w:r>
    </w:p>
    <w:p>
      <w:pPr>
        <w:spacing w:after="0" w:line="74"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The definition of certain terms used in this description are summarized under the subheading</w:t>
      </w:r>
    </w:p>
    <w:p>
      <w:pPr>
        <w:spacing w:after="0" w:line="5" w:lineRule="exact"/>
        <w:rPr>
          <w:sz w:val="20"/>
          <w:szCs w:val="20"/>
          <w:color w:val="auto"/>
        </w:rPr>
      </w:pPr>
    </w:p>
    <w:p>
      <w:pPr>
        <w:ind w:left="1140" w:right="1359"/>
        <w:spacing w:after="0" w:line="239" w:lineRule="auto"/>
        <w:rPr>
          <w:sz w:val="20"/>
          <w:szCs w:val="20"/>
          <w:color w:val="auto"/>
        </w:rPr>
      </w:pPr>
      <w:r>
        <w:rPr>
          <w:rFonts w:ascii="Arial" w:cs="Arial" w:eastAsia="Arial" w:hAnsi="Arial"/>
          <w:sz w:val="15"/>
          <w:szCs w:val="15"/>
          <w:i w:val="1"/>
          <w:iCs w:val="1"/>
          <w:color w:val="auto"/>
        </w:rPr>
        <w:t>“— Certain Definitions.” In this description, references to “Micron,” “us,” “we,” “our” or the “Company” refer only to Micron Technology, Inc. and not to any of its subsidiaries.</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General</w:t>
      </w:r>
    </w:p>
    <w:p>
      <w:pPr>
        <w:spacing w:after="0" w:line="122" w:lineRule="exact"/>
        <w:rPr>
          <w:sz w:val="20"/>
          <w:szCs w:val="20"/>
          <w:color w:val="auto"/>
        </w:rPr>
      </w:pPr>
    </w:p>
    <w:p>
      <w:pPr>
        <w:ind w:left="1140" w:right="1699"/>
        <w:spacing w:after="0" w:line="294" w:lineRule="auto"/>
        <w:rPr>
          <w:sz w:val="20"/>
          <w:szCs w:val="20"/>
          <w:color w:val="auto"/>
        </w:rPr>
      </w:pPr>
      <w:r>
        <w:rPr>
          <w:rFonts w:ascii="Arial" w:cs="Arial" w:eastAsia="Arial" w:hAnsi="Arial"/>
          <w:sz w:val="14"/>
          <w:szCs w:val="14"/>
          <w:color w:val="auto"/>
        </w:rPr>
        <w:t>We will issue $            aggregate principal amount of 20        notes. The 20        notes will mature on                     , 20        . Interest on the 20    notes will accrue at the rate of        % per annum.</w:t>
      </w:r>
    </w:p>
    <w:p>
      <w:pPr>
        <w:spacing w:after="0" w:line="58" w:lineRule="exact"/>
        <w:rPr>
          <w:sz w:val="20"/>
          <w:szCs w:val="20"/>
          <w:color w:val="auto"/>
        </w:rPr>
      </w:pPr>
    </w:p>
    <w:p>
      <w:pPr>
        <w:ind w:left="1140" w:right="1779"/>
        <w:spacing w:after="0" w:line="294" w:lineRule="auto"/>
        <w:rPr>
          <w:sz w:val="20"/>
          <w:szCs w:val="20"/>
          <w:color w:val="auto"/>
        </w:rPr>
      </w:pPr>
      <w:r>
        <w:rPr>
          <w:rFonts w:ascii="Arial" w:cs="Arial" w:eastAsia="Arial" w:hAnsi="Arial"/>
          <w:sz w:val="14"/>
          <w:szCs w:val="14"/>
          <w:color w:val="auto"/>
        </w:rPr>
        <w:t>We will issue $            aggregate principal amount of 20    notes. The 20        notes will mature on                     , 20        . Interest on the 20    notes will accrue at the rate of        % per annum.</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20        notes and the 20        notes are collectively referred to herein as the “notes.”</w:t>
      </w:r>
    </w:p>
    <w:p>
      <w:pPr>
        <w:spacing w:after="0" w:line="126"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The notes will be senior unsecured obligations and will rank on the same basis with all of our other senior unsecured indebtedness from time to time outstanding. Each series of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95" w:lineRule="exact"/>
        <w:rPr>
          <w:sz w:val="20"/>
          <w:szCs w:val="20"/>
          <w:color w:val="auto"/>
        </w:rPr>
      </w:pPr>
    </w:p>
    <w:p>
      <w:pPr>
        <w:ind w:left="1140" w:right="1179"/>
        <w:spacing w:after="0" w:line="242" w:lineRule="auto"/>
        <w:rPr>
          <w:sz w:val="20"/>
          <w:szCs w:val="20"/>
          <w:color w:val="auto"/>
        </w:rPr>
      </w:pPr>
      <w:r>
        <w:rPr>
          <w:rFonts w:ascii="Arial" w:cs="Arial" w:eastAsia="Arial" w:hAnsi="Arial"/>
          <w:sz w:val="15"/>
          <w:szCs w:val="15"/>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Interest</w:t>
      </w:r>
    </w:p>
    <w:p>
      <w:pPr>
        <w:spacing w:after="0" w:line="133" w:lineRule="exact"/>
        <w:rPr>
          <w:sz w:val="20"/>
          <w:szCs w:val="20"/>
          <w:color w:val="auto"/>
        </w:rPr>
      </w:pPr>
    </w:p>
    <w:p>
      <w:pPr>
        <w:ind w:left="1140" w:right="1299"/>
        <w:spacing w:after="0" w:line="254" w:lineRule="auto"/>
        <w:rPr>
          <w:sz w:val="20"/>
          <w:szCs w:val="20"/>
          <w:color w:val="auto"/>
        </w:rPr>
      </w:pPr>
      <w:r>
        <w:rPr>
          <w:rFonts w:ascii="Arial" w:cs="Arial" w:eastAsia="Arial" w:hAnsi="Arial"/>
          <w:sz w:val="14"/>
          <w:szCs w:val="14"/>
          <w:color w:val="auto"/>
        </w:rPr>
        <w:t>The 20        notes will accrue interest at a rate of            % per annum and the 20        notes will accrue interest at a rate of        % per annum. Interest on each series of notes will accrue from                     , 2025, or from the most recent interest payment date to which interest has been paid or provided for, to, but excluding, the relevant interest payment date. The Company will make interest payments on each series of notes semi-annually in arrears on                     and                     of each year, beginning</w:t>
      </w:r>
    </w:p>
    <w:p>
      <w:pPr>
        <w:spacing w:after="0" w:line="1"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on                     , 2025, to the Person in whose name such notes are registered at the close of business on the immediately preceding                     or                     , as applicable.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Interest on the notes will be computed on the basis of a 360-day year of twelve 30-day months.</w:t>
      </w:r>
    </w:p>
    <w:p>
      <w:pPr>
        <w:spacing w:after="0" w:line="126" w:lineRule="exact"/>
        <w:rPr>
          <w:sz w:val="20"/>
          <w:szCs w:val="20"/>
          <w:color w:val="auto"/>
        </w:rPr>
      </w:pPr>
    </w:p>
    <w:p>
      <w:pPr>
        <w:ind w:left="1140" w:right="1199"/>
        <w:spacing w:after="0" w:line="255" w:lineRule="auto"/>
        <w:rPr>
          <w:sz w:val="20"/>
          <w:szCs w:val="20"/>
          <w:color w:val="auto"/>
        </w:rPr>
      </w:pPr>
      <w:r>
        <w:rPr>
          <w:rFonts w:ascii="Arial" w:cs="Arial" w:eastAsia="Arial" w:hAnsi="Arial"/>
          <w:sz w:val="15"/>
          <w:szCs w:val="15"/>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Optional Redemption</w:t>
      </w:r>
    </w:p>
    <w:p>
      <w:pPr>
        <w:spacing w:after="0" w:line="122" w:lineRule="exact"/>
        <w:rPr>
          <w:sz w:val="20"/>
          <w:szCs w:val="20"/>
          <w:color w:val="auto"/>
        </w:rPr>
      </w:pPr>
    </w:p>
    <w:p>
      <w:pPr>
        <w:jc w:val="both"/>
        <w:ind w:left="1140" w:right="1239"/>
        <w:spacing w:after="0" w:line="260" w:lineRule="auto"/>
        <w:rPr>
          <w:sz w:val="20"/>
          <w:szCs w:val="20"/>
          <w:color w:val="auto"/>
        </w:rPr>
      </w:pPr>
      <w:r>
        <w:rPr>
          <w:rFonts w:ascii="Arial" w:cs="Arial" w:eastAsia="Arial" w:hAnsi="Arial"/>
          <w:sz w:val="15"/>
          <w:szCs w:val="15"/>
          <w:color w:val="auto"/>
        </w:rPr>
        <w:t>Prior to the applicable Par Call Date, the Company may redeem the notes of each series at its option, in whole or in part, at any time and from time to time, at a redemption price (expressed as a percentage of principal amount and rounded to three decimal places) equal to the greater of:</w:t>
      </w:r>
    </w:p>
    <w:p>
      <w:pPr>
        <w:spacing w:after="0" w:line="58" w:lineRule="exact"/>
        <w:rPr>
          <w:sz w:val="20"/>
          <w:szCs w:val="20"/>
          <w:color w:val="auto"/>
        </w:rPr>
      </w:pPr>
    </w:p>
    <w:p>
      <w:pPr>
        <w:ind w:left="1580" w:right="1299" w:hanging="138"/>
        <w:spacing w:after="0" w:line="268" w:lineRule="auto"/>
        <w:tabs>
          <w:tab w:leader="none" w:pos="1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basis points for the 20        notes</w:t>
      </w:r>
    </w:p>
    <w:p>
      <w:pPr>
        <w:spacing w:after="0" w:line="1" w:lineRule="exact"/>
        <w:rPr>
          <w:rFonts w:ascii="Arial" w:cs="Arial" w:eastAsia="Arial" w:hAnsi="Arial"/>
          <w:sz w:val="14"/>
          <w:szCs w:val="14"/>
          <w:color w:val="auto"/>
        </w:rPr>
      </w:pPr>
    </w:p>
    <w:p>
      <w:pPr>
        <w:ind w:left="1580" w:right="1759"/>
        <w:spacing w:after="0" w:line="255" w:lineRule="auto"/>
        <w:rPr>
          <w:rFonts w:ascii="Arial" w:cs="Arial" w:eastAsia="Arial" w:hAnsi="Arial"/>
          <w:sz w:val="14"/>
          <w:szCs w:val="14"/>
          <w:color w:val="auto"/>
        </w:rPr>
      </w:pPr>
      <w:r>
        <w:rPr>
          <w:rFonts w:ascii="Arial" w:cs="Arial" w:eastAsia="Arial" w:hAnsi="Arial"/>
          <w:sz w:val="15"/>
          <w:szCs w:val="15"/>
          <w:color w:val="auto"/>
        </w:rPr>
        <w:t>and                     basis points for the 20        notes, less (ii) interest accrued to the date of redemption, and</w:t>
      </w:r>
    </w:p>
    <w:p>
      <w:pPr>
        <w:spacing w:after="0" w:line="72" w:lineRule="exact"/>
        <w:rPr>
          <w:rFonts w:ascii="Arial" w:cs="Arial" w:eastAsia="Arial" w:hAnsi="Arial"/>
          <w:sz w:val="14"/>
          <w:szCs w:val="14"/>
          <w:color w:val="auto"/>
        </w:rPr>
      </w:pPr>
    </w:p>
    <w:p>
      <w:pPr>
        <w:ind w:left="1580" w:hanging="138"/>
        <w:spacing w:after="0"/>
        <w:tabs>
          <w:tab w:leader="none" w:pos="1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100% of the principal amount of the notes of that series to be redeemed,</w:t>
      </w:r>
    </w:p>
    <w:p>
      <w:pPr>
        <w:spacing w:after="0" w:line="115" w:lineRule="exact"/>
        <w:rPr>
          <w:sz w:val="20"/>
          <w:szCs w:val="20"/>
          <w:color w:val="auto"/>
        </w:rPr>
      </w:pPr>
    </w:p>
    <w:p>
      <w:pPr>
        <w:ind w:left="1140" w:right="1199"/>
        <w:spacing w:after="0" w:line="274" w:lineRule="auto"/>
        <w:rPr>
          <w:sz w:val="20"/>
          <w:szCs w:val="20"/>
          <w:color w:val="auto"/>
        </w:rPr>
      </w:pPr>
      <w:r>
        <w:rPr>
          <w:rFonts w:ascii="Arial" w:cs="Arial" w:eastAsia="Arial" w:hAnsi="Arial"/>
          <w:sz w:val="15"/>
          <w:szCs w:val="15"/>
          <w:color w:val="auto"/>
        </w:rPr>
        <w:t>plus, in each case, accrued and unpaid interest, if any, on the amount being redeemed to, but excluding, the date of redemption. We will calculate the redemption price.</w:t>
      </w:r>
    </w:p>
    <w:p>
      <w:pPr>
        <w:spacing w:after="0" w:line="81" w:lineRule="exact"/>
        <w:rPr>
          <w:sz w:val="20"/>
          <w:szCs w:val="20"/>
          <w:color w:val="auto"/>
        </w:rPr>
      </w:pPr>
    </w:p>
    <w:p>
      <w:pPr>
        <w:ind w:left="1140" w:right="1159"/>
        <w:spacing w:after="0" w:line="255" w:lineRule="auto"/>
        <w:rPr>
          <w:sz w:val="20"/>
          <w:szCs w:val="20"/>
          <w:color w:val="auto"/>
        </w:rPr>
      </w:pPr>
      <w:r>
        <w:rPr>
          <w:rFonts w:ascii="Arial" w:cs="Arial" w:eastAsia="Arial" w:hAnsi="Arial"/>
          <w:sz w:val="15"/>
          <w:szCs w:val="15"/>
          <w:color w:val="auto"/>
        </w:rPr>
        <w:t>On or after the applicable Par Call Date for a series of notes, the Company may, at its option, redeem the notes of such series, in whole or in part, at any time and from time to time, at a redemption price equal to 100% of the principal amount of the notes redeemed, plus accrued and unpaid interest thereon, if any, to, but excluding, the date of redemption.</w:t>
      </w:r>
    </w:p>
    <w:p>
      <w:pPr>
        <w:spacing w:after="0" w:line="95" w:lineRule="exact"/>
        <w:rPr>
          <w:sz w:val="20"/>
          <w:szCs w:val="20"/>
          <w:color w:val="auto"/>
        </w:rPr>
      </w:pPr>
    </w:p>
    <w:p>
      <w:pPr>
        <w:ind w:left="1140" w:right="1239"/>
        <w:spacing w:after="0" w:line="260" w:lineRule="auto"/>
        <w:rPr>
          <w:sz w:val="20"/>
          <w:szCs w:val="20"/>
          <w:color w:val="auto"/>
        </w:rPr>
      </w:pPr>
      <w:r>
        <w:rPr>
          <w:rFonts w:ascii="Arial" w:cs="Arial" w:eastAsia="Arial" w:hAnsi="Arial"/>
          <w:sz w:val="15"/>
          <w:szCs w:val="15"/>
          <w:color w:val="auto"/>
        </w:rPr>
        <w:t>“Par Call Date” means                     , 20        , with respect to any 20        notes (        months prior to the maturity date of the 20        notes) and                     , 20        , with respect to any 20        notes (        months prior to the maturity date of the 20        notes).</w:t>
      </w:r>
    </w:p>
    <w:p>
      <w:pPr>
        <w:spacing w:after="0" w:line="80"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Notice of any redemption will be mailed or electronically delivered (or otherwise transmitted in accordance with the depositary’s procedures) at least 10 days but not more than 60 days before the redemption date to each holder of notes of the series to be redeemed (with a copy to the Trustee). Unless the Company defaults in payment of the redemption price, on and after the redemption date, interest will cease to accrue on such notes or portions thereof called for redemption. On or before a redemption date, the Company will deposit with a paying agent (or the Trustee) money sufficient to pay the redemption price of and accrued interest on the notes of a series to be redeemed on that date. In the case of a partial redemption of the notes of a series, selection of the notes of such series for redemption will be made pro rata, by lot or by such other method as the Trustee deems fair and appropriate. No notes of such series of a principal amount of $2,000 or less will be redeemed in part. If any note of a series is to be redeemed in part only, the notice of redemption that relates to the note of such series will state the portion of the principal amount of such note to be redeemed. A new note of such series in a principal amount equal to the unredeemed portion of such note will be issued in the name of the holder of such note upon surrender for cancellation of the original note of such series. For so long as the notes of each series are held by The Depository Trust Company (“DTC”), Euroclear or Clearstream (or another depositary), the redemption of the notes of each series shall be done in accordance with the policies and procedures of the depositary. Any redemption or notice of redemption may, at the Company’s discretion, be subject to one or more conditions precedent.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Mandatory Redemption; Offers to Purchase; Open Market Purchases</w:t>
      </w:r>
    </w:p>
    <w:p>
      <w:pPr>
        <w:spacing w:after="0" w:line="122" w:lineRule="exact"/>
        <w:rPr>
          <w:sz w:val="20"/>
          <w:szCs w:val="20"/>
          <w:color w:val="auto"/>
        </w:rPr>
      </w:pPr>
    </w:p>
    <w:p>
      <w:pPr>
        <w:jc w:val="both"/>
        <w:ind w:left="1140" w:right="1219"/>
        <w:spacing w:after="0" w:line="287" w:lineRule="auto"/>
        <w:rPr>
          <w:sz w:val="20"/>
          <w:szCs w:val="20"/>
          <w:color w:val="auto"/>
        </w:rPr>
      </w:pPr>
      <w:r>
        <w:rPr>
          <w:rFonts w:ascii="Arial" w:cs="Arial" w:eastAsia="Arial" w:hAnsi="Arial"/>
          <w:sz w:val="14"/>
          <w:szCs w:val="14"/>
          <w:color w:val="auto"/>
        </w:rPr>
        <w:t>The Company is not required to make any mandatory redemption or sinking fund payments with respect to the notes. However, under certain circumstances, the Company may be required to offer to purchase each series of notes as described under the caption “— Repurchase of Notes upon a Change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79"/>
        <w:spacing w:after="0" w:line="274" w:lineRule="auto"/>
        <w:rPr>
          <w:sz w:val="20"/>
          <w:szCs w:val="20"/>
          <w:color w:val="auto"/>
        </w:rPr>
      </w:pPr>
      <w:r>
        <w:rPr>
          <w:rFonts w:ascii="Arial" w:cs="Arial" w:eastAsia="Arial" w:hAnsi="Arial"/>
          <w:sz w:val="15"/>
          <w:szCs w:val="15"/>
          <w:color w:val="auto"/>
        </w:rPr>
        <w:t>of Control Triggering Event.” The Company may at any time, and from time to time, purchase notes in the open market or otherwise.</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Ranking</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notes are general unsecured obligations of the Company. As a result, the notes rank:</w:t>
      </w:r>
    </w:p>
    <w:p>
      <w:pPr>
        <w:spacing w:after="0" w:line="92" w:lineRule="exact"/>
        <w:rPr>
          <w:sz w:val="20"/>
          <w:szCs w:val="20"/>
          <w:color w:val="auto"/>
        </w:rPr>
      </w:pPr>
    </w:p>
    <w:p>
      <w:pPr>
        <w:ind w:left="1580" w:right="1159" w:hanging="138"/>
        <w:spacing w:after="0" w:line="274"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pari passu </w:t>
      </w:r>
      <w:r>
        <w:rPr>
          <w:rFonts w:ascii="Arial" w:cs="Arial" w:eastAsia="Arial" w:hAnsi="Arial"/>
          <w:sz w:val="15"/>
          <w:szCs w:val="15"/>
          <w:color w:val="auto"/>
        </w:rPr>
        <w:t>in right of payment with all existing and future unsecured unsubordinated indebtedness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Company;</w:t>
      </w:r>
    </w:p>
    <w:p>
      <w:pPr>
        <w:spacing w:after="0" w:line="47" w:lineRule="exact"/>
        <w:rPr>
          <w:rFonts w:ascii="Arial" w:cs="Arial" w:eastAsia="Arial" w:hAnsi="Arial"/>
          <w:sz w:val="15"/>
          <w:szCs w:val="15"/>
          <w:color w:val="auto"/>
        </w:rPr>
      </w:pPr>
    </w:p>
    <w:p>
      <w:pPr>
        <w:ind w:left="1580" w:right="1179" w:hanging="138"/>
        <w:spacing w:after="0" w:line="260"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structurally subordinated to any indebtedness and other liabilities of the Company’s Subsidiaries.</w:t>
      </w:r>
    </w:p>
    <w:p>
      <w:pPr>
        <w:spacing w:after="0" w:line="137"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Repurchase of Notes upon a Change of Control Triggering Event</w:t>
      </w:r>
    </w:p>
    <w:p>
      <w:pPr>
        <w:spacing w:after="0" w:line="122" w:lineRule="exact"/>
        <w:rPr>
          <w:sz w:val="20"/>
          <w:szCs w:val="20"/>
          <w:color w:val="auto"/>
        </w:rPr>
      </w:pPr>
    </w:p>
    <w:p>
      <w:pPr>
        <w:ind w:left="1140" w:right="1239"/>
        <w:spacing w:after="0" w:line="252" w:lineRule="auto"/>
        <w:rPr>
          <w:sz w:val="20"/>
          <w:szCs w:val="20"/>
          <w:color w:val="auto"/>
        </w:rPr>
      </w:pPr>
      <w:r>
        <w:rPr>
          <w:rFonts w:ascii="Arial" w:cs="Arial" w:eastAsia="Arial" w:hAnsi="Arial"/>
          <w:sz w:val="15"/>
          <w:szCs w:val="15"/>
          <w:color w:val="auto"/>
        </w:rPr>
        <w:t>Not later than 60 days following a Change of Control Triggering Event with respect to a series of notes, unless the Company has exercised its right to redeem all of the notes of such series as described under “—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88"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03" w:lineRule="exact"/>
        <w:rPr>
          <w:sz w:val="20"/>
          <w:szCs w:val="20"/>
          <w:color w:val="auto"/>
        </w:rPr>
      </w:pPr>
    </w:p>
    <w:p>
      <w:pPr>
        <w:ind w:left="1140" w:right="1259"/>
        <w:spacing w:after="0" w:line="250" w:lineRule="auto"/>
        <w:rPr>
          <w:sz w:val="20"/>
          <w:szCs w:val="20"/>
          <w:color w:val="auto"/>
        </w:rPr>
      </w:pPr>
      <w:r>
        <w:rPr>
          <w:rFonts w:ascii="Arial" w:cs="Arial" w:eastAsia="Arial" w:hAnsi="Arial"/>
          <w:sz w:val="15"/>
          <w:szCs w:val="15"/>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00" w:lineRule="exact"/>
        <w:rPr>
          <w:sz w:val="20"/>
          <w:szCs w:val="20"/>
          <w:color w:val="auto"/>
        </w:rPr>
      </w:pPr>
    </w:p>
    <w:p>
      <w:pPr>
        <w:jc w:val="both"/>
        <w:ind w:left="1140" w:right="1539"/>
        <w:spacing w:after="0" w:line="260" w:lineRule="auto"/>
        <w:rPr>
          <w:sz w:val="20"/>
          <w:szCs w:val="20"/>
          <w:color w:val="auto"/>
        </w:rPr>
      </w:pPr>
      <w:r>
        <w:rPr>
          <w:rFonts w:ascii="Arial" w:cs="Arial" w:eastAsia="Arial" w:hAnsi="Arial"/>
          <w:sz w:val="15"/>
          <w:szCs w:val="15"/>
          <w:color w:val="auto"/>
        </w:rPr>
        <w:t>The Company will comply with Rule 14e-1 under the Exchange Act and all other applicable laws in making any Offer to Purchase, and the above procedures will be deemed modified as necessary to permit such compliance.</w:t>
      </w:r>
    </w:p>
    <w:p>
      <w:pPr>
        <w:spacing w:after="0" w:line="80" w:lineRule="exact"/>
        <w:rPr>
          <w:sz w:val="20"/>
          <w:szCs w:val="20"/>
          <w:color w:val="auto"/>
        </w:rPr>
      </w:pPr>
    </w:p>
    <w:p>
      <w:pPr>
        <w:ind w:left="1140" w:right="1219"/>
        <w:spacing w:after="0" w:line="275" w:lineRule="auto"/>
        <w:rPr>
          <w:sz w:val="20"/>
          <w:szCs w:val="20"/>
          <w:color w:val="auto"/>
        </w:rPr>
      </w:pPr>
      <w:r>
        <w:rPr>
          <w:rFonts w:ascii="Arial" w:cs="Arial" w:eastAsia="Arial" w:hAnsi="Arial"/>
          <w:sz w:val="14"/>
          <w:szCs w:val="14"/>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to the Indenture with respect to all notes of such series as described above under the caption</w:t>
      </w:r>
    </w:p>
    <w:p>
      <w:pPr>
        <w:spacing w:after="0" w:line="21" w:lineRule="exact"/>
        <w:rPr>
          <w:sz w:val="20"/>
          <w:szCs w:val="20"/>
          <w:color w:val="auto"/>
        </w:rPr>
      </w:pPr>
    </w:p>
    <w:p>
      <w:pPr>
        <w:ind w:left="1140" w:right="1199"/>
        <w:spacing w:after="0" w:line="263" w:lineRule="auto"/>
        <w:rPr>
          <w:sz w:val="20"/>
          <w:szCs w:val="20"/>
          <w:color w:val="auto"/>
        </w:rPr>
      </w:pPr>
      <w:r>
        <w:rPr>
          <w:rFonts w:ascii="Arial" w:cs="Arial" w:eastAsia="Arial" w:hAnsi="Arial"/>
          <w:sz w:val="15"/>
          <w:szCs w:val="15"/>
          <w:color w:val="auto"/>
        </w:rPr>
        <w:t>“—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88" w:lineRule="exact"/>
        <w:rPr>
          <w:sz w:val="20"/>
          <w:szCs w:val="20"/>
          <w:color w:val="auto"/>
        </w:rPr>
      </w:pPr>
    </w:p>
    <w:p>
      <w:pPr>
        <w:ind w:left="1140" w:right="1239"/>
        <w:spacing w:after="0" w:line="278" w:lineRule="auto"/>
        <w:rPr>
          <w:sz w:val="20"/>
          <w:szCs w:val="20"/>
          <w:color w:val="auto"/>
        </w:rPr>
      </w:pPr>
      <w:r>
        <w:rPr>
          <w:rFonts w:ascii="Arial" w:cs="Arial" w:eastAsia="Arial" w:hAnsi="Arial"/>
          <w:sz w:val="14"/>
          <w:szCs w:val="14"/>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w:t>
      </w:r>
    </w:p>
    <w:p>
      <w:pPr>
        <w:ind w:left="1140" w:right="1199"/>
        <w:spacing w:after="0" w:line="258" w:lineRule="auto"/>
        <w:rPr>
          <w:sz w:val="20"/>
          <w:szCs w:val="20"/>
          <w:color w:val="auto"/>
        </w:rPr>
      </w:pPr>
      <w:r>
        <w:rPr>
          <w:rFonts w:ascii="Arial" w:cs="Arial" w:eastAsia="Arial" w:hAnsi="Arial"/>
          <w:sz w:val="15"/>
          <w:szCs w:val="15"/>
          <w:color w:val="auto"/>
        </w:rPr>
        <w:t>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94" w:lineRule="exact"/>
        <w:rPr>
          <w:sz w:val="20"/>
          <w:szCs w:val="20"/>
          <w:color w:val="auto"/>
        </w:rPr>
      </w:pPr>
    </w:p>
    <w:p>
      <w:pPr>
        <w:ind w:left="1140" w:right="1159"/>
        <w:spacing w:after="0" w:line="259" w:lineRule="auto"/>
        <w:rPr>
          <w:sz w:val="20"/>
          <w:szCs w:val="20"/>
          <w:color w:val="auto"/>
        </w:rPr>
      </w:pPr>
      <w:r>
        <w:rPr>
          <w:rFonts w:ascii="Arial" w:cs="Arial" w:eastAsia="Arial" w:hAnsi="Arial"/>
          <w:sz w:val="15"/>
          <w:szCs w:val="15"/>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of a series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each series of notes, which would violate the terms of such indenture.”</w:t>
      </w:r>
    </w:p>
    <w:p>
      <w:pPr>
        <w:spacing w:after="0" w:line="104" w:lineRule="exact"/>
        <w:rPr>
          <w:sz w:val="20"/>
          <w:szCs w:val="20"/>
          <w:color w:val="auto"/>
        </w:rPr>
      </w:pPr>
    </w:p>
    <w:p>
      <w:pPr>
        <w:ind w:left="1140" w:right="1179"/>
        <w:spacing w:after="0" w:line="282" w:lineRule="auto"/>
        <w:rPr>
          <w:sz w:val="20"/>
          <w:szCs w:val="20"/>
          <w:color w:val="auto"/>
        </w:rPr>
      </w:pPr>
      <w:r>
        <w:rPr>
          <w:rFonts w:ascii="Arial" w:cs="Arial" w:eastAsia="Arial" w:hAnsi="Arial"/>
          <w:sz w:val="14"/>
          <w:szCs w:val="14"/>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78" w:lineRule="exact"/>
        <w:rPr>
          <w:sz w:val="20"/>
          <w:szCs w:val="20"/>
          <w:color w:val="auto"/>
        </w:rPr>
      </w:pPr>
    </w:p>
    <w:p>
      <w:pPr>
        <w:ind w:left="1140" w:right="1199"/>
        <w:spacing w:after="0" w:line="275" w:lineRule="auto"/>
        <w:rPr>
          <w:sz w:val="20"/>
          <w:szCs w:val="20"/>
          <w:color w:val="auto"/>
        </w:rPr>
      </w:pPr>
      <w:r>
        <w:rPr>
          <w:rFonts w:ascii="Arial" w:cs="Arial" w:eastAsia="Arial" w:hAnsi="Arial"/>
          <w:sz w:val="14"/>
          <w:szCs w:val="14"/>
          <w:color w:val="auto"/>
        </w:rPr>
        <w:t>The Change of Control purchase feature of the notes of a series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w:t>
      </w:r>
    </w:p>
    <w:p>
      <w:pPr>
        <w:spacing w:after="0" w:line="1" w:lineRule="exact"/>
        <w:rPr>
          <w:sz w:val="20"/>
          <w:szCs w:val="20"/>
          <w:color w:val="auto"/>
        </w:rPr>
      </w:pPr>
    </w:p>
    <w:p>
      <w:pPr>
        <w:ind w:left="1140" w:right="1199"/>
        <w:spacing w:after="0" w:line="258" w:lineRule="auto"/>
        <w:rPr>
          <w:sz w:val="20"/>
          <w:szCs w:val="20"/>
          <w:color w:val="auto"/>
        </w:rPr>
      </w:pPr>
      <w:r>
        <w:rPr>
          <w:rFonts w:ascii="Arial" w:cs="Arial" w:eastAsia="Arial" w:hAnsi="Arial"/>
          <w:sz w:val="15"/>
          <w:szCs w:val="15"/>
          <w:color w:val="auto"/>
        </w:rPr>
        <w:t>“— Certain Covenants — 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05" w:lineRule="exact"/>
        <w:rPr>
          <w:sz w:val="20"/>
          <w:szCs w:val="20"/>
          <w:color w:val="auto"/>
        </w:rPr>
      </w:pPr>
    </w:p>
    <w:p>
      <w:pPr>
        <w:jc w:val="both"/>
        <w:ind w:left="1140" w:right="1219"/>
        <w:spacing w:after="0" w:line="295" w:lineRule="auto"/>
        <w:rPr>
          <w:sz w:val="20"/>
          <w:szCs w:val="20"/>
          <w:color w:val="auto"/>
        </w:rPr>
      </w:pPr>
      <w:r>
        <w:rPr>
          <w:rFonts w:ascii="Arial" w:cs="Arial" w:eastAsia="Arial" w:hAnsi="Arial"/>
          <w:sz w:val="14"/>
          <w:szCs w:val="14"/>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Exchange and Transfer</w:t>
      </w:r>
    </w:p>
    <w:p>
      <w:pPr>
        <w:spacing w:after="0" w:line="133" w:lineRule="exact"/>
        <w:rPr>
          <w:sz w:val="20"/>
          <w:szCs w:val="20"/>
          <w:color w:val="auto"/>
        </w:rPr>
      </w:pPr>
    </w:p>
    <w:p>
      <w:pPr>
        <w:ind w:left="1140" w:right="1279"/>
        <w:spacing w:after="0" w:line="259" w:lineRule="auto"/>
        <w:rPr>
          <w:sz w:val="20"/>
          <w:szCs w:val="20"/>
          <w:color w:val="auto"/>
        </w:rPr>
      </w:pPr>
      <w:r>
        <w:rPr>
          <w:rFonts w:ascii="Arial" w:cs="Arial" w:eastAsia="Arial" w:hAnsi="Arial"/>
          <w:sz w:val="15"/>
          <w:szCs w:val="15"/>
          <w:color w:val="auto"/>
        </w:rPr>
        <w:t>Holders of notes of a series generally will be able to exchange their notes of such series for other notes of such series with the same total principal amount and the same terms.</w:t>
      </w:r>
    </w:p>
    <w:p>
      <w:pPr>
        <w:spacing w:after="0" w:line="80" w:lineRule="exact"/>
        <w:rPr>
          <w:sz w:val="20"/>
          <w:szCs w:val="20"/>
          <w:color w:val="auto"/>
        </w:rPr>
      </w:pPr>
    </w:p>
    <w:p>
      <w:pPr>
        <w:ind w:left="1140" w:right="1199"/>
        <w:spacing w:after="0" w:line="260" w:lineRule="auto"/>
        <w:rPr>
          <w:sz w:val="20"/>
          <w:szCs w:val="20"/>
          <w:color w:val="auto"/>
        </w:rPr>
      </w:pPr>
      <w:r>
        <w:rPr>
          <w:rFonts w:ascii="Arial" w:cs="Arial" w:eastAsia="Arial" w:hAnsi="Arial"/>
          <w:sz w:val="14"/>
          <w:szCs w:val="14"/>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49" w:lineRule="exact"/>
        <w:rPr>
          <w:sz w:val="20"/>
          <w:szCs w:val="20"/>
          <w:color w:val="auto"/>
        </w:rPr>
      </w:pPr>
    </w:p>
    <w:p>
      <w:pPr>
        <w:ind w:left="1580" w:hanging="138"/>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designate additional transfer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rescind the designation of any transfer agent; or</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approve a change in the office of any transfer agent.</w:t>
      </w:r>
    </w:p>
    <w:p>
      <w:pPr>
        <w:spacing w:after="0" w:line="126" w:lineRule="exact"/>
        <w:rPr>
          <w:sz w:val="20"/>
          <w:szCs w:val="20"/>
          <w:color w:val="auto"/>
        </w:rPr>
      </w:pPr>
    </w:p>
    <w:p>
      <w:pPr>
        <w:ind w:left="1140" w:right="1199"/>
        <w:spacing w:after="0" w:line="259" w:lineRule="auto"/>
        <w:rPr>
          <w:sz w:val="20"/>
          <w:szCs w:val="20"/>
          <w:color w:val="auto"/>
        </w:rPr>
      </w:pPr>
      <w:r>
        <w:rPr>
          <w:rFonts w:ascii="Arial" w:cs="Arial" w:eastAsia="Arial" w:hAnsi="Arial"/>
          <w:sz w:val="15"/>
          <w:szCs w:val="15"/>
          <w:color w:val="auto"/>
        </w:rPr>
        <w:t>However, the Company is required to maintain a transfer agent in each place of payment for the notes at all times.</w:t>
      </w:r>
    </w:p>
    <w:p>
      <w:pPr>
        <w:spacing w:after="0" w:line="80" w:lineRule="exact"/>
        <w:rPr>
          <w:sz w:val="20"/>
          <w:szCs w:val="20"/>
          <w:color w:val="auto"/>
        </w:rPr>
      </w:pPr>
    </w:p>
    <w:p>
      <w:pPr>
        <w:ind w:left="1140" w:right="1459"/>
        <w:spacing w:after="0" w:line="274" w:lineRule="auto"/>
        <w:rPr>
          <w:sz w:val="20"/>
          <w:szCs w:val="20"/>
          <w:color w:val="auto"/>
        </w:rPr>
      </w:pPr>
      <w:r>
        <w:rPr>
          <w:rFonts w:ascii="Arial" w:cs="Arial" w:eastAsia="Arial" w:hAnsi="Arial"/>
          <w:sz w:val="15"/>
          <w:szCs w:val="15"/>
          <w:color w:val="auto"/>
        </w:rPr>
        <w:t>If the Company elects to redeem the notes of a series or makes an Offer to Purchase with respect to such notes, neither the Company nor the Trustee will be required to:</w:t>
      </w:r>
    </w:p>
    <w:p>
      <w:pPr>
        <w:spacing w:after="0" w:line="37" w:lineRule="exact"/>
        <w:rPr>
          <w:sz w:val="20"/>
          <w:szCs w:val="20"/>
          <w:color w:val="auto"/>
        </w:rPr>
      </w:pPr>
    </w:p>
    <w:p>
      <w:pPr>
        <w:ind w:left="1580" w:right="1199" w:hanging="138"/>
        <w:spacing w:after="0" w:line="255" w:lineRule="auto"/>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50" w:lineRule="exact"/>
        <w:rPr>
          <w:rFonts w:ascii="Arial" w:cs="Arial" w:eastAsia="Arial" w:hAnsi="Arial"/>
          <w:sz w:val="15"/>
          <w:szCs w:val="15"/>
          <w:color w:val="auto"/>
        </w:rPr>
      </w:pPr>
    </w:p>
    <w:p>
      <w:pPr>
        <w:ind w:left="1580" w:right="1239" w:hanging="138"/>
        <w:spacing w:after="0" w:line="260" w:lineRule="auto"/>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register the transfer or exchange of any note of such series so selected for redemption or subject to purchase in such Offer to Purchase, except for any portion not to be redeemed or subject to purchase; or</w:t>
      </w:r>
    </w:p>
    <w:p>
      <w:pPr>
        <w:spacing w:after="0" w:line="57" w:lineRule="exact"/>
        <w:rPr>
          <w:rFonts w:ascii="Arial" w:cs="Arial" w:eastAsia="Arial" w:hAnsi="Arial"/>
          <w:sz w:val="15"/>
          <w:szCs w:val="15"/>
          <w:color w:val="auto"/>
        </w:rPr>
      </w:pPr>
    </w:p>
    <w:p>
      <w:pPr>
        <w:ind w:left="1580" w:right="1179" w:hanging="138"/>
        <w:spacing w:after="0" w:line="255" w:lineRule="auto"/>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case of a redemption or a purchase date pursuant to an Offer to Purchase occurring after a regular record date but on or before the corresponding interest payment date, register the transfer or exchange of any note of such series on or after the regular record date and before the date of redemption or purchase.</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Payment and Paying Agents</w:t>
      </w:r>
    </w:p>
    <w:p>
      <w:pPr>
        <w:spacing w:after="0" w:line="122" w:lineRule="exact"/>
        <w:rPr>
          <w:sz w:val="20"/>
          <w:szCs w:val="20"/>
          <w:color w:val="auto"/>
        </w:rPr>
      </w:pPr>
    </w:p>
    <w:p>
      <w:pPr>
        <w:jc w:val="both"/>
        <w:ind w:left="1140" w:right="1439"/>
        <w:spacing w:after="0" w:line="268" w:lineRule="auto"/>
        <w:rPr>
          <w:sz w:val="20"/>
          <w:szCs w:val="20"/>
          <w:color w:val="auto"/>
        </w:rPr>
      </w:pPr>
      <w:r>
        <w:rPr>
          <w:rFonts w:ascii="Arial" w:cs="Arial" w:eastAsia="Arial" w:hAnsi="Arial"/>
          <w:sz w:val="14"/>
          <w:szCs w:val="14"/>
          <w:color w:val="auto"/>
        </w:rPr>
        <w:t>Under the Indenture, the Company will pay interest on the notes of a series to the Persons in whose names such notes are registered at the close of business on the regular record date for each interest payment. However, the Company will pay the interest payable on the notes of a series at their stated maturity to the Persons to whom the Company pays the principal amount of such notes.</w:t>
      </w:r>
    </w:p>
    <w:p>
      <w:pPr>
        <w:spacing w:after="0" w:line="76" w:lineRule="exact"/>
        <w:rPr>
          <w:sz w:val="20"/>
          <w:szCs w:val="20"/>
          <w:color w:val="auto"/>
        </w:rPr>
      </w:pPr>
    </w:p>
    <w:p>
      <w:pPr>
        <w:ind w:left="1140" w:right="1639"/>
        <w:spacing w:after="0" w:line="252" w:lineRule="auto"/>
        <w:rPr>
          <w:sz w:val="20"/>
          <w:szCs w:val="20"/>
          <w:color w:val="auto"/>
        </w:rPr>
      </w:pPr>
      <w:r>
        <w:rPr>
          <w:rFonts w:ascii="Arial" w:cs="Arial" w:eastAsia="Arial" w:hAnsi="Arial"/>
          <w:sz w:val="15"/>
          <w:szCs w:val="15"/>
          <w:color w:val="auto"/>
        </w:rPr>
        <w:t>The Company will pay principal, premium, if any, and interest on the notes at the offices of the designated paying agents. However, except in the case of a global security, the Company will pay interest by:</w:t>
      </w:r>
    </w:p>
    <w:p>
      <w:pPr>
        <w:spacing w:after="0" w:line="53" w:lineRule="exact"/>
        <w:rPr>
          <w:sz w:val="20"/>
          <w:szCs w:val="20"/>
          <w:color w:val="auto"/>
        </w:rPr>
      </w:pPr>
    </w:p>
    <w:p>
      <w:pPr>
        <w:ind w:left="1580" w:right="1419" w:hanging="138"/>
        <w:spacing w:after="0" w:line="274"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check mailed to the address of the Person entitled to the payment as it appears in the security register; or</w:t>
      </w:r>
    </w:p>
    <w:p>
      <w:pPr>
        <w:spacing w:after="0" w:line="47" w:lineRule="exact"/>
        <w:rPr>
          <w:rFonts w:ascii="Arial" w:cs="Arial" w:eastAsia="Arial" w:hAnsi="Arial"/>
          <w:sz w:val="15"/>
          <w:szCs w:val="15"/>
          <w:color w:val="auto"/>
        </w:rPr>
      </w:pPr>
    </w:p>
    <w:p>
      <w:pPr>
        <w:ind w:left="1580" w:right="1179" w:hanging="138"/>
        <w:spacing w:after="0" w:line="255"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95"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42" w:lineRule="auto"/>
        <w:rPr>
          <w:sz w:val="20"/>
          <w:szCs w:val="20"/>
          <w:color w:val="auto"/>
        </w:rPr>
      </w:pPr>
      <w:r>
        <w:rPr>
          <w:rFonts w:ascii="Arial" w:cs="Arial" w:eastAsia="Arial" w:hAnsi="Arial"/>
          <w:sz w:val="15"/>
          <w:szCs w:val="15"/>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Certain Covenants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Limitation on Liens</w:t>
      </w:r>
    </w:p>
    <w:p>
      <w:pPr>
        <w:spacing w:after="0" w:line="124" w:lineRule="exact"/>
        <w:rPr>
          <w:sz w:val="20"/>
          <w:szCs w:val="20"/>
          <w:color w:val="auto"/>
        </w:rPr>
      </w:pPr>
    </w:p>
    <w:p>
      <w:pPr>
        <w:ind w:left="1140" w:right="1219"/>
        <w:spacing w:after="0" w:line="258" w:lineRule="auto"/>
        <w:rPr>
          <w:sz w:val="20"/>
          <w:szCs w:val="20"/>
          <w:color w:val="auto"/>
        </w:rPr>
      </w:pPr>
      <w:r>
        <w:rPr>
          <w:rFonts w:ascii="Arial" w:cs="Arial" w:eastAsia="Arial" w:hAnsi="Arial"/>
          <w:sz w:val="14"/>
          <w:szCs w:val="14"/>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84" w:lineRule="exact"/>
        <w:rPr>
          <w:sz w:val="20"/>
          <w:szCs w:val="20"/>
          <w:color w:val="auto"/>
        </w:rPr>
      </w:pPr>
    </w:p>
    <w:p>
      <w:pPr>
        <w:ind w:left="1140" w:right="1159"/>
        <w:spacing w:after="0" w:line="237" w:lineRule="auto"/>
        <w:rPr>
          <w:sz w:val="20"/>
          <w:szCs w:val="20"/>
          <w:color w:val="auto"/>
        </w:rPr>
      </w:pPr>
      <w:r>
        <w:rPr>
          <w:rFonts w:ascii="Arial" w:cs="Arial" w:eastAsia="Arial" w:hAnsi="Arial"/>
          <w:sz w:val="15"/>
          <w:szCs w:val="15"/>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of each series,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01" w:lineRule="exact"/>
        <w:rPr>
          <w:sz w:val="20"/>
          <w:szCs w:val="20"/>
          <w:color w:val="auto"/>
        </w:rPr>
      </w:pPr>
    </w:p>
    <w:p>
      <w:pPr>
        <w:ind w:left="1140" w:right="1159"/>
        <w:spacing w:after="0" w:line="254" w:lineRule="auto"/>
        <w:rPr>
          <w:sz w:val="20"/>
          <w:szCs w:val="20"/>
          <w:color w:val="auto"/>
        </w:rPr>
      </w:pPr>
      <w:r>
        <w:rPr>
          <w:rFonts w:ascii="Arial" w:cs="Arial" w:eastAsia="Arial" w:hAnsi="Arial"/>
          <w:sz w:val="14"/>
          <w:szCs w:val="14"/>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94" w:lineRule="exact"/>
        <w:rPr>
          <w:sz w:val="20"/>
          <w:szCs w:val="20"/>
          <w:color w:val="auto"/>
        </w:rPr>
      </w:pPr>
    </w:p>
    <w:p>
      <w:pPr>
        <w:ind w:left="1140" w:right="1359"/>
        <w:spacing w:after="0" w:line="245" w:lineRule="auto"/>
        <w:rPr>
          <w:sz w:val="20"/>
          <w:szCs w:val="20"/>
          <w:color w:val="auto"/>
        </w:rPr>
      </w:pPr>
      <w:r>
        <w:rPr>
          <w:rFonts w:ascii="Arial" w:cs="Arial" w:eastAsia="Arial" w:hAnsi="Arial"/>
          <w:sz w:val="15"/>
          <w:szCs w:val="15"/>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Limitation on Sale and Lease-Back Transactions</w:t>
      </w:r>
    </w:p>
    <w:p>
      <w:pPr>
        <w:spacing w:after="0" w:line="124" w:lineRule="exact"/>
        <w:rPr>
          <w:sz w:val="20"/>
          <w:szCs w:val="20"/>
          <w:color w:val="auto"/>
        </w:rPr>
      </w:pPr>
    </w:p>
    <w:p>
      <w:pPr>
        <w:ind w:left="1140" w:right="1199"/>
        <w:spacing w:after="0" w:line="260" w:lineRule="auto"/>
        <w:rPr>
          <w:sz w:val="20"/>
          <w:szCs w:val="20"/>
          <w:color w:val="auto"/>
        </w:rPr>
      </w:pPr>
      <w:r>
        <w:rPr>
          <w:rFonts w:ascii="Arial" w:cs="Arial" w:eastAsia="Arial" w:hAnsi="Arial"/>
          <w:sz w:val="15"/>
          <w:szCs w:val="15"/>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58" w:lineRule="exact"/>
        <w:rPr>
          <w:sz w:val="20"/>
          <w:szCs w:val="20"/>
          <w:color w:val="auto"/>
        </w:rPr>
      </w:pPr>
    </w:p>
    <w:p>
      <w:pPr>
        <w:ind w:left="1580" w:hanging="138"/>
        <w:spacing w:after="0"/>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such transaction was entered into prior to the Issue Date;</w:t>
      </w:r>
    </w:p>
    <w:p>
      <w:pPr>
        <w:spacing w:after="0" w:line="103" w:lineRule="exact"/>
        <w:rPr>
          <w:rFonts w:ascii="Arial" w:cs="Arial" w:eastAsia="Arial" w:hAnsi="Arial"/>
          <w:sz w:val="15"/>
          <w:szCs w:val="15"/>
          <w:color w:val="auto"/>
        </w:rPr>
      </w:pPr>
    </w:p>
    <w:p>
      <w:pPr>
        <w:ind w:left="1580" w:right="1239" w:hanging="138"/>
        <w:spacing w:after="0" w:line="274"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such transaction was for the sale and leasing back to the Company or a Restricted Subsidiary by the Company or any Subsidiary of any Principal Property;</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such transaction involves a lease of a Principal Property executed by the time of or within</w:t>
      </w:r>
    </w:p>
    <w:p>
      <w:pPr>
        <w:spacing w:after="0" w:line="18" w:lineRule="exact"/>
        <w:rPr>
          <w:rFonts w:ascii="Arial" w:cs="Arial" w:eastAsia="Arial" w:hAnsi="Arial"/>
          <w:sz w:val="15"/>
          <w:szCs w:val="15"/>
          <w:color w:val="auto"/>
        </w:rPr>
      </w:pPr>
    </w:p>
    <w:p>
      <w:pPr>
        <w:ind w:left="1580" w:right="1179"/>
        <w:spacing w:after="0" w:line="272" w:lineRule="auto"/>
        <w:rPr>
          <w:rFonts w:ascii="Arial" w:cs="Arial" w:eastAsia="Arial" w:hAnsi="Arial"/>
          <w:sz w:val="15"/>
          <w:szCs w:val="15"/>
          <w:color w:val="auto"/>
        </w:rPr>
      </w:pPr>
      <w:r>
        <w:rPr>
          <w:rFonts w:ascii="Arial" w:cs="Arial" w:eastAsia="Arial" w:hAnsi="Arial"/>
          <w:sz w:val="14"/>
          <w:szCs w:val="14"/>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51" w:lineRule="exact"/>
        <w:rPr>
          <w:rFonts w:ascii="Arial" w:cs="Arial" w:eastAsia="Arial" w:hAnsi="Arial"/>
          <w:sz w:val="15"/>
          <w:szCs w:val="15"/>
          <w:color w:val="auto"/>
        </w:rPr>
      </w:pPr>
    </w:p>
    <w:p>
      <w:pPr>
        <w:ind w:left="1580" w:right="1339" w:hanging="138"/>
        <w:spacing w:after="0" w:line="273" w:lineRule="auto"/>
        <w:tabs>
          <w:tab w:leader="none" w:pos="1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such transaction involves a lease for not more than three years (or which may be terminated by the Company or the applicable Restricted Subsidiary within a period of not more than</w:t>
      </w:r>
    </w:p>
    <w:p>
      <w:pPr>
        <w:spacing w:after="0" w:line="1" w:lineRule="exact"/>
        <w:rPr>
          <w:rFonts w:ascii="Arial" w:cs="Arial" w:eastAsia="Arial" w:hAnsi="Arial"/>
          <w:sz w:val="14"/>
          <w:szCs w:val="14"/>
          <w:color w:val="auto"/>
        </w:rPr>
      </w:pPr>
    </w:p>
    <w:p>
      <w:pPr>
        <w:ind w:left="1580"/>
        <w:spacing w:after="0"/>
        <w:rPr>
          <w:rFonts w:ascii="Arial" w:cs="Arial" w:eastAsia="Arial" w:hAnsi="Arial"/>
          <w:sz w:val="14"/>
          <w:szCs w:val="14"/>
          <w:color w:val="auto"/>
        </w:rPr>
      </w:pPr>
      <w:r>
        <w:rPr>
          <w:rFonts w:ascii="Arial" w:cs="Arial" w:eastAsia="Arial" w:hAnsi="Arial"/>
          <w:sz w:val="15"/>
          <w:szCs w:val="15"/>
          <w:color w:val="auto"/>
        </w:rPr>
        <w:t>three years);</w:t>
      </w:r>
    </w:p>
    <w:p>
      <w:pPr>
        <w:spacing w:after="0" w:line="89" w:lineRule="exact"/>
        <w:rPr>
          <w:rFonts w:ascii="Arial" w:cs="Arial" w:eastAsia="Arial" w:hAnsi="Arial"/>
          <w:sz w:val="14"/>
          <w:szCs w:val="14"/>
          <w:color w:val="auto"/>
        </w:rPr>
      </w:pPr>
    </w:p>
    <w:p>
      <w:pPr>
        <w:ind w:left="1580" w:right="1259" w:hanging="138"/>
        <w:spacing w:after="0" w:line="255"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of a series pursuant to the first paragraph of “— Limitation on Liens” above; or</w:t>
      </w:r>
    </w:p>
    <w:p>
      <w:pPr>
        <w:spacing w:after="0" w:line="61" w:lineRule="exact"/>
        <w:rPr>
          <w:rFonts w:ascii="Arial" w:cs="Arial" w:eastAsia="Arial" w:hAnsi="Arial"/>
          <w:sz w:val="15"/>
          <w:szCs w:val="15"/>
          <w:color w:val="auto"/>
        </w:rPr>
      </w:pPr>
    </w:p>
    <w:p>
      <w:pPr>
        <w:ind w:left="1580" w:right="1159" w:hanging="138"/>
        <w:spacing w:after="0" w:line="249"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of a series to the Trustee for cancellation, such notes to be credited at the cost thereof to the Company or such Restricted Subsidiary.</w:t>
      </w:r>
    </w:p>
    <w:p>
      <w:pPr>
        <w:spacing w:after="0" w:line="92"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56" w:lineRule="exact"/>
        <w:rPr>
          <w:sz w:val="20"/>
          <w:szCs w:val="20"/>
          <w:color w:val="auto"/>
        </w:rPr>
      </w:pPr>
    </w:p>
    <w:p>
      <w:pPr>
        <w:ind w:left="1440" w:right="1599"/>
        <w:spacing w:after="0" w:line="282" w:lineRule="auto"/>
        <w:rPr>
          <w:sz w:val="20"/>
          <w:szCs w:val="20"/>
          <w:color w:val="auto"/>
        </w:rPr>
      </w:pPr>
      <w:r>
        <w:rPr>
          <w:rFonts w:ascii="Arial" w:cs="Arial" w:eastAsia="Arial" w:hAnsi="Arial"/>
          <w:sz w:val="15"/>
          <w:szCs w:val="15"/>
          <w:b w:val="1"/>
          <w:bCs w:val="1"/>
          <w:i w:val="1"/>
          <w:iCs w:val="1"/>
          <w:color w:val="auto"/>
        </w:rPr>
        <w:t>Consolidation, Merger and Conveyance, Transfer and Lease of All or Substantially All Assets</w:t>
      </w:r>
    </w:p>
    <w:p>
      <w:pPr>
        <w:spacing w:after="0" w:line="67" w:lineRule="exact"/>
        <w:rPr>
          <w:sz w:val="20"/>
          <w:szCs w:val="20"/>
          <w:color w:val="auto"/>
        </w:rPr>
      </w:pPr>
    </w:p>
    <w:p>
      <w:pPr>
        <w:ind w:left="1140" w:right="1799"/>
        <w:spacing w:after="0" w:line="311" w:lineRule="auto"/>
        <w:rPr>
          <w:sz w:val="20"/>
          <w:szCs w:val="20"/>
          <w:color w:val="auto"/>
        </w:rPr>
      </w:pPr>
      <w:r>
        <w:rPr>
          <w:rFonts w:ascii="Arial" w:cs="Arial" w:eastAsia="Arial" w:hAnsi="Arial"/>
          <w:sz w:val="14"/>
          <w:szCs w:val="14"/>
          <w:color w:val="auto"/>
        </w:rPr>
        <w:t>The Company may not consolidate with or merge with or into, or convey, transfer or lease all or substantially all of its properties and assets to, any person (a “successor person”) unless:</w:t>
      </w:r>
    </w:p>
    <w:p>
      <w:pPr>
        <w:spacing w:after="0" w:line="57" w:lineRule="exact"/>
        <w:rPr>
          <w:sz w:val="20"/>
          <w:szCs w:val="20"/>
          <w:color w:val="auto"/>
        </w:rPr>
      </w:pPr>
    </w:p>
    <w:p>
      <w:pPr>
        <w:ind w:left="1740" w:right="1259" w:hanging="298"/>
        <w:spacing w:after="0" w:line="255" w:lineRule="auto"/>
        <w:tabs>
          <w:tab w:leader="none" w:pos="1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94" w:lineRule="exact"/>
        <w:rPr>
          <w:rFonts w:ascii="Arial" w:cs="Arial" w:eastAsia="Arial" w:hAnsi="Arial"/>
          <w:sz w:val="15"/>
          <w:szCs w:val="15"/>
          <w:color w:val="auto"/>
        </w:rPr>
      </w:pPr>
    </w:p>
    <w:p>
      <w:pPr>
        <w:jc w:val="both"/>
        <w:ind w:left="1740" w:right="1259" w:hanging="298"/>
        <w:spacing w:after="0" w:line="260" w:lineRule="auto"/>
        <w:tabs>
          <w:tab w:leader="none" w:pos="1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90" w:lineRule="exact"/>
        <w:rPr>
          <w:rFonts w:ascii="Arial" w:cs="Arial" w:eastAsia="Arial" w:hAnsi="Arial"/>
          <w:sz w:val="15"/>
          <w:szCs w:val="15"/>
          <w:color w:val="auto"/>
        </w:rPr>
      </w:pPr>
    </w:p>
    <w:p>
      <w:pPr>
        <w:ind w:left="1740" w:hanging="298"/>
        <w:spacing w:after="0"/>
        <w:tabs>
          <w:tab w:leader="none" w:pos="1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certain other conditions are met.</w:t>
      </w:r>
    </w:p>
    <w:p>
      <w:pPr>
        <w:spacing w:after="0" w:line="126" w:lineRule="exact"/>
        <w:rPr>
          <w:sz w:val="20"/>
          <w:szCs w:val="20"/>
          <w:color w:val="auto"/>
        </w:rPr>
      </w:pPr>
    </w:p>
    <w:p>
      <w:pPr>
        <w:ind w:left="1140" w:right="1299"/>
        <w:spacing w:after="0" w:line="260" w:lineRule="auto"/>
        <w:rPr>
          <w:sz w:val="20"/>
          <w:szCs w:val="20"/>
          <w:color w:val="auto"/>
        </w:rPr>
      </w:pPr>
      <w:r>
        <w:rPr>
          <w:rFonts w:ascii="Arial" w:cs="Arial" w:eastAsia="Arial" w:hAnsi="Arial"/>
          <w:sz w:val="15"/>
          <w:szCs w:val="15"/>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Provision of Financial Information</w:t>
      </w:r>
    </w:p>
    <w:p>
      <w:pPr>
        <w:spacing w:after="0" w:line="133" w:lineRule="exact"/>
        <w:rPr>
          <w:sz w:val="20"/>
          <w:szCs w:val="20"/>
          <w:color w:val="auto"/>
        </w:rPr>
      </w:pPr>
    </w:p>
    <w:p>
      <w:pPr>
        <w:ind w:left="1140" w:right="1159"/>
        <w:spacing w:after="0" w:line="268" w:lineRule="auto"/>
        <w:rPr>
          <w:sz w:val="20"/>
          <w:szCs w:val="20"/>
          <w:color w:val="auto"/>
        </w:rPr>
      </w:pPr>
      <w:r>
        <w:rPr>
          <w:rFonts w:ascii="Arial" w:cs="Arial" w:eastAsia="Arial" w:hAnsi="Arial"/>
          <w:sz w:val="14"/>
          <w:szCs w:val="14"/>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Certain Definitions</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As used in this section, the following terms have the meanings set forth below.</w:t>
      </w:r>
    </w:p>
    <w:p>
      <w:pPr>
        <w:spacing w:after="0" w:line="126" w:lineRule="exact"/>
        <w:rPr>
          <w:sz w:val="20"/>
          <w:szCs w:val="20"/>
          <w:color w:val="auto"/>
        </w:rPr>
      </w:pPr>
    </w:p>
    <w:p>
      <w:pPr>
        <w:ind w:left="1140" w:right="1219"/>
        <w:spacing w:after="0" w:line="265" w:lineRule="auto"/>
        <w:rPr>
          <w:sz w:val="20"/>
          <w:szCs w:val="20"/>
          <w:color w:val="auto"/>
        </w:rPr>
      </w:pPr>
      <w:r>
        <w:rPr>
          <w:rFonts w:ascii="Arial" w:cs="Arial" w:eastAsia="Arial" w:hAnsi="Arial"/>
          <w:sz w:val="14"/>
          <w:szCs w:val="14"/>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w:t>
      </w:r>
    </w:p>
    <w:p>
      <w:pPr>
        <w:spacing w:after="0" w:line="5" w:lineRule="exact"/>
        <w:rPr>
          <w:sz w:val="20"/>
          <w:szCs w:val="20"/>
          <w:color w:val="auto"/>
        </w:rPr>
      </w:pPr>
    </w:p>
    <w:p>
      <w:pPr>
        <w:ind w:left="1360" w:hanging="212"/>
        <w:spacing w:after="0"/>
        <w:tabs>
          <w:tab w:leader="none" w:pos="1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 the extent that Indebtedness relating thereto is included in clause (1) of this definition, provided</w:t>
      </w:r>
    </w:p>
    <w:p>
      <w:pPr>
        <w:spacing w:after="0" w:line="4" w:lineRule="exact"/>
        <w:rPr>
          <w:rFonts w:ascii="Arial" w:cs="Arial" w:eastAsia="Arial" w:hAnsi="Arial"/>
          <w:sz w:val="15"/>
          <w:szCs w:val="15"/>
          <w:color w:val="auto"/>
        </w:rPr>
      </w:pPr>
    </w:p>
    <w:p>
      <w:pPr>
        <w:ind w:left="1140" w:right="1179"/>
        <w:spacing w:after="0" w:line="263" w:lineRule="auto"/>
        <w:rPr>
          <w:rFonts w:ascii="Arial" w:cs="Arial" w:eastAsia="Arial" w:hAnsi="Arial"/>
          <w:sz w:val="15"/>
          <w:szCs w:val="15"/>
          <w:color w:val="auto"/>
        </w:rPr>
      </w:pPr>
      <w:r>
        <w:rPr>
          <w:rFonts w:ascii="Arial" w:cs="Arial" w:eastAsia="Arial" w:hAnsi="Arial"/>
          <w:sz w:val="14"/>
          <w:szCs w:val="14"/>
          <w:color w:val="auto"/>
        </w:rPr>
        <w:t>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w:t>
      </w:r>
    </w:p>
    <w:p>
      <w:pPr>
        <w:spacing w:after="0" w:line="2" w:lineRule="exact"/>
        <w:rPr>
          <w:rFonts w:ascii="Arial" w:cs="Arial" w:eastAsia="Arial" w:hAnsi="Arial"/>
          <w:sz w:val="15"/>
          <w:szCs w:val="15"/>
          <w:color w:val="auto"/>
        </w:rPr>
      </w:pPr>
    </w:p>
    <w:p>
      <w:pPr>
        <w:ind w:left="1140" w:right="1179"/>
        <w:spacing w:after="0" w:line="246" w:lineRule="auto"/>
        <w:rPr>
          <w:rFonts w:ascii="Arial" w:cs="Arial" w:eastAsia="Arial" w:hAnsi="Arial"/>
          <w:sz w:val="15"/>
          <w:szCs w:val="15"/>
          <w:color w:val="auto"/>
        </w:rPr>
      </w:pPr>
      <w:r>
        <w:rPr>
          <w:rFonts w:ascii="Arial" w:cs="Arial" w:eastAsia="Arial" w:hAnsi="Arial"/>
          <w:sz w:val="15"/>
          <w:szCs w:val="15"/>
          <w:color w:val="auto"/>
        </w:rPr>
        <w:t>(i)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95" w:lineRule="exact"/>
        <w:rPr>
          <w:sz w:val="20"/>
          <w:szCs w:val="20"/>
          <w:color w:val="auto"/>
        </w:rPr>
      </w:pPr>
    </w:p>
    <w:p>
      <w:pPr>
        <w:ind w:left="1140" w:right="1219"/>
        <w:spacing w:after="0" w:line="251" w:lineRule="auto"/>
        <w:rPr>
          <w:sz w:val="20"/>
          <w:szCs w:val="20"/>
          <w:color w:val="auto"/>
        </w:rPr>
      </w:pPr>
      <w:r>
        <w:rPr>
          <w:rFonts w:ascii="Arial" w:cs="Arial" w:eastAsia="Arial" w:hAnsi="Arial"/>
          <w:sz w:val="15"/>
          <w:szCs w:val="15"/>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“Below Investment Grade Rating Event” means, with respect to each series of notes, the rating on such series of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95" w:lineRule="exact"/>
        <w:rPr>
          <w:sz w:val="20"/>
          <w:szCs w:val="20"/>
          <w:color w:val="auto"/>
        </w:rPr>
      </w:pPr>
    </w:p>
    <w:p>
      <w:pPr>
        <w:ind w:left="1140" w:right="1719"/>
        <w:spacing w:after="0" w:line="259" w:lineRule="auto"/>
        <w:rPr>
          <w:sz w:val="20"/>
          <w:szCs w:val="20"/>
          <w:color w:val="auto"/>
        </w:rPr>
      </w:pPr>
      <w:r>
        <w:rPr>
          <w:rFonts w:ascii="Arial" w:cs="Arial" w:eastAsia="Arial" w:hAnsi="Arial"/>
          <w:sz w:val="15"/>
          <w:szCs w:val="15"/>
          <w:color w:val="auto"/>
        </w:rPr>
        <w:t>“Board of Directors” means the board of directors of the Company or any committee thereof duly authorized to act on behalf of such board.</w:t>
      </w:r>
    </w:p>
    <w:p>
      <w:pPr>
        <w:spacing w:after="0" w:line="8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“Business Day” means each day that is not a Legal Holiday.</w:t>
      </w:r>
    </w:p>
    <w:p>
      <w:pPr>
        <w:spacing w:after="0" w:line="126" w:lineRule="exact"/>
        <w:rPr>
          <w:sz w:val="20"/>
          <w:szCs w:val="20"/>
          <w:color w:val="auto"/>
        </w:rPr>
      </w:pPr>
    </w:p>
    <w:p>
      <w:pPr>
        <w:ind w:left="1140" w:right="1199"/>
        <w:spacing w:after="0" w:line="245" w:lineRule="auto"/>
        <w:rPr>
          <w:sz w:val="20"/>
          <w:szCs w:val="20"/>
          <w:color w:val="auto"/>
        </w:rPr>
      </w:pPr>
      <w:r>
        <w:rPr>
          <w:rFonts w:ascii="Arial" w:cs="Arial" w:eastAsia="Arial" w:hAnsi="Arial"/>
          <w:sz w:val="15"/>
          <w:szCs w:val="15"/>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“Change of Control” means:</w:t>
      </w:r>
    </w:p>
    <w:p>
      <w:pPr>
        <w:spacing w:after="0" w:line="115" w:lineRule="exact"/>
        <w:rPr>
          <w:sz w:val="20"/>
          <w:szCs w:val="20"/>
          <w:color w:val="auto"/>
        </w:rPr>
      </w:pPr>
    </w:p>
    <w:p>
      <w:pPr>
        <w:ind w:left="1740" w:right="1219" w:hanging="298"/>
        <w:spacing w:after="0" w:line="266" w:lineRule="auto"/>
        <w:tabs>
          <w:tab w:leader="none" w:pos="1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w:t>
      </w:r>
    </w:p>
    <w:p>
      <w:pPr>
        <w:spacing w:after="0" w:line="3" w:lineRule="exact"/>
        <w:rPr>
          <w:rFonts w:ascii="Arial" w:cs="Arial" w:eastAsia="Arial" w:hAnsi="Arial"/>
          <w:sz w:val="14"/>
          <w:szCs w:val="14"/>
          <w:color w:val="auto"/>
        </w:rPr>
      </w:pPr>
    </w:p>
    <w:p>
      <w:pPr>
        <w:jc w:val="center"/>
        <w:ind w:left="1740" w:right="1219" w:hanging="3"/>
        <w:spacing w:after="0" w:line="263" w:lineRule="auto"/>
        <w:tabs>
          <w:tab w:leader="none" w:pos="1956" w:val="left"/>
        </w:tabs>
        <w:numPr>
          <w:ilvl w:val="1"/>
          <w:numId w:val="17"/>
        </w:numPr>
        <w:rPr>
          <w:rFonts w:ascii="Arial" w:cs="Arial" w:eastAsia="Arial" w:hAnsi="Arial"/>
          <w:sz w:val="14"/>
          <w:szCs w:val="14"/>
          <w:color w:val="auto"/>
        </w:rPr>
      </w:pPr>
      <w:r>
        <w:rPr>
          <w:rFonts w:ascii="Arial" w:cs="Arial" w:eastAsia="Arial" w:hAnsi="Arial"/>
          <w:sz w:val="14"/>
          <w:szCs w:val="14"/>
          <w:color w:val="auto"/>
        </w:rPr>
        <w:t>arises solely as a result of a revocable proxy delivered in response to a proxy or consent solicitation made pursuant to the applicable rules and regulations under the Exchange Act, and</w:t>
      </w:r>
    </w:p>
    <w:p>
      <w:pPr>
        <w:ind w:left="1740" w:right="1179" w:hanging="3"/>
        <w:spacing w:after="0" w:line="263" w:lineRule="auto"/>
        <w:tabs>
          <w:tab w:leader="none" w:pos="1956" w:val="left"/>
        </w:tabs>
        <w:numPr>
          <w:ilvl w:val="1"/>
          <w:numId w:val="17"/>
        </w:numPr>
        <w:rPr>
          <w:rFonts w:ascii="Arial" w:cs="Arial" w:eastAsia="Arial" w:hAnsi="Arial"/>
          <w:sz w:val="14"/>
          <w:szCs w:val="14"/>
          <w:color w:val="auto"/>
        </w:rPr>
      </w:pPr>
      <w:r>
        <w:rPr>
          <w:rFonts w:ascii="Arial" w:cs="Arial" w:eastAsia="Arial" w:hAnsi="Arial"/>
          <w:sz w:val="14"/>
          <w:szCs w:val="14"/>
          <w:color w:val="auto"/>
        </w:rPr>
        <w:t>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w:t>
      </w:r>
    </w:p>
    <w:p>
      <w:pPr>
        <w:spacing w:after="0" w:line="1" w:lineRule="exact"/>
        <w:rPr>
          <w:rFonts w:ascii="Arial" w:cs="Arial" w:eastAsia="Arial" w:hAnsi="Arial"/>
          <w:sz w:val="14"/>
          <w:szCs w:val="14"/>
          <w:color w:val="auto"/>
        </w:rPr>
      </w:pPr>
    </w:p>
    <w:p>
      <w:pPr>
        <w:ind w:left="1740" w:right="1239"/>
        <w:spacing w:after="0" w:line="247" w:lineRule="auto"/>
        <w:rPr>
          <w:rFonts w:ascii="Arial" w:cs="Arial" w:eastAsia="Arial" w:hAnsi="Arial"/>
          <w:sz w:val="14"/>
          <w:szCs w:val="14"/>
          <w:color w:val="auto"/>
        </w:rPr>
      </w:pPr>
      <w:r>
        <w:rPr>
          <w:rFonts w:ascii="Arial" w:cs="Arial" w:eastAsia="Arial" w:hAnsi="Arial"/>
          <w:sz w:val="15"/>
          <w:szCs w:val="15"/>
          <w:color w:val="auto"/>
        </w:rPr>
        <w:t>(1)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01" w:lineRule="exact"/>
        <w:rPr>
          <w:rFonts w:ascii="Arial" w:cs="Arial" w:eastAsia="Arial" w:hAnsi="Arial"/>
          <w:sz w:val="14"/>
          <w:szCs w:val="14"/>
          <w:color w:val="auto"/>
        </w:rPr>
      </w:pPr>
    </w:p>
    <w:p>
      <w:pPr>
        <w:ind w:left="1740" w:right="1219" w:hanging="298"/>
        <w:spacing w:after="0" w:line="250" w:lineRule="auto"/>
        <w:tabs>
          <w:tab w:leader="none" w:pos="1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00" w:lineRule="exact"/>
        <w:rPr>
          <w:rFonts w:ascii="Arial" w:cs="Arial" w:eastAsia="Arial" w:hAnsi="Arial"/>
          <w:sz w:val="15"/>
          <w:szCs w:val="15"/>
          <w:color w:val="auto"/>
        </w:rPr>
      </w:pPr>
    </w:p>
    <w:p>
      <w:pPr>
        <w:ind w:left="1740" w:hanging="298"/>
        <w:spacing w:after="0"/>
        <w:tabs>
          <w:tab w:leader="none" w:pos="1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adoption of a plan relating to the Company’s liquidation or dissolution.</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79"/>
        <w:spacing w:after="0" w:line="274" w:lineRule="auto"/>
        <w:rPr>
          <w:sz w:val="20"/>
          <w:szCs w:val="20"/>
          <w:color w:val="auto"/>
        </w:rPr>
      </w:pPr>
      <w:r>
        <w:rPr>
          <w:rFonts w:ascii="Arial" w:cs="Arial" w:eastAsia="Arial" w:hAnsi="Arial"/>
          <w:sz w:val="15"/>
          <w:szCs w:val="15"/>
          <w:color w:val="auto"/>
        </w:rPr>
        <w:t>“Change of Control Triggering Event” means the occurrence of both a Change of Control and a Below Investment Grade Rating Event.</w:t>
      </w:r>
    </w:p>
    <w:p>
      <w:pPr>
        <w:spacing w:after="0" w:line="70" w:lineRule="exact"/>
        <w:rPr>
          <w:sz w:val="20"/>
          <w:szCs w:val="20"/>
          <w:color w:val="auto"/>
        </w:rPr>
      </w:pPr>
    </w:p>
    <w:p>
      <w:pPr>
        <w:ind w:left="1140" w:right="1179"/>
        <w:spacing w:after="0" w:line="255" w:lineRule="auto"/>
        <w:rPr>
          <w:sz w:val="20"/>
          <w:szCs w:val="20"/>
          <w:color w:val="auto"/>
        </w:rPr>
      </w:pPr>
      <w:r>
        <w:rPr>
          <w:rFonts w:ascii="Arial" w:cs="Arial" w:eastAsia="Arial" w:hAnsi="Arial"/>
          <w:sz w:val="14"/>
          <w:szCs w:val="14"/>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89" w:lineRule="exact"/>
        <w:rPr>
          <w:sz w:val="20"/>
          <w:szCs w:val="20"/>
          <w:color w:val="auto"/>
        </w:rPr>
      </w:pPr>
    </w:p>
    <w:p>
      <w:pPr>
        <w:jc w:val="both"/>
        <w:ind w:left="1140" w:right="1499"/>
        <w:spacing w:after="0" w:line="252" w:lineRule="auto"/>
        <w:rPr>
          <w:sz w:val="20"/>
          <w:szCs w:val="20"/>
          <w:color w:val="auto"/>
        </w:rPr>
      </w:pPr>
      <w:r>
        <w:rPr>
          <w:rFonts w:ascii="Arial" w:cs="Arial" w:eastAsia="Arial" w:hAnsi="Arial"/>
          <w:sz w:val="15"/>
          <w:szCs w:val="15"/>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86" w:lineRule="exact"/>
        <w:rPr>
          <w:sz w:val="20"/>
          <w:szCs w:val="20"/>
          <w:color w:val="auto"/>
        </w:rPr>
      </w:pPr>
    </w:p>
    <w:p>
      <w:pPr>
        <w:ind w:left="1140" w:right="1379"/>
        <w:spacing w:after="0" w:line="294" w:lineRule="auto"/>
        <w:rPr>
          <w:sz w:val="20"/>
          <w:szCs w:val="20"/>
          <w:color w:val="auto"/>
        </w:rPr>
      </w:pPr>
      <w:r>
        <w:rPr>
          <w:rFonts w:ascii="Arial" w:cs="Arial" w:eastAsia="Arial" w:hAnsi="Arial"/>
          <w:sz w:val="14"/>
          <w:szCs w:val="14"/>
          <w:color w:val="auto"/>
        </w:rPr>
        <w:t>“Equity Interests” means all Capital Stock and all warrants or options with respect to, or other rights to purchase, Capital Stock, but excluding Indebtedness convertible into or exchangeable for equity.</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“Fitch” means Fitch Ratings Inc. and any successor to its rating agency business.</w:t>
      </w:r>
    </w:p>
    <w:p>
      <w:pPr>
        <w:spacing w:after="0" w:line="126" w:lineRule="exact"/>
        <w:rPr>
          <w:sz w:val="20"/>
          <w:szCs w:val="20"/>
          <w:color w:val="auto"/>
        </w:rPr>
      </w:pPr>
    </w:p>
    <w:p>
      <w:pPr>
        <w:ind w:left="1140" w:right="1299"/>
        <w:spacing w:after="0" w:line="244" w:lineRule="auto"/>
        <w:rPr>
          <w:sz w:val="20"/>
          <w:szCs w:val="20"/>
          <w:color w:val="auto"/>
        </w:rPr>
      </w:pPr>
      <w:r>
        <w:rPr>
          <w:rFonts w:ascii="Arial" w:cs="Arial" w:eastAsia="Arial" w:hAnsi="Arial"/>
          <w:sz w:val="15"/>
          <w:szCs w:val="15"/>
          <w:color w:val="auto"/>
        </w:rPr>
        <w:t>“Foreign Subsidiary” means, with respect to any Person, any Subsidiary of such Person other than one that is organized or existing under the laws of the United States, any state thereof or the District of Columbia.</w:t>
      </w:r>
    </w:p>
    <w:p>
      <w:pPr>
        <w:spacing w:after="0" w:line="92" w:lineRule="exact"/>
        <w:rPr>
          <w:sz w:val="20"/>
          <w:szCs w:val="20"/>
          <w:color w:val="auto"/>
        </w:rPr>
      </w:pPr>
    </w:p>
    <w:p>
      <w:pPr>
        <w:jc w:val="both"/>
        <w:ind w:left="1140" w:right="1239"/>
        <w:spacing w:after="0" w:line="245" w:lineRule="auto"/>
        <w:rPr>
          <w:sz w:val="20"/>
          <w:szCs w:val="20"/>
          <w:color w:val="auto"/>
        </w:rPr>
      </w:pPr>
      <w:r>
        <w:rPr>
          <w:rFonts w:ascii="Arial" w:cs="Arial" w:eastAsia="Arial" w:hAnsi="Arial"/>
          <w:sz w:val="15"/>
          <w:szCs w:val="15"/>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91" w:lineRule="exact"/>
        <w:rPr>
          <w:sz w:val="20"/>
          <w:szCs w:val="20"/>
          <w:color w:val="auto"/>
        </w:rPr>
      </w:pPr>
    </w:p>
    <w:p>
      <w:pPr>
        <w:ind w:left="1140" w:right="1159"/>
        <w:spacing w:after="0" w:line="250" w:lineRule="auto"/>
        <w:rPr>
          <w:sz w:val="20"/>
          <w:szCs w:val="20"/>
          <w:color w:val="auto"/>
        </w:rPr>
      </w:pPr>
      <w:r>
        <w:rPr>
          <w:rFonts w:ascii="Arial" w:cs="Arial" w:eastAsia="Arial" w:hAnsi="Arial"/>
          <w:sz w:val="15"/>
          <w:szCs w:val="15"/>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amount of any Indebtedness outstanding as of any date will be:</w:t>
      </w:r>
    </w:p>
    <w:p>
      <w:pPr>
        <w:spacing w:after="0" w:line="126" w:lineRule="exact"/>
        <w:rPr>
          <w:sz w:val="20"/>
          <w:szCs w:val="20"/>
          <w:color w:val="auto"/>
        </w:rPr>
      </w:pPr>
    </w:p>
    <w:p>
      <w:pPr>
        <w:ind w:left="1740" w:right="1299" w:hanging="298"/>
        <w:spacing w:after="0" w:line="274" w:lineRule="auto"/>
        <w:tabs>
          <w:tab w:leader="none" w:pos="1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accreted value of the Indebtedness, in the case of any Indebtedness that does not require the current payment of interest;</w:t>
      </w:r>
    </w:p>
    <w:p>
      <w:pPr>
        <w:spacing w:after="0" w:line="69" w:lineRule="exact"/>
        <w:rPr>
          <w:rFonts w:ascii="Arial" w:cs="Arial" w:eastAsia="Arial" w:hAnsi="Arial"/>
          <w:sz w:val="15"/>
          <w:szCs w:val="15"/>
          <w:color w:val="auto"/>
        </w:rPr>
      </w:pPr>
    </w:p>
    <w:p>
      <w:pPr>
        <w:ind w:left="1740" w:hanging="298"/>
        <w:spacing w:after="0"/>
        <w:tabs>
          <w:tab w:leader="none" w:pos="1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principal amount of the Indebtedness, in the case of any other Indebtedness; and</w:t>
      </w:r>
    </w:p>
    <w:p>
      <w:pPr>
        <w:spacing w:after="0" w:line="125" w:lineRule="exact"/>
        <w:rPr>
          <w:rFonts w:ascii="Arial" w:cs="Arial" w:eastAsia="Arial" w:hAnsi="Arial"/>
          <w:sz w:val="15"/>
          <w:szCs w:val="15"/>
          <w:color w:val="auto"/>
        </w:rPr>
      </w:pPr>
    </w:p>
    <w:p>
      <w:pPr>
        <w:ind w:left="1740" w:right="1299" w:hanging="298"/>
        <w:spacing w:after="0" w:line="255" w:lineRule="auto"/>
        <w:tabs>
          <w:tab w:leader="none" w:pos="1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95" w:lineRule="exact"/>
        <w:rPr>
          <w:sz w:val="20"/>
          <w:szCs w:val="20"/>
          <w:color w:val="auto"/>
        </w:rPr>
      </w:pPr>
    </w:p>
    <w:p>
      <w:pPr>
        <w:ind w:left="1140" w:right="1199"/>
        <w:spacing w:after="0" w:line="274" w:lineRule="auto"/>
        <w:rPr>
          <w:sz w:val="20"/>
          <w:szCs w:val="20"/>
          <w:color w:val="auto"/>
        </w:rPr>
      </w:pPr>
      <w:r>
        <w:rPr>
          <w:rFonts w:ascii="Arial" w:cs="Arial" w:eastAsia="Arial" w:hAnsi="Arial"/>
          <w:sz w:val="15"/>
          <w:szCs w:val="15"/>
          <w:color w:val="auto"/>
        </w:rPr>
        <w:t>In addition, accrual of interest and accretion or amortization of original issue discount will not be deemed to be an incurrence of Indebtedness for any purpose under the Indenture.</w:t>
      </w:r>
    </w:p>
    <w:p>
      <w:pPr>
        <w:spacing w:after="0" w:line="70" w:lineRule="exact"/>
        <w:rPr>
          <w:sz w:val="20"/>
          <w:szCs w:val="20"/>
          <w:color w:val="auto"/>
        </w:rPr>
      </w:pPr>
    </w:p>
    <w:p>
      <w:pPr>
        <w:ind w:left="1140" w:right="1479"/>
        <w:spacing w:after="0" w:line="287" w:lineRule="auto"/>
        <w:rPr>
          <w:sz w:val="20"/>
          <w:szCs w:val="20"/>
          <w:color w:val="auto"/>
        </w:rPr>
      </w:pPr>
      <w:r>
        <w:rPr>
          <w:rFonts w:ascii="Arial" w:cs="Arial" w:eastAsia="Arial" w:hAnsi="Arial"/>
          <w:sz w:val="14"/>
          <w:szCs w:val="14"/>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79"/>
        <w:spacing w:after="0" w:line="274" w:lineRule="auto"/>
        <w:rPr>
          <w:sz w:val="20"/>
          <w:szCs w:val="20"/>
          <w:color w:val="auto"/>
        </w:rPr>
      </w:pPr>
      <w:r>
        <w:rPr>
          <w:rFonts w:ascii="Arial" w:cs="Arial" w:eastAsia="Arial" w:hAnsi="Arial"/>
          <w:sz w:val="15"/>
          <w:szCs w:val="15"/>
          <w:color w:val="auto"/>
        </w:rPr>
        <w:t>rating categories of S&amp;P) or the equivalent investment grade credit rating from any additional Rating Agency or Rating Agencies selected by us.</w:t>
      </w:r>
    </w:p>
    <w:p>
      <w:pPr>
        <w:spacing w:after="0" w:line="70" w:lineRule="exact"/>
        <w:rPr>
          <w:sz w:val="20"/>
          <w:szCs w:val="20"/>
          <w:color w:val="auto"/>
        </w:rPr>
      </w:pPr>
    </w:p>
    <w:p>
      <w:pPr>
        <w:ind w:left="1140" w:right="1319"/>
        <w:spacing w:after="0" w:line="259" w:lineRule="auto"/>
        <w:rPr>
          <w:sz w:val="20"/>
          <w:szCs w:val="20"/>
          <w:color w:val="auto"/>
        </w:rPr>
      </w:pPr>
      <w:r>
        <w:rPr>
          <w:rFonts w:ascii="Arial" w:cs="Arial" w:eastAsia="Arial" w:hAnsi="Arial"/>
          <w:sz w:val="15"/>
          <w:szCs w:val="15"/>
          <w:color w:val="auto"/>
        </w:rPr>
        <w:t>“Issue Date” means, with respect to a series of notes, the date of original issuance of the notes of such series under the Indenture.</w:t>
      </w:r>
    </w:p>
    <w:p>
      <w:pPr>
        <w:spacing w:after="0" w:line="80" w:lineRule="exact"/>
        <w:rPr>
          <w:sz w:val="20"/>
          <w:szCs w:val="20"/>
          <w:color w:val="auto"/>
        </w:rPr>
      </w:pPr>
    </w:p>
    <w:p>
      <w:pPr>
        <w:ind w:left="1140" w:right="1159"/>
        <w:spacing w:after="0" w:line="252" w:lineRule="auto"/>
        <w:rPr>
          <w:sz w:val="20"/>
          <w:szCs w:val="20"/>
          <w:color w:val="auto"/>
        </w:rPr>
      </w:pPr>
      <w:r>
        <w:rPr>
          <w:rFonts w:ascii="Arial" w:cs="Arial" w:eastAsia="Arial" w:hAnsi="Arial"/>
          <w:sz w:val="15"/>
          <w:szCs w:val="15"/>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86" w:lineRule="exact"/>
        <w:rPr>
          <w:sz w:val="20"/>
          <w:szCs w:val="20"/>
          <w:color w:val="auto"/>
        </w:rPr>
      </w:pPr>
    </w:p>
    <w:p>
      <w:pPr>
        <w:ind w:left="1140" w:right="1359"/>
        <w:spacing w:after="0" w:line="294" w:lineRule="auto"/>
        <w:rPr>
          <w:sz w:val="20"/>
          <w:szCs w:val="20"/>
          <w:color w:val="auto"/>
        </w:rPr>
      </w:pPr>
      <w:r>
        <w:rPr>
          <w:rFonts w:ascii="Arial" w:cs="Arial" w:eastAsia="Arial" w:hAnsi="Arial"/>
          <w:sz w:val="14"/>
          <w:szCs w:val="14"/>
          <w:color w:val="auto"/>
        </w:rPr>
        <w:t>“Legal Holiday” means a Saturday, a Sunday or a day on which commercial banking institutions or the corporate trust office are not required to be open in the State of New York or the place of payment.</w:t>
      </w:r>
    </w:p>
    <w:p>
      <w:pPr>
        <w:spacing w:after="0" w:line="58" w:lineRule="exact"/>
        <w:rPr>
          <w:sz w:val="20"/>
          <w:szCs w:val="20"/>
          <w:color w:val="auto"/>
        </w:rPr>
      </w:pPr>
    </w:p>
    <w:p>
      <w:pPr>
        <w:ind w:left="1140" w:right="1339"/>
        <w:spacing w:after="0" w:line="279" w:lineRule="auto"/>
        <w:rPr>
          <w:sz w:val="20"/>
          <w:szCs w:val="20"/>
          <w:color w:val="auto"/>
        </w:rPr>
      </w:pPr>
      <w:r>
        <w:rPr>
          <w:rFonts w:ascii="Arial" w:cs="Arial" w:eastAsia="Arial" w:hAnsi="Arial"/>
          <w:sz w:val="14"/>
          <w:szCs w:val="14"/>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“Moody’s” means Moody’s Investors Service, Inc. and any successor to its rating agency business.</w:t>
      </w:r>
    </w:p>
    <w:p>
      <w:pPr>
        <w:spacing w:after="0" w:line="115" w:lineRule="exact"/>
        <w:rPr>
          <w:sz w:val="20"/>
          <w:szCs w:val="20"/>
          <w:color w:val="auto"/>
        </w:rPr>
      </w:pPr>
    </w:p>
    <w:p>
      <w:pPr>
        <w:ind w:left="1140" w:right="1219"/>
        <w:spacing w:after="0"/>
        <w:rPr>
          <w:sz w:val="20"/>
          <w:szCs w:val="20"/>
          <w:color w:val="auto"/>
        </w:rPr>
      </w:pPr>
      <w:r>
        <w:rPr>
          <w:rFonts w:ascii="Arial" w:cs="Arial" w:eastAsia="Arial" w:hAnsi="Arial"/>
          <w:sz w:val="15"/>
          <w:szCs w:val="15"/>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“Permitted Liens” means:</w:t>
      </w:r>
    </w:p>
    <w:p>
      <w:pPr>
        <w:spacing w:after="0" w:line="92" w:lineRule="exact"/>
        <w:rPr>
          <w:sz w:val="20"/>
          <w:szCs w:val="20"/>
          <w:color w:val="auto"/>
        </w:rPr>
      </w:pPr>
    </w:p>
    <w:p>
      <w:pPr>
        <w:ind w:left="1580" w:right="1159" w:hanging="138"/>
        <w:spacing w:after="0" w:line="274"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existing as of the Issue Date or arising thereafter pursuant to related agreements existing as of the Issue Date;</w:t>
      </w:r>
    </w:p>
    <w:p>
      <w:pPr>
        <w:spacing w:after="0" w:line="47" w:lineRule="exact"/>
        <w:rPr>
          <w:rFonts w:ascii="Arial" w:cs="Arial" w:eastAsia="Arial" w:hAnsi="Arial"/>
          <w:sz w:val="15"/>
          <w:szCs w:val="15"/>
          <w:color w:val="auto"/>
        </w:rPr>
      </w:pPr>
    </w:p>
    <w:p>
      <w:pPr>
        <w:ind w:left="1580" w:right="1659" w:hanging="138"/>
        <w:spacing w:after="0" w:line="274"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With respect to a series of notes, Liens granted after the Issue Date created in favor of the holders of such series of notes;</w:t>
      </w:r>
    </w:p>
    <w:p>
      <w:pPr>
        <w:spacing w:after="0" w:line="36" w:lineRule="exact"/>
        <w:rPr>
          <w:rFonts w:ascii="Arial" w:cs="Arial" w:eastAsia="Arial" w:hAnsi="Arial"/>
          <w:sz w:val="15"/>
          <w:szCs w:val="15"/>
          <w:color w:val="auto"/>
        </w:rPr>
      </w:pPr>
    </w:p>
    <w:p>
      <w:pPr>
        <w:ind w:left="1580" w:right="1239" w:hanging="138"/>
        <w:spacing w:after="0" w:line="248"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on Principal Property or Liens on the Capital Stock of any Person formed to acquire or hold such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by the time of or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72" w:lineRule="exact"/>
        <w:rPr>
          <w:rFonts w:ascii="Arial" w:cs="Arial" w:eastAsia="Arial" w:hAnsi="Arial"/>
          <w:sz w:val="15"/>
          <w:szCs w:val="15"/>
          <w:color w:val="auto"/>
        </w:rPr>
      </w:pPr>
    </w:p>
    <w:p>
      <w:pPr>
        <w:ind w:left="1580" w:right="1179" w:hanging="138"/>
        <w:spacing w:after="0" w:line="248"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72" w:lineRule="exact"/>
        <w:rPr>
          <w:rFonts w:ascii="Arial" w:cs="Arial" w:eastAsia="Arial" w:hAnsi="Arial"/>
          <w:sz w:val="15"/>
          <w:szCs w:val="15"/>
          <w:color w:val="auto"/>
        </w:rPr>
      </w:pPr>
    </w:p>
    <w:p>
      <w:pPr>
        <w:ind w:left="1580" w:right="1219" w:hanging="138"/>
        <w:spacing w:after="0" w:line="279" w:lineRule="auto"/>
        <w:tabs>
          <w:tab w:leader="none" w:pos="1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79"/>
        <w:spacing w:after="0" w:line="268" w:lineRule="auto"/>
        <w:rPr>
          <w:sz w:val="20"/>
          <w:szCs w:val="20"/>
          <w:color w:val="auto"/>
        </w:rPr>
      </w:pPr>
      <w:r>
        <w:rPr>
          <w:rFonts w:ascii="Arial" w:cs="Arial" w:eastAsia="Arial" w:hAnsi="Arial"/>
          <w:sz w:val="14"/>
          <w:szCs w:val="14"/>
          <w:color w:val="auto"/>
        </w:rPr>
        <w:t>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spacing w:after="0" w:line="1" w:lineRule="exact"/>
        <w:rPr>
          <w:sz w:val="20"/>
          <w:szCs w:val="20"/>
          <w:color w:val="auto"/>
        </w:rPr>
      </w:pPr>
    </w:p>
    <w:p>
      <w:pPr>
        <w:ind w:left="1580" w:right="1339"/>
        <w:spacing w:after="0" w:line="250" w:lineRule="auto"/>
        <w:rPr>
          <w:sz w:val="20"/>
          <w:szCs w:val="20"/>
          <w:color w:val="auto"/>
        </w:rPr>
      </w:pPr>
      <w:r>
        <w:rPr>
          <w:rFonts w:ascii="Arial" w:cs="Arial" w:eastAsia="Arial" w:hAnsi="Arial"/>
          <w:sz w:val="15"/>
          <w:szCs w:val="15"/>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65" w:lineRule="exact"/>
        <w:rPr>
          <w:sz w:val="20"/>
          <w:szCs w:val="20"/>
          <w:color w:val="auto"/>
        </w:rPr>
      </w:pPr>
    </w:p>
    <w:p>
      <w:pPr>
        <w:ind w:left="1580" w:right="1259" w:hanging="138"/>
        <w:spacing w:after="0" w:line="255"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72" w:lineRule="exact"/>
        <w:rPr>
          <w:rFonts w:ascii="Arial" w:cs="Arial" w:eastAsia="Arial" w:hAnsi="Arial"/>
          <w:sz w:val="15"/>
          <w:szCs w:val="15"/>
          <w:color w:val="auto"/>
        </w:rPr>
      </w:pPr>
    </w:p>
    <w:p>
      <w:pPr>
        <w:ind w:left="1580" w:hanging="138"/>
        <w:spacing w:after="0"/>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Liens in favor of the Company or a Restricted Subsidiary of the Company;</w:t>
      </w:r>
    </w:p>
    <w:p>
      <w:pPr>
        <w:spacing w:after="0" w:line="92" w:lineRule="exact"/>
        <w:rPr>
          <w:rFonts w:ascii="Arial" w:cs="Arial" w:eastAsia="Arial" w:hAnsi="Arial"/>
          <w:sz w:val="15"/>
          <w:szCs w:val="15"/>
          <w:color w:val="auto"/>
        </w:rPr>
      </w:pPr>
    </w:p>
    <w:p>
      <w:pPr>
        <w:ind w:left="1580" w:right="1199" w:hanging="138"/>
        <w:spacing w:after="0" w:line="255"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61" w:lineRule="exact"/>
        <w:rPr>
          <w:rFonts w:ascii="Arial" w:cs="Arial" w:eastAsia="Arial" w:hAnsi="Arial"/>
          <w:sz w:val="15"/>
          <w:szCs w:val="15"/>
          <w:color w:val="auto"/>
        </w:rPr>
      </w:pPr>
    </w:p>
    <w:p>
      <w:pPr>
        <w:ind w:left="1580" w:right="1219" w:hanging="138"/>
        <w:spacing w:after="0" w:line="260"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Liens for taxes, assessments or other governmental charges not yet overdue for a period of more than 30 days or subject to penalties for non-payment or which are being contested in good faith by appropriate proceedings;</w:t>
      </w:r>
    </w:p>
    <w:p>
      <w:pPr>
        <w:spacing w:after="0" w:line="57" w:lineRule="exact"/>
        <w:rPr>
          <w:rFonts w:ascii="Arial" w:cs="Arial" w:eastAsia="Arial" w:hAnsi="Arial"/>
          <w:sz w:val="15"/>
          <w:szCs w:val="15"/>
          <w:color w:val="auto"/>
        </w:rPr>
      </w:pPr>
    </w:p>
    <w:p>
      <w:pPr>
        <w:ind w:left="1580" w:right="1199" w:hanging="138"/>
        <w:spacing w:after="0" w:line="270" w:lineRule="auto"/>
        <w:tabs>
          <w:tab w:leader="none" w:pos="1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52" w:lineRule="exact"/>
        <w:rPr>
          <w:rFonts w:ascii="Arial" w:cs="Arial" w:eastAsia="Arial" w:hAnsi="Arial"/>
          <w:sz w:val="14"/>
          <w:szCs w:val="14"/>
          <w:color w:val="auto"/>
        </w:rPr>
      </w:pPr>
    </w:p>
    <w:p>
      <w:pPr>
        <w:ind w:left="1580" w:right="1179" w:hanging="138"/>
        <w:spacing w:after="0" w:line="251"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65" w:lineRule="exact"/>
        <w:rPr>
          <w:rFonts w:ascii="Arial" w:cs="Arial" w:eastAsia="Arial" w:hAnsi="Arial"/>
          <w:sz w:val="15"/>
          <w:szCs w:val="15"/>
          <w:color w:val="auto"/>
        </w:rPr>
      </w:pPr>
    </w:p>
    <w:p>
      <w:pPr>
        <w:ind w:left="1580" w:right="1199" w:hanging="138"/>
        <w:spacing w:after="0" w:line="287" w:lineRule="auto"/>
        <w:tabs>
          <w:tab w:leader="none" w:pos="1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40" w:lineRule="exact"/>
        <w:rPr>
          <w:rFonts w:ascii="Arial" w:cs="Arial" w:eastAsia="Arial" w:hAnsi="Arial"/>
          <w:sz w:val="14"/>
          <w:szCs w:val="14"/>
          <w:color w:val="auto"/>
        </w:rPr>
      </w:pPr>
    </w:p>
    <w:p>
      <w:pPr>
        <w:ind w:left="1580" w:right="1299" w:hanging="138"/>
        <w:spacing w:after="0" w:line="274"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Liens created in connection with the acquisition of assets or a project financed with, and created to secure a Nonrecourse Obligation; and</w:t>
      </w:r>
    </w:p>
    <w:p>
      <w:pPr>
        <w:spacing w:after="0" w:line="47" w:lineRule="exact"/>
        <w:rPr>
          <w:rFonts w:ascii="Arial" w:cs="Arial" w:eastAsia="Arial" w:hAnsi="Arial"/>
          <w:sz w:val="15"/>
          <w:szCs w:val="15"/>
          <w:color w:val="auto"/>
        </w:rPr>
      </w:pPr>
    </w:p>
    <w:p>
      <w:pPr>
        <w:ind w:left="1580" w:right="1259" w:hanging="138"/>
        <w:spacing w:after="0" w:line="248"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05" w:lineRule="exact"/>
        <w:rPr>
          <w:sz w:val="20"/>
          <w:szCs w:val="20"/>
          <w:color w:val="auto"/>
        </w:rPr>
      </w:pPr>
    </w:p>
    <w:p>
      <w:pPr>
        <w:ind w:left="1140" w:right="1399"/>
        <w:spacing w:after="0" w:line="274" w:lineRule="auto"/>
        <w:rPr>
          <w:sz w:val="20"/>
          <w:szCs w:val="20"/>
          <w:color w:val="auto"/>
        </w:rPr>
      </w:pPr>
      <w:r>
        <w:rPr>
          <w:rFonts w:ascii="Arial" w:cs="Arial" w:eastAsia="Arial" w:hAnsi="Arial"/>
          <w:sz w:val="15"/>
          <w:szCs w:val="15"/>
          <w:color w:val="auto"/>
        </w:rPr>
        <w:t>For the avoidance of doubt, the inclusion of specific Liens in the definition of Permitted Liens shall not create any implication that the obligations secured by such Liens constitute Indebtedness.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619"/>
        <w:spacing w:after="0" w:line="252" w:lineRule="auto"/>
        <w:rPr>
          <w:sz w:val="20"/>
          <w:szCs w:val="20"/>
          <w:color w:val="auto"/>
        </w:rPr>
      </w:pPr>
      <w:r>
        <w:rPr>
          <w:rFonts w:ascii="Arial" w:cs="Arial" w:eastAsia="Arial" w:hAnsi="Arial"/>
          <w:sz w:val="15"/>
          <w:szCs w:val="15"/>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86" w:lineRule="exact"/>
        <w:rPr>
          <w:sz w:val="20"/>
          <w:szCs w:val="20"/>
          <w:color w:val="auto"/>
        </w:rPr>
      </w:pPr>
    </w:p>
    <w:p>
      <w:pPr>
        <w:ind w:left="1140" w:right="1339"/>
        <w:spacing w:after="0" w:line="256" w:lineRule="auto"/>
        <w:rPr>
          <w:sz w:val="20"/>
          <w:szCs w:val="20"/>
          <w:color w:val="auto"/>
        </w:rPr>
      </w:pPr>
      <w:r>
        <w:rPr>
          <w:rFonts w:ascii="Arial" w:cs="Arial" w:eastAsia="Arial" w:hAnsi="Arial"/>
          <w:sz w:val="14"/>
          <w:szCs w:val="14"/>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1" w:lineRule="exact"/>
        <w:rPr>
          <w:sz w:val="20"/>
          <w:szCs w:val="20"/>
          <w:color w:val="auto"/>
        </w:rPr>
      </w:pPr>
    </w:p>
    <w:p>
      <w:pPr>
        <w:ind w:left="1140" w:right="1159" w:firstLine="8"/>
        <w:spacing w:after="0" w:line="238" w:lineRule="auto"/>
        <w:tabs>
          <w:tab w:leader="none" w:pos="1356" w:val="left"/>
        </w:tabs>
        <w:numPr>
          <w:ilvl w:val="0"/>
          <w:numId w:val="21"/>
        </w:numPr>
        <w:rPr>
          <w:rFonts w:ascii="Arial" w:cs="Arial" w:eastAsia="Arial" w:hAnsi="Arial"/>
          <w:sz w:val="15"/>
          <w:szCs w:val="15"/>
          <w:color w:val="auto"/>
        </w:rPr>
      </w:pPr>
      <w:r>
        <w:rPr>
          <w:rFonts w:ascii="Arial" w:cs="Arial" w:eastAsia="Arial" w:hAnsi="Arial"/>
          <w:sz w:val="15"/>
          <w:szCs w:val="15"/>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97" w:lineRule="exact"/>
        <w:rPr>
          <w:sz w:val="20"/>
          <w:szCs w:val="20"/>
          <w:color w:val="auto"/>
        </w:rPr>
      </w:pPr>
    </w:p>
    <w:p>
      <w:pPr>
        <w:ind w:left="1140" w:right="1179"/>
        <w:spacing w:after="0" w:line="241" w:lineRule="auto"/>
        <w:rPr>
          <w:sz w:val="20"/>
          <w:szCs w:val="20"/>
          <w:color w:val="auto"/>
        </w:rPr>
      </w:pPr>
      <w:r>
        <w:rPr>
          <w:rFonts w:ascii="Arial" w:cs="Arial" w:eastAsia="Arial" w:hAnsi="Arial"/>
          <w:sz w:val="15"/>
          <w:szCs w:val="15"/>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94" w:lineRule="exact"/>
        <w:rPr>
          <w:sz w:val="20"/>
          <w:szCs w:val="20"/>
          <w:color w:val="auto"/>
        </w:rPr>
      </w:pPr>
    </w:p>
    <w:p>
      <w:pPr>
        <w:ind w:left="1140" w:right="1439"/>
        <w:spacing w:after="0" w:line="259" w:lineRule="auto"/>
        <w:rPr>
          <w:sz w:val="20"/>
          <w:szCs w:val="20"/>
          <w:color w:val="auto"/>
        </w:rPr>
      </w:pPr>
      <w:r>
        <w:rPr>
          <w:rFonts w:ascii="Arial" w:cs="Arial" w:eastAsia="Arial" w:hAnsi="Arial"/>
          <w:sz w:val="14"/>
          <w:szCs w:val="14"/>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spacing w:after="0" w:line="1" w:lineRule="exact"/>
        <w:rPr>
          <w:sz w:val="20"/>
          <w:szCs w:val="20"/>
          <w:color w:val="auto"/>
        </w:rPr>
      </w:pPr>
    </w:p>
    <w:p>
      <w:pPr>
        <w:ind w:left="1140" w:right="1199" w:firstLine="8"/>
        <w:spacing w:after="0" w:line="237" w:lineRule="auto"/>
        <w:tabs>
          <w:tab w:leader="none" w:pos="1356"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“S&amp;P” means S&amp;P Global Ratings, and any successor to its rating agency business.</w:t>
      </w:r>
    </w:p>
    <w:p>
      <w:pPr>
        <w:spacing w:after="0" w:line="126"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94"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“Senior Officer” of any specified Person means the chief executive officer, any president, any vice president, the chief financial officer, the treasurer, any assistant treasurer, the secretary or any assistant secretary.</w:t>
      </w:r>
    </w:p>
    <w:p>
      <w:pPr>
        <w:spacing w:after="0" w:line="86"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91" w:lineRule="exact"/>
        <w:rPr>
          <w:sz w:val="20"/>
          <w:szCs w:val="20"/>
          <w:color w:val="auto"/>
        </w:rPr>
      </w:pPr>
    </w:p>
    <w:p>
      <w:pPr>
        <w:ind w:left="1140" w:right="1379"/>
        <w:spacing w:after="0" w:line="259" w:lineRule="auto"/>
        <w:rPr>
          <w:sz w:val="20"/>
          <w:szCs w:val="20"/>
          <w:color w:val="auto"/>
        </w:rPr>
      </w:pPr>
      <w:r>
        <w:rPr>
          <w:rFonts w:ascii="Arial" w:cs="Arial" w:eastAsia="Arial" w:hAnsi="Arial"/>
          <w:sz w:val="15"/>
          <w:szCs w:val="15"/>
          <w:color w:val="auto"/>
        </w:rPr>
        <w:t>“Treasury Rate” means, with respect to any redemption date, the yield determined by the Company in the manner set forth below:</w:t>
      </w:r>
    </w:p>
    <w:p>
      <w:pPr>
        <w:spacing w:after="0" w:line="80" w:lineRule="exact"/>
        <w:rPr>
          <w:sz w:val="20"/>
          <w:szCs w:val="20"/>
          <w:color w:val="auto"/>
        </w:rPr>
      </w:pPr>
    </w:p>
    <w:p>
      <w:pPr>
        <w:ind w:left="1140" w:right="1199"/>
        <w:spacing w:after="0" w:line="263" w:lineRule="auto"/>
        <w:rPr>
          <w:sz w:val="20"/>
          <w:szCs w:val="20"/>
          <w:color w:val="auto"/>
        </w:rPr>
      </w:pPr>
      <w:r>
        <w:rPr>
          <w:rFonts w:ascii="Arial" w:cs="Arial" w:eastAsia="Arial" w:hAnsi="Arial"/>
          <w:sz w:val="14"/>
          <w:szCs w:val="14"/>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38" w:lineRule="auto"/>
        <w:rPr>
          <w:sz w:val="20"/>
          <w:szCs w:val="20"/>
          <w:color w:val="auto"/>
        </w:rPr>
      </w:pPr>
      <w:r>
        <w:rPr>
          <w:rFonts w:ascii="Arial" w:cs="Arial" w:eastAsia="Arial" w:hAnsi="Arial"/>
          <w:sz w:val="15"/>
          <w:szCs w:val="15"/>
          <w:color w:val="auto"/>
        </w:rPr>
        <w:t>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00" w:lineRule="exact"/>
        <w:rPr>
          <w:sz w:val="20"/>
          <w:szCs w:val="20"/>
          <w:color w:val="auto"/>
        </w:rPr>
      </w:pPr>
    </w:p>
    <w:p>
      <w:pPr>
        <w:ind w:left="1140" w:right="1159"/>
        <w:spacing w:after="0" w:line="254" w:lineRule="auto"/>
        <w:rPr>
          <w:sz w:val="20"/>
          <w:szCs w:val="20"/>
          <w:color w:val="auto"/>
        </w:rPr>
      </w:pPr>
      <w:r>
        <w:rPr>
          <w:rFonts w:ascii="Arial" w:cs="Arial" w:eastAsia="Arial" w:hAnsi="Arial"/>
          <w:sz w:val="14"/>
          <w:szCs w:val="14"/>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61"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Events of Default</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Each of the following will be an event of default under the Indenture for each series of notes:</w:t>
      </w:r>
    </w:p>
    <w:p>
      <w:pPr>
        <w:spacing w:after="0" w:line="92" w:lineRule="exact"/>
        <w:rPr>
          <w:sz w:val="20"/>
          <w:szCs w:val="20"/>
          <w:color w:val="auto"/>
        </w:rPr>
      </w:pPr>
    </w:p>
    <w:p>
      <w:pPr>
        <w:ind w:left="1580" w:right="1539" w:hanging="138"/>
        <w:spacing w:after="0" w:line="274"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default in the payment of any interest upon any note of that series when it becomes due and payable, and continuance of that default for a period of 30 days;</w:t>
      </w:r>
    </w:p>
    <w:p>
      <w:pPr>
        <w:spacing w:after="0" w:line="36" w:lineRule="exact"/>
        <w:rPr>
          <w:rFonts w:ascii="Arial" w:cs="Arial" w:eastAsia="Arial" w:hAnsi="Arial"/>
          <w:sz w:val="15"/>
          <w:szCs w:val="15"/>
          <w:color w:val="auto"/>
        </w:rPr>
      </w:pPr>
    </w:p>
    <w:p>
      <w:pPr>
        <w:ind w:left="1580" w:right="1719" w:hanging="138"/>
        <w:spacing w:after="0" w:line="274"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default in the payment of principal of or premium on any note of that series when due and payable;</w:t>
      </w:r>
    </w:p>
    <w:p>
      <w:pPr>
        <w:spacing w:after="0" w:line="36" w:lineRule="exact"/>
        <w:rPr>
          <w:rFonts w:ascii="Arial" w:cs="Arial" w:eastAsia="Arial" w:hAnsi="Arial"/>
          <w:sz w:val="15"/>
          <w:szCs w:val="15"/>
          <w:color w:val="auto"/>
        </w:rPr>
      </w:pPr>
    </w:p>
    <w:p>
      <w:pPr>
        <w:ind w:left="1580" w:right="1199" w:hanging="138"/>
        <w:spacing w:after="0" w:line="260"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failure by the Company to comply with the requirement to make an Offer to Purchase with respect to notes of that series in connection with a Change of Control Triggering Event for 30 calendar days;</w:t>
      </w:r>
    </w:p>
    <w:p>
      <w:pPr>
        <w:spacing w:after="0" w:line="46" w:lineRule="exact"/>
        <w:rPr>
          <w:rFonts w:ascii="Arial" w:cs="Arial" w:eastAsia="Arial" w:hAnsi="Arial"/>
          <w:sz w:val="15"/>
          <w:szCs w:val="15"/>
          <w:color w:val="auto"/>
        </w:rPr>
      </w:pPr>
    </w:p>
    <w:p>
      <w:pPr>
        <w:ind w:left="1580" w:right="1379" w:hanging="138"/>
        <w:spacing w:after="0" w:line="252"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54" w:lineRule="exact"/>
        <w:rPr>
          <w:rFonts w:ascii="Arial" w:cs="Arial" w:eastAsia="Arial" w:hAnsi="Arial"/>
          <w:sz w:val="15"/>
          <w:szCs w:val="15"/>
          <w:color w:val="auto"/>
        </w:rPr>
      </w:pPr>
    </w:p>
    <w:p>
      <w:pPr>
        <w:ind w:left="1580" w:right="1699" w:hanging="138"/>
        <w:spacing w:after="0" w:line="274"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certain voluntary and involuntary events of bankruptcy, insolvency or reorganization of the Company.</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45" w:lineRule="auto"/>
        <w:rPr>
          <w:sz w:val="20"/>
          <w:szCs w:val="20"/>
          <w:color w:val="auto"/>
        </w:rPr>
      </w:pPr>
      <w:r>
        <w:rPr>
          <w:rFonts w:ascii="Arial" w:cs="Arial" w:eastAsia="Arial" w:hAnsi="Arial"/>
          <w:sz w:val="15"/>
          <w:szCs w:val="15"/>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91" w:lineRule="exact"/>
        <w:rPr>
          <w:sz w:val="20"/>
          <w:szCs w:val="20"/>
          <w:color w:val="auto"/>
        </w:rPr>
      </w:pPr>
    </w:p>
    <w:p>
      <w:pPr>
        <w:ind w:left="1140" w:right="1219"/>
        <w:spacing w:after="0" w:line="237" w:lineRule="auto"/>
        <w:rPr>
          <w:sz w:val="20"/>
          <w:szCs w:val="20"/>
          <w:color w:val="auto"/>
        </w:rPr>
      </w:pPr>
      <w:r>
        <w:rPr>
          <w:rFonts w:ascii="Arial" w:cs="Arial" w:eastAsia="Arial" w:hAnsi="Arial"/>
          <w:sz w:val="15"/>
          <w:szCs w:val="15"/>
          <w:color w:val="auto"/>
        </w:rPr>
        <w:t>If an event of default with respect to the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the outstanding notes of such series. At any time after a declaration of acceleration with respect to the notes of such series has been made, but before a judgment or decree for payment of the money due has been obtained by the Trustee, the holders of a majority in principal amount of the outstanding notes of such series may rescind and annul the acceleration if all events of default, other than the nonpayment of the principal and interest with respect to the notes of such series which have become due solely by such declaration of acceleration, have been cured or waived as provided in the Indenture and the Trustee’s fees and expenses have been paid in full.</w:t>
      </w:r>
    </w:p>
    <w:p>
      <w:pPr>
        <w:spacing w:after="0" w:line="95" w:lineRule="exact"/>
        <w:rPr>
          <w:sz w:val="20"/>
          <w:szCs w:val="20"/>
          <w:color w:val="auto"/>
        </w:rPr>
      </w:pPr>
    </w:p>
    <w:p>
      <w:pPr>
        <w:ind w:left="1140" w:right="1199"/>
        <w:spacing w:after="0" w:line="242" w:lineRule="auto"/>
        <w:rPr>
          <w:sz w:val="20"/>
          <w:szCs w:val="20"/>
          <w:color w:val="auto"/>
        </w:rPr>
      </w:pPr>
      <w:r>
        <w:rPr>
          <w:rFonts w:ascii="Arial" w:cs="Arial" w:eastAsia="Arial" w:hAnsi="Arial"/>
          <w:sz w:val="15"/>
          <w:szCs w:val="15"/>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94" w:lineRule="exact"/>
        <w:rPr>
          <w:sz w:val="20"/>
          <w:szCs w:val="20"/>
          <w:color w:val="auto"/>
        </w:rPr>
      </w:pPr>
    </w:p>
    <w:p>
      <w:pPr>
        <w:jc w:val="both"/>
        <w:ind w:left="1140" w:right="1239"/>
        <w:spacing w:after="0" w:line="244" w:lineRule="auto"/>
        <w:rPr>
          <w:sz w:val="20"/>
          <w:szCs w:val="20"/>
          <w:color w:val="auto"/>
        </w:rPr>
      </w:pPr>
      <w:r>
        <w:rPr>
          <w:rFonts w:ascii="Arial" w:cs="Arial" w:eastAsia="Arial" w:hAnsi="Arial"/>
          <w:sz w:val="15"/>
          <w:szCs w:val="15"/>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92" w:lineRule="exact"/>
        <w:rPr>
          <w:sz w:val="20"/>
          <w:szCs w:val="20"/>
          <w:color w:val="auto"/>
        </w:rPr>
      </w:pPr>
    </w:p>
    <w:p>
      <w:pPr>
        <w:ind w:left="1740" w:right="1419" w:hanging="298"/>
        <w:spacing w:after="0" w:line="274" w:lineRule="auto"/>
        <w:tabs>
          <w:tab w:leader="none" w:pos="17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that holder has previously given to the Trustee written notice of a continuing event of default with respect to the notes of that series; and</w:t>
      </w:r>
    </w:p>
    <w:p>
      <w:pPr>
        <w:spacing w:after="0" w:line="80" w:lineRule="exact"/>
        <w:rPr>
          <w:rFonts w:ascii="Arial" w:cs="Arial" w:eastAsia="Arial" w:hAnsi="Arial"/>
          <w:sz w:val="15"/>
          <w:szCs w:val="15"/>
          <w:color w:val="auto"/>
        </w:rPr>
      </w:pPr>
    </w:p>
    <w:p>
      <w:pPr>
        <w:ind w:left="1740" w:right="1259" w:hanging="298"/>
        <w:spacing w:after="0" w:line="275" w:lineRule="auto"/>
        <w:tabs>
          <w:tab w:leader="none" w:pos="17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82"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88" w:lineRule="exact"/>
        <w:rPr>
          <w:sz w:val="20"/>
          <w:szCs w:val="20"/>
          <w:color w:val="auto"/>
        </w:rPr>
      </w:pPr>
    </w:p>
    <w:p>
      <w:pPr>
        <w:ind w:left="1140" w:right="1259"/>
        <w:spacing w:after="0" w:line="248" w:lineRule="auto"/>
        <w:rPr>
          <w:sz w:val="20"/>
          <w:szCs w:val="20"/>
          <w:color w:val="auto"/>
        </w:rPr>
      </w:pPr>
      <w:r>
        <w:rPr>
          <w:rFonts w:ascii="Arial" w:cs="Arial" w:eastAsia="Arial" w:hAnsi="Arial"/>
          <w:sz w:val="15"/>
          <w:szCs w:val="15"/>
          <w:color w:val="auto"/>
        </w:rPr>
        <w:t>The Indenture requires us, within 120 days after the end of our fiscal year, to furnish to the Trustee a statement as to compliance with the Indenture. The Indenture provides that the Trustee may withhold notice to the holders of the notes of any series of any default or event of default (except in payment on any notes of that series) with respect to the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Modification and Waiver</w:t>
      </w:r>
    </w:p>
    <w:p>
      <w:pPr>
        <w:spacing w:after="0" w:line="133" w:lineRule="exact"/>
        <w:rPr>
          <w:sz w:val="20"/>
          <w:szCs w:val="20"/>
          <w:color w:val="auto"/>
        </w:rPr>
      </w:pPr>
    </w:p>
    <w:p>
      <w:pPr>
        <w:ind w:left="1140" w:right="1219"/>
        <w:spacing w:after="0" w:line="259" w:lineRule="auto"/>
        <w:rPr>
          <w:sz w:val="20"/>
          <w:szCs w:val="20"/>
          <w:color w:val="auto"/>
        </w:rPr>
      </w:pPr>
      <w:r>
        <w:rPr>
          <w:rFonts w:ascii="Arial" w:cs="Arial" w:eastAsia="Arial" w:hAnsi="Arial"/>
          <w:sz w:val="15"/>
          <w:szCs w:val="15"/>
          <w:color w:val="auto"/>
        </w:rPr>
        <w:t>The Company or the Trustee may amend or supplement the Indenture or the notes of any series without the consent of the holders of the outstanding notes of any series under the Indenture:</w:t>
      </w:r>
    </w:p>
    <w:p>
      <w:pPr>
        <w:spacing w:after="0" w:line="47" w:lineRule="exact"/>
        <w:rPr>
          <w:sz w:val="20"/>
          <w:szCs w:val="20"/>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cure any ambiguity, defect or inconsistency under the Indenture or the notes of such series;</w:t>
      </w:r>
    </w:p>
    <w:p>
      <w:pPr>
        <w:spacing w:after="0" w:line="92" w:lineRule="exact"/>
        <w:rPr>
          <w:rFonts w:ascii="Arial" w:cs="Arial" w:eastAsia="Arial" w:hAnsi="Arial"/>
          <w:sz w:val="15"/>
          <w:szCs w:val="15"/>
          <w:color w:val="auto"/>
        </w:rPr>
      </w:pPr>
    </w:p>
    <w:p>
      <w:pPr>
        <w:ind w:left="1580" w:right="1419" w:hanging="138"/>
        <w:spacing w:after="0" w:line="260"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evidence the succession of another corporation to the Company or successive successions and the assumption of the covenants, agreements and obligations of the Company by a successor;</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provide for uncertificated notes in addition to or in place of certificated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add guarantees with respect to the notes of any series or secure the notes of such series;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surrender any of the Company’s rights or powers under the Indenture;</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add covenants or events of default for the benefit of the holders of the notes of such series;</w:t>
      </w:r>
    </w:p>
    <w:p>
      <w:pPr>
        <w:spacing w:after="0" w:line="92" w:lineRule="exact"/>
        <w:rPr>
          <w:rFonts w:ascii="Arial" w:cs="Arial" w:eastAsia="Arial" w:hAnsi="Arial"/>
          <w:sz w:val="15"/>
          <w:szCs w:val="15"/>
          <w:color w:val="auto"/>
        </w:rPr>
      </w:pPr>
    </w:p>
    <w:p>
      <w:pPr>
        <w:ind w:left="1580" w:right="1379" w:hanging="138"/>
        <w:spacing w:after="0" w:line="274"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make any change that does not adversely affect the rights of any holder of the notes of such series;</w:t>
      </w:r>
    </w:p>
    <w:p>
      <w:pPr>
        <w:spacing w:after="0" w:line="47" w:lineRule="exact"/>
        <w:rPr>
          <w:rFonts w:ascii="Arial" w:cs="Arial" w:eastAsia="Arial" w:hAnsi="Arial"/>
          <w:sz w:val="15"/>
          <w:szCs w:val="15"/>
          <w:color w:val="auto"/>
        </w:rPr>
      </w:pPr>
    </w:p>
    <w:p>
      <w:pPr>
        <w:ind w:left="1580" w:right="1219" w:hanging="138"/>
        <w:spacing w:after="0" w:line="274"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provide for the issuance of and establish the form and terms and conditions of the notes of any series as permitted by the Indenture;</w:t>
      </w:r>
    </w:p>
    <w:p>
      <w:pPr>
        <w:spacing w:after="0" w:line="47" w:lineRule="exact"/>
        <w:rPr>
          <w:rFonts w:ascii="Arial" w:cs="Arial" w:eastAsia="Arial" w:hAnsi="Arial"/>
          <w:sz w:val="15"/>
          <w:szCs w:val="15"/>
          <w:color w:val="auto"/>
        </w:rPr>
      </w:pPr>
    </w:p>
    <w:p>
      <w:pPr>
        <w:ind w:left="1580" w:right="1279" w:hanging="138"/>
        <w:spacing w:after="0" w:line="255"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61" w:lineRule="exact"/>
        <w:rPr>
          <w:rFonts w:ascii="Arial" w:cs="Arial" w:eastAsia="Arial" w:hAnsi="Arial"/>
          <w:sz w:val="15"/>
          <w:szCs w:val="15"/>
          <w:color w:val="auto"/>
        </w:rPr>
      </w:pPr>
    </w:p>
    <w:p>
      <w:pPr>
        <w:ind w:left="1580" w:right="1179" w:hanging="138"/>
        <w:spacing w:after="0" w:line="255"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61" w:lineRule="exact"/>
        <w:rPr>
          <w:rFonts w:ascii="Arial" w:cs="Arial" w:eastAsia="Arial" w:hAnsi="Arial"/>
          <w:sz w:val="15"/>
          <w:szCs w:val="15"/>
          <w:color w:val="auto"/>
        </w:rPr>
      </w:pPr>
    </w:p>
    <w:p>
      <w:pPr>
        <w:ind w:left="1580" w:right="1799" w:hanging="138"/>
        <w:spacing w:after="0" w:line="274"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conform any provision of the Indenture, insofar as it relates to a series of notes, to the description of such series of notes in this “Description of the Notes.”</w:t>
      </w:r>
    </w:p>
    <w:p>
      <w:pPr>
        <w:spacing w:after="0" w:line="81" w:lineRule="exact"/>
        <w:rPr>
          <w:sz w:val="20"/>
          <w:szCs w:val="20"/>
          <w:color w:val="auto"/>
        </w:rPr>
      </w:pPr>
    </w:p>
    <w:p>
      <w:pPr>
        <w:ind w:left="1140" w:right="1299"/>
        <w:spacing w:after="0" w:line="252" w:lineRule="auto"/>
        <w:rPr>
          <w:sz w:val="20"/>
          <w:szCs w:val="20"/>
          <w:color w:val="auto"/>
        </w:rPr>
      </w:pPr>
      <w:r>
        <w:rPr>
          <w:rFonts w:ascii="Arial" w:cs="Arial" w:eastAsia="Arial" w:hAnsi="Arial"/>
          <w:sz w:val="15"/>
          <w:szCs w:val="15"/>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66" w:lineRule="exact"/>
        <w:rPr>
          <w:sz w:val="20"/>
          <w:szCs w:val="20"/>
          <w:color w:val="auto"/>
        </w:rPr>
      </w:pPr>
    </w:p>
    <w:p>
      <w:pPr>
        <w:ind w:left="1580" w:hanging="138"/>
        <w:spacing w:after="0"/>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reduces the rates of or extends the time for payment of interest on any such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reduces the principal amount of, or changes the stated maturity of, any such notes;</w:t>
      </w:r>
    </w:p>
    <w:p>
      <w:pPr>
        <w:spacing w:after="0" w:line="92" w:lineRule="exact"/>
        <w:rPr>
          <w:rFonts w:ascii="Arial" w:cs="Arial" w:eastAsia="Arial" w:hAnsi="Arial"/>
          <w:sz w:val="15"/>
          <w:szCs w:val="15"/>
          <w:color w:val="auto"/>
        </w:rPr>
      </w:pPr>
    </w:p>
    <w:p>
      <w:pPr>
        <w:ind w:left="1580" w:right="1279" w:hanging="138"/>
        <w:spacing w:after="0" w:line="260" w:lineRule="auto"/>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reduces the redemption price, including upon a Change of Control Triggering Event, of any such notes or amends or modifies in any manner adverse to the holders thereof the Company’s obligation to make such payments;</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the currency of payment of principal, premium, if any, or interest;</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reduces the quorum requirements under the Indenture;</w:t>
      </w:r>
    </w:p>
    <w:p>
      <w:pPr>
        <w:spacing w:after="0" w:line="92" w:lineRule="exact"/>
        <w:rPr>
          <w:rFonts w:ascii="Arial" w:cs="Arial" w:eastAsia="Arial" w:hAnsi="Arial"/>
          <w:sz w:val="15"/>
          <w:szCs w:val="15"/>
          <w:color w:val="auto"/>
        </w:rPr>
      </w:pPr>
    </w:p>
    <w:p>
      <w:pPr>
        <w:ind w:left="1580" w:right="1939" w:hanging="138"/>
        <w:spacing w:after="0" w:line="274" w:lineRule="auto"/>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reduces the principal amount of notes whose holders must consent to an amendment, supplement or waiver;</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adversely affects the ranking of such notes;</w:t>
      </w:r>
    </w:p>
    <w:p>
      <w:pPr>
        <w:spacing w:after="0" w:line="92" w:lineRule="exact"/>
        <w:rPr>
          <w:rFonts w:ascii="Arial" w:cs="Arial" w:eastAsia="Arial" w:hAnsi="Arial"/>
          <w:sz w:val="15"/>
          <w:szCs w:val="15"/>
          <w:color w:val="auto"/>
        </w:rPr>
      </w:pPr>
    </w:p>
    <w:p>
      <w:pPr>
        <w:ind w:left="1580" w:right="1299" w:hanging="138"/>
        <w:spacing w:after="0" w:line="255" w:lineRule="auto"/>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waives any default or event of default in the payment of principal, premium, if any, or interest (except a rescission of acceleration of the notes of any such series by the holders of at least a majority in principal amount of the outstanding notes of such series and a waiver of the payment default that resulted from such acceleration); or</w:t>
      </w:r>
    </w:p>
    <w:p>
      <w:pPr>
        <w:spacing w:after="0" w:line="61" w:lineRule="exact"/>
        <w:rPr>
          <w:rFonts w:ascii="Arial" w:cs="Arial" w:eastAsia="Arial" w:hAnsi="Arial"/>
          <w:sz w:val="15"/>
          <w:szCs w:val="15"/>
          <w:color w:val="auto"/>
        </w:rPr>
      </w:pPr>
    </w:p>
    <w:p>
      <w:pPr>
        <w:ind w:left="1580" w:hanging="138"/>
        <w:spacing w:after="0"/>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impairs the right to institute suit for the enforcement of any payment on such notes.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the notes of such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Defeasance of Notes and Certain Covenants in Certain Circumstances</w:t>
      </w:r>
    </w:p>
    <w:p>
      <w:pPr>
        <w:spacing w:after="0" w:line="133"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i w:val="1"/>
          <w:iCs w:val="1"/>
          <w:color w:val="auto"/>
        </w:rPr>
        <w:t>Legal Defeasance</w:t>
      </w:r>
      <w:r>
        <w:rPr>
          <w:rFonts w:ascii="Arial" w:cs="Arial" w:eastAsia="Arial" w:hAnsi="Arial"/>
          <w:sz w:val="15"/>
          <w:szCs w:val="15"/>
          <w:color w:val="auto"/>
        </w:rPr>
        <w:t>. The Indenture provides that the Company may be discharged from any and all</w:t>
      </w:r>
      <w:r>
        <w:rPr>
          <w:rFonts w:ascii="Arial" w:cs="Arial" w:eastAsia="Arial" w:hAnsi="Arial"/>
          <w:sz w:val="15"/>
          <w:szCs w:val="15"/>
          <w:i w:val="1"/>
          <w:iCs w:val="1"/>
          <w:color w:val="auto"/>
        </w:rPr>
        <w:t xml:space="preserve"> </w:t>
      </w:r>
      <w:r>
        <w:rPr>
          <w:rFonts w:ascii="Arial" w:cs="Arial" w:eastAsia="Arial" w:hAnsi="Arial"/>
          <w:sz w:val="15"/>
          <w:szCs w:val="15"/>
          <w:color w:val="auto"/>
        </w:rPr>
        <w:t>obligations in respect of the notes of any series (except 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94"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01" w:lineRule="exact"/>
        <w:rPr>
          <w:sz w:val="20"/>
          <w:szCs w:val="20"/>
          <w:color w:val="auto"/>
        </w:rPr>
      </w:pPr>
    </w:p>
    <w:p>
      <w:pPr>
        <w:ind w:left="1140" w:right="1799"/>
        <w:spacing w:after="0" w:line="274" w:lineRule="auto"/>
        <w:rPr>
          <w:sz w:val="20"/>
          <w:szCs w:val="20"/>
          <w:color w:val="auto"/>
        </w:rPr>
      </w:pPr>
      <w:r>
        <w:rPr>
          <w:rFonts w:ascii="Arial" w:cs="Arial" w:eastAsia="Arial" w:hAnsi="Arial"/>
          <w:sz w:val="15"/>
          <w:szCs w:val="15"/>
          <w:i w:val="1"/>
          <w:iCs w:val="1"/>
          <w:color w:val="auto"/>
        </w:rPr>
        <w:t>Defeasance of Certain Covenants</w:t>
      </w:r>
      <w:r>
        <w:rPr>
          <w:rFonts w:ascii="Arial" w:cs="Arial" w:eastAsia="Arial" w:hAnsi="Arial"/>
          <w:sz w:val="15"/>
          <w:szCs w:val="15"/>
          <w:color w:val="auto"/>
        </w:rPr>
        <w:t>. The Indenture provides that, upon compliance with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w:t>
      </w:r>
    </w:p>
    <w:p>
      <w:pPr>
        <w:spacing w:after="0" w:line="81" w:lineRule="exact"/>
        <w:rPr>
          <w:sz w:val="20"/>
          <w:szCs w:val="20"/>
          <w:color w:val="auto"/>
        </w:rPr>
      </w:pPr>
    </w:p>
    <w:p>
      <w:pPr>
        <w:ind w:left="1740" w:right="1199" w:hanging="298"/>
        <w:spacing w:after="0" w:line="287" w:lineRule="auto"/>
        <w:tabs>
          <w:tab w:leader="none" w:pos="1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may, with respect to a series of notes, omit to comply with the covenants described under the heading “— Certain Covenants” and “— Repurchase of Notes upon a Change of Control Triggering Event” and certain other covenants set forth in the Indenture; and</w:t>
      </w:r>
    </w:p>
    <w:p>
      <w:pPr>
        <w:spacing w:after="0" w:line="73" w:lineRule="exact"/>
        <w:rPr>
          <w:rFonts w:ascii="Arial" w:cs="Arial" w:eastAsia="Arial" w:hAnsi="Arial"/>
          <w:sz w:val="14"/>
          <w:szCs w:val="14"/>
          <w:color w:val="auto"/>
        </w:rPr>
      </w:pPr>
    </w:p>
    <w:p>
      <w:pPr>
        <w:ind w:left="1740" w:right="1259" w:hanging="298"/>
        <w:spacing w:after="0" w:line="274" w:lineRule="auto"/>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omission to comply with those covenants will not constitute a default or an event of default with respect to the notes of that series (“covenant defeasance”).</w:t>
      </w:r>
    </w:p>
    <w:p>
      <w:pPr>
        <w:spacing w:after="0" w:line="7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conditions include:</w:t>
      </w:r>
    </w:p>
    <w:p>
      <w:pPr>
        <w:spacing w:after="0" w:line="126" w:lineRule="exact"/>
        <w:rPr>
          <w:sz w:val="20"/>
          <w:szCs w:val="20"/>
          <w:color w:val="auto"/>
        </w:rPr>
      </w:pPr>
    </w:p>
    <w:p>
      <w:pPr>
        <w:ind w:left="1740" w:right="1259" w:hanging="298"/>
        <w:spacing w:after="0" w:line="251" w:lineRule="auto"/>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98" w:lineRule="exact"/>
        <w:rPr>
          <w:rFonts w:ascii="Arial" w:cs="Arial" w:eastAsia="Arial" w:hAnsi="Arial"/>
          <w:sz w:val="15"/>
          <w:szCs w:val="15"/>
          <w:color w:val="auto"/>
        </w:rPr>
      </w:pPr>
    </w:p>
    <w:p>
      <w:pPr>
        <w:ind w:left="1740" w:right="1159" w:hanging="298"/>
        <w:spacing w:after="0" w:line="275" w:lineRule="auto"/>
        <w:tabs>
          <w:tab w:leader="none" w:pos="1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319"/>
        <w:spacing w:after="0" w:line="270" w:lineRule="auto"/>
        <w:rPr>
          <w:sz w:val="20"/>
          <w:szCs w:val="20"/>
          <w:color w:val="auto"/>
        </w:rPr>
      </w:pPr>
      <w:r>
        <w:rPr>
          <w:rFonts w:ascii="Arial" w:cs="Arial" w:eastAsia="Arial" w:hAnsi="Arial"/>
          <w:sz w:val="14"/>
          <w:szCs w:val="14"/>
          <w:i w:val="1"/>
          <w:iCs w:val="1"/>
          <w:color w:val="auto"/>
        </w:rPr>
        <w:t>Covenant Defeasance and Events of Default</w:t>
      </w:r>
      <w:r>
        <w:rPr>
          <w:rFonts w:ascii="Arial" w:cs="Arial" w:eastAsia="Arial" w:hAnsi="Arial"/>
          <w:sz w:val="14"/>
          <w:szCs w:val="14"/>
          <w:color w:val="auto"/>
        </w:rPr>
        <w:t>. In the event the Company exercises its option to effect</w:t>
      </w:r>
      <w:r>
        <w:rPr>
          <w:rFonts w:ascii="Arial" w:cs="Arial" w:eastAsia="Arial" w:hAnsi="Arial"/>
          <w:sz w:val="14"/>
          <w:szCs w:val="14"/>
          <w:i w:val="1"/>
          <w:iCs w:val="1"/>
          <w:color w:val="auto"/>
        </w:rPr>
        <w:t xml:space="preserve"> </w:t>
      </w:r>
      <w:r>
        <w:rPr>
          <w:rFonts w:ascii="Arial" w:cs="Arial" w:eastAsia="Arial" w:hAnsi="Arial"/>
          <w:sz w:val="14"/>
          <w:szCs w:val="14"/>
          <w:color w:val="auto"/>
        </w:rPr>
        <w:t>covenant defeasance with respect to any series of notes and the notes of that series are declared due and payable because of the occurrence of any event of default, the amount of money and/or U.S.</w:t>
      </w:r>
    </w:p>
    <w:p>
      <w:pPr>
        <w:spacing w:after="0" w:line="1" w:lineRule="exact"/>
        <w:rPr>
          <w:sz w:val="20"/>
          <w:szCs w:val="20"/>
          <w:color w:val="auto"/>
        </w:rPr>
      </w:pPr>
    </w:p>
    <w:p>
      <w:pPr>
        <w:ind w:left="1140" w:right="1339"/>
        <w:spacing w:after="0" w:line="248" w:lineRule="auto"/>
        <w:rPr>
          <w:sz w:val="20"/>
          <w:szCs w:val="20"/>
          <w:color w:val="auto"/>
        </w:rPr>
      </w:pPr>
      <w:r>
        <w:rPr>
          <w:rFonts w:ascii="Arial" w:cs="Arial" w:eastAsia="Arial" w:hAnsi="Arial"/>
          <w:sz w:val="15"/>
          <w:szCs w:val="15"/>
          <w:color w:val="auto"/>
        </w:rPr>
        <w:t>Government 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01" w:lineRule="exact"/>
        <w:rPr>
          <w:sz w:val="20"/>
          <w:szCs w:val="20"/>
          <w:color w:val="auto"/>
        </w:rPr>
      </w:pPr>
    </w:p>
    <w:p>
      <w:pPr>
        <w:ind w:left="1140" w:right="1339"/>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Government Obligations</w:t>
      </w:r>
      <w:r>
        <w:rPr>
          <w:rFonts w:ascii="Arial" w:cs="Arial" w:eastAsia="Arial" w:hAnsi="Arial"/>
          <w:sz w:val="15"/>
          <w:szCs w:val="15"/>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Satisfaction and Discharge</w:t>
      </w:r>
    </w:p>
    <w:p>
      <w:pPr>
        <w:spacing w:after="0" w:line="122" w:lineRule="exact"/>
        <w:rPr>
          <w:sz w:val="20"/>
          <w:szCs w:val="20"/>
          <w:color w:val="auto"/>
        </w:rPr>
      </w:pPr>
    </w:p>
    <w:p>
      <w:pPr>
        <w:ind w:left="1140" w:right="1279"/>
        <w:spacing w:after="0" w:line="269" w:lineRule="auto"/>
        <w:rPr>
          <w:sz w:val="20"/>
          <w:szCs w:val="20"/>
          <w:color w:val="auto"/>
        </w:rPr>
      </w:pPr>
      <w:r>
        <w:rPr>
          <w:rFonts w:ascii="Arial" w:cs="Arial" w:eastAsia="Arial" w:hAnsi="Arial"/>
          <w:sz w:val="14"/>
          <w:szCs w:val="14"/>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87" w:lineRule="exact"/>
        <w:rPr>
          <w:sz w:val="20"/>
          <w:szCs w:val="20"/>
          <w:color w:val="auto"/>
        </w:rPr>
      </w:pPr>
    </w:p>
    <w:p>
      <w:pPr>
        <w:jc w:val="both"/>
        <w:ind w:left="1140" w:right="1239"/>
        <w:spacing w:after="0" w:line="279" w:lineRule="auto"/>
        <w:rPr>
          <w:sz w:val="20"/>
          <w:szCs w:val="20"/>
          <w:color w:val="auto"/>
        </w:rPr>
      </w:pPr>
      <w:r>
        <w:rPr>
          <w:rFonts w:ascii="Arial" w:cs="Arial" w:eastAsia="Arial" w:hAnsi="Arial"/>
          <w:sz w:val="14"/>
          <w:szCs w:val="14"/>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2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Book-Entry, Form, Denomination and Delivery of Notes</w:t>
      </w:r>
    </w:p>
    <w:p>
      <w:pPr>
        <w:spacing w:after="0" w:line="122" w:lineRule="exact"/>
        <w:rPr>
          <w:sz w:val="20"/>
          <w:szCs w:val="20"/>
          <w:color w:val="auto"/>
        </w:rPr>
      </w:pPr>
    </w:p>
    <w:p>
      <w:pPr>
        <w:jc w:val="both"/>
        <w:ind w:left="1140" w:right="1279"/>
        <w:spacing w:after="0" w:line="287" w:lineRule="auto"/>
        <w:rPr>
          <w:sz w:val="20"/>
          <w:szCs w:val="20"/>
          <w:color w:val="auto"/>
        </w:rPr>
      </w:pPr>
      <w:r>
        <w:rPr>
          <w:rFonts w:ascii="Arial" w:cs="Arial" w:eastAsia="Arial" w:hAnsi="Arial"/>
          <w:sz w:val="14"/>
          <w:szCs w:val="14"/>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74" w:lineRule="exact"/>
        <w:rPr>
          <w:sz w:val="20"/>
          <w:szCs w:val="20"/>
          <w:color w:val="auto"/>
        </w:rPr>
      </w:pPr>
    </w:p>
    <w:p>
      <w:pPr>
        <w:ind w:left="1140" w:right="1199"/>
        <w:spacing w:after="0" w:line="248" w:lineRule="auto"/>
        <w:rPr>
          <w:sz w:val="20"/>
          <w:szCs w:val="20"/>
          <w:color w:val="auto"/>
        </w:rPr>
      </w:pPr>
      <w:r>
        <w:rPr>
          <w:rFonts w:ascii="Arial" w:cs="Arial" w:eastAsia="Arial" w:hAnsi="Arial"/>
          <w:sz w:val="15"/>
          <w:szCs w:val="15"/>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a series of notes, to register the transfer or exchange of any note of such series on or after the regular record date and before the date of such redemption or purchase.</w:t>
      </w:r>
    </w:p>
    <w:p>
      <w:pPr>
        <w:spacing w:after="0" w:line="105" w:lineRule="exact"/>
        <w:rPr>
          <w:sz w:val="20"/>
          <w:szCs w:val="20"/>
          <w:color w:val="auto"/>
        </w:rPr>
      </w:pPr>
    </w:p>
    <w:p>
      <w:pPr>
        <w:ind w:left="1140" w:right="1559"/>
        <w:spacing w:after="0" w:line="260" w:lineRule="auto"/>
        <w:rPr>
          <w:sz w:val="20"/>
          <w:szCs w:val="20"/>
          <w:color w:val="auto"/>
        </w:rPr>
      </w:pPr>
      <w:r>
        <w:rPr>
          <w:rFonts w:ascii="Arial" w:cs="Arial" w:eastAsia="Arial" w:hAnsi="Arial"/>
          <w:sz w:val="15"/>
          <w:szCs w:val="15"/>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Depository Procedures</w:t>
      </w:r>
    </w:p>
    <w:p>
      <w:pPr>
        <w:spacing w:after="0" w:line="124"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99"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9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DTC has also advised the Company that, pursuant to procedures established by it:</w:t>
      </w:r>
    </w:p>
    <w:p>
      <w:pPr>
        <w:spacing w:after="0" w:line="92" w:lineRule="exact"/>
        <w:rPr>
          <w:sz w:val="20"/>
          <w:szCs w:val="20"/>
          <w:color w:val="auto"/>
        </w:rPr>
      </w:pPr>
    </w:p>
    <w:p>
      <w:pPr>
        <w:ind w:left="1580" w:right="1359" w:hanging="138"/>
        <w:spacing w:after="0" w:line="311" w:lineRule="auto"/>
        <w:tabs>
          <w:tab w:leader="none" w:pos="1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upon deposit of the global notes, DTC will credit the accounts of the Participants designated by the underwriters with portions of the principal amount of the global notes; and</w:t>
      </w:r>
    </w:p>
    <w:p>
      <w:pPr>
        <w:spacing w:after="0" w:line="35" w:lineRule="exact"/>
        <w:rPr>
          <w:rFonts w:ascii="Arial" w:cs="Arial" w:eastAsia="Arial" w:hAnsi="Arial"/>
          <w:sz w:val="14"/>
          <w:szCs w:val="14"/>
          <w:color w:val="auto"/>
        </w:rPr>
      </w:pPr>
    </w:p>
    <w:p>
      <w:pPr>
        <w:ind w:left="1580" w:right="1199" w:hanging="138"/>
        <w:spacing w:after="0" w:line="255" w:lineRule="auto"/>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84" w:lineRule="exact"/>
        <w:rPr>
          <w:sz w:val="20"/>
          <w:szCs w:val="20"/>
          <w:color w:val="auto"/>
        </w:rPr>
      </w:pPr>
    </w:p>
    <w:p>
      <w:pPr>
        <w:ind w:left="1140" w:right="1219"/>
        <w:spacing w:after="0" w:line="266" w:lineRule="auto"/>
        <w:rPr>
          <w:sz w:val="20"/>
          <w:szCs w:val="20"/>
          <w:color w:val="auto"/>
        </w:rPr>
      </w:pPr>
      <w:r>
        <w:rPr>
          <w:rFonts w:ascii="Arial" w:cs="Arial" w:eastAsia="Arial" w:hAnsi="Arial"/>
          <w:sz w:val="14"/>
          <w:szCs w:val="14"/>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93" w:lineRule="exact"/>
        <w:rPr>
          <w:sz w:val="20"/>
          <w:szCs w:val="20"/>
          <w:color w:val="auto"/>
        </w:rPr>
      </w:pPr>
    </w:p>
    <w:p>
      <w:pPr>
        <w:ind w:left="1140" w:right="1239"/>
        <w:spacing w:after="0" w:line="259"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3" w:lineRule="exact"/>
        <w:rPr>
          <w:sz w:val="20"/>
          <w:szCs w:val="20"/>
          <w:color w:val="auto"/>
        </w:rPr>
      </w:pPr>
    </w:p>
    <w:p>
      <w:pPr>
        <w:ind w:left="1140" w:right="1219"/>
        <w:spacing w:after="0" w:line="260" w:lineRule="auto"/>
        <w:rPr>
          <w:sz w:val="20"/>
          <w:szCs w:val="20"/>
          <w:color w:val="auto"/>
        </w:rPr>
      </w:pPr>
      <w:r>
        <w:rPr>
          <w:rFonts w:ascii="Arial" w:cs="Arial" w:eastAsia="Arial" w:hAnsi="Arial"/>
          <w:sz w:val="15"/>
          <w:szCs w:val="15"/>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64" w:lineRule="auto"/>
        <w:rPr>
          <w:sz w:val="20"/>
          <w:szCs w:val="20"/>
          <w:color w:val="auto"/>
        </w:rPr>
      </w:pPr>
      <w:r>
        <w:rPr>
          <w:rFonts w:ascii="Arial" w:cs="Arial" w:eastAsia="Arial" w:hAnsi="Arial"/>
          <w:sz w:val="15"/>
          <w:szCs w:val="15"/>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67" w:lineRule="exact"/>
        <w:rPr>
          <w:sz w:val="20"/>
          <w:szCs w:val="20"/>
          <w:color w:val="auto"/>
        </w:rPr>
      </w:pPr>
    </w:p>
    <w:p>
      <w:pPr>
        <w:ind w:left="1580" w:right="1179" w:hanging="138"/>
        <w:spacing w:after="0" w:line="260" w:lineRule="auto"/>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68" w:lineRule="exact"/>
        <w:rPr>
          <w:rFonts w:ascii="Arial" w:cs="Arial" w:eastAsia="Arial" w:hAnsi="Arial"/>
          <w:sz w:val="15"/>
          <w:szCs w:val="15"/>
          <w:color w:val="auto"/>
        </w:rPr>
      </w:pPr>
    </w:p>
    <w:p>
      <w:pPr>
        <w:ind w:left="1580" w:right="1299" w:hanging="138"/>
        <w:spacing w:after="0" w:line="274" w:lineRule="auto"/>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other matter relating to the actions and practices of DTC or any of its Participants or Indirect Participants.</w:t>
      </w:r>
    </w:p>
    <w:p>
      <w:pPr>
        <w:spacing w:after="0" w:line="81" w:lineRule="exact"/>
        <w:rPr>
          <w:sz w:val="20"/>
          <w:szCs w:val="20"/>
          <w:color w:val="auto"/>
        </w:rPr>
      </w:pPr>
    </w:p>
    <w:p>
      <w:pPr>
        <w:ind w:left="1140" w:right="1219"/>
        <w:spacing w:after="0" w:line="258" w:lineRule="auto"/>
        <w:rPr>
          <w:sz w:val="20"/>
          <w:szCs w:val="20"/>
          <w:color w:val="auto"/>
        </w:rPr>
      </w:pPr>
      <w:r>
        <w:rPr>
          <w:rFonts w:ascii="Arial" w:cs="Arial" w:eastAsia="Arial" w:hAnsi="Arial"/>
          <w:sz w:val="15"/>
          <w:szCs w:val="15"/>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93" w:lineRule="exact"/>
        <w:rPr>
          <w:sz w:val="20"/>
          <w:szCs w:val="20"/>
          <w:color w:val="auto"/>
        </w:rPr>
      </w:pPr>
    </w:p>
    <w:p>
      <w:pPr>
        <w:jc w:val="both"/>
        <w:ind w:left="1140" w:right="1479"/>
        <w:spacing w:after="0" w:line="275" w:lineRule="auto"/>
        <w:rPr>
          <w:sz w:val="20"/>
          <w:szCs w:val="20"/>
          <w:color w:val="auto"/>
        </w:rPr>
      </w:pPr>
      <w:r>
        <w:rPr>
          <w:rFonts w:ascii="Arial" w:cs="Arial" w:eastAsia="Arial" w:hAnsi="Arial"/>
          <w:sz w:val="15"/>
          <w:szCs w:val="15"/>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1" w:lineRule="exact"/>
        <w:rPr>
          <w:sz w:val="20"/>
          <w:szCs w:val="20"/>
          <w:color w:val="auto"/>
        </w:rPr>
      </w:pPr>
    </w:p>
    <w:p>
      <w:pPr>
        <w:ind w:left="1140" w:right="1179"/>
        <w:spacing w:after="0" w:line="259" w:lineRule="auto"/>
        <w:rPr>
          <w:sz w:val="20"/>
          <w:szCs w:val="20"/>
          <w:color w:val="auto"/>
        </w:rPr>
      </w:pPr>
      <w:r>
        <w:rPr>
          <w:rFonts w:ascii="Arial" w:cs="Arial" w:eastAsia="Arial" w:hAnsi="Arial"/>
          <w:sz w:val="15"/>
          <w:szCs w:val="15"/>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94" w:lineRule="exact"/>
        <w:rPr>
          <w:sz w:val="20"/>
          <w:szCs w:val="20"/>
          <w:color w:val="auto"/>
        </w:rPr>
      </w:pPr>
    </w:p>
    <w:p>
      <w:pPr>
        <w:ind w:left="1140" w:right="1159"/>
        <w:spacing w:after="0" w:line="260" w:lineRule="auto"/>
        <w:rPr>
          <w:sz w:val="20"/>
          <w:szCs w:val="20"/>
          <w:color w:val="auto"/>
        </w:rPr>
      </w:pPr>
      <w:r>
        <w:rPr>
          <w:rFonts w:ascii="Arial" w:cs="Arial" w:eastAsia="Arial" w:hAnsi="Arial"/>
          <w:sz w:val="15"/>
          <w:szCs w:val="15"/>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93" w:lineRule="exact"/>
        <w:rPr>
          <w:sz w:val="20"/>
          <w:szCs w:val="20"/>
          <w:color w:val="auto"/>
        </w:rPr>
      </w:pPr>
    </w:p>
    <w:p>
      <w:pPr>
        <w:ind w:left="1140" w:right="1159"/>
        <w:spacing w:after="0" w:line="260" w:lineRule="auto"/>
        <w:rPr>
          <w:sz w:val="20"/>
          <w:szCs w:val="20"/>
          <w:color w:val="auto"/>
        </w:rPr>
      </w:pPr>
      <w:r>
        <w:rPr>
          <w:rFonts w:ascii="Arial" w:cs="Arial" w:eastAsia="Arial" w:hAnsi="Arial"/>
          <w:sz w:val="15"/>
          <w:szCs w:val="15"/>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Global Notes</w:t>
      </w:r>
    </w:p>
    <w:p>
      <w:pPr>
        <w:spacing w:after="0" w:line="124" w:lineRule="exact"/>
        <w:rPr>
          <w:sz w:val="20"/>
          <w:szCs w:val="20"/>
          <w:color w:val="auto"/>
        </w:rPr>
      </w:pPr>
    </w:p>
    <w:p>
      <w:pPr>
        <w:ind w:left="1140" w:right="1479"/>
        <w:spacing w:after="0" w:line="259" w:lineRule="auto"/>
        <w:rPr>
          <w:sz w:val="20"/>
          <w:szCs w:val="20"/>
          <w:color w:val="auto"/>
        </w:rPr>
      </w:pPr>
      <w:r>
        <w:rPr>
          <w:rFonts w:ascii="Arial" w:cs="Arial" w:eastAsia="Arial" w:hAnsi="Arial"/>
          <w:sz w:val="15"/>
          <w:szCs w:val="15"/>
          <w:color w:val="auto"/>
        </w:rPr>
        <w:t>Global notes will be deposited with a custodian for DTC, and registered in the name of a nominee of DTC.</w:t>
      </w:r>
    </w:p>
    <w:p>
      <w:pPr>
        <w:spacing w:after="0" w:line="80" w:lineRule="exact"/>
        <w:rPr>
          <w:sz w:val="20"/>
          <w:szCs w:val="20"/>
          <w:color w:val="auto"/>
        </w:rPr>
      </w:pPr>
    </w:p>
    <w:p>
      <w:pPr>
        <w:ind w:left="1140" w:right="1259"/>
        <w:spacing w:after="0" w:line="242" w:lineRule="auto"/>
        <w:rPr>
          <w:sz w:val="20"/>
          <w:szCs w:val="20"/>
          <w:color w:val="auto"/>
        </w:rPr>
      </w:pPr>
      <w:r>
        <w:rPr>
          <w:rFonts w:ascii="Arial" w:cs="Arial" w:eastAsia="Arial" w:hAnsi="Arial"/>
          <w:sz w:val="15"/>
          <w:szCs w:val="15"/>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94" w:lineRule="exact"/>
        <w:rPr>
          <w:sz w:val="20"/>
          <w:szCs w:val="20"/>
          <w:color w:val="auto"/>
        </w:rPr>
      </w:pPr>
    </w:p>
    <w:p>
      <w:pPr>
        <w:ind w:left="1140" w:right="1319"/>
        <w:spacing w:after="0" w:line="252" w:lineRule="auto"/>
        <w:rPr>
          <w:sz w:val="20"/>
          <w:szCs w:val="20"/>
          <w:color w:val="auto"/>
        </w:rPr>
      </w:pPr>
      <w:r>
        <w:rPr>
          <w:rFonts w:ascii="Arial" w:cs="Arial" w:eastAsia="Arial" w:hAnsi="Arial"/>
          <w:sz w:val="15"/>
          <w:szCs w:val="15"/>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86"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Certificated Notes</w:t>
      </w:r>
    </w:p>
    <w:p>
      <w:pPr>
        <w:spacing w:after="0" w:line="124" w:lineRule="exact"/>
        <w:rPr>
          <w:sz w:val="20"/>
          <w:szCs w:val="20"/>
          <w:color w:val="auto"/>
        </w:rPr>
      </w:pPr>
    </w:p>
    <w:p>
      <w:pPr>
        <w:ind w:left="1140" w:right="1259"/>
        <w:spacing w:after="0" w:line="241" w:lineRule="auto"/>
        <w:rPr>
          <w:sz w:val="20"/>
          <w:szCs w:val="20"/>
          <w:color w:val="auto"/>
        </w:rPr>
      </w:pPr>
      <w:r>
        <w:rPr>
          <w:rFonts w:ascii="Arial" w:cs="Arial" w:eastAsia="Arial" w:hAnsi="Arial"/>
          <w:sz w:val="15"/>
          <w:szCs w:val="15"/>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Same Day Settlement and Payment</w:t>
      </w:r>
    </w:p>
    <w:p>
      <w:pPr>
        <w:spacing w:after="0" w:line="124" w:lineRule="exact"/>
        <w:rPr>
          <w:sz w:val="20"/>
          <w:szCs w:val="20"/>
          <w:color w:val="auto"/>
        </w:rPr>
      </w:pPr>
    </w:p>
    <w:p>
      <w:pPr>
        <w:ind w:left="1140" w:right="1219"/>
        <w:spacing w:after="0" w:line="279" w:lineRule="auto"/>
        <w:rPr>
          <w:sz w:val="20"/>
          <w:szCs w:val="20"/>
          <w:color w:val="auto"/>
        </w:rPr>
      </w:pPr>
      <w:r>
        <w:rPr>
          <w:rFonts w:ascii="Arial" w:cs="Arial" w:eastAsia="Arial" w:hAnsi="Arial"/>
          <w:sz w:val="14"/>
          <w:szCs w:val="14"/>
          <w:color w:val="auto"/>
        </w:rPr>
        <w:t>The Indenture will require that payments in respect of the notes of each series represented by the global notes be made by wire transfer of immediately available funds to the accounts specified by holders of such global notes. With respect to notes in certificated form, the Company will make all payments by:</w:t>
      </w:r>
    </w:p>
    <w:p>
      <w:pPr>
        <w:spacing w:after="0" w:line="35" w:lineRule="exact"/>
        <w:rPr>
          <w:sz w:val="20"/>
          <w:szCs w:val="20"/>
          <w:color w:val="auto"/>
        </w:rPr>
      </w:pPr>
    </w:p>
    <w:p>
      <w:pPr>
        <w:ind w:left="1580" w:right="1419" w:hanging="138"/>
        <w:spacing w:after="0" w:line="274" w:lineRule="auto"/>
        <w:tabs>
          <w:tab w:leader="none" w:pos="1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check mailed to the address of the Person entitled to the payment as it appears in the security register; or</w:t>
      </w:r>
    </w:p>
    <w:p>
      <w:pPr>
        <w:spacing w:after="0" w:line="47" w:lineRule="exact"/>
        <w:rPr>
          <w:rFonts w:ascii="Arial" w:cs="Arial" w:eastAsia="Arial" w:hAnsi="Arial"/>
          <w:sz w:val="15"/>
          <w:szCs w:val="15"/>
          <w:color w:val="auto"/>
        </w:rPr>
      </w:pPr>
    </w:p>
    <w:p>
      <w:pPr>
        <w:ind w:left="1580" w:right="1179" w:hanging="138"/>
        <w:spacing w:after="0" w:line="255" w:lineRule="auto"/>
        <w:tabs>
          <w:tab w:leader="none" w:pos="1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84" w:lineRule="exact"/>
        <w:rPr>
          <w:sz w:val="20"/>
          <w:szCs w:val="20"/>
          <w:color w:val="auto"/>
        </w:rPr>
      </w:pPr>
    </w:p>
    <w:p>
      <w:pPr>
        <w:ind w:left="1140" w:right="1239"/>
        <w:spacing w:after="0" w:line="245" w:lineRule="auto"/>
        <w:rPr>
          <w:sz w:val="20"/>
          <w:szCs w:val="20"/>
          <w:color w:val="auto"/>
        </w:rPr>
      </w:pPr>
      <w:r>
        <w:rPr>
          <w:rFonts w:ascii="Arial" w:cs="Arial" w:eastAsia="Arial" w:hAnsi="Arial"/>
          <w:sz w:val="15"/>
          <w:szCs w:val="15"/>
          <w:color w:val="auto"/>
        </w:rPr>
        <w:t>The notes of each series represented by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91" w:lineRule="exact"/>
        <w:rPr>
          <w:sz w:val="20"/>
          <w:szCs w:val="20"/>
          <w:color w:val="auto"/>
        </w:rPr>
      </w:pPr>
    </w:p>
    <w:p>
      <w:pPr>
        <w:ind w:left="1140" w:right="1299"/>
        <w:spacing w:after="0" w:line="268" w:lineRule="auto"/>
        <w:rPr>
          <w:sz w:val="20"/>
          <w:szCs w:val="20"/>
          <w:color w:val="auto"/>
        </w:rPr>
      </w:pPr>
      <w:r>
        <w:rPr>
          <w:rFonts w:ascii="Arial" w:cs="Arial" w:eastAsia="Arial" w:hAnsi="Arial"/>
          <w:sz w:val="14"/>
          <w:szCs w:val="14"/>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Notices</w:t>
      </w:r>
    </w:p>
    <w:p>
      <w:pPr>
        <w:spacing w:after="0" w:line="133" w:lineRule="exact"/>
        <w:rPr>
          <w:sz w:val="20"/>
          <w:szCs w:val="20"/>
          <w:color w:val="auto"/>
        </w:rPr>
      </w:pPr>
    </w:p>
    <w:p>
      <w:pPr>
        <w:ind w:left="1140" w:right="1379"/>
        <w:spacing w:after="0" w:line="274" w:lineRule="auto"/>
        <w:rPr>
          <w:sz w:val="20"/>
          <w:szCs w:val="20"/>
          <w:color w:val="auto"/>
        </w:rPr>
      </w:pPr>
      <w:r>
        <w:rPr>
          <w:rFonts w:ascii="Arial" w:cs="Arial" w:eastAsia="Arial" w:hAnsi="Arial"/>
          <w:sz w:val="15"/>
          <w:szCs w:val="15"/>
          <w:color w:val="auto"/>
        </w:rPr>
        <w:t>Holders will receive notices at their addresses as they appear in the security register or in accordance with DTC’s applicable procedures.</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Title</w:t>
      </w:r>
    </w:p>
    <w:p>
      <w:pPr>
        <w:spacing w:after="0" w:line="122" w:lineRule="exact"/>
        <w:rPr>
          <w:sz w:val="20"/>
          <w:szCs w:val="20"/>
          <w:color w:val="auto"/>
        </w:rPr>
      </w:pPr>
    </w:p>
    <w:p>
      <w:pPr>
        <w:ind w:left="1140" w:right="1199"/>
        <w:spacing w:after="0" w:line="274" w:lineRule="auto"/>
        <w:rPr>
          <w:sz w:val="20"/>
          <w:szCs w:val="20"/>
          <w:color w:val="auto"/>
        </w:rPr>
      </w:pPr>
      <w:r>
        <w:rPr>
          <w:rFonts w:ascii="Arial" w:cs="Arial" w:eastAsia="Arial" w:hAnsi="Arial"/>
          <w:sz w:val="15"/>
          <w:szCs w:val="15"/>
          <w:color w:val="auto"/>
        </w:rPr>
        <w:t>The Company may treat the Person in whose name a note is registered on the applicable record date as the owner of the note for all purposes, whether or not it is overdue.</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 Personal Liability of Directors, Officers, Employees or Stockholders</w:t>
      </w:r>
    </w:p>
    <w:p>
      <w:pPr>
        <w:spacing w:after="0" w:line="122" w:lineRule="exact"/>
        <w:rPr>
          <w:sz w:val="20"/>
          <w:szCs w:val="20"/>
          <w:color w:val="auto"/>
        </w:rPr>
      </w:pPr>
    </w:p>
    <w:p>
      <w:pPr>
        <w:ind w:left="1140" w:right="1219"/>
        <w:spacing w:after="0" w:line="250" w:lineRule="auto"/>
        <w:rPr>
          <w:sz w:val="20"/>
          <w:szCs w:val="20"/>
          <w:color w:val="auto"/>
        </w:rPr>
      </w:pPr>
      <w:r>
        <w:rPr>
          <w:rFonts w:ascii="Arial" w:cs="Arial" w:eastAsia="Arial" w:hAnsi="Arial"/>
          <w:sz w:val="15"/>
          <w:szCs w:val="15"/>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Governing Law</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New York law will govern the Indenture and each series of notes.</w:t>
      </w:r>
    </w:p>
    <w:p>
      <w:pPr>
        <w:spacing w:after="0" w:line="115" w:lineRule="exact"/>
        <w:rPr>
          <w:sz w:val="20"/>
          <w:szCs w:val="20"/>
          <w:color w:val="auto"/>
        </w:rPr>
      </w:pPr>
    </w:p>
    <w:p>
      <w:pPr>
        <w:ind w:left="1140" w:right="1379"/>
        <w:spacing w:after="0" w:line="255" w:lineRule="auto"/>
        <w:rPr>
          <w:sz w:val="20"/>
          <w:szCs w:val="20"/>
          <w:color w:val="auto"/>
        </w:rPr>
      </w:pPr>
      <w:r>
        <w:rPr>
          <w:rFonts w:ascii="Arial" w:cs="Arial" w:eastAsia="Arial" w:hAnsi="Arial"/>
          <w:sz w:val="15"/>
          <w:szCs w:val="15"/>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95"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Regarding the Trustee</w:t>
      </w:r>
    </w:p>
    <w:p>
      <w:pPr>
        <w:spacing w:after="0" w:line="122"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spacing w:after="0" w:line="252" w:lineRule="auto"/>
        <w:rPr>
          <w:sz w:val="20"/>
          <w:szCs w:val="20"/>
          <w:color w:val="auto"/>
        </w:rPr>
      </w:pPr>
      <w:r>
        <w:rPr>
          <w:rFonts w:ascii="Arial" w:cs="Arial" w:eastAsia="Arial" w:hAnsi="Arial"/>
          <w:sz w:val="15"/>
          <w:szCs w:val="15"/>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99" w:lineRule="exact"/>
        <w:rPr>
          <w:sz w:val="20"/>
          <w:szCs w:val="20"/>
          <w:color w:val="auto"/>
        </w:rPr>
      </w:pPr>
    </w:p>
    <w:p>
      <w:pPr>
        <w:ind w:left="1140" w:right="1279"/>
        <w:spacing w:after="0" w:line="275" w:lineRule="auto"/>
        <w:rPr>
          <w:sz w:val="20"/>
          <w:szCs w:val="20"/>
          <w:color w:val="auto"/>
        </w:rPr>
      </w:pPr>
      <w:r>
        <w:rPr>
          <w:rFonts w:ascii="Arial" w:cs="Arial" w:eastAsia="Arial" w:hAnsi="Arial"/>
          <w:sz w:val="14"/>
          <w:szCs w:val="14"/>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right="2019"/>
        <w:spacing w:after="0" w:line="280" w:lineRule="auto"/>
        <w:rPr>
          <w:sz w:val="20"/>
          <w:szCs w:val="20"/>
          <w:color w:val="auto"/>
        </w:rPr>
      </w:pPr>
      <w:r>
        <w:rPr>
          <w:rFonts w:ascii="Arial" w:cs="Arial" w:eastAsia="Arial" w:hAnsi="Arial"/>
          <w:sz w:val="32"/>
          <w:szCs w:val="32"/>
          <w:b w:val="1"/>
          <w:bCs w:val="1"/>
          <w:color w:val="auto"/>
        </w:rPr>
        <w:t>MATERIAL U.S. FEDERAL INCOME TAX CONSEQUENCES</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 General</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Nature and Scope of Discussion</w:t>
      </w:r>
    </w:p>
    <w:p>
      <w:pPr>
        <w:spacing w:after="0" w:line="113" w:lineRule="exact"/>
        <w:rPr>
          <w:sz w:val="20"/>
          <w:szCs w:val="20"/>
          <w:color w:val="auto"/>
        </w:rPr>
      </w:pPr>
    </w:p>
    <w:p>
      <w:pPr>
        <w:ind w:left="1140" w:right="1179"/>
        <w:spacing w:after="0" w:line="239" w:lineRule="auto"/>
        <w:rPr>
          <w:sz w:val="20"/>
          <w:szCs w:val="20"/>
          <w:color w:val="auto"/>
        </w:rPr>
      </w:pPr>
      <w:r>
        <w:rPr>
          <w:rFonts w:ascii="Arial" w:cs="Arial" w:eastAsia="Arial" w:hAnsi="Arial"/>
          <w:sz w:val="15"/>
          <w:szCs w:val="15"/>
          <w:color w:val="auto"/>
        </w:rPr>
        <w:t>This section provides a summary of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(the “Code”), and Treasury regulations, rulings and judicial decisions as of the date hereof, all of which are subject to change or differing interpretations, possibly with retroactive effect. There can be no assurance that the Internal Revenue Service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99" w:lineRule="exact"/>
        <w:rPr>
          <w:sz w:val="20"/>
          <w:szCs w:val="20"/>
          <w:color w:val="auto"/>
        </w:rPr>
      </w:pPr>
    </w:p>
    <w:p>
      <w:pPr>
        <w:ind w:left="1140" w:right="1199"/>
        <w:spacing w:after="0" w:line="253" w:lineRule="auto"/>
        <w:rPr>
          <w:sz w:val="20"/>
          <w:szCs w:val="20"/>
          <w:color w:val="auto"/>
        </w:rPr>
      </w:pPr>
      <w:r>
        <w:rPr>
          <w:rFonts w:ascii="Arial" w:cs="Arial" w:eastAsia="Arial" w:hAnsi="Arial"/>
          <w:sz w:val="14"/>
          <w:szCs w:val="14"/>
          <w:color w:val="auto"/>
        </w:rPr>
        <w:t>The following summary generally applies only to beneficial owners of the notes that purchase their notes in this offering for an amount equal to their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or passive foreign investment companies and owners thereof,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The summary does not address any potential U.S. federal income or other tax considerations that may be relevant to holders of 2027 notes that are redeemed pursuant to the 2027 notes Redemption that is contingent on the issuance of the notes contemplated hereby.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270" w:lineRule="exact"/>
        <w:rPr>
          <w:sz w:val="20"/>
          <w:szCs w:val="20"/>
          <w:color w:val="auto"/>
        </w:rPr>
      </w:pPr>
    </w:p>
    <w:p>
      <w:pPr>
        <w:ind w:left="1140" w:right="1339"/>
        <w:spacing w:after="0" w:line="245" w:lineRule="auto"/>
        <w:rPr>
          <w:sz w:val="20"/>
          <w:szCs w:val="20"/>
          <w:color w:val="auto"/>
        </w:rPr>
      </w:pPr>
      <w:r>
        <w:rPr>
          <w:rFonts w:ascii="Arial" w:cs="Arial" w:eastAsia="Arial" w:hAnsi="Arial"/>
          <w:sz w:val="15"/>
          <w:szCs w:val="15"/>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91" w:lineRule="exact"/>
        <w:rPr>
          <w:sz w:val="20"/>
          <w:szCs w:val="20"/>
          <w:color w:val="auto"/>
        </w:rPr>
      </w:pPr>
    </w:p>
    <w:p>
      <w:pPr>
        <w:ind w:left="1140" w:right="1199"/>
        <w:spacing w:after="0" w:line="241" w:lineRule="auto"/>
        <w:rPr>
          <w:sz w:val="20"/>
          <w:szCs w:val="20"/>
          <w:color w:val="auto"/>
        </w:rPr>
      </w:pPr>
      <w:r>
        <w:rPr>
          <w:rFonts w:ascii="Arial" w:cs="Arial" w:eastAsia="Arial" w:hAnsi="Arial"/>
          <w:sz w:val="15"/>
          <w:szCs w:val="15"/>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one or more U.S. persons has the authority to control all substantial decisions of the trust or (y) has a valid election in effect under applicable U.S. Treasury regulations to be treated as a U.S. person.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59"/>
        <w:spacing w:after="0" w:line="252" w:lineRule="auto"/>
        <w:rPr>
          <w:sz w:val="20"/>
          <w:szCs w:val="20"/>
          <w:color w:val="auto"/>
        </w:rPr>
      </w:pPr>
      <w:r>
        <w:rPr>
          <w:rFonts w:ascii="Arial" w:cs="Arial" w:eastAsia="Arial" w:hAnsi="Arial"/>
          <w:sz w:val="15"/>
          <w:szCs w:val="15"/>
          <w:color w:val="auto"/>
        </w:rPr>
        <w:t>A “non-U.S. holder” is a beneficial owner of a note (other than a partnership or an entity or arrangement (domestic or foreign) that is treated as a partnership for U.S. federal income tax purposes) that is not a U.S. holder.</w:t>
      </w:r>
    </w:p>
    <w:p>
      <w:pPr>
        <w:spacing w:after="0" w:line="86" w:lineRule="exact"/>
        <w:rPr>
          <w:sz w:val="20"/>
          <w:szCs w:val="20"/>
          <w:color w:val="auto"/>
        </w:rPr>
      </w:pPr>
    </w:p>
    <w:p>
      <w:pPr>
        <w:ind w:left="1140" w:right="1179"/>
        <w:spacing w:after="0" w:line="242" w:lineRule="auto"/>
        <w:rPr>
          <w:sz w:val="20"/>
          <w:szCs w:val="20"/>
          <w:color w:val="auto"/>
        </w:rPr>
      </w:pPr>
      <w:r>
        <w:rPr>
          <w:rFonts w:ascii="Arial" w:cs="Arial" w:eastAsia="Arial" w:hAnsi="Arial"/>
          <w:sz w:val="15"/>
          <w:szCs w:val="15"/>
          <w:color w:val="auto"/>
        </w:rPr>
        <w:t>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Additional Payments</w:t>
      </w:r>
    </w:p>
    <w:p>
      <w:pPr>
        <w:spacing w:after="0" w:line="124" w:lineRule="exact"/>
        <w:rPr>
          <w:sz w:val="20"/>
          <w:szCs w:val="20"/>
          <w:color w:val="auto"/>
        </w:rPr>
      </w:pPr>
    </w:p>
    <w:p>
      <w:pPr>
        <w:ind w:left="1140" w:right="1259"/>
        <w:spacing w:after="0" w:line="256" w:lineRule="auto"/>
        <w:rPr>
          <w:sz w:val="20"/>
          <w:szCs w:val="20"/>
          <w:color w:val="auto"/>
        </w:rPr>
      </w:pPr>
      <w:r>
        <w:rPr>
          <w:rFonts w:ascii="Arial" w:cs="Arial" w:eastAsia="Arial" w:hAnsi="Arial"/>
          <w:sz w:val="14"/>
          <w:szCs w:val="14"/>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such additional payments, if made, would be an incidental amount, or that the possibility of such payments is otherwise disregarded for purposes of the rules governing contingent payment debt instruments. Therefore, we do not intend to treat the notes as subject to the special rules governing contingent payment debt instruments. Our determination in this regard, while not binding on the IRS, is binding on holders unless they disclose their contrary position in the manner required by applicable Treasury regulations. If the IRS successfully asserted that the notes are subject to the rules governing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 In the event we pay additional amounts on the notes, holders should consult their tax advisors regarding the treatment of such amounts.</w:t>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U.S. Holders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13" w:lineRule="exact"/>
        <w:rPr>
          <w:sz w:val="20"/>
          <w:szCs w:val="20"/>
          <w:color w:val="auto"/>
        </w:rPr>
      </w:pPr>
    </w:p>
    <w:p>
      <w:pPr>
        <w:ind w:left="1140" w:right="1199"/>
        <w:spacing w:after="0" w:line="259" w:lineRule="auto"/>
        <w:rPr>
          <w:sz w:val="20"/>
          <w:szCs w:val="20"/>
          <w:color w:val="auto"/>
        </w:rPr>
      </w:pPr>
      <w:r>
        <w:rPr>
          <w:rFonts w:ascii="Arial" w:cs="Arial" w:eastAsia="Arial" w:hAnsi="Arial"/>
          <w:sz w:val="15"/>
          <w:szCs w:val="15"/>
          <w:color w:val="auto"/>
        </w:rPr>
        <w:t>A U.S. holder will be required to recognize as ordinary income any stated interest paid or accrued on the notes, in accordance with such holder’s regular method of tax accounting.</w:t>
      </w:r>
    </w:p>
    <w:p>
      <w:pPr>
        <w:spacing w:after="0" w:line="80" w:lineRule="exact"/>
        <w:rPr>
          <w:sz w:val="20"/>
          <w:szCs w:val="20"/>
          <w:color w:val="auto"/>
        </w:rPr>
      </w:pPr>
    </w:p>
    <w:p>
      <w:pPr>
        <w:ind w:left="1140" w:right="1159"/>
        <w:spacing w:after="0" w:line="263" w:lineRule="auto"/>
        <w:rPr>
          <w:sz w:val="20"/>
          <w:szCs w:val="20"/>
          <w:color w:val="auto"/>
        </w:rPr>
      </w:pPr>
      <w:r>
        <w:rPr>
          <w:rFonts w:ascii="Arial" w:cs="Arial" w:eastAsia="Arial" w:hAnsi="Arial"/>
          <w:sz w:val="14"/>
          <w:szCs w:val="14"/>
          <w:color w:val="auto"/>
        </w:rPr>
        <w:t>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the discussion below assumes, that the notes will not be issued with original issue discount for U.S. federal income tax purposes.</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Sale, Exchange, Redemption, Retirement or Other Taxable Disposition of the Notes</w:t>
      </w:r>
    </w:p>
    <w:p>
      <w:pPr>
        <w:spacing w:after="0" w:line="124" w:lineRule="exact"/>
        <w:rPr>
          <w:sz w:val="20"/>
          <w:szCs w:val="20"/>
          <w:color w:val="auto"/>
        </w:rPr>
      </w:pPr>
    </w:p>
    <w:p>
      <w:pPr>
        <w:ind w:left="1140" w:right="1219"/>
        <w:spacing w:after="0" w:line="256" w:lineRule="auto"/>
        <w:rPr>
          <w:sz w:val="20"/>
          <w:szCs w:val="20"/>
          <w:color w:val="auto"/>
        </w:rPr>
      </w:pPr>
      <w:r>
        <w:rPr>
          <w:rFonts w:ascii="Arial" w:cs="Arial" w:eastAsia="Arial" w:hAnsi="Arial"/>
          <w:sz w:val="14"/>
          <w:szCs w:val="14"/>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Non-U.S. Holders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24"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67" w:lineRule="exact"/>
        <w:rPr>
          <w:sz w:val="20"/>
          <w:szCs w:val="20"/>
          <w:color w:val="auto"/>
        </w:rPr>
      </w:pPr>
    </w:p>
    <w:p>
      <w:pPr>
        <w:ind w:left="1580" w:right="1219" w:hanging="138"/>
        <w:spacing w:after="0" w:line="260" w:lineRule="auto"/>
        <w:tabs>
          <w:tab w:leader="none" w:pos="1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owns, actually or constructively (applying certain attribution rules), shares of our stock representing at least 10% of the total combined voting power of all classes of our stock entitled to vote;</w:t>
      </w:r>
    </w:p>
    <w:p>
      <w:pPr>
        <w:spacing w:after="0" w:line="46" w:lineRule="exact"/>
        <w:rPr>
          <w:rFonts w:ascii="Arial" w:cs="Arial" w:eastAsia="Arial" w:hAnsi="Arial"/>
          <w:sz w:val="15"/>
          <w:szCs w:val="15"/>
          <w:color w:val="auto"/>
        </w:rPr>
      </w:pPr>
    </w:p>
    <w:p>
      <w:pPr>
        <w:ind w:left="1580" w:right="1599" w:hanging="138"/>
        <w:spacing w:after="0" w:line="274" w:lineRule="auto"/>
        <w:tabs>
          <w:tab w:leader="none" w:pos="1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is a “controlled foreign corporation” within the meaning of Section 957(a) of the Code that is related, directly or indirectly, to us through sufficient stock ownership; or</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is a bank whose receipt of interest on the notes is described in Section 881(c)(3)(A) of the Code.</w:t>
      </w:r>
    </w:p>
    <w:p>
      <w:pPr>
        <w:spacing w:after="0" w:line="126" w:lineRule="exact"/>
        <w:rPr>
          <w:sz w:val="20"/>
          <w:szCs w:val="20"/>
          <w:color w:val="auto"/>
        </w:rPr>
      </w:pPr>
    </w:p>
    <w:p>
      <w:pPr>
        <w:ind w:left="1140" w:right="1239"/>
        <w:spacing w:after="0" w:line="252" w:lineRule="auto"/>
        <w:rPr>
          <w:sz w:val="20"/>
          <w:szCs w:val="20"/>
          <w:color w:val="auto"/>
        </w:rPr>
      </w:pPr>
      <w:r>
        <w:rPr>
          <w:rFonts w:ascii="Arial" w:cs="Arial" w:eastAsia="Arial" w:hAnsi="Arial"/>
          <w:sz w:val="15"/>
          <w:szCs w:val="15"/>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86" w:lineRule="exact"/>
        <w:rPr>
          <w:sz w:val="20"/>
          <w:szCs w:val="20"/>
          <w:color w:val="auto"/>
        </w:rPr>
      </w:pPr>
    </w:p>
    <w:p>
      <w:pPr>
        <w:ind w:left="1140" w:right="1199"/>
        <w:spacing w:after="0" w:line="239" w:lineRule="auto"/>
        <w:rPr>
          <w:sz w:val="20"/>
          <w:szCs w:val="20"/>
          <w:color w:val="auto"/>
        </w:rPr>
      </w:pPr>
      <w:r>
        <w:rPr>
          <w:rFonts w:ascii="Arial" w:cs="Arial" w:eastAsia="Arial" w:hAnsi="Arial"/>
          <w:sz w:val="15"/>
          <w:szCs w:val="15"/>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62"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Sale, Exchange, Redemption, Retirement or Other Taxable Disposition of the Notes</w:t>
      </w:r>
    </w:p>
    <w:p>
      <w:pPr>
        <w:spacing w:after="0" w:line="113" w:lineRule="exact"/>
        <w:rPr>
          <w:sz w:val="20"/>
          <w:szCs w:val="20"/>
          <w:color w:val="auto"/>
        </w:rPr>
      </w:pPr>
    </w:p>
    <w:p>
      <w:pPr>
        <w:ind w:left="1140" w:right="1299"/>
        <w:spacing w:after="0"/>
        <w:rPr>
          <w:sz w:val="20"/>
          <w:szCs w:val="20"/>
          <w:color w:val="auto"/>
        </w:rPr>
      </w:pPr>
      <w:r>
        <w:rPr>
          <w:rFonts w:ascii="Arial" w:cs="Arial" w:eastAsia="Arial" w:hAnsi="Arial"/>
          <w:sz w:val="15"/>
          <w:szCs w:val="15"/>
          <w:color w:val="auto"/>
        </w:rPr>
        <w:t>Subject to the discussion below under “— Legislation and Guidance Relating to Foreign Accounts” and “—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62" w:lineRule="exact"/>
        <w:rPr>
          <w:sz w:val="20"/>
          <w:szCs w:val="20"/>
          <w:color w:val="auto"/>
        </w:rPr>
      </w:pPr>
    </w:p>
    <w:p>
      <w:pPr>
        <w:ind w:left="1580" w:right="1219" w:hanging="138"/>
        <w:spacing w:after="0" w:line="252" w:lineRule="auto"/>
        <w:tabs>
          <w:tab w:leader="none" w:pos="1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65" w:lineRule="exact"/>
        <w:rPr>
          <w:rFonts w:ascii="Arial" w:cs="Arial" w:eastAsia="Arial" w:hAnsi="Arial"/>
          <w:sz w:val="15"/>
          <w:szCs w:val="15"/>
          <w:color w:val="auto"/>
        </w:rPr>
      </w:pPr>
    </w:p>
    <w:p>
      <w:pPr>
        <w:ind w:left="1580" w:right="1159" w:hanging="138"/>
        <w:spacing w:after="0" w:line="251" w:lineRule="auto"/>
        <w:tabs>
          <w:tab w:leader="none" w:pos="1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(provided that such non-U.S. holder timely files tax returns with respect to such losses), would be subject to a flat 30% tax, even though the individual is not considered a resident of the United States.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Income or Gains Effectively Connected With a U.S. Trade or Business</w:t>
      </w:r>
    </w:p>
    <w:p>
      <w:pPr>
        <w:spacing w:after="0" w:line="124" w:lineRule="exact"/>
        <w:rPr>
          <w:sz w:val="20"/>
          <w:szCs w:val="20"/>
          <w:color w:val="auto"/>
        </w:rPr>
      </w:pPr>
    </w:p>
    <w:p>
      <w:pPr>
        <w:ind w:left="1140" w:right="1159"/>
        <w:spacing w:after="0" w:line="237" w:lineRule="auto"/>
        <w:rPr>
          <w:sz w:val="20"/>
          <w:szCs w:val="20"/>
          <w:color w:val="auto"/>
        </w:rPr>
      </w:pPr>
      <w:r>
        <w:rPr>
          <w:rFonts w:ascii="Arial" w:cs="Arial" w:eastAsia="Arial" w:hAnsi="Arial"/>
          <w:sz w:val="15"/>
          <w:szCs w:val="15"/>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6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Legislation and Guidance Relating to Foreign Accounts</w:t>
      </w:r>
    </w:p>
    <w:p>
      <w:pPr>
        <w:spacing w:after="0" w:line="124" w:lineRule="exact"/>
        <w:rPr>
          <w:sz w:val="20"/>
          <w:szCs w:val="20"/>
          <w:color w:val="auto"/>
        </w:rPr>
      </w:pPr>
    </w:p>
    <w:p>
      <w:pPr>
        <w:ind w:left="1140" w:right="1159"/>
        <w:spacing w:after="0" w:line="254" w:lineRule="auto"/>
        <w:rPr>
          <w:sz w:val="20"/>
          <w:szCs w:val="20"/>
          <w:color w:val="auto"/>
        </w:rPr>
      </w:pPr>
      <w:r>
        <w:rPr>
          <w:rFonts w:ascii="Arial" w:cs="Arial" w:eastAsia="Arial" w:hAnsi="Arial"/>
          <w:sz w:val="14"/>
          <w:szCs w:val="14"/>
          <w:color w:val="auto"/>
        </w:rPr>
        <w:t>Legislation and administrative guidance incorporating provisions referred to as the Foreign Account Tax Compliance Act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 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direct or indirect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Backup Withholding and Information Reporting</w:t>
      </w:r>
    </w:p>
    <w:p>
      <w:pPr>
        <w:spacing w:after="0" w:line="122" w:lineRule="exact"/>
        <w:rPr>
          <w:sz w:val="20"/>
          <w:szCs w:val="20"/>
          <w:color w:val="auto"/>
        </w:rPr>
      </w:pPr>
    </w:p>
    <w:p>
      <w:pPr>
        <w:ind w:left="1140" w:right="1359"/>
        <w:spacing w:after="0" w:line="242" w:lineRule="auto"/>
        <w:rPr>
          <w:sz w:val="20"/>
          <w:szCs w:val="20"/>
          <w:color w:val="auto"/>
        </w:rPr>
      </w:pPr>
      <w:r>
        <w:rPr>
          <w:rFonts w:ascii="Arial" w:cs="Arial" w:eastAsia="Arial" w:hAnsi="Arial"/>
          <w:sz w:val="15"/>
          <w:szCs w:val="15"/>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at the then current rate from payments subject to information reporting if the recipient does not establish an exemption from backup withholding (as described below).</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79"/>
        <w:spacing w:after="0" w:line="251" w:lineRule="auto"/>
        <w:rPr>
          <w:sz w:val="20"/>
          <w:szCs w:val="20"/>
          <w:color w:val="auto"/>
        </w:rPr>
      </w:pPr>
      <w:r>
        <w:rPr>
          <w:rFonts w:ascii="Arial" w:cs="Arial" w:eastAsia="Arial" w:hAnsi="Arial"/>
          <w:sz w:val="15"/>
          <w:szCs w:val="15"/>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certifies that it is not subject to backup withholding, and otherwise complies with applicable certification requirements.</w:t>
      </w:r>
    </w:p>
    <w:p>
      <w:pPr>
        <w:spacing w:after="0" w:line="99" w:lineRule="exact"/>
        <w:rPr>
          <w:sz w:val="20"/>
          <w:szCs w:val="20"/>
          <w:color w:val="auto"/>
        </w:rPr>
      </w:pPr>
    </w:p>
    <w:p>
      <w:pPr>
        <w:ind w:left="1140" w:right="1179"/>
        <w:spacing w:after="0" w:line="269" w:lineRule="auto"/>
        <w:rPr>
          <w:sz w:val="20"/>
          <w:szCs w:val="20"/>
          <w:color w:val="auto"/>
        </w:rPr>
      </w:pPr>
      <w:r>
        <w:rPr>
          <w:rFonts w:ascii="Arial" w:cs="Arial" w:eastAsia="Arial" w:hAnsi="Arial"/>
          <w:sz w:val="14"/>
          <w:szCs w:val="14"/>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87"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Backup withholding is not an additional tax. Any amounts withheld from a payment to a U.S. holder or non-U.S. holder of notes under the backup withholding rules generally may be credited against any U.S. federal income tax liability of the holder, which may entitle the holder to a refund, provided the required information is timely furnished to the IRS.</w:t>
      </w:r>
    </w:p>
    <w:p>
      <w:pPr>
        <w:spacing w:after="0" w:line="84" w:lineRule="exact"/>
        <w:rPr>
          <w:sz w:val="20"/>
          <w:szCs w:val="20"/>
          <w:color w:val="auto"/>
        </w:rPr>
      </w:pPr>
    </w:p>
    <w:p>
      <w:pPr>
        <w:ind w:left="1140" w:right="1299"/>
        <w:spacing w:after="0" w:line="283" w:lineRule="auto"/>
        <w:rPr>
          <w:sz w:val="20"/>
          <w:szCs w:val="20"/>
          <w:color w:val="auto"/>
        </w:rPr>
      </w:pPr>
      <w:r>
        <w:rPr>
          <w:rFonts w:ascii="Arial" w:cs="Arial" w:eastAsia="Arial" w:hAnsi="Arial"/>
          <w:sz w:val="14"/>
          <w:szCs w:val="14"/>
          <w:color w:val="auto"/>
        </w:rPr>
        <w:t>The preceding discussion of material U.S. federal income tax considerations is for general information purposes only and is not tax advice. Each prospective investor should consult its own tax advisor regarding the particular U.S. federal, state, local, and foreign tax consequences of purchasing, holding, and disposing of the notes, including the consequences of any proposed change in applicable laws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UNDERWRITING</w:t>
      </w:r>
    </w:p>
    <w:p>
      <w:pPr>
        <w:spacing w:after="0" w:line="130" w:lineRule="exact"/>
        <w:rPr>
          <w:sz w:val="20"/>
          <w:szCs w:val="20"/>
          <w:color w:val="auto"/>
        </w:rPr>
      </w:pPr>
    </w:p>
    <w:p>
      <w:pPr>
        <w:ind w:left="1140" w:right="1319"/>
        <w:spacing w:after="0" w:line="242"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each underwriter named below, for whom Morgan Stanley &amp; Co. LLC, BofA Securities, Inc., HSBC Securities (USA) Inc. and Wells Fargo Securities, LLC are acting as representatives, has severally and not jointly agreed to purchase, and we have agreed to sell to that underwriter, the aggregate principal amount of notes of each series set forth opposite the underwriter’s name in the following table:</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Principal</w:t>
            </w:r>
          </w:p>
        </w:tc>
        <w:tc>
          <w:tcPr>
            <w:tcW w:w="240" w:type="dxa"/>
            <w:vAlign w:val="bottom"/>
          </w:tcPr>
          <w:p>
            <w:pPr>
              <w:spacing w:after="0"/>
              <w:rPr>
                <w:sz w:val="12"/>
                <w:szCs w:val="12"/>
                <w:color w:val="auto"/>
              </w:rPr>
            </w:pPr>
          </w:p>
        </w:tc>
        <w:tc>
          <w:tcPr>
            <w:tcW w:w="660" w:type="dxa"/>
            <w:vAlign w:val="bottom"/>
            <w:gridSpan w:val="4"/>
          </w:tcPr>
          <w:p>
            <w:pPr>
              <w:jc w:val="right"/>
              <w:ind w:right="46"/>
              <w:spacing w:after="0"/>
              <w:rPr>
                <w:sz w:val="20"/>
                <w:szCs w:val="20"/>
                <w:color w:val="auto"/>
              </w:rPr>
            </w:pPr>
            <w:r>
              <w:rPr>
                <w:rFonts w:ascii="Arial" w:cs="Arial" w:eastAsia="Arial" w:hAnsi="Arial"/>
                <w:sz w:val="12"/>
                <w:szCs w:val="12"/>
                <w:b w:val="1"/>
                <w:bCs w:val="1"/>
                <w:color w:val="auto"/>
              </w:rPr>
              <w:t>Principal</w:t>
            </w: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Amount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66"/>
              <w:spacing w:after="0" w:line="133" w:lineRule="exact"/>
              <w:rPr>
                <w:sz w:val="20"/>
                <w:szCs w:val="20"/>
                <w:color w:val="auto"/>
              </w:rPr>
            </w:pPr>
            <w:r>
              <w:rPr>
                <w:rFonts w:ascii="Arial" w:cs="Arial" w:eastAsia="Arial" w:hAnsi="Arial"/>
                <w:sz w:val="12"/>
                <w:szCs w:val="12"/>
                <w:b w:val="1"/>
                <w:bCs w:val="1"/>
                <w:color w:val="auto"/>
                <w:w w:val="96"/>
              </w:rPr>
              <w:t>Amount</w:t>
            </w:r>
          </w:p>
        </w:tc>
      </w:tr>
      <w:tr>
        <w:trPr>
          <w:trHeight w:val="163"/>
        </w:trPr>
        <w:tc>
          <w:tcPr>
            <w:tcW w:w="5120" w:type="dxa"/>
            <w:vAlign w:val="bottom"/>
            <w:gridSpan w:val="2"/>
          </w:tcPr>
          <w:p>
            <w:pPr>
              <w:spacing w:after="0"/>
              <w:rPr>
                <w:sz w:val="20"/>
                <w:szCs w:val="20"/>
                <w:color w:val="auto"/>
              </w:rPr>
            </w:pPr>
            <w:r>
              <w:rPr>
                <w:rFonts w:ascii="Arial" w:cs="Arial" w:eastAsia="Arial" w:hAnsi="Arial"/>
                <w:sz w:val="12"/>
                <w:szCs w:val="12"/>
                <w:b w:val="1"/>
                <w:bCs w:val="1"/>
                <w:color w:val="auto"/>
              </w:rPr>
              <w:t>Underwriter</w:t>
            </w:r>
          </w:p>
        </w:tc>
        <w:tc>
          <w:tcPr>
            <w:tcW w:w="1240" w:type="dxa"/>
            <w:vAlign w:val="bottom"/>
            <w:gridSpan w:val="6"/>
          </w:tcPr>
          <w:p>
            <w:pPr>
              <w:ind w:left="40"/>
              <w:spacing w:after="0" w:line="163" w:lineRule="exact"/>
              <w:rPr>
                <w:sz w:val="20"/>
                <w:szCs w:val="20"/>
                <w:color w:val="auto"/>
              </w:rPr>
            </w:pPr>
            <w:r>
              <w:rPr>
                <w:rFonts w:ascii="Arial" w:cs="Arial" w:eastAsia="Arial" w:hAnsi="Arial"/>
                <w:sz w:val="18"/>
                <w:szCs w:val="18"/>
                <w:b w:val="1"/>
                <w:bCs w:val="1"/>
                <w:color w:val="auto"/>
                <w:vertAlign w:val="subscript"/>
              </w:rPr>
              <w:t>​ ​</w:t>
            </w:r>
            <w:r>
              <w:rPr>
                <w:rFonts w:ascii="Arial" w:cs="Arial" w:eastAsia="Arial" w:hAnsi="Arial"/>
                <w:sz w:val="10"/>
                <w:szCs w:val="10"/>
                <w:b w:val="1"/>
                <w:bCs w:val="1"/>
                <w:color w:val="auto"/>
              </w:rPr>
              <w:t xml:space="preserve"> 20    Notes </w:t>
            </w:r>
            <w:r>
              <w:rPr>
                <w:rFonts w:ascii="Arial" w:cs="Arial" w:eastAsia="Arial" w:hAnsi="Arial"/>
                <w:sz w:val="18"/>
                <w:szCs w:val="18"/>
                <w:b w:val="1"/>
                <w:bCs w:val="1"/>
                <w:color w:val="auto"/>
                <w:vertAlign w:val="subscript"/>
              </w:rPr>
              <w:t>​ ​</w:t>
            </w:r>
            <w:r>
              <w:rPr>
                <w:rFonts w:ascii="Arial" w:cs="Arial" w:eastAsia="Arial" w:hAnsi="Arial"/>
                <w:sz w:val="10"/>
                <w:szCs w:val="10"/>
                <w:b w:val="1"/>
                <w:bCs w:val="1"/>
                <w:color w:val="auto"/>
              </w:rPr>
              <w:t xml:space="preserve"> 20   </w:t>
            </w:r>
          </w:p>
        </w:tc>
        <w:tc>
          <w:tcPr>
            <w:tcW w:w="400" w:type="dxa"/>
            <w:vAlign w:val="bottom"/>
            <w:gridSpan w:val="2"/>
          </w:tcPr>
          <w:p>
            <w:pPr>
              <w:jc w:val="right"/>
              <w:spacing w:after="0" w:line="163" w:lineRule="exact"/>
              <w:rPr>
                <w:sz w:val="20"/>
                <w:szCs w:val="20"/>
                <w:color w:val="auto"/>
              </w:rPr>
            </w:pPr>
            <w:r>
              <w:rPr>
                <w:rFonts w:ascii="Arial" w:cs="Arial" w:eastAsia="Arial" w:hAnsi="Arial"/>
                <w:sz w:val="10"/>
                <w:szCs w:val="10"/>
                <w:b w:val="1"/>
                <w:bCs w:val="1"/>
                <w:color w:val="auto"/>
              </w:rPr>
              <w:t>Notes</w:t>
            </w:r>
            <w:r>
              <w:rPr>
                <w:rFonts w:ascii="Arial" w:cs="Arial" w:eastAsia="Arial" w:hAnsi="Arial"/>
                <w:sz w:val="18"/>
                <w:szCs w:val="18"/>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5"/>
                <w:szCs w:val="15"/>
                <w:color w:val="auto"/>
              </w:rPr>
              <w:t>Morgan Stanley &amp; Co. LLC</w:t>
            </w:r>
          </w:p>
        </w:tc>
        <w:tc>
          <w:tcPr>
            <w:tcW w:w="74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500" w:type="dxa"/>
            <w:vAlign w:val="bottom"/>
            <w:gridSpan w:val="3"/>
          </w:tcPr>
          <w:p>
            <w:pPr>
              <w:jc w:val="center"/>
              <w:ind w:right="21"/>
              <w:spacing w:after="0"/>
              <w:rPr>
                <w:sz w:val="20"/>
                <w:szCs w:val="20"/>
                <w:color w:val="auto"/>
              </w:rPr>
            </w:pPr>
            <w:r>
              <w:rPr>
                <w:rFonts w:ascii="Arial" w:cs="Arial" w:eastAsia="Arial" w:hAnsi="Arial"/>
                <w:sz w:val="15"/>
                <w:szCs w:val="15"/>
                <w:color w:val="auto"/>
              </w:rPr>
              <w:t>​​ ​ ​$</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210"/>
        </w:trPr>
        <w:tc>
          <w:tcPr>
            <w:tcW w:w="5120" w:type="dxa"/>
            <w:vAlign w:val="bottom"/>
            <w:gridSpan w:val="2"/>
          </w:tcPr>
          <w:p>
            <w:pPr>
              <w:spacing w:after="0"/>
              <w:rPr>
                <w:sz w:val="20"/>
                <w:szCs w:val="20"/>
                <w:color w:val="auto"/>
              </w:rPr>
            </w:pPr>
            <w:r>
              <w:rPr>
                <w:rFonts w:ascii="Arial" w:cs="Arial" w:eastAsia="Arial" w:hAnsi="Arial"/>
                <w:sz w:val="15"/>
                <w:szCs w:val="15"/>
                <w:color w:val="auto"/>
              </w:rPr>
              <w:t>BofA Securities, Inc.</w:t>
            </w:r>
          </w:p>
        </w:tc>
        <w:tc>
          <w:tcPr>
            <w:tcW w:w="740" w:type="dxa"/>
            <w:vAlign w:val="bottom"/>
            <w:gridSpan w:val="3"/>
          </w:tcPr>
          <w:p>
            <w:pPr>
              <w:ind w:left="40"/>
              <w:spacing w:after="0"/>
              <w:rPr>
                <w:sz w:val="20"/>
                <w:szCs w:val="20"/>
                <w:color w:val="auto"/>
              </w:rPr>
            </w:pPr>
            <w:r>
              <w:rPr>
                <w:rFonts w:ascii="Arial" w:cs="Arial" w:eastAsia="Arial" w:hAnsi="Arial"/>
                <w:sz w:val="15"/>
                <w:szCs w:val="15"/>
                <w:color w:val="auto"/>
              </w:rPr>
              <w:t>​ ​ ​ ​</w:t>
            </w:r>
          </w:p>
        </w:tc>
        <w:tc>
          <w:tcPr>
            <w:tcW w:w="500" w:type="dxa"/>
            <w:vAlign w:val="bottom"/>
            <w:gridSpan w:val="3"/>
          </w:tcPr>
          <w:p>
            <w:pPr>
              <w:jc w:val="center"/>
              <w:ind w:right="21"/>
              <w:spacing w:after="0"/>
              <w:rPr>
                <w:sz w:val="20"/>
                <w:szCs w:val="20"/>
                <w:color w:val="auto"/>
              </w:rPr>
            </w:pPr>
            <w:r>
              <w:rPr>
                <w:rFonts w:ascii="Arial" w:cs="Arial" w:eastAsia="Arial" w:hAnsi="Arial"/>
                <w:sz w:val="15"/>
                <w:szCs w:val="15"/>
                <w:color w:val="auto"/>
              </w:rPr>
              <w:t>​​​ ​ ​ ​</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5"/>
                <w:szCs w:val="15"/>
                <w:color w:val="auto"/>
              </w:rPr>
              <w:t>HSBC Securities (USA) Inc.</w:t>
            </w:r>
          </w:p>
        </w:tc>
        <w:tc>
          <w:tcPr>
            <w:tcW w:w="740" w:type="dxa"/>
            <w:vAlign w:val="bottom"/>
            <w:gridSpan w:val="3"/>
          </w:tcPr>
          <w:p>
            <w:pPr>
              <w:ind w:left="40"/>
              <w:spacing w:after="0"/>
              <w:rPr>
                <w:sz w:val="20"/>
                <w:szCs w:val="20"/>
                <w:color w:val="auto"/>
              </w:rPr>
            </w:pPr>
            <w:r>
              <w:rPr>
                <w:rFonts w:ascii="Arial" w:cs="Arial" w:eastAsia="Arial" w:hAnsi="Arial"/>
                <w:sz w:val="15"/>
                <w:szCs w:val="15"/>
                <w:color w:val="auto"/>
              </w:rPr>
              <w:t>​ ​ ​ ​</w:t>
            </w:r>
          </w:p>
        </w:tc>
        <w:tc>
          <w:tcPr>
            <w:tcW w:w="500" w:type="dxa"/>
            <w:vAlign w:val="bottom"/>
            <w:gridSpan w:val="3"/>
          </w:tcPr>
          <w:p>
            <w:pPr>
              <w:jc w:val="center"/>
              <w:ind w:right="21"/>
              <w:spacing w:after="0"/>
              <w:rPr>
                <w:sz w:val="20"/>
                <w:szCs w:val="20"/>
                <w:color w:val="auto"/>
              </w:rPr>
            </w:pPr>
            <w:r>
              <w:rPr>
                <w:rFonts w:ascii="Arial" w:cs="Arial" w:eastAsia="Arial" w:hAnsi="Arial"/>
                <w:sz w:val="15"/>
                <w:szCs w:val="15"/>
                <w:color w:val="auto"/>
              </w:rPr>
              <w:t>​​​ ​ ​ ​</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r>
      <w:tr>
        <w:trPr>
          <w:trHeight w:val="221"/>
        </w:trPr>
        <w:tc>
          <w:tcPr>
            <w:tcW w:w="5120" w:type="dxa"/>
            <w:vAlign w:val="bottom"/>
            <w:gridSpan w:val="2"/>
          </w:tcPr>
          <w:p>
            <w:pPr>
              <w:spacing w:after="0"/>
              <w:rPr>
                <w:sz w:val="20"/>
                <w:szCs w:val="20"/>
                <w:color w:val="auto"/>
              </w:rPr>
            </w:pPr>
            <w:r>
              <w:rPr>
                <w:rFonts w:ascii="Arial" w:cs="Arial" w:eastAsia="Arial" w:hAnsi="Arial"/>
                <w:sz w:val="15"/>
                <w:szCs w:val="15"/>
                <w:color w:val="auto"/>
              </w:rPr>
              <w:t>Wells Fargo Securities, LLC</w:t>
            </w:r>
          </w:p>
        </w:tc>
        <w:tc>
          <w:tcPr>
            <w:tcW w:w="740" w:type="dxa"/>
            <w:vAlign w:val="bottom"/>
            <w:gridSpan w:val="3"/>
          </w:tcPr>
          <w:p>
            <w:pPr>
              <w:ind w:left="40"/>
              <w:spacing w:after="0" w:line="221" w:lineRule="exact"/>
              <w:rPr>
                <w:sz w:val="20"/>
                <w:szCs w:val="20"/>
                <w:color w:val="auto"/>
              </w:rPr>
            </w:pPr>
            <w:r>
              <w:rPr>
                <w:rFonts w:ascii="Arial" w:cs="Arial" w:eastAsia="Arial" w:hAnsi="Arial"/>
                <w:sz w:val="13"/>
                <w:szCs w:val="13"/>
                <w:color w:val="auto"/>
              </w:rPr>
              <w:t xml:space="preserve">​ ​ ​ </w:t>
            </w:r>
            <w:r>
              <w:rPr>
                <w:rFonts w:ascii="Arial" w:cs="Arial" w:eastAsia="Arial" w:hAnsi="Arial"/>
                <w:sz w:val="25"/>
                <w:szCs w:val="25"/>
                <w:color w:val="auto"/>
                <w:vertAlign w:val="superscript"/>
              </w:rPr>
              <w:t>​</w:t>
            </w:r>
          </w:p>
        </w:tc>
        <w:tc>
          <w:tcPr>
            <w:tcW w:w="500" w:type="dxa"/>
            <w:vAlign w:val="bottom"/>
            <w:gridSpan w:val="3"/>
          </w:tcPr>
          <w:p>
            <w:pPr>
              <w:jc w:val="center"/>
              <w:ind w:right="21"/>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 </w:t>
            </w:r>
            <w:r>
              <w:rPr>
                <w:rFonts w:ascii="Arial" w:cs="Arial" w:eastAsia="Arial" w:hAnsi="Arial"/>
                <w:sz w:val="25"/>
                <w:szCs w:val="25"/>
                <w:color w:val="auto"/>
                <w:vertAlign w:val="superscript"/>
              </w:rPr>
              <w:t>​</w:t>
            </w:r>
          </w:p>
        </w:tc>
        <w:tc>
          <w:tcPr>
            <w:tcW w:w="400" w:type="dxa"/>
            <w:vAlign w:val="bottom"/>
            <w:gridSpan w:val="2"/>
          </w:tcPr>
          <w:p>
            <w:pPr>
              <w:jc w:val="right"/>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5"/>
                <w:szCs w:val="15"/>
                <w:color w:val="auto"/>
              </w:rPr>
              <w:t>Total</w:t>
            </w:r>
          </w:p>
        </w:tc>
        <w:tc>
          <w:tcPr>
            <w:tcW w:w="740" w:type="dxa"/>
            <w:vAlign w:val="bottom"/>
            <w:gridSpan w:val="3"/>
          </w:tcPr>
          <w:p>
            <w:pPr>
              <w:ind w:left="40"/>
              <w:spacing w:after="0" w:line="201" w:lineRule="exact"/>
              <w:rPr>
                <w:sz w:val="20"/>
                <w:szCs w:val="20"/>
                <w:color w:val="auto"/>
              </w:rPr>
            </w:pPr>
            <w:r>
              <w:rPr>
                <w:rFonts w:ascii="Arial" w:cs="Arial" w:eastAsia="Arial" w:hAnsi="Arial"/>
                <w:sz w:val="13"/>
                <w:szCs w:val="13"/>
                <w:color w:val="auto"/>
              </w:rPr>
              <w:t>​ ​ ​</w:t>
            </w:r>
            <w:r>
              <w:rPr>
                <w:rFonts w:ascii="Arial" w:cs="Arial" w:eastAsia="Arial" w:hAnsi="Arial"/>
                <w:sz w:val="23"/>
                <w:szCs w:val="23"/>
                <w:color w:val="auto"/>
                <w:vertAlign w:val="superscript"/>
              </w:rPr>
              <w:t>$</w:t>
            </w:r>
          </w:p>
        </w:tc>
        <w:tc>
          <w:tcPr>
            <w:tcW w:w="500" w:type="dxa"/>
            <w:vAlign w:val="bottom"/>
            <w:gridSpan w:val="3"/>
          </w:tcPr>
          <w:p>
            <w:pPr>
              <w:jc w:val="center"/>
              <w:ind w:right="21"/>
              <w:spacing w:after="0" w:line="201" w:lineRule="exact"/>
              <w:rPr>
                <w:sz w:val="20"/>
                <w:szCs w:val="20"/>
                <w:color w:val="auto"/>
              </w:rPr>
            </w:pPr>
            <w:r>
              <w:rPr>
                <w:rFonts w:ascii="Arial" w:cs="Arial" w:eastAsia="Arial" w:hAnsi="Arial"/>
                <w:sz w:val="13"/>
                <w:szCs w:val="13"/>
                <w:color w:val="auto"/>
              </w:rPr>
              <w:t>​​ ​ ​</w:t>
            </w:r>
            <w:r>
              <w:rPr>
                <w:rFonts w:ascii="Arial" w:cs="Arial" w:eastAsia="Arial" w:hAnsi="Arial"/>
                <w:sz w:val="23"/>
                <w:szCs w:val="23"/>
                <w:color w:val="auto"/>
                <w:vertAlign w:val="superscript"/>
              </w:rPr>
              <w:t>$</w:t>
            </w:r>
          </w:p>
        </w:tc>
        <w:tc>
          <w:tcPr>
            <w:tcW w:w="400" w:type="dxa"/>
            <w:vAlign w:val="bottom"/>
            <w:gridSpan w:val="2"/>
          </w:tcPr>
          <w:p>
            <w:pPr>
              <w:jc w:val="right"/>
              <w:spacing w:after="0" w:line="201" w:lineRule="exact"/>
              <w:rPr>
                <w:sz w:val="20"/>
                <w:szCs w:val="20"/>
                <w:color w:val="auto"/>
              </w:rPr>
            </w:pPr>
            <w:r>
              <w:rPr>
                <w:rFonts w:ascii="Arial" w:cs="Arial" w:eastAsia="Arial" w:hAnsi="Arial"/>
                <w:sz w:val="13"/>
                <w:szCs w:val="13"/>
                <w:color w:val="auto"/>
              </w:rPr>
              <w:t>​</w:t>
            </w:r>
            <w:r>
              <w:rPr>
                <w:rFonts w:ascii="Arial" w:cs="Arial" w:eastAsia="Arial" w:hAnsi="Arial"/>
                <w:sz w:val="23"/>
                <w:szCs w:val="23"/>
                <w:b w:val="1"/>
                <w:bCs w:val="1"/>
                <w:color w:val="auto"/>
                <w:vertAlign w:val="subscript"/>
              </w:rPr>
              <w:t>​</w:t>
            </w:r>
          </w:p>
        </w:tc>
      </w:tr>
      <w:tr>
        <w:trPr>
          <w:trHeight w:val="44"/>
        </w:trPr>
        <w:tc>
          <w:tcPr>
            <w:tcW w:w="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Borders>
              <w:right w:val="single" w:sz="8" w:color="auto"/>
            </w:tcBorders>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-448310</wp:posOffset>
            </wp:positionV>
            <wp:extent cx="4262120" cy="133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-174625</wp:posOffset>
            </wp:positionV>
            <wp:extent cx="4262120" cy="161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4262120" cy="16129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-721360</wp:posOffset>
            </wp:positionV>
            <wp:extent cx="4262120" cy="140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64" w:lineRule="exact"/>
        <w:rPr>
          <w:sz w:val="20"/>
          <w:szCs w:val="20"/>
          <w:color w:val="auto"/>
        </w:rPr>
      </w:pPr>
    </w:p>
    <w:p>
      <w:pPr>
        <w:ind w:left="1140" w:right="1299"/>
        <w:spacing w:after="0" w:line="250" w:lineRule="auto"/>
        <w:rPr>
          <w:sz w:val="20"/>
          <w:szCs w:val="20"/>
          <w:color w:val="auto"/>
        </w:rPr>
      </w:pPr>
      <w:r>
        <w:rPr>
          <w:rFonts w:ascii="Arial" w:cs="Arial" w:eastAsia="Arial" w:hAnsi="Arial"/>
          <w:sz w:val="15"/>
          <w:szCs w:val="15"/>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89" w:lineRule="exact"/>
        <w:rPr>
          <w:sz w:val="20"/>
          <w:szCs w:val="20"/>
          <w:color w:val="auto"/>
        </w:rPr>
      </w:pPr>
    </w:p>
    <w:p>
      <w:pPr>
        <w:jc w:val="both"/>
        <w:ind w:left="1140" w:right="1379"/>
        <w:spacing w:after="0" w:line="260" w:lineRule="auto"/>
        <w:rPr>
          <w:sz w:val="20"/>
          <w:szCs w:val="20"/>
          <w:color w:val="auto"/>
        </w:rPr>
      </w:pPr>
      <w:r>
        <w:rPr>
          <w:rFonts w:ascii="Arial" w:cs="Arial" w:eastAsia="Arial" w:hAnsi="Arial"/>
          <w:sz w:val="15"/>
          <w:szCs w:val="15"/>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Commissions and Discounts</w:t>
      </w:r>
    </w:p>
    <w:p>
      <w:pPr>
        <w:spacing w:after="0" w:line="133" w:lineRule="exact"/>
        <w:rPr>
          <w:sz w:val="20"/>
          <w:szCs w:val="20"/>
          <w:color w:val="auto"/>
        </w:rPr>
      </w:pPr>
    </w:p>
    <w:p>
      <w:pPr>
        <w:ind w:left="1140" w:right="1179"/>
        <w:spacing w:after="0" w:line="250" w:lineRule="auto"/>
        <w:rPr>
          <w:sz w:val="20"/>
          <w:szCs w:val="20"/>
          <w:color w:val="auto"/>
        </w:rPr>
      </w:pPr>
      <w:r>
        <w:rPr>
          <w:rFonts w:ascii="Arial" w:cs="Arial" w:eastAsia="Arial" w:hAnsi="Arial"/>
          <w:sz w:val="15"/>
          <w:szCs w:val="15"/>
          <w:color w:val="auto"/>
        </w:rPr>
        <w:t>The underwriters propose to offer the notes directly to the public at the public offering prices set forth on the cover page of this prospectus supplement and some of the notes to dealers at the public offering price less a concession not to exceed        % of the principal amount of the 20      notes and        % of the principal amount of the 20      notes. The underwriters may allow, and any such dealer may reallow, a concession not to exceed        % of the principal amount of the 20      notes and        % of the principal amount of the 20      notes. After the initial offering of the notes to the public, the representatives may change the public offering price and other selling terms.</w:t>
      </w:r>
    </w:p>
    <w:p>
      <w:pPr>
        <w:spacing w:after="0" w:line="89" w:lineRule="exact"/>
        <w:rPr>
          <w:sz w:val="20"/>
          <w:szCs w:val="20"/>
          <w:color w:val="auto"/>
        </w:rPr>
      </w:pPr>
    </w:p>
    <w:p>
      <w:pPr>
        <w:ind w:left="1140" w:right="1179"/>
        <w:spacing w:after="0" w:line="311" w:lineRule="auto"/>
        <w:rPr>
          <w:sz w:val="20"/>
          <w:szCs w:val="20"/>
          <w:color w:val="auto"/>
        </w:rPr>
      </w:pPr>
      <w:r>
        <w:rPr>
          <w:rFonts w:ascii="Arial" w:cs="Arial" w:eastAsia="Arial" w:hAnsi="Arial"/>
          <w:sz w:val="14"/>
          <w:szCs w:val="14"/>
          <w:color w:val="auto"/>
        </w:rPr>
        <w:t>The following table shows the underwriting discounts that we are to pay to the underwriters in connection with this offering (expressed as a percentage of the principal amount of the notes and in total).</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Pr>
          <w:p>
            <w:pPr>
              <w:ind w:left="240"/>
              <w:spacing w:after="0"/>
              <w:rPr>
                <w:sz w:val="20"/>
                <w:szCs w:val="20"/>
                <w:color w:val="auto"/>
              </w:rPr>
            </w:pPr>
            <w:r>
              <w:rPr>
                <w:rFonts w:ascii="Arial" w:cs="Arial" w:eastAsia="Arial" w:hAnsi="Arial"/>
                <w:sz w:val="12"/>
                <w:szCs w:val="12"/>
                <w:b w:val="1"/>
                <w:bCs w:val="1"/>
                <w:color w:val="auto"/>
                <w:w w:val="98"/>
              </w:rPr>
              <w:t>Paid by</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6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Micron</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3"/>
        </w:trPr>
        <w:tc>
          <w:tcPr>
            <w:tcW w:w="600" w:type="dxa"/>
            <w:vAlign w:val="bottom"/>
          </w:tcPr>
          <w:p>
            <w:pPr>
              <w:spacing w:after="0"/>
              <w:rPr>
                <w:sz w:val="20"/>
                <w:szCs w:val="20"/>
                <w:color w:val="auto"/>
              </w:rPr>
            </w:pPr>
            <w:r>
              <w:rPr>
                <w:rFonts w:ascii="Arial" w:cs="Arial" w:eastAsia="Arial" w:hAnsi="Arial"/>
                <w:sz w:val="12"/>
                <w:szCs w:val="12"/>
                <w:b w:val="1"/>
                <w:bCs w:val="1"/>
                <w:color w:val="auto"/>
              </w:rPr>
              <w:t>​</w:t>
            </w:r>
          </w:p>
        </w:tc>
        <w:tc>
          <w:tcPr>
            <w:tcW w:w="2760" w:type="dxa"/>
            <w:vAlign w:val="bottom"/>
          </w:tcPr>
          <w:p>
            <w:pPr>
              <w:spacing w:after="0"/>
              <w:rPr>
                <w:sz w:val="14"/>
                <w:szCs w:val="14"/>
                <w:color w:val="auto"/>
              </w:rPr>
            </w:pPr>
          </w:p>
        </w:tc>
        <w:tc>
          <w:tcPr>
            <w:tcW w:w="2440" w:type="dxa"/>
            <w:vAlign w:val="bottom"/>
          </w:tcPr>
          <w:p>
            <w:pPr>
              <w:ind w:left="2260"/>
              <w:spacing w:after="0"/>
              <w:rPr>
                <w:sz w:val="20"/>
                <w:szCs w:val="20"/>
                <w:color w:val="auto"/>
              </w:rPr>
            </w:pPr>
            <w:r>
              <w:rPr>
                <w:rFonts w:ascii="Arial" w:cs="Arial" w:eastAsia="Arial" w:hAnsi="Arial"/>
                <w:sz w:val="12"/>
                <w:szCs w:val="12"/>
                <w:b w:val="1"/>
                <w:bCs w:val="1"/>
                <w:color w:val="auto"/>
              </w:rPr>
              <w:t>​ ​</w:t>
            </w:r>
          </w:p>
        </w:tc>
        <w:tc>
          <w:tcPr>
            <w:tcW w:w="960" w:type="dxa"/>
            <w:vAlign w:val="bottom"/>
            <w:gridSpan w:val="3"/>
          </w:tcPr>
          <w:p>
            <w:pPr>
              <w:spacing w:after="0" w:line="163" w:lineRule="exact"/>
              <w:rPr>
                <w:sz w:val="20"/>
                <w:szCs w:val="20"/>
                <w:color w:val="auto"/>
              </w:rPr>
            </w:pPr>
            <w:r>
              <w:rPr>
                <w:rFonts w:ascii="Arial" w:cs="Arial" w:eastAsia="Arial" w:hAnsi="Arial"/>
                <w:sz w:val="10"/>
                <w:szCs w:val="10"/>
                <w:b w:val="1"/>
                <w:bCs w:val="1"/>
                <w:color w:val="auto"/>
              </w:rPr>
              <w:t>Technology, Inc.</w:t>
            </w:r>
            <w:r>
              <w:rPr>
                <w:rFonts w:ascii="Arial" w:cs="Arial" w:eastAsia="Arial" w:hAnsi="Arial"/>
                <w:sz w:val="18"/>
                <w:szCs w:val="18"/>
                <w:b w:val="1"/>
                <w:bCs w:val="1"/>
                <w:color w:val="auto"/>
                <w:vertAlign w:val="subscript"/>
              </w:rPr>
              <w:t>​</w:t>
            </w:r>
          </w:p>
        </w:tc>
      </w:tr>
      <w:tr>
        <w:trPr>
          <w:trHeight w:val="20"/>
        </w:trPr>
        <w:tc>
          <w:tcPr>
            <w:tcW w:w="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600" w:type="dxa"/>
            <w:vAlign w:val="bottom"/>
          </w:tcPr>
          <w:p>
            <w:pPr>
              <w:ind w:left="20"/>
              <w:spacing w:after="0"/>
              <w:rPr>
                <w:sz w:val="20"/>
                <w:szCs w:val="20"/>
                <w:color w:val="auto"/>
              </w:rPr>
            </w:pPr>
            <w:r>
              <w:rPr>
                <w:rFonts w:ascii="Arial" w:cs="Arial" w:eastAsia="Arial" w:hAnsi="Arial"/>
                <w:sz w:val="15"/>
                <w:szCs w:val="15"/>
                <w:color w:val="auto"/>
              </w:rPr>
              <w:t xml:space="preserve">Per 20   </w:t>
            </w:r>
          </w:p>
        </w:tc>
        <w:tc>
          <w:tcPr>
            <w:tcW w:w="2760" w:type="dxa"/>
            <w:vAlign w:val="bottom"/>
          </w:tcPr>
          <w:p>
            <w:pPr>
              <w:ind w:left="40"/>
              <w:spacing w:after="0"/>
              <w:rPr>
                <w:sz w:val="20"/>
                <w:szCs w:val="20"/>
                <w:color w:val="auto"/>
              </w:rPr>
            </w:pPr>
            <w:r>
              <w:rPr>
                <w:rFonts w:ascii="Arial" w:cs="Arial" w:eastAsia="Arial" w:hAnsi="Arial"/>
                <w:sz w:val="15"/>
                <w:szCs w:val="15"/>
                <w:color w:val="auto"/>
              </w:rPr>
              <w:t>Note</w:t>
            </w:r>
          </w:p>
        </w:tc>
        <w:tc>
          <w:tcPr>
            <w:tcW w:w="2440" w:type="dxa"/>
            <w:vAlign w:val="bottom"/>
          </w:tcPr>
          <w:p>
            <w:pPr>
              <w:ind w:left="2320"/>
              <w:spacing w:after="0"/>
              <w:rPr>
                <w:sz w:val="20"/>
                <w:szCs w:val="20"/>
                <w:color w:val="auto"/>
              </w:rPr>
            </w:pPr>
            <w:r>
              <w:rPr>
                <w:rFonts w:ascii="Arial" w:cs="Arial" w:eastAsia="Arial" w:hAnsi="Arial"/>
                <w:sz w:val="15"/>
                <w:szCs w:val="15"/>
                <w:color w:val="auto"/>
              </w:rPr>
              <w:t>​ ​</w:t>
            </w:r>
          </w:p>
        </w:tc>
        <w:tc>
          <w:tcPr>
            <w:tcW w:w="680" w:type="dxa"/>
            <w:vAlign w:val="bottom"/>
          </w:tcPr>
          <w:p>
            <w:pPr>
              <w:ind w:left="200"/>
              <w:spacing w:after="0"/>
              <w:rPr>
                <w:sz w:val="20"/>
                <w:szCs w:val="20"/>
                <w:color w:val="auto"/>
              </w:rPr>
            </w:pPr>
            <w:r>
              <w:rPr>
                <w:rFonts w:ascii="Arial" w:cs="Arial" w:eastAsia="Arial" w:hAnsi="Arial"/>
                <w:sz w:val="15"/>
                <w:szCs w:val="15"/>
                <w:color w:val="auto"/>
              </w:rPr>
              <w:t>​ ​</w:t>
            </w:r>
          </w:p>
        </w:tc>
        <w:tc>
          <w:tcPr>
            <w:tcW w:w="2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10"/>
        </w:trPr>
        <w:tc>
          <w:tcPr>
            <w:tcW w:w="3360" w:type="dxa"/>
            <w:vAlign w:val="bottom"/>
            <w:gridSpan w:val="2"/>
          </w:tcPr>
          <w:p>
            <w:pPr>
              <w:spacing w:after="0"/>
              <w:rPr>
                <w:sz w:val="20"/>
                <w:szCs w:val="20"/>
                <w:color w:val="auto"/>
              </w:rPr>
            </w:pPr>
            <w:r>
              <w:rPr>
                <w:rFonts w:ascii="Arial" w:cs="Arial" w:eastAsia="Arial" w:hAnsi="Arial"/>
                <w:sz w:val="15"/>
                <w:szCs w:val="15"/>
                <w:color w:val="auto"/>
              </w:rPr>
              <w:t>20    Notes Total</w:t>
            </w:r>
          </w:p>
        </w:tc>
        <w:tc>
          <w:tcPr>
            <w:tcW w:w="2440" w:type="dxa"/>
            <w:vAlign w:val="bottom"/>
          </w:tcPr>
          <w:p>
            <w:pPr>
              <w:ind w:left="2320"/>
              <w:spacing w:after="0"/>
              <w:rPr>
                <w:sz w:val="20"/>
                <w:szCs w:val="20"/>
                <w:color w:val="auto"/>
              </w:rPr>
            </w:pPr>
            <w:r>
              <w:rPr>
                <w:rFonts w:ascii="Arial" w:cs="Arial" w:eastAsia="Arial" w:hAnsi="Arial"/>
                <w:sz w:val="15"/>
                <w:szCs w:val="15"/>
                <w:color w:val="auto"/>
              </w:rPr>
              <w:t>​ ​</w:t>
            </w:r>
          </w:p>
        </w:tc>
        <w:tc>
          <w:tcPr>
            <w:tcW w:w="680" w:type="dxa"/>
            <w:vAlign w:val="bottom"/>
          </w:tcPr>
          <w:p>
            <w:pPr>
              <w:ind w:lef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10"/>
        </w:trPr>
        <w:tc>
          <w:tcPr>
            <w:tcW w:w="600" w:type="dxa"/>
            <w:vAlign w:val="bottom"/>
          </w:tcPr>
          <w:p>
            <w:pPr>
              <w:ind w:left="20"/>
              <w:spacing w:after="0"/>
              <w:rPr>
                <w:sz w:val="20"/>
                <w:szCs w:val="20"/>
                <w:color w:val="auto"/>
              </w:rPr>
            </w:pPr>
            <w:r>
              <w:rPr>
                <w:rFonts w:ascii="Arial" w:cs="Arial" w:eastAsia="Arial" w:hAnsi="Arial"/>
                <w:sz w:val="15"/>
                <w:szCs w:val="15"/>
                <w:color w:val="auto"/>
              </w:rPr>
              <w:t xml:space="preserve">Per 20   </w:t>
            </w:r>
          </w:p>
        </w:tc>
        <w:tc>
          <w:tcPr>
            <w:tcW w:w="2760" w:type="dxa"/>
            <w:vAlign w:val="bottom"/>
          </w:tcPr>
          <w:p>
            <w:pPr>
              <w:ind w:left="40"/>
              <w:spacing w:after="0"/>
              <w:rPr>
                <w:sz w:val="20"/>
                <w:szCs w:val="20"/>
                <w:color w:val="auto"/>
              </w:rPr>
            </w:pPr>
            <w:r>
              <w:rPr>
                <w:rFonts w:ascii="Arial" w:cs="Arial" w:eastAsia="Arial" w:hAnsi="Arial"/>
                <w:sz w:val="15"/>
                <w:szCs w:val="15"/>
                <w:color w:val="auto"/>
              </w:rPr>
              <w:t>Note</w:t>
            </w:r>
          </w:p>
        </w:tc>
        <w:tc>
          <w:tcPr>
            <w:tcW w:w="2440" w:type="dxa"/>
            <w:vAlign w:val="bottom"/>
          </w:tcPr>
          <w:p>
            <w:pPr>
              <w:ind w:left="2320"/>
              <w:spacing w:after="0"/>
              <w:rPr>
                <w:sz w:val="20"/>
                <w:szCs w:val="20"/>
                <w:color w:val="auto"/>
              </w:rPr>
            </w:pPr>
            <w:r>
              <w:rPr>
                <w:rFonts w:ascii="Arial" w:cs="Arial" w:eastAsia="Arial" w:hAnsi="Arial"/>
                <w:sz w:val="15"/>
                <w:szCs w:val="15"/>
                <w:color w:val="auto"/>
              </w:rPr>
              <w:t>​ ​</w:t>
            </w:r>
          </w:p>
        </w:tc>
        <w:tc>
          <w:tcPr>
            <w:tcW w:w="680" w:type="dxa"/>
            <w:vAlign w:val="bottom"/>
          </w:tcPr>
          <w:p>
            <w:pPr>
              <w:ind w:left="200"/>
              <w:spacing w:after="0"/>
              <w:rPr>
                <w:sz w:val="20"/>
                <w:szCs w:val="20"/>
                <w:color w:val="auto"/>
              </w:rPr>
            </w:pPr>
            <w:r>
              <w:rPr>
                <w:rFonts w:ascii="Arial" w:cs="Arial" w:eastAsia="Arial" w:hAnsi="Arial"/>
                <w:sz w:val="15"/>
                <w:szCs w:val="15"/>
                <w:color w:val="auto"/>
              </w:rPr>
              <w:t>​ ​</w:t>
            </w:r>
          </w:p>
        </w:tc>
        <w:tc>
          <w:tcPr>
            <w:tcW w:w="2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10"/>
        </w:trPr>
        <w:tc>
          <w:tcPr>
            <w:tcW w:w="3360" w:type="dxa"/>
            <w:vAlign w:val="bottom"/>
            <w:gridSpan w:val="2"/>
          </w:tcPr>
          <w:p>
            <w:pPr>
              <w:spacing w:after="0"/>
              <w:rPr>
                <w:sz w:val="20"/>
                <w:szCs w:val="20"/>
                <w:color w:val="auto"/>
              </w:rPr>
            </w:pPr>
            <w:r>
              <w:rPr>
                <w:rFonts w:ascii="Arial" w:cs="Arial" w:eastAsia="Arial" w:hAnsi="Arial"/>
                <w:sz w:val="15"/>
                <w:szCs w:val="15"/>
                <w:color w:val="auto"/>
              </w:rPr>
              <w:t>20    Notes Toal</w:t>
            </w:r>
          </w:p>
        </w:tc>
        <w:tc>
          <w:tcPr>
            <w:tcW w:w="2440" w:type="dxa"/>
            <w:vAlign w:val="bottom"/>
          </w:tcPr>
          <w:p>
            <w:pPr>
              <w:ind w:left="2320"/>
              <w:spacing w:after="0"/>
              <w:rPr>
                <w:sz w:val="20"/>
                <w:szCs w:val="20"/>
                <w:color w:val="auto"/>
              </w:rPr>
            </w:pPr>
            <w:r>
              <w:rPr>
                <w:rFonts w:ascii="Arial" w:cs="Arial" w:eastAsia="Arial" w:hAnsi="Arial"/>
                <w:sz w:val="15"/>
                <w:szCs w:val="15"/>
                <w:color w:val="auto"/>
              </w:rPr>
              <w:t>​ ​</w:t>
            </w:r>
          </w:p>
        </w:tc>
        <w:tc>
          <w:tcPr>
            <w:tcW w:w="680" w:type="dxa"/>
            <w:vAlign w:val="bottom"/>
          </w:tcPr>
          <w:p>
            <w:pPr>
              <w:ind w:lef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21"/>
        </w:trPr>
        <w:tc>
          <w:tcPr>
            <w:tcW w:w="600" w:type="dxa"/>
            <w:vAlign w:val="bottom"/>
          </w:tcPr>
          <w:p>
            <w:pPr>
              <w:ind w:left="160"/>
              <w:spacing w:after="0"/>
              <w:rPr>
                <w:sz w:val="20"/>
                <w:szCs w:val="20"/>
                <w:color w:val="auto"/>
              </w:rPr>
            </w:pPr>
            <w:r>
              <w:rPr>
                <w:rFonts w:ascii="Arial" w:cs="Arial" w:eastAsia="Arial" w:hAnsi="Arial"/>
                <w:sz w:val="15"/>
                <w:szCs w:val="15"/>
                <w:color w:val="auto"/>
              </w:rPr>
              <w:t>Total</w:t>
            </w:r>
          </w:p>
        </w:tc>
        <w:tc>
          <w:tcPr>
            <w:tcW w:w="2760" w:type="dxa"/>
            <w:vAlign w:val="bottom"/>
          </w:tcPr>
          <w:p>
            <w:pPr>
              <w:spacing w:after="0"/>
              <w:rPr>
                <w:sz w:val="19"/>
                <w:szCs w:val="19"/>
                <w:color w:val="auto"/>
              </w:rPr>
            </w:pPr>
          </w:p>
        </w:tc>
        <w:tc>
          <w:tcPr>
            <w:tcW w:w="2440" w:type="dxa"/>
            <w:vAlign w:val="bottom"/>
          </w:tcPr>
          <w:p>
            <w:pPr>
              <w:ind w:left="2320"/>
              <w:spacing w:after="0"/>
              <w:rPr>
                <w:sz w:val="20"/>
                <w:szCs w:val="20"/>
                <w:color w:val="auto"/>
              </w:rPr>
            </w:pPr>
            <w:r>
              <w:rPr>
                <w:rFonts w:ascii="Arial" w:cs="Arial" w:eastAsia="Arial" w:hAnsi="Arial"/>
                <w:sz w:val="15"/>
                <w:szCs w:val="15"/>
                <w:color w:val="auto"/>
              </w:rPr>
              <w:t>​ ​</w:t>
            </w:r>
          </w:p>
        </w:tc>
        <w:tc>
          <w:tcPr>
            <w:tcW w:w="680" w:type="dxa"/>
            <w:vAlign w:val="bottom"/>
          </w:tcPr>
          <w:p>
            <w:pPr>
              <w:ind w:lef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-405765</wp:posOffset>
            </wp:positionV>
            <wp:extent cx="4262120" cy="133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-139700</wp:posOffset>
            </wp:positionV>
            <wp:extent cx="4262120" cy="140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-679450</wp:posOffset>
            </wp:positionV>
            <wp:extent cx="4262120" cy="140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76" w:lineRule="exact"/>
        <w:rPr>
          <w:sz w:val="20"/>
          <w:szCs w:val="20"/>
          <w:color w:val="auto"/>
        </w:rPr>
      </w:pPr>
    </w:p>
    <w:p>
      <w:pPr>
        <w:ind w:left="1140" w:right="1559"/>
        <w:spacing w:after="0" w:line="260" w:lineRule="auto"/>
        <w:rPr>
          <w:sz w:val="20"/>
          <w:szCs w:val="20"/>
          <w:color w:val="auto"/>
        </w:rPr>
      </w:pPr>
      <w:r>
        <w:rPr>
          <w:rFonts w:ascii="Arial" w:cs="Arial" w:eastAsia="Arial" w:hAnsi="Arial"/>
          <w:sz w:val="15"/>
          <w:szCs w:val="15"/>
          <w:color w:val="auto"/>
        </w:rPr>
        <w:t>We estimate that our total expenses for this offering, other than underwriting discounts, will be approximately $            million. The underwriters have agreed to reimburse us for certain expenses incurred in connection with this offering.</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4" w:name="page45"/>
    <w:bookmarkEnd w:id="4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New Issue of Notes</w:t>
      </w:r>
    </w:p>
    <w:p>
      <w:pPr>
        <w:spacing w:after="0" w:line="133" w:lineRule="exact"/>
        <w:rPr>
          <w:sz w:val="20"/>
          <w:szCs w:val="20"/>
          <w:color w:val="auto"/>
        </w:rPr>
      </w:pPr>
    </w:p>
    <w:p>
      <w:pPr>
        <w:ind w:left="1140" w:right="1199"/>
        <w:spacing w:after="0" w:line="238" w:lineRule="auto"/>
        <w:rPr>
          <w:sz w:val="20"/>
          <w:szCs w:val="20"/>
          <w:color w:val="auto"/>
        </w:rPr>
      </w:pPr>
      <w:r>
        <w:rPr>
          <w:rFonts w:ascii="Arial" w:cs="Arial" w:eastAsia="Arial" w:hAnsi="Arial"/>
          <w:sz w:val="15"/>
          <w:szCs w:val="15"/>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Price Stabilization and Short Positions</w:t>
      </w:r>
    </w:p>
    <w:p>
      <w:pPr>
        <w:spacing w:after="0" w:line="122" w:lineRule="exact"/>
        <w:rPr>
          <w:sz w:val="20"/>
          <w:szCs w:val="20"/>
          <w:color w:val="auto"/>
        </w:rPr>
      </w:pPr>
    </w:p>
    <w:p>
      <w:pPr>
        <w:ind w:left="1140" w:right="1179"/>
        <w:spacing w:after="0" w:line="241" w:lineRule="auto"/>
        <w:rPr>
          <w:sz w:val="20"/>
          <w:szCs w:val="20"/>
          <w:color w:val="auto"/>
        </w:rPr>
      </w:pPr>
      <w:r>
        <w:rPr>
          <w:rFonts w:ascii="Arial" w:cs="Arial" w:eastAsia="Arial" w:hAnsi="Arial"/>
          <w:sz w:val="15"/>
          <w:szCs w:val="15"/>
          <w:color w:val="auto"/>
        </w:rPr>
        <w:t>In connection with the offering, the underwriters may purchase and sell the notes of any or all series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of any or all series in the open market after pricing that could adversely affect investors who purchase in the offering.</w:t>
      </w:r>
    </w:p>
    <w:p>
      <w:pPr>
        <w:spacing w:after="0" w:line="94" w:lineRule="exact"/>
        <w:rPr>
          <w:sz w:val="20"/>
          <w:szCs w:val="20"/>
          <w:color w:val="auto"/>
        </w:rPr>
      </w:pPr>
    </w:p>
    <w:p>
      <w:pPr>
        <w:ind w:left="1140" w:right="1299"/>
        <w:spacing w:after="0"/>
        <w:rPr>
          <w:sz w:val="20"/>
          <w:szCs w:val="20"/>
          <w:color w:val="auto"/>
        </w:rPr>
      </w:pPr>
      <w:r>
        <w:rPr>
          <w:rFonts w:ascii="Arial" w:cs="Arial" w:eastAsia="Arial" w:hAnsi="Arial"/>
          <w:sz w:val="15"/>
          <w:szCs w:val="15"/>
          <w:color w:val="auto"/>
        </w:rPr>
        <w:t>Similar to other purchase transactions, the underwriters’ purchases to cover the syndicate short sales may have the effect of raising or maintaining the market price of a series of notes or preventing or retarding a decline in the market price of such notes. As a result, the price of such notes may be higher than the price that might otherwise exist in the open market.</w:t>
      </w:r>
    </w:p>
    <w:p>
      <w:pPr>
        <w:spacing w:after="0" w:line="94" w:lineRule="exact"/>
        <w:rPr>
          <w:sz w:val="20"/>
          <w:szCs w:val="20"/>
          <w:color w:val="auto"/>
        </w:rPr>
      </w:pPr>
    </w:p>
    <w:p>
      <w:pPr>
        <w:ind w:left="1140" w:right="1439"/>
        <w:spacing w:after="0" w:line="245"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 Sales of Similar Securities</w:t>
      </w:r>
    </w:p>
    <w:p>
      <w:pPr>
        <w:spacing w:after="0" w:line="122" w:lineRule="exact"/>
        <w:rPr>
          <w:sz w:val="20"/>
          <w:szCs w:val="20"/>
          <w:color w:val="auto"/>
        </w:rPr>
      </w:pPr>
    </w:p>
    <w:p>
      <w:pPr>
        <w:ind w:left="1140" w:right="1239"/>
        <w:spacing w:after="0" w:line="245" w:lineRule="auto"/>
        <w:rPr>
          <w:sz w:val="20"/>
          <w:szCs w:val="20"/>
          <w:color w:val="auto"/>
        </w:rPr>
      </w:pPr>
      <w:r>
        <w:rPr>
          <w:rFonts w:ascii="Arial" w:cs="Arial" w:eastAsia="Arial" w:hAnsi="Arial"/>
          <w:sz w:val="15"/>
          <w:szCs w:val="15"/>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Other Relationships</w:t>
      </w:r>
    </w:p>
    <w:p>
      <w:pPr>
        <w:spacing w:after="0" w:line="122"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91" w:lineRule="exact"/>
        <w:rPr>
          <w:sz w:val="20"/>
          <w:szCs w:val="20"/>
          <w:color w:val="auto"/>
        </w:rPr>
      </w:pPr>
    </w:p>
    <w:p>
      <w:pPr>
        <w:ind w:left="1140" w:right="1179"/>
        <w:spacing w:after="0" w:line="259" w:lineRule="auto"/>
        <w:rPr>
          <w:sz w:val="20"/>
          <w:szCs w:val="20"/>
          <w:color w:val="auto"/>
        </w:rPr>
      </w:pPr>
      <w:r>
        <w:rPr>
          <w:rFonts w:ascii="Arial" w:cs="Arial" w:eastAsia="Arial" w:hAnsi="Arial"/>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99"/>
        <w:spacing w:after="0" w:line="267" w:lineRule="auto"/>
        <w:rPr>
          <w:sz w:val="20"/>
          <w:szCs w:val="20"/>
          <w:color w:val="auto"/>
        </w:rPr>
      </w:pPr>
      <w:r>
        <w:rPr>
          <w:rFonts w:ascii="Arial" w:cs="Arial" w:eastAsia="Arial" w:hAnsi="Arial"/>
          <w:sz w:val="14"/>
          <w:szCs w:val="14"/>
          <w:color w:val="auto"/>
        </w:rPr>
        <w:t>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76" w:lineRule="exact"/>
        <w:rPr>
          <w:sz w:val="20"/>
          <w:szCs w:val="20"/>
          <w:color w:val="auto"/>
        </w:rPr>
      </w:pPr>
    </w:p>
    <w:p>
      <w:pPr>
        <w:ind w:left="1140" w:right="1239"/>
        <w:spacing w:after="0" w:line="241" w:lineRule="auto"/>
        <w:rPr>
          <w:sz w:val="20"/>
          <w:szCs w:val="20"/>
          <w:color w:val="auto"/>
        </w:rPr>
      </w:pPr>
      <w:r>
        <w:rPr>
          <w:rFonts w:ascii="Arial" w:cs="Arial" w:eastAsia="Arial" w:hAnsi="Arial"/>
          <w:sz w:val="15"/>
          <w:szCs w:val="15"/>
          <w:color w:val="auto"/>
        </w:rPr>
        <w:t>In addition, affiliates of certain underwriters are holders of our debt, including the 2027 notes, and are counterparties to the interest rate swaps we entered into in connection with such notes, and upon application of the net proceeds of this offering to redeem such notes and to pay the cost of unwinding such interest rate swaps, such underwriters or their affiliates will receive a portion of the net proceeds of this offering.</w:t>
      </w:r>
    </w:p>
    <w:p>
      <w:pPr>
        <w:spacing w:after="0" w:line="94"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We expect that delivery of the notes will be made to investors on or about                     , 2025, which will be the third business day following the date of this prospectus supplement (such settlement being referred to as T+3).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 2025 will be required, by virtue of the fact that the notes initially settle in T+3, to specify an alternate settlement arrangement to prevent a failed settlement. Purchasers of the notes who wish to trade the notes more than one business day prior to                     , 2025 should consult their advisors.</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Canada</w:t>
      </w:r>
    </w:p>
    <w:p>
      <w:pPr>
        <w:spacing w:after="0" w:line="122" w:lineRule="exact"/>
        <w:rPr>
          <w:sz w:val="20"/>
          <w:szCs w:val="20"/>
          <w:color w:val="auto"/>
        </w:rPr>
      </w:pPr>
    </w:p>
    <w:p>
      <w:pPr>
        <w:ind w:left="1140" w:right="1259"/>
        <w:spacing w:after="0" w:line="242" w:lineRule="auto"/>
        <w:rPr>
          <w:sz w:val="20"/>
          <w:szCs w:val="20"/>
          <w:color w:val="auto"/>
        </w:rPr>
      </w:pPr>
      <w:r>
        <w:rPr>
          <w:rFonts w:ascii="Arial" w:cs="Arial" w:eastAsia="Arial" w:hAnsi="Arial"/>
          <w:sz w:val="15"/>
          <w:szCs w:val="15"/>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94" w:lineRule="exact"/>
        <w:rPr>
          <w:sz w:val="20"/>
          <w:szCs w:val="20"/>
          <w:color w:val="auto"/>
        </w:rPr>
      </w:pPr>
    </w:p>
    <w:p>
      <w:pPr>
        <w:ind w:left="1140" w:right="1179"/>
        <w:spacing w:after="0"/>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5" w:lineRule="exact"/>
        <w:rPr>
          <w:sz w:val="20"/>
          <w:szCs w:val="20"/>
          <w:color w:val="auto"/>
        </w:rPr>
      </w:pPr>
    </w:p>
    <w:p>
      <w:pPr>
        <w:jc w:val="both"/>
        <w:ind w:left="1140" w:right="1759"/>
        <w:spacing w:after="0" w:line="244"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Prohibition of Sales to EEA Retail Investors</w:t>
      </w:r>
    </w:p>
    <w:p>
      <w:pPr>
        <w:spacing w:after="0" w:line="122" w:lineRule="exact"/>
        <w:rPr>
          <w:sz w:val="20"/>
          <w:szCs w:val="20"/>
          <w:color w:val="auto"/>
        </w:rPr>
      </w:pPr>
    </w:p>
    <w:p>
      <w:pPr>
        <w:ind w:left="1140" w:right="1219"/>
        <w:spacing w:after="0" w:line="255" w:lineRule="auto"/>
        <w:rPr>
          <w:sz w:val="20"/>
          <w:szCs w:val="20"/>
          <w:color w:val="auto"/>
        </w:rPr>
      </w:pPr>
      <w:r>
        <w:rPr>
          <w:rFonts w:ascii="Arial" w:cs="Arial" w:eastAsia="Arial" w:hAnsi="Arial"/>
          <w:sz w:val="14"/>
          <w:szCs w:val="14"/>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w:t>
      </w:r>
    </w:p>
    <w:p>
      <w:pPr>
        <w:spacing w:after="0" w:line="3" w:lineRule="exact"/>
        <w:rPr>
          <w:sz w:val="20"/>
          <w:szCs w:val="20"/>
          <w:color w:val="auto"/>
        </w:rPr>
      </w:pPr>
    </w:p>
    <w:p>
      <w:pPr>
        <w:ind w:left="1140" w:right="1199" w:firstLine="8"/>
        <w:spacing w:after="0" w:line="237" w:lineRule="auto"/>
        <w:tabs>
          <w:tab w:leader="none" w:pos="1437" w:val="left"/>
        </w:tabs>
        <w:numPr>
          <w:ilvl w:val="0"/>
          <w:numId w:val="34"/>
        </w:numPr>
        <w:rPr>
          <w:rFonts w:ascii="Arial" w:cs="Arial" w:eastAsia="Arial" w:hAnsi="Arial"/>
          <w:sz w:val="15"/>
          <w:szCs w:val="15"/>
          <w:color w:val="auto"/>
        </w:rPr>
      </w:pPr>
      <w:r>
        <w:rPr>
          <w:rFonts w:ascii="Arial" w:cs="Arial" w:eastAsia="Arial" w:hAnsi="Arial"/>
          <w:sz w:val="15"/>
          <w:szCs w:val="15"/>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79"/>
        <w:spacing w:after="0" w:line="252" w:lineRule="auto"/>
        <w:rPr>
          <w:sz w:val="20"/>
          <w:szCs w:val="20"/>
          <w:color w:val="auto"/>
        </w:rPr>
      </w:pPr>
      <w:r>
        <w:rPr>
          <w:rFonts w:ascii="Arial" w:cs="Arial" w:eastAsia="Arial" w:hAnsi="Arial"/>
          <w:sz w:val="15"/>
          <w:szCs w:val="15"/>
          <w:color w:val="auto"/>
        </w:rPr>
        <w:t>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86" w:lineRule="exact"/>
        <w:rPr>
          <w:sz w:val="20"/>
          <w:szCs w:val="20"/>
          <w:color w:val="auto"/>
        </w:rPr>
      </w:pPr>
    </w:p>
    <w:p>
      <w:pPr>
        <w:ind w:left="1140" w:right="1479"/>
        <w:spacing w:after="0" w:line="259" w:lineRule="auto"/>
        <w:rPr>
          <w:sz w:val="20"/>
          <w:szCs w:val="20"/>
          <w:color w:val="auto"/>
        </w:rPr>
      </w:pPr>
      <w:r>
        <w:rPr>
          <w:rFonts w:ascii="Arial" w:cs="Arial" w:eastAsia="Arial" w:hAnsi="Arial"/>
          <w:sz w:val="15"/>
          <w:szCs w:val="15"/>
          <w:color w:val="auto"/>
        </w:rPr>
        <w:t>This European Economic Area selling restriction is in addition to any other selling restrictions set out below.</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Prohibition of Sales to UK Retail Investors</w:t>
      </w:r>
    </w:p>
    <w:p>
      <w:pPr>
        <w:spacing w:after="0" w:line="122" w:lineRule="exact"/>
        <w:rPr>
          <w:sz w:val="20"/>
          <w:szCs w:val="20"/>
          <w:color w:val="auto"/>
        </w:rPr>
      </w:pPr>
    </w:p>
    <w:p>
      <w:pPr>
        <w:ind w:left="1140" w:right="1219"/>
        <w:spacing w:after="0" w:line="259" w:lineRule="auto"/>
        <w:rPr>
          <w:sz w:val="20"/>
          <w:szCs w:val="20"/>
          <w:color w:val="auto"/>
        </w:rPr>
      </w:pPr>
      <w:r>
        <w:rPr>
          <w:rFonts w:ascii="Arial" w:cs="Arial" w:eastAsia="Arial" w:hAnsi="Arial"/>
          <w:sz w:val="14"/>
          <w:szCs w:val="14"/>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w:t>
      </w:r>
    </w:p>
    <w:p>
      <w:pPr>
        <w:spacing w:after="0" w:line="1" w:lineRule="exact"/>
        <w:rPr>
          <w:sz w:val="20"/>
          <w:szCs w:val="20"/>
          <w:color w:val="auto"/>
        </w:rPr>
      </w:pPr>
    </w:p>
    <w:p>
      <w:pPr>
        <w:ind w:left="1140" w:right="1179" w:firstLine="8"/>
        <w:spacing w:after="0" w:line="254" w:lineRule="auto"/>
        <w:tabs>
          <w:tab w:leader="none" w:pos="13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Hong Kong</w:t>
      </w:r>
    </w:p>
    <w:p>
      <w:pPr>
        <w:spacing w:after="0" w:line="122"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Japan</w:t>
      </w:r>
    </w:p>
    <w:p>
      <w:pPr>
        <w:spacing w:after="0" w:line="122" w:lineRule="exact"/>
        <w:rPr>
          <w:sz w:val="20"/>
          <w:szCs w:val="20"/>
          <w:color w:val="auto"/>
        </w:rPr>
      </w:pPr>
    </w:p>
    <w:p>
      <w:pPr>
        <w:ind w:left="1140" w:right="1219"/>
        <w:spacing w:after="0" w:line="238" w:lineRule="auto"/>
        <w:rPr>
          <w:sz w:val="20"/>
          <w:szCs w:val="20"/>
          <w:color w:val="auto"/>
        </w:rPr>
      </w:pPr>
      <w:r>
        <w:rPr>
          <w:rFonts w:ascii="Arial" w:cs="Arial" w:eastAsia="Arial" w:hAnsi="Arial"/>
          <w:sz w:val="15"/>
          <w:szCs w:val="15"/>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00" w:lineRule="exact"/>
        <w:rPr>
          <w:sz w:val="20"/>
          <w:szCs w:val="20"/>
          <w:color w:val="auto"/>
        </w:rPr>
      </w:pPr>
    </w:p>
    <w:p>
      <w:pPr>
        <w:ind w:left="1140" w:right="1339"/>
        <w:spacing w:after="0" w:line="274" w:lineRule="auto"/>
        <w:rPr>
          <w:sz w:val="20"/>
          <w:szCs w:val="20"/>
          <w:color w:val="auto"/>
        </w:rPr>
      </w:pPr>
      <w:r>
        <w:rPr>
          <w:rFonts w:ascii="Arial" w:cs="Arial" w:eastAsia="Arial" w:hAnsi="Arial"/>
          <w:sz w:val="15"/>
          <w:szCs w:val="15"/>
          <w:color w:val="auto"/>
        </w:rPr>
        <w:t>Any investor desiring to acquire the notes must be aware that the notes may not be Transferred to any other person unless such person is a QII.</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 this section:</w:t>
      </w:r>
    </w:p>
    <w:p>
      <w:pPr>
        <w:spacing w:after="0" w:line="126" w:lineRule="exact"/>
        <w:rPr>
          <w:sz w:val="20"/>
          <w:szCs w:val="20"/>
          <w:color w:val="auto"/>
        </w:rPr>
      </w:pPr>
    </w:p>
    <w:p>
      <w:pPr>
        <w:jc w:val="both"/>
        <w:ind w:left="1140" w:right="1259"/>
        <w:spacing w:after="0" w:line="252" w:lineRule="auto"/>
        <w:rPr>
          <w:sz w:val="20"/>
          <w:szCs w:val="20"/>
          <w:color w:val="auto"/>
        </w:rPr>
      </w:pPr>
      <w:r>
        <w:rPr>
          <w:rFonts w:ascii="Arial" w:cs="Arial" w:eastAsia="Arial" w:hAnsi="Arial"/>
          <w:sz w:val="15"/>
          <w:szCs w:val="15"/>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86" w:lineRule="exact"/>
        <w:rPr>
          <w:sz w:val="20"/>
          <w:szCs w:val="20"/>
          <w:color w:val="auto"/>
        </w:rPr>
      </w:pPr>
    </w:p>
    <w:p>
      <w:pPr>
        <w:jc w:val="both"/>
        <w:ind w:left="1140" w:right="1259"/>
        <w:spacing w:after="0" w:line="244" w:lineRule="auto"/>
        <w:rPr>
          <w:sz w:val="20"/>
          <w:szCs w:val="20"/>
          <w:color w:val="auto"/>
        </w:rPr>
      </w:pPr>
      <w:r>
        <w:rPr>
          <w:rFonts w:ascii="Arial" w:cs="Arial" w:eastAsia="Arial" w:hAnsi="Arial"/>
          <w:sz w:val="15"/>
          <w:szCs w:val="15"/>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92" w:lineRule="exact"/>
        <w:rPr>
          <w:sz w:val="20"/>
          <w:szCs w:val="20"/>
          <w:color w:val="auto"/>
        </w:rPr>
      </w:pPr>
    </w:p>
    <w:p>
      <w:pPr>
        <w:ind w:left="1140" w:right="1619"/>
        <w:spacing w:after="0" w:line="274" w:lineRule="auto"/>
        <w:rPr>
          <w:sz w:val="20"/>
          <w:szCs w:val="20"/>
          <w:color w:val="auto"/>
        </w:rPr>
      </w:pPr>
      <w:r>
        <w:rPr>
          <w:rFonts w:ascii="Arial" w:cs="Arial" w:eastAsia="Arial" w:hAnsi="Arial"/>
          <w:sz w:val="15"/>
          <w:szCs w:val="15"/>
          <w:color w:val="auto"/>
        </w:rPr>
        <w:t>“Resident of Japan” means any person resident in Japan, including any corporation or other entity organized under the laws of Japan.</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Singapore</w:t>
      </w:r>
    </w:p>
    <w:p>
      <w:pPr>
        <w:spacing w:after="0" w:line="122" w:lineRule="exact"/>
        <w:rPr>
          <w:sz w:val="20"/>
          <w:szCs w:val="20"/>
          <w:color w:val="auto"/>
        </w:rPr>
      </w:pPr>
    </w:p>
    <w:p>
      <w:pPr>
        <w:ind w:left="1140" w:right="1479"/>
        <w:spacing w:after="0" w:line="267" w:lineRule="auto"/>
        <w:rPr>
          <w:sz w:val="20"/>
          <w:szCs w:val="20"/>
          <w:color w:val="auto"/>
        </w:rPr>
      </w:pPr>
      <w:r>
        <w:rPr>
          <w:rFonts w:ascii="Arial" w:cs="Arial" w:eastAsia="Arial" w:hAnsi="Arial"/>
          <w:sz w:val="14"/>
          <w:szCs w:val="14"/>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54" w:lineRule="exact"/>
        <w:rPr>
          <w:sz w:val="20"/>
          <w:szCs w:val="20"/>
          <w:color w:val="auto"/>
        </w:rPr>
      </w:pPr>
    </w:p>
    <w:p>
      <w:pPr>
        <w:ind w:left="1740" w:right="1259" w:hanging="298"/>
        <w:spacing w:after="0" w:line="273" w:lineRule="auto"/>
        <w:tabs>
          <w:tab w:leader="none" w:pos="1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 (Chapter 289) of Singapore, as modified or amended from time to time (the “SFA”)) pursuant to</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Section 274 of the SFA;</w:t>
      </w:r>
    </w:p>
    <w:p>
      <w:pPr>
        <w:spacing w:after="0" w:line="101" w:lineRule="exact"/>
        <w:rPr>
          <w:sz w:val="20"/>
          <w:szCs w:val="20"/>
          <w:color w:val="auto"/>
        </w:rPr>
      </w:pPr>
    </w:p>
    <w:p>
      <w:pPr>
        <w:ind w:left="1740" w:right="1199" w:hanging="298"/>
        <w:spacing w:after="0" w:line="260" w:lineRule="auto"/>
        <w:tabs>
          <w:tab w:leader="none" w:pos="17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79" w:lineRule="exact"/>
        <w:rPr>
          <w:rFonts w:ascii="Arial" w:cs="Arial" w:eastAsia="Arial" w:hAnsi="Arial"/>
          <w:sz w:val="15"/>
          <w:szCs w:val="15"/>
          <w:color w:val="auto"/>
        </w:rPr>
      </w:pPr>
    </w:p>
    <w:p>
      <w:pPr>
        <w:ind w:left="1740" w:right="1259" w:hanging="298"/>
        <w:spacing w:after="0" w:line="274" w:lineRule="auto"/>
        <w:tabs>
          <w:tab w:leader="none" w:pos="17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otherwise pursuant to, and in accordance with the conditions of, any other applicable provision of the SFA.</w:t>
      </w:r>
    </w:p>
    <w:p>
      <w:pPr>
        <w:spacing w:after="0" w:line="70" w:lineRule="exact"/>
        <w:rPr>
          <w:sz w:val="20"/>
          <w:szCs w:val="20"/>
          <w:color w:val="auto"/>
        </w:rPr>
      </w:pPr>
    </w:p>
    <w:p>
      <w:pPr>
        <w:ind w:left="1140" w:right="1239"/>
        <w:spacing w:after="0" w:line="274" w:lineRule="auto"/>
        <w:rPr>
          <w:sz w:val="20"/>
          <w:szCs w:val="20"/>
          <w:color w:val="auto"/>
        </w:rPr>
      </w:pPr>
      <w:r>
        <w:rPr>
          <w:rFonts w:ascii="Arial" w:cs="Arial" w:eastAsia="Arial" w:hAnsi="Arial"/>
          <w:sz w:val="15"/>
          <w:szCs w:val="15"/>
          <w:color w:val="auto"/>
        </w:rPr>
        <w:t>Where the notes are subscribed or purchased under Section 275 of the SFA by a relevant person which is:</w:t>
      </w:r>
    </w:p>
    <w:p>
      <w:pPr>
        <w:spacing w:after="0" w:line="48" w:lineRule="exact"/>
        <w:rPr>
          <w:sz w:val="20"/>
          <w:szCs w:val="20"/>
          <w:color w:val="auto"/>
        </w:rPr>
      </w:pPr>
    </w:p>
    <w:p>
      <w:pPr>
        <w:ind w:left="1740" w:right="1239" w:hanging="298"/>
        <w:spacing w:after="0" w:line="260" w:lineRule="auto"/>
        <w:tabs>
          <w:tab w:leader="none" w:pos="17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rFonts w:ascii="Arial" w:cs="Arial" w:eastAsia="Arial" w:hAnsi="Arial"/>
          <w:sz w:val="15"/>
          <w:szCs w:val="15"/>
          <w:color w:val="auto"/>
        </w:rPr>
      </w:pPr>
    </w:p>
    <w:p>
      <w:pPr>
        <w:ind w:left="1740" w:right="1479" w:hanging="298"/>
        <w:spacing w:after="0" w:line="311" w:lineRule="auto"/>
        <w:tabs>
          <w:tab w:leader="none" w:pos="1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w:t>
      </w:r>
    </w:p>
    <w:p>
      <w:pPr>
        <w:spacing w:after="0" w:line="35" w:lineRule="exact"/>
        <w:rPr>
          <w:rFonts w:ascii="Arial" w:cs="Arial" w:eastAsia="Arial" w:hAnsi="Arial"/>
          <w:sz w:val="14"/>
          <w:szCs w:val="14"/>
          <w:color w:val="auto"/>
        </w:rPr>
      </w:pPr>
    </w:p>
    <w:p>
      <w:pPr>
        <w:ind w:left="1740" w:right="1239" w:hanging="298"/>
        <w:spacing w:after="0" w:line="255" w:lineRule="auto"/>
        <w:tabs>
          <w:tab w:leader="none" w:pos="17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3" w:lineRule="exact"/>
        <w:rPr>
          <w:rFonts w:ascii="Arial" w:cs="Arial" w:eastAsia="Arial" w:hAnsi="Arial"/>
          <w:sz w:val="15"/>
          <w:szCs w:val="15"/>
          <w:color w:val="auto"/>
        </w:rPr>
      </w:pPr>
    </w:p>
    <w:p>
      <w:pPr>
        <w:ind w:left="2040" w:right="1419" w:hanging="303"/>
        <w:spacing w:after="0" w:line="274" w:lineRule="auto"/>
        <w:tabs>
          <w:tab w:leader="none" w:pos="20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arising from an offer referred to in Section 275(1A) or Section 276(4)(i)(B) of the SFA;</w:t>
      </w:r>
    </w:p>
    <w:p>
      <w:pPr>
        <w:spacing w:after="0" w:line="58" w:lineRule="exact"/>
        <w:rPr>
          <w:rFonts w:ascii="Arial" w:cs="Arial" w:eastAsia="Arial" w:hAnsi="Arial"/>
          <w:sz w:val="15"/>
          <w:szCs w:val="15"/>
          <w:color w:val="auto"/>
        </w:rPr>
      </w:pPr>
    </w:p>
    <w:p>
      <w:pPr>
        <w:ind w:left="2040" w:hanging="303"/>
        <w:spacing w:after="0"/>
        <w:tabs>
          <w:tab w:leader="none" w:pos="20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114" w:lineRule="exact"/>
        <w:rPr>
          <w:rFonts w:ascii="Arial" w:cs="Arial" w:eastAsia="Arial" w:hAnsi="Arial"/>
          <w:sz w:val="15"/>
          <w:szCs w:val="15"/>
          <w:color w:val="auto"/>
        </w:rPr>
      </w:pPr>
    </w:p>
    <w:p>
      <w:pPr>
        <w:ind w:left="2040" w:hanging="303"/>
        <w:spacing w:after="0"/>
        <w:tabs>
          <w:tab w:leader="none" w:pos="20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03" w:lineRule="exact"/>
        <w:rPr>
          <w:rFonts w:ascii="Arial" w:cs="Arial" w:eastAsia="Arial" w:hAnsi="Arial"/>
          <w:sz w:val="15"/>
          <w:szCs w:val="15"/>
          <w:color w:val="auto"/>
        </w:rPr>
      </w:pPr>
    </w:p>
    <w:p>
      <w:pPr>
        <w:ind w:left="2040" w:hanging="303"/>
        <w:spacing w:after="0"/>
        <w:tabs>
          <w:tab w:leader="none" w:pos="20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114" w:lineRule="exact"/>
        <w:rPr>
          <w:rFonts w:ascii="Arial" w:cs="Arial" w:eastAsia="Arial" w:hAnsi="Arial"/>
          <w:sz w:val="15"/>
          <w:szCs w:val="15"/>
          <w:color w:val="auto"/>
        </w:rPr>
      </w:pPr>
    </w:p>
    <w:p>
      <w:pPr>
        <w:ind w:left="2040" w:right="1639" w:hanging="303"/>
        <w:spacing w:after="0" w:line="311" w:lineRule="auto"/>
        <w:tabs>
          <w:tab w:leader="none" w:pos="20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Singapore Securities and Futures Act Product Classification</w:t>
      </w:r>
    </w:p>
    <w:p>
      <w:pPr>
        <w:spacing w:after="0" w:line="122" w:lineRule="exact"/>
        <w:rPr>
          <w:sz w:val="20"/>
          <w:szCs w:val="20"/>
          <w:color w:val="auto"/>
        </w:rPr>
      </w:pPr>
    </w:p>
    <w:p>
      <w:pPr>
        <w:ind w:left="1140" w:right="1279"/>
        <w:spacing w:after="0" w:line="294" w:lineRule="auto"/>
        <w:rPr>
          <w:sz w:val="20"/>
          <w:szCs w:val="20"/>
          <w:color w:val="auto"/>
        </w:rPr>
      </w:pPr>
      <w:r>
        <w:rPr>
          <w:rFonts w:ascii="Arial" w:cs="Arial" w:eastAsia="Arial" w:hAnsi="Arial"/>
          <w:sz w:val="14"/>
          <w:szCs w:val="14"/>
          <w:color w:val="auto"/>
        </w:rPr>
        <w:t>In connection with Section 309B of the SFA and the CMP Regulations 2018, unless otherwise specified before an offer of notes, we have determined, and hereby notify all relevant persons (as defined in</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99"/>
        <w:spacing w:after="0" w:line="255" w:lineRule="auto"/>
        <w:rPr>
          <w:sz w:val="20"/>
          <w:szCs w:val="20"/>
          <w:color w:val="auto"/>
        </w:rPr>
      </w:pPr>
      <w:r>
        <w:rPr>
          <w:rFonts w:ascii="Arial" w:cs="Arial" w:eastAsia="Arial" w:hAnsi="Arial"/>
          <w:sz w:val="15"/>
          <w:szCs w:val="15"/>
          <w:color w:val="auto"/>
        </w:rPr>
        <w:t>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Switzerland</w:t>
      </w:r>
    </w:p>
    <w:p>
      <w:pPr>
        <w:spacing w:after="0" w:line="133" w:lineRule="exact"/>
        <w:rPr>
          <w:sz w:val="20"/>
          <w:szCs w:val="20"/>
          <w:color w:val="auto"/>
        </w:rPr>
      </w:pPr>
    </w:p>
    <w:p>
      <w:pPr>
        <w:ind w:left="1140" w:right="1219"/>
        <w:spacing w:after="0" w:line="274" w:lineRule="auto"/>
        <w:rPr>
          <w:sz w:val="20"/>
          <w:szCs w:val="20"/>
          <w:color w:val="auto"/>
        </w:rPr>
      </w:pPr>
      <w:r>
        <w:rPr>
          <w:rFonts w:ascii="Arial" w:cs="Arial" w:eastAsia="Arial" w:hAnsi="Arial"/>
          <w:sz w:val="15"/>
          <w:szCs w:val="15"/>
          <w:color w:val="auto"/>
        </w:rPr>
        <w:t>This document is not intended to constitute an offer or solicitation to purchase or invest in the notes. The notes may not be publicly offered, directly or indirectly, in Switzerland within the meaning of the</w:t>
      </w:r>
    </w:p>
    <w:p>
      <w:pPr>
        <w:spacing w:after="0" w:line="70" w:lineRule="exact"/>
        <w:rPr>
          <w:sz w:val="20"/>
          <w:szCs w:val="20"/>
          <w:color w:val="auto"/>
        </w:rPr>
      </w:pPr>
    </w:p>
    <w:p>
      <w:pPr>
        <w:ind w:left="1140" w:right="1239"/>
        <w:spacing w:after="0" w:line="252" w:lineRule="auto"/>
        <w:rPr>
          <w:sz w:val="20"/>
          <w:szCs w:val="20"/>
          <w:color w:val="auto"/>
        </w:rPr>
      </w:pPr>
      <w:r>
        <w:rPr>
          <w:rFonts w:ascii="Arial" w:cs="Arial" w:eastAsia="Arial" w:hAnsi="Arial"/>
          <w:sz w:val="15"/>
          <w:szCs w:val="15"/>
          <w:color w:val="auto"/>
        </w:rPr>
        <w:t>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Taiwan</w:t>
      </w:r>
    </w:p>
    <w:p>
      <w:pPr>
        <w:spacing w:after="0" w:line="133" w:lineRule="exact"/>
        <w:rPr>
          <w:sz w:val="20"/>
          <w:szCs w:val="20"/>
          <w:color w:val="auto"/>
        </w:rPr>
      </w:pPr>
    </w:p>
    <w:p>
      <w:pPr>
        <w:ind w:left="1140" w:right="1199"/>
        <w:spacing w:after="0" w:line="248" w:lineRule="auto"/>
        <w:rPr>
          <w:sz w:val="20"/>
          <w:szCs w:val="20"/>
          <w:color w:val="auto"/>
        </w:rPr>
      </w:pPr>
      <w:r>
        <w:rPr>
          <w:rFonts w:ascii="Arial" w:cs="Arial" w:eastAsia="Arial" w:hAnsi="Arial"/>
          <w:sz w:val="15"/>
          <w:szCs w:val="15"/>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VALIDITY OF SECURITIES</w:t>
      </w:r>
    </w:p>
    <w:p>
      <w:pPr>
        <w:spacing w:after="0" w:line="130" w:lineRule="exact"/>
        <w:rPr>
          <w:sz w:val="20"/>
          <w:szCs w:val="20"/>
          <w:color w:val="auto"/>
        </w:rPr>
      </w:pPr>
    </w:p>
    <w:p>
      <w:pPr>
        <w:ind w:left="1140" w:right="1419"/>
        <w:spacing w:after="0" w:line="260" w:lineRule="auto"/>
        <w:rPr>
          <w:sz w:val="20"/>
          <w:szCs w:val="20"/>
          <w:color w:val="auto"/>
        </w:rPr>
      </w:pPr>
      <w:r>
        <w:rPr>
          <w:rFonts w:ascii="Arial" w:cs="Arial" w:eastAsia="Arial" w:hAnsi="Arial"/>
          <w:sz w:val="15"/>
          <w:szCs w:val="15"/>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30" w:lineRule="exact"/>
        <w:rPr>
          <w:sz w:val="20"/>
          <w:szCs w:val="20"/>
          <w:color w:val="auto"/>
        </w:rPr>
      </w:pPr>
    </w:p>
    <w:p>
      <w:pPr>
        <w:ind w:left="1140" w:right="1239"/>
        <w:spacing w:after="0" w:line="251" w:lineRule="auto"/>
        <w:rPr>
          <w:rFonts w:ascii="Arial" w:cs="Arial" w:eastAsia="Arial" w:hAnsi="Arial"/>
          <w:sz w:val="15"/>
          <w:szCs w:val="15"/>
          <w:color w:val="0000EE"/>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w:t>
      </w:r>
      <w:hyperlink r:id="rId33">
        <w:r>
          <w:rPr>
            <w:rFonts w:ascii="Arial" w:cs="Arial" w:eastAsia="Arial" w:hAnsi="Arial"/>
            <w:sz w:val="15"/>
            <w:szCs w:val="15"/>
            <w:color w:val="auto"/>
          </w:rPr>
          <w:t xml:space="preserve">Reporting) incorporated in this Prospectus by reference to the </w:t>
        </w:r>
        <w:r>
          <w:rPr>
            <w:rFonts w:ascii="Arial" w:cs="Arial" w:eastAsia="Arial" w:hAnsi="Arial"/>
            <w:sz w:val="15"/>
            <w:szCs w:val="15"/>
            <w:u w:val="single" w:color="auto"/>
            <w:color w:val="0000EE"/>
          </w:rPr>
          <w:t>Annual Report on Form 10-K for the year</w:t>
        </w:r>
      </w:hyperlink>
      <w:r>
        <w:rPr>
          <w:rFonts w:ascii="Arial" w:cs="Arial" w:eastAsia="Arial" w:hAnsi="Arial"/>
          <w:sz w:val="15"/>
          <w:szCs w:val="15"/>
          <w:color w:val="auto"/>
        </w:rPr>
        <w:t xml:space="preserve"> </w:t>
      </w:r>
      <w:hyperlink r:id="rId33">
        <w:r>
          <w:rPr>
            <w:rFonts w:ascii="Arial" w:cs="Arial" w:eastAsia="Arial" w:hAnsi="Arial"/>
            <w:sz w:val="15"/>
            <w:szCs w:val="15"/>
            <w:u w:val="single" w:color="auto"/>
            <w:color w:val="0000EE"/>
          </w:rPr>
          <w:t>ended August 29, 2024</w:t>
        </w:r>
        <w:r>
          <w:rPr>
            <w:rFonts w:ascii="Arial" w:cs="Arial" w:eastAsia="Arial" w:hAnsi="Arial"/>
            <w:sz w:val="15"/>
            <w:szCs w:val="15"/>
            <w:color w:val="0000EE"/>
          </w:rPr>
          <w:t xml:space="preserve"> </w:t>
        </w:r>
        <w:r>
          <w:rPr>
            <w:rFonts w:ascii="Arial" w:cs="Arial" w:eastAsia="Arial" w:hAnsi="Arial"/>
            <w:sz w:val="15"/>
            <w:szCs w:val="15"/>
            <w:color w:val="000000"/>
          </w:rPr>
          <w:t>have been so incorporated in reliance on the report of PricewaterhouseCoopers</w:t>
        </w:r>
      </w:hyperlink>
      <w:r>
        <w:rPr>
          <w:rFonts w:ascii="Arial" w:cs="Arial" w:eastAsia="Arial" w:hAnsi="Arial"/>
          <w:sz w:val="15"/>
          <w:szCs w:val="15"/>
          <w:color w:val="0000EE"/>
        </w:rPr>
        <w:t xml:space="preserve"> </w:t>
      </w:r>
      <w:r>
        <w:rPr>
          <w:rFonts w:ascii="Arial" w:cs="Arial" w:eastAsia="Arial" w:hAnsi="Arial"/>
          <w:sz w:val="15"/>
          <w:szCs w:val="15"/>
          <w:color w:val="000000"/>
        </w:rPr>
        <w:t>LLP, an independent registered public accounting firm, given on the authority of said firm as experts in auditing and accounting.</w:t>
      </w:r>
    </w:p>
    <w:p>
      <w:pPr>
        <w:spacing w:after="0" w:line="131" w:lineRule="exact"/>
        <w:rPr>
          <w:sz w:val="20"/>
          <w:szCs w:val="20"/>
          <w:color w:val="auto"/>
        </w:rPr>
      </w:pPr>
    </w:p>
    <w:p>
      <w:pPr>
        <w:ind w:left="1140" w:right="3339"/>
        <w:spacing w:after="0" w:line="274" w:lineRule="auto"/>
        <w:rPr>
          <w:sz w:val="20"/>
          <w:szCs w:val="20"/>
          <w:color w:val="auto"/>
        </w:rPr>
      </w:pPr>
      <w:r>
        <w:rPr>
          <w:rFonts w:ascii="Arial" w:cs="Arial" w:eastAsia="Arial" w:hAnsi="Arial"/>
          <w:sz w:val="32"/>
          <w:szCs w:val="32"/>
          <w:b w:val="1"/>
          <w:bCs w:val="1"/>
          <w:color w:val="auto"/>
        </w:rPr>
        <w:t>WHERE YOU CAN FIND MORE INFORMATION</w:t>
      </w:r>
    </w:p>
    <w:p>
      <w:pPr>
        <w:ind w:left="1140" w:right="1259"/>
        <w:spacing w:after="0" w:line="252"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The SEC maintains an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99" w:lineRule="exact"/>
        <w:rPr>
          <w:sz w:val="20"/>
          <w:szCs w:val="20"/>
          <w:color w:val="auto"/>
        </w:rPr>
      </w:pPr>
    </w:p>
    <w:p>
      <w:pPr>
        <w:ind w:left="1140" w:right="1179"/>
        <w:spacing w:after="0" w:line="266" w:lineRule="auto"/>
        <w:rPr>
          <w:sz w:val="20"/>
          <w:szCs w:val="20"/>
          <w:color w:val="auto"/>
        </w:rPr>
      </w:pPr>
      <w:r>
        <w:rPr>
          <w:rFonts w:ascii="Arial" w:cs="Arial" w:eastAsia="Arial" w:hAnsi="Arial"/>
          <w:sz w:val="14"/>
          <w:szCs w:val="14"/>
          <w:color w:val="auto"/>
        </w:rPr>
        <w:t>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w:t>
      </w:r>
    </w:p>
    <w:p>
      <w:pPr>
        <w:spacing w:after="0" w:line="1"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 xml:space="preserve">Section 13(a), 13(c), 14, or 15(d) of the Exchange Act prior to the termination of the offering under this prospectus supplement,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nothing contained herein shall be deemed to incorporate information furnished to, but not filed with, the SEC, including under Item 2.02 or Item 7.01 of any Current Report on Form 8-K:</w:t>
      </w:r>
    </w:p>
    <w:p>
      <w:pPr>
        <w:spacing w:after="0" w:line="68" w:lineRule="exact"/>
        <w:rPr>
          <w:sz w:val="20"/>
          <w:szCs w:val="20"/>
          <w:color w:val="auto"/>
        </w:rPr>
      </w:pPr>
    </w:p>
    <w:p>
      <w:pPr>
        <w:ind w:left="1580" w:hanging="138"/>
        <w:spacing w:after="0"/>
        <w:tabs>
          <w:tab w:leader="none" w:pos="1580" w:val="left"/>
        </w:tabs>
        <w:numPr>
          <w:ilvl w:val="0"/>
          <w:numId w:val="39"/>
        </w:numPr>
        <w:rPr>
          <w:rFonts w:ascii="Arial" w:cs="Arial" w:eastAsia="Arial" w:hAnsi="Arial"/>
          <w:sz w:val="15"/>
          <w:szCs w:val="15"/>
          <w:u w:val="single" w:color="auto"/>
          <w:color w:val="0000EE"/>
        </w:rPr>
      </w:pPr>
      <w:hyperlink r:id="rId33">
        <w:r>
          <w:rPr>
            <w:rFonts w:ascii="Arial" w:cs="Arial" w:eastAsia="Arial" w:hAnsi="Arial"/>
            <w:sz w:val="15"/>
            <w:szCs w:val="15"/>
            <w:u w:val="single" w:color="auto"/>
            <w:color w:val="0000EE"/>
          </w:rPr>
          <w:t>Our Annual Report on Form 10-K for the fiscal year ended August 29, 2024;</w:t>
        </w:r>
      </w:hyperlink>
    </w:p>
    <w:p>
      <w:pPr>
        <w:spacing w:after="0" w:line="92" w:lineRule="exact"/>
        <w:rPr>
          <w:rFonts w:ascii="Arial" w:cs="Arial" w:eastAsia="Arial" w:hAnsi="Arial"/>
          <w:sz w:val="15"/>
          <w:szCs w:val="15"/>
          <w:u w:val="single" w:color="auto"/>
          <w:color w:val="0000EE"/>
        </w:rPr>
      </w:pPr>
    </w:p>
    <w:p>
      <w:pPr>
        <w:ind w:left="1580" w:right="1639" w:hanging="138"/>
        <w:spacing w:after="0" w:line="274" w:lineRule="auto"/>
        <w:tabs>
          <w:tab w:leader="none" w:pos="1580" w:val="left"/>
        </w:tabs>
        <w:numPr>
          <w:ilvl w:val="0"/>
          <w:numId w:val="39"/>
        </w:numPr>
        <w:rPr>
          <w:rFonts w:ascii="Arial" w:cs="Arial" w:eastAsia="Arial" w:hAnsi="Arial"/>
          <w:sz w:val="15"/>
          <w:szCs w:val="15"/>
          <w:color w:val="0000EE"/>
        </w:rPr>
      </w:pPr>
      <w:r>
        <w:rPr>
          <w:rFonts w:ascii="Arial" w:cs="Arial" w:eastAsia="Arial" w:hAnsi="Arial"/>
          <w:sz w:val="15"/>
          <w:szCs w:val="15"/>
          <w:color w:val="auto"/>
        </w:rPr>
        <w:t xml:space="preserve">Our Quarterly Reports on Form 10-Q for the fiscal quarters ended </w:t>
      </w:r>
      <w:hyperlink r:id="rId89">
        <w:r>
          <w:rPr>
            <w:rFonts w:ascii="Arial" w:cs="Arial" w:eastAsia="Arial" w:hAnsi="Arial"/>
            <w:sz w:val="15"/>
            <w:szCs w:val="15"/>
            <w:u w:val="single" w:color="auto"/>
            <w:color w:val="0000EE"/>
          </w:rPr>
          <w:t>November 28, 2024</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34">
        <w:r>
          <w:rPr>
            <w:rFonts w:ascii="Arial" w:cs="Arial" w:eastAsia="Arial" w:hAnsi="Arial"/>
            <w:sz w:val="15"/>
            <w:szCs w:val="15"/>
            <w:u w:val="single" w:color="auto"/>
            <w:color w:val="0000EE"/>
          </w:rPr>
          <w:t>February 27, 2025</w:t>
        </w:r>
      </w:hyperlink>
      <w:r>
        <w:rPr>
          <w:rFonts w:ascii="Arial" w:cs="Arial" w:eastAsia="Arial" w:hAnsi="Arial"/>
          <w:sz w:val="15"/>
          <w:szCs w:val="15"/>
          <w:color w:val="000000"/>
        </w:rPr>
        <w:t>;</w:t>
      </w:r>
    </w:p>
    <w:p>
      <w:pPr>
        <w:spacing w:after="0" w:line="47" w:lineRule="exact"/>
        <w:rPr>
          <w:rFonts w:ascii="Arial" w:cs="Arial" w:eastAsia="Arial" w:hAnsi="Arial"/>
          <w:sz w:val="15"/>
          <w:szCs w:val="15"/>
          <w:color w:val="0000EE"/>
        </w:rPr>
      </w:pPr>
    </w:p>
    <w:p>
      <w:pPr>
        <w:jc w:val="both"/>
        <w:ind w:left="1580" w:right="1419" w:hanging="138"/>
        <w:spacing w:after="0" w:line="260" w:lineRule="auto"/>
        <w:tabs>
          <w:tab w:leader="none" w:pos="1580" w:val="left"/>
        </w:tabs>
        <w:numPr>
          <w:ilvl w:val="0"/>
          <w:numId w:val="39"/>
        </w:numPr>
        <w:rPr>
          <w:rFonts w:ascii="Arial" w:cs="Arial" w:eastAsia="Arial" w:hAnsi="Arial"/>
          <w:sz w:val="15"/>
          <w:szCs w:val="15"/>
          <w:color w:val="0000EE"/>
        </w:rPr>
      </w:pPr>
      <w:hyperlink r:id="rId33">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90">
        <w:r>
          <w:rPr>
            <w:rFonts w:ascii="Arial" w:cs="Arial" w:eastAsia="Arial" w:hAnsi="Arial"/>
            <w:sz w:val="15"/>
            <w:szCs w:val="15"/>
            <w:u w:val="single" w:color="auto"/>
            <w:color w:val="0000EE"/>
          </w:rPr>
          <w:t>fiscal year ended August 29, 2024</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90">
        <w:r>
          <w:rPr>
            <w:rFonts w:ascii="Arial" w:cs="Arial" w:eastAsia="Arial" w:hAnsi="Arial"/>
            <w:sz w:val="15"/>
            <w:szCs w:val="15"/>
            <w:u w:val="single" w:color="auto"/>
            <w:color w:val="0000EE"/>
          </w:rPr>
          <w:t>with the SEC on November 26, 2024</w:t>
        </w:r>
        <w:r>
          <w:rPr>
            <w:rFonts w:ascii="Arial" w:cs="Arial" w:eastAsia="Arial" w:hAnsi="Arial"/>
            <w:sz w:val="15"/>
            <w:szCs w:val="15"/>
            <w:color w:val="000000"/>
          </w:rPr>
          <w:t>; and</w:t>
        </w:r>
      </w:hyperlink>
    </w:p>
    <w:p>
      <w:pPr>
        <w:spacing w:after="0" w:line="57" w:lineRule="exact"/>
        <w:rPr>
          <w:rFonts w:ascii="Arial" w:cs="Arial" w:eastAsia="Arial" w:hAnsi="Arial"/>
          <w:sz w:val="15"/>
          <w:szCs w:val="15"/>
          <w:color w:val="0000EE"/>
        </w:rPr>
      </w:pPr>
    </w:p>
    <w:p>
      <w:pPr>
        <w:ind w:left="1580" w:right="1299" w:hanging="138"/>
        <w:spacing w:after="0" w:line="274" w:lineRule="auto"/>
        <w:tabs>
          <w:tab w:leader="none" w:pos="1580" w:val="left"/>
        </w:tabs>
        <w:numPr>
          <w:ilvl w:val="0"/>
          <w:numId w:val="39"/>
        </w:numPr>
        <w:rPr>
          <w:rFonts w:ascii="Arial" w:cs="Arial" w:eastAsia="Arial" w:hAnsi="Arial"/>
          <w:sz w:val="15"/>
          <w:szCs w:val="15"/>
          <w:color w:val="0000EE"/>
        </w:rPr>
      </w:pPr>
      <w:r>
        <w:rPr>
          <w:rFonts w:ascii="Arial" w:cs="Arial" w:eastAsia="Arial" w:hAnsi="Arial"/>
          <w:sz w:val="15"/>
          <w:szCs w:val="15"/>
          <w:color w:val="auto"/>
        </w:rPr>
        <w:t xml:space="preserve">Our Current Reports on Form 8-K, filed with the SEC on </w:t>
      </w:r>
      <w:hyperlink r:id="rId91">
        <w:r>
          <w:rPr>
            <w:rFonts w:ascii="Arial" w:cs="Arial" w:eastAsia="Arial" w:hAnsi="Arial"/>
            <w:sz w:val="15"/>
            <w:szCs w:val="15"/>
            <w:u w:val="single" w:color="auto"/>
            <w:color w:val="0000EE"/>
          </w:rPr>
          <w:t>October 30, 2024</w:t>
        </w:r>
      </w:hyperlink>
      <w:r>
        <w:rPr>
          <w:rFonts w:ascii="Arial" w:cs="Arial" w:eastAsia="Arial" w:hAnsi="Arial"/>
          <w:sz w:val="15"/>
          <w:szCs w:val="15"/>
          <w:color w:val="auto"/>
        </w:rPr>
        <w:t xml:space="preserve">, </w:t>
      </w:r>
      <w:hyperlink r:id="rId92">
        <w:r>
          <w:rPr>
            <w:rFonts w:ascii="Arial" w:cs="Arial" w:eastAsia="Arial" w:hAnsi="Arial"/>
            <w:sz w:val="15"/>
            <w:szCs w:val="15"/>
            <w:u w:val="single" w:color="auto"/>
            <w:color w:val="0000EE"/>
          </w:rPr>
          <w:t>December 10, 2024</w:t>
        </w:r>
      </w:hyperlink>
      <w:r>
        <w:rPr>
          <w:rFonts w:ascii="Arial" w:cs="Arial" w:eastAsia="Arial" w:hAnsi="Arial"/>
          <w:sz w:val="15"/>
          <w:szCs w:val="15"/>
          <w:color w:val="auto"/>
        </w:rPr>
        <w:t xml:space="preserve">, </w:t>
      </w:r>
      <w:hyperlink r:id="rId93">
        <w:r>
          <w:rPr>
            <w:rFonts w:ascii="Arial" w:cs="Arial" w:eastAsia="Arial" w:hAnsi="Arial"/>
            <w:sz w:val="15"/>
            <w:szCs w:val="15"/>
            <w:u w:val="single" w:color="auto"/>
            <w:color w:val="0000EE"/>
          </w:rPr>
          <w:t>January 16, 2025</w:t>
        </w:r>
      </w:hyperlink>
      <w:r>
        <w:rPr>
          <w:rFonts w:ascii="Arial" w:cs="Arial" w:eastAsia="Arial" w:hAnsi="Arial"/>
          <w:sz w:val="15"/>
          <w:szCs w:val="15"/>
          <w:color w:val="000000"/>
        </w:rPr>
        <w:t>,</w:t>
      </w:r>
      <w:r>
        <w:rPr>
          <w:rFonts w:ascii="Arial" w:cs="Arial" w:eastAsia="Arial" w:hAnsi="Arial"/>
          <w:sz w:val="15"/>
          <w:szCs w:val="15"/>
          <w:color w:val="0000EE"/>
        </w:rPr>
        <w:t xml:space="preserve"> </w:t>
      </w:r>
      <w:hyperlink r:id="rId94">
        <w:r>
          <w:rPr>
            <w:rFonts w:ascii="Arial" w:cs="Arial" w:eastAsia="Arial" w:hAnsi="Arial"/>
            <w:sz w:val="15"/>
            <w:szCs w:val="15"/>
            <w:u w:val="single" w:color="auto"/>
            <w:color w:val="0000EE"/>
          </w:rPr>
          <w:t>January 21, 2025</w:t>
        </w:r>
      </w:hyperlink>
      <w:r>
        <w:rPr>
          <w:rFonts w:ascii="Arial" w:cs="Arial" w:eastAsia="Arial" w:hAnsi="Arial"/>
          <w:sz w:val="15"/>
          <w:szCs w:val="15"/>
          <w:color w:val="000000"/>
        </w:rPr>
        <w:t>,</w:t>
      </w:r>
      <w:r>
        <w:rPr>
          <w:rFonts w:ascii="Arial" w:cs="Arial" w:eastAsia="Arial" w:hAnsi="Arial"/>
          <w:sz w:val="15"/>
          <w:szCs w:val="15"/>
          <w:color w:val="0000EE"/>
        </w:rPr>
        <w:t xml:space="preserve"> </w:t>
      </w:r>
      <w:hyperlink r:id="rId95">
        <w:r>
          <w:rPr>
            <w:rFonts w:ascii="Arial" w:cs="Arial" w:eastAsia="Arial" w:hAnsi="Arial"/>
            <w:sz w:val="15"/>
            <w:szCs w:val="15"/>
            <w:u w:val="single" w:color="auto"/>
            <w:color w:val="0000EE"/>
          </w:rPr>
          <w:t xml:space="preserve">March 5, 2025 </w:t>
        </w:r>
      </w:hyperlink>
      <w:r>
        <w:rPr>
          <w:rFonts w:ascii="Arial" w:cs="Arial" w:eastAsia="Arial" w:hAnsi="Arial"/>
          <w:sz w:val="15"/>
          <w:szCs w:val="15"/>
          <w:color w:val="000000"/>
        </w:rPr>
        <w:t>and</w:t>
      </w:r>
      <w:r>
        <w:rPr>
          <w:rFonts w:ascii="Arial" w:cs="Arial" w:eastAsia="Arial" w:hAnsi="Arial"/>
          <w:sz w:val="15"/>
          <w:szCs w:val="15"/>
          <w:color w:val="0000EE"/>
        </w:rPr>
        <w:t xml:space="preserve"> </w:t>
      </w:r>
      <w:hyperlink r:id="rId96">
        <w:r>
          <w:rPr>
            <w:rFonts w:ascii="Arial" w:cs="Arial" w:eastAsia="Arial" w:hAnsi="Arial"/>
            <w:sz w:val="15"/>
            <w:szCs w:val="15"/>
            <w:u w:val="single" w:color="auto"/>
            <w:color w:val="0000EE"/>
          </w:rPr>
          <w:t>March 12, 2025</w:t>
        </w:r>
      </w:hyperlink>
      <w:r>
        <w:rPr>
          <w:rFonts w:ascii="Arial" w:cs="Arial" w:eastAsia="Arial" w:hAnsi="Arial"/>
          <w:sz w:val="15"/>
          <w:szCs w:val="15"/>
          <w:color w:val="000000"/>
        </w:rPr>
        <w:t>.</w:t>
      </w:r>
    </w:p>
    <w:p>
      <w:pPr>
        <w:spacing w:after="0" w:line="81" w:lineRule="exact"/>
        <w:rPr>
          <w:rFonts w:ascii="Arial" w:cs="Arial" w:eastAsia="Arial" w:hAnsi="Arial"/>
          <w:sz w:val="15"/>
          <w:szCs w:val="15"/>
          <w:color w:val="0000EE"/>
        </w:rPr>
      </w:pPr>
    </w:p>
    <w:p>
      <w:pPr>
        <w:ind w:left="1140" w:right="1319"/>
        <w:spacing w:after="0" w:line="279" w:lineRule="auto"/>
        <w:rPr>
          <w:sz w:val="20"/>
          <w:szCs w:val="20"/>
          <w:color w:val="auto"/>
        </w:rPr>
      </w:pPr>
      <w:r>
        <w:rPr>
          <w:rFonts w:ascii="Arial" w:cs="Arial" w:eastAsia="Arial" w:hAnsi="Arial"/>
          <w:sz w:val="14"/>
          <w:szCs w:val="14"/>
          <w:color w:val="auto"/>
        </w:rPr>
        <w:t xml:space="preserve">You may request a copy of these filings at no cost by contacting our Investor Relations department by visiting our Web site at </w:t>
      </w:r>
      <w:r>
        <w:rPr>
          <w:rFonts w:ascii="Arial" w:cs="Arial" w:eastAsia="Arial" w:hAnsi="Arial"/>
          <w:sz w:val="14"/>
          <w:szCs w:val="14"/>
          <w:i w:val="1"/>
          <w:iCs w:val="1"/>
          <w:color w:val="auto"/>
        </w:rPr>
        <w:t>www.micron.com</w:t>
      </w:r>
      <w:r>
        <w:rPr>
          <w:rFonts w:ascii="Arial" w:cs="Arial" w:eastAsia="Arial" w:hAnsi="Arial"/>
          <w:sz w:val="14"/>
          <w:szCs w:val="14"/>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5"/>
          <w:szCs w:val="15"/>
          <w:color w:val="0000EE"/>
        </w:rPr>
      </w:pPr>
    </w:p>
    <w:p>
      <w:pPr>
        <w:spacing w:after="0" w:line="354" w:lineRule="exact"/>
        <w:rPr>
          <w:rFonts w:ascii="Arial" w:cs="Arial" w:eastAsia="Arial" w:hAnsi="Arial"/>
          <w:sz w:val="15"/>
          <w:szCs w:val="15"/>
          <w:color w:val="0000EE"/>
        </w:rPr>
      </w:pPr>
    </w:p>
    <w:p>
      <w:pPr>
        <w:jc w:val="center"/>
        <w:ind w:right="59"/>
        <w:spacing w:after="0"/>
        <w:rPr>
          <w:sz w:val="20"/>
          <w:szCs w:val="20"/>
          <w:color w:val="auto"/>
        </w:rPr>
      </w:pPr>
      <w:r>
        <w:rPr>
          <w:rFonts w:ascii="Arial" w:cs="Arial" w:eastAsia="Arial" w:hAnsi="Arial"/>
          <w:sz w:val="15"/>
          <w:szCs w:val="15"/>
          <w:color w:val="auto"/>
        </w:rPr>
        <w:t>S-45</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6"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105410</wp:posOffset>
            </wp:positionV>
            <wp:extent cx="1395095" cy="385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MICRON TECHNOLOGY, INC.</w:t>
      </w:r>
    </w:p>
    <w:p>
      <w:pPr>
        <w:spacing w:after="0" w:line="183"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color w:val="auto"/>
        </w:rPr>
        <w:t>Common Stock</w:t>
      </w:r>
    </w:p>
    <w:p>
      <w:pPr>
        <w:spacing w:after="0" w:line="22"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color w:val="auto"/>
        </w:rPr>
        <w:t>Debt Securities</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color w:val="auto"/>
        </w:rPr>
        <w:t>Warrants</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color w:val="auto"/>
        </w:rPr>
        <w:t>Purchase Contracts</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83185</wp:posOffset>
            </wp:positionV>
            <wp:extent cx="10096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84" w:lineRule="exact"/>
        <w:rPr>
          <w:sz w:val="20"/>
          <w:szCs w:val="20"/>
          <w:color w:val="auto"/>
        </w:rPr>
      </w:pPr>
    </w:p>
    <w:p>
      <w:pPr>
        <w:ind w:left="1420" w:right="1239"/>
        <w:spacing w:after="0" w:line="274" w:lineRule="auto"/>
        <w:rPr>
          <w:sz w:val="20"/>
          <w:szCs w:val="20"/>
          <w:color w:val="auto"/>
        </w:rPr>
      </w:pPr>
      <w:r>
        <w:rPr>
          <w:rFonts w:ascii="Arial" w:cs="Arial" w:eastAsia="Arial" w:hAnsi="Arial"/>
          <w:sz w:val="15"/>
          <w:szCs w:val="15"/>
          <w:color w:val="auto"/>
        </w:rPr>
        <w:t>We may offer and sell the securities identified above from time to time in one or more offerings. This prospectus provides you with a general description of the securities.</w:t>
      </w:r>
    </w:p>
    <w:p>
      <w:pPr>
        <w:spacing w:after="0" w:line="81" w:lineRule="exact"/>
        <w:rPr>
          <w:sz w:val="20"/>
          <w:szCs w:val="20"/>
          <w:color w:val="auto"/>
        </w:rPr>
      </w:pPr>
    </w:p>
    <w:p>
      <w:pPr>
        <w:ind w:left="1420" w:right="1139"/>
        <w:spacing w:after="0" w:line="275" w:lineRule="auto"/>
        <w:rPr>
          <w:sz w:val="20"/>
          <w:szCs w:val="20"/>
          <w:color w:val="auto"/>
        </w:rPr>
      </w:pPr>
      <w:r>
        <w:rPr>
          <w:rFonts w:ascii="Arial" w:cs="Arial" w:eastAsia="Arial" w:hAnsi="Arial"/>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82" w:lineRule="exact"/>
        <w:rPr>
          <w:sz w:val="20"/>
          <w:szCs w:val="20"/>
          <w:color w:val="auto"/>
        </w:rPr>
      </w:pPr>
    </w:p>
    <w:p>
      <w:pPr>
        <w:ind w:left="1420" w:right="899"/>
        <w:spacing w:after="0" w:line="249" w:lineRule="auto"/>
        <w:rPr>
          <w:sz w:val="20"/>
          <w:szCs w:val="20"/>
          <w:color w:val="auto"/>
        </w:rPr>
      </w:pPr>
      <w:r>
        <w:rPr>
          <w:rFonts w:ascii="Arial" w:cs="Arial" w:eastAsia="Arial" w:hAnsi="Arial"/>
          <w:sz w:val="15"/>
          <w:szCs w:val="15"/>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73025</wp:posOffset>
            </wp:positionV>
            <wp:extent cx="100965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8" w:lineRule="exact"/>
        <w:rPr>
          <w:sz w:val="20"/>
          <w:szCs w:val="20"/>
          <w:color w:val="auto"/>
        </w:rPr>
      </w:pPr>
    </w:p>
    <w:p>
      <w:pPr>
        <w:ind w:left="1420" w:right="1019"/>
        <w:spacing w:after="0" w:line="259" w:lineRule="auto"/>
        <w:rPr>
          <w:sz w:val="20"/>
          <w:szCs w:val="20"/>
          <w:color w:val="auto"/>
        </w:rPr>
      </w:pPr>
      <w:r>
        <w:rPr>
          <w:rFonts w:ascii="Arial" w:cs="Arial" w:eastAsia="Arial" w:hAnsi="Arial"/>
          <w:sz w:val="15"/>
          <w:szCs w:val="15"/>
          <w:b w:val="1"/>
          <w:bCs w:val="1"/>
          <w:color w:val="auto"/>
        </w:rPr>
        <w:t xml:space="preserve">INVESTING IN OUR SECURITIES INVOLVES RISKS. SEE “RISK FACTORS” ON PAGE </w:t>
      </w:r>
      <w:r>
        <w:rPr>
          <w:rFonts w:ascii="Arial" w:cs="Arial" w:eastAsia="Arial" w:hAnsi="Arial"/>
          <w:sz w:val="15"/>
          <w:szCs w:val="15"/>
          <w:b w:val="1"/>
          <w:bCs w:val="1"/>
          <w:u w:val="single" w:color="auto"/>
          <w:color w:val="0000EE"/>
        </w:rPr>
        <w:t>5</w:t>
      </w:r>
      <w:r>
        <w:rPr>
          <w:rFonts w:ascii="Arial" w:cs="Arial" w:eastAsia="Arial" w:hAnsi="Arial"/>
          <w:sz w:val="15"/>
          <w:szCs w:val="15"/>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69215</wp:posOffset>
            </wp:positionV>
            <wp:extent cx="10096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2" w:lineRule="exact"/>
        <w:rPr>
          <w:sz w:val="20"/>
          <w:szCs w:val="20"/>
          <w:color w:val="auto"/>
        </w:rPr>
      </w:pPr>
    </w:p>
    <w:p>
      <w:pPr>
        <w:ind w:left="1420" w:right="939"/>
        <w:spacing w:after="0" w:line="311" w:lineRule="auto"/>
        <w:rPr>
          <w:sz w:val="20"/>
          <w:szCs w:val="20"/>
          <w:color w:val="auto"/>
        </w:rPr>
      </w:pPr>
      <w:r>
        <w:rPr>
          <w:rFonts w:ascii="Arial" w:cs="Arial" w:eastAsia="Arial" w:hAnsi="Arial"/>
          <w:sz w:val="14"/>
          <w:szCs w:val="14"/>
          <w:color w:val="auto"/>
        </w:rPr>
        <w:t>Our common stock is listed on The Nasdaq Global Select Market (“Nasdaq”) under the symbol “MU.” On November 1, 2023, the last reported sale price of our common stock on Nasdaq was $69.40 per share.</w:t>
      </w:r>
    </w:p>
    <w:p>
      <w:pPr>
        <w:spacing w:after="0" w:line="46" w:lineRule="exact"/>
        <w:rPr>
          <w:sz w:val="20"/>
          <w:szCs w:val="20"/>
          <w:color w:val="auto"/>
        </w:rPr>
      </w:pPr>
    </w:p>
    <w:p>
      <w:pPr>
        <w:ind w:left="1420" w:right="1079"/>
        <w:spacing w:after="0" w:line="265"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0"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The date of this prospectus is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1113790</wp:posOffset>
            </wp:positionV>
            <wp:extent cx="558419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1" w:name="page52"/>
    <w:bookmarkEnd w:id="5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About</w:t>
      </w:r>
      <w:r>
        <w:rPr>
          <w:rFonts w:ascii="Arial" w:cs="Arial" w:eastAsia="Arial" w:hAnsi="Arial"/>
          <w:sz w:val="15"/>
          <w:szCs w:val="15"/>
          <w:color w:val="000000"/>
        </w:rPr>
        <w:t>​</w:t>
      </w:r>
      <w:r>
        <w:rPr>
          <w:rFonts w:ascii="Arial" w:cs="Arial" w:eastAsia="Arial" w:hAnsi="Arial"/>
          <w:sz w:val="15"/>
          <w:szCs w:val="15"/>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-92710</wp:posOffset>
            </wp:positionV>
            <wp:extent cx="4265295" cy="984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4265295" cy="9842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4"/>
          <w:szCs w:val="14"/>
          <w:color w:val="0000EE"/>
        </w:rPr>
        <w:t>Where</w:t>
      </w:r>
      <w:r>
        <w:rPr>
          <w:rFonts w:ascii="Arial" w:cs="Arial" w:eastAsia="Arial" w:hAnsi="Arial"/>
          <w:sz w:val="14"/>
          <w:szCs w:val="14"/>
          <w:color w:val="000000"/>
        </w:rPr>
        <w:t>​</w:t>
      </w:r>
      <w:r>
        <w:rPr>
          <w:rFonts w:ascii="Arial" w:cs="Arial" w:eastAsia="Arial" w:hAnsi="Arial"/>
          <w:sz w:val="14"/>
          <w:szCs w:val="14"/>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-4445</wp:posOffset>
            </wp:positionV>
            <wp:extent cx="4265295" cy="161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The</w:t>
      </w:r>
      <w:r>
        <w:rPr>
          <w:rFonts w:ascii="Arial" w:cs="Arial" w:eastAsia="Arial" w:hAnsi="Arial"/>
          <w:sz w:val="15"/>
          <w:szCs w:val="15"/>
          <w:color w:val="000000"/>
        </w:rPr>
        <w:t>​</w:t>
      </w:r>
      <w:r>
        <w:rPr>
          <w:rFonts w:ascii="Arial" w:cs="Arial" w:eastAsia="Arial" w:hAnsi="Arial"/>
          <w:sz w:val="15"/>
          <w:szCs w:val="15"/>
          <w:color w:val="0000EE"/>
        </w:rPr>
        <w:t xml:space="preserve"> Company</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Risk</w:t>
      </w:r>
      <w:r>
        <w:rPr>
          <w:rFonts w:ascii="Arial" w:cs="Arial" w:eastAsia="Arial" w:hAnsi="Arial"/>
          <w:sz w:val="15"/>
          <w:szCs w:val="15"/>
          <w:color w:val="000000"/>
        </w:rPr>
        <w:t>​</w:t>
      </w:r>
      <w:r>
        <w:rPr>
          <w:rFonts w:ascii="Arial" w:cs="Arial" w:eastAsia="Arial" w:hAnsi="Arial"/>
          <w:sz w:val="15"/>
          <w:szCs w:val="15"/>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Use</w:t>
      </w:r>
      <w:r>
        <w:rPr>
          <w:rFonts w:ascii="Arial" w:cs="Arial" w:eastAsia="Arial" w:hAnsi="Arial"/>
          <w:sz w:val="15"/>
          <w:szCs w:val="15"/>
          <w:color w:val="000000"/>
        </w:rPr>
        <w:t>​</w:t>
      </w:r>
      <w:r>
        <w:rPr>
          <w:rFonts w:ascii="Arial" w:cs="Arial" w:eastAsia="Arial" w:hAnsi="Arial"/>
          <w:sz w:val="15"/>
          <w:szCs w:val="15"/>
          <w:color w:val="0000EE"/>
        </w:rPr>
        <w:t xml:space="preserv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Description</w:t>
      </w:r>
      <w:r>
        <w:rPr>
          <w:rFonts w:ascii="Arial" w:cs="Arial" w:eastAsia="Arial" w:hAnsi="Arial"/>
          <w:sz w:val="15"/>
          <w:szCs w:val="15"/>
          <w:color w:val="000000"/>
        </w:rPr>
        <w:t>​</w:t>
      </w:r>
      <w:r>
        <w:rPr>
          <w:rFonts w:ascii="Arial" w:cs="Arial" w:eastAsia="Arial" w:hAnsi="Arial"/>
          <w:sz w:val="15"/>
          <w:szCs w:val="15"/>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Plan</w:t>
      </w:r>
      <w:r>
        <w:rPr>
          <w:rFonts w:ascii="Arial" w:cs="Arial" w:eastAsia="Arial" w:hAnsi="Arial"/>
          <w:sz w:val="15"/>
          <w:szCs w:val="15"/>
          <w:color w:val="000000"/>
        </w:rPr>
        <w:t>​</w:t>
      </w:r>
      <w:r>
        <w:rPr>
          <w:rFonts w:ascii="Arial" w:cs="Arial" w:eastAsia="Arial" w:hAnsi="Arial"/>
          <w:sz w:val="15"/>
          <w:szCs w:val="15"/>
          <w:color w:val="0000EE"/>
        </w:rPr>
        <w:t xml:space="preserve">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Legal</w:t>
      </w:r>
      <w:r>
        <w:rPr>
          <w:rFonts w:ascii="Arial" w:cs="Arial" w:eastAsia="Arial" w:hAnsi="Arial"/>
          <w:sz w:val="15"/>
          <w:szCs w:val="15"/>
          <w:color w:val="000000"/>
        </w:rPr>
        <w:t>​</w:t>
      </w:r>
      <w:r>
        <w:rPr>
          <w:rFonts w:ascii="Arial" w:cs="Arial" w:eastAsia="Arial" w:hAnsi="Arial"/>
          <w:sz w:val="15"/>
          <w:szCs w:val="15"/>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r>
        <w:rPr>
          <w:rFonts w:ascii="Arial" w:cs="Arial" w:eastAsia="Arial" w:hAnsi="Arial"/>
          <w:sz w:val="15"/>
          <w:szCs w:val="1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ectPr>
          <w:pgSz w:w="11900" w:h="16838" w:orient="portrait"/>
          <w:cols w:equalWidth="0" w:num="2">
            <w:col w:w="6860" w:space="720"/>
            <w:col w:w="1439"/>
          </w:cols>
          <w:pgMar w:left="1440" w:top="98" w:right="1440" w:bottom="1440" w:gutter="0" w:footer="0" w:header="0"/>
        </w:sectPr>
      </w:pPr>
    </w:p>
    <w:bookmarkStart w:id="52" w:name="page53"/>
    <w:bookmarkEnd w:id="5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w:t>
      </w:r>
    </w:p>
    <w:p>
      <w:pPr>
        <w:spacing w:after="0" w:line="130"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89" w:lineRule="exact"/>
        <w:rPr>
          <w:sz w:val="20"/>
          <w:szCs w:val="20"/>
          <w:color w:val="auto"/>
        </w:rPr>
      </w:pPr>
    </w:p>
    <w:p>
      <w:pPr>
        <w:ind w:left="1140" w:right="1199"/>
        <w:spacing w:after="0" w:line="265" w:lineRule="auto"/>
        <w:rPr>
          <w:sz w:val="20"/>
          <w:szCs w:val="20"/>
          <w:color w:val="auto"/>
        </w:rPr>
      </w:pPr>
      <w:r>
        <w:rPr>
          <w:rFonts w:ascii="Arial" w:cs="Arial" w:eastAsia="Arial" w:hAnsi="Arial"/>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264" w:lineRule="exact"/>
        <w:rPr>
          <w:sz w:val="20"/>
          <w:szCs w:val="20"/>
          <w:color w:val="auto"/>
        </w:rPr>
      </w:pPr>
    </w:p>
    <w:p>
      <w:pPr>
        <w:ind w:left="1140" w:right="1299"/>
        <w:spacing w:after="0" w:line="287" w:lineRule="auto"/>
        <w:rPr>
          <w:sz w:val="20"/>
          <w:szCs w:val="20"/>
          <w:color w:val="auto"/>
        </w:rPr>
      </w:pPr>
      <w:r>
        <w:rPr>
          <w:rFonts w:ascii="Arial" w:cs="Arial" w:eastAsia="Arial" w:hAnsi="Arial"/>
          <w:sz w:val="14"/>
          <w:szCs w:val="14"/>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WHERE YOU CAN FIND MORE</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INFORMATION;</w:t>
      </w:r>
    </w:p>
    <w:p>
      <w:pPr>
        <w:ind w:left="1140"/>
        <w:spacing w:after="0"/>
        <w:rPr>
          <w:sz w:val="20"/>
          <w:szCs w:val="20"/>
          <w:color w:val="auto"/>
        </w:rPr>
      </w:pPr>
      <w:r>
        <w:rPr>
          <w:rFonts w:ascii="Arial" w:cs="Arial" w:eastAsia="Arial" w:hAnsi="Arial"/>
          <w:sz w:val="32"/>
          <w:szCs w:val="32"/>
          <w:b w:val="1"/>
          <w:bCs w:val="1"/>
          <w:color w:val="auto"/>
        </w:rPr>
        <w:t>INCORPORATION BY REFERENCE</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Available Information</w:t>
      </w:r>
    </w:p>
    <w:p>
      <w:pPr>
        <w:spacing w:after="0" w:line="133" w:lineRule="exact"/>
        <w:rPr>
          <w:sz w:val="20"/>
          <w:szCs w:val="20"/>
          <w:color w:val="auto"/>
        </w:rPr>
      </w:pPr>
    </w:p>
    <w:p>
      <w:pPr>
        <w:ind w:left="1140" w:right="1299"/>
        <w:spacing w:after="0" w:line="260" w:lineRule="auto"/>
        <w:rPr>
          <w:sz w:val="20"/>
          <w:szCs w:val="20"/>
          <w:color w:val="auto"/>
        </w:rPr>
      </w:pPr>
      <w:r>
        <w:rPr>
          <w:rFonts w:ascii="Arial" w:cs="Arial" w:eastAsia="Arial" w:hAnsi="Arial"/>
          <w:sz w:val="15"/>
          <w:szCs w:val="15"/>
          <w:color w:val="auto"/>
        </w:rPr>
        <w:t xml:space="preserve">We file reports, proxy statements, and other information with the SEC. The SEC maintains a website at </w:t>
      </w:r>
      <w:r>
        <w:rPr>
          <w:rFonts w:ascii="Arial" w:cs="Arial" w:eastAsia="Arial" w:hAnsi="Arial"/>
          <w:sz w:val="15"/>
          <w:szCs w:val="15"/>
          <w:i w:val="1"/>
          <w:iCs w:val="1"/>
          <w:color w:val="auto"/>
        </w:rPr>
        <w:t>www.sec.gov</w:t>
      </w:r>
      <w:r>
        <w:rPr>
          <w:rFonts w:ascii="Arial" w:cs="Arial" w:eastAsia="Arial" w:hAnsi="Arial"/>
          <w:sz w:val="15"/>
          <w:szCs w:val="15"/>
          <w:color w:val="auto"/>
        </w:rPr>
        <w:t>, from which interested persons can electronically access any document we file</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electronically with the SEC.</w:t>
      </w:r>
    </w:p>
    <w:p>
      <w:pPr>
        <w:spacing w:after="0" w:line="80" w:lineRule="exact"/>
        <w:rPr>
          <w:sz w:val="20"/>
          <w:szCs w:val="20"/>
          <w:color w:val="auto"/>
        </w:rPr>
      </w:pPr>
    </w:p>
    <w:p>
      <w:pPr>
        <w:ind w:left="1140" w:right="1339"/>
        <w:spacing w:after="0" w:line="274" w:lineRule="auto"/>
        <w:rPr>
          <w:sz w:val="20"/>
          <w:szCs w:val="20"/>
          <w:color w:val="auto"/>
        </w:rPr>
      </w:pPr>
      <w:r>
        <w:rPr>
          <w:rFonts w:ascii="Arial" w:cs="Arial" w:eastAsia="Arial" w:hAnsi="Arial"/>
          <w:sz w:val="15"/>
          <w:szCs w:val="15"/>
          <w:color w:val="auto"/>
        </w:rPr>
        <w:t xml:space="preserve">Our website address is </w:t>
      </w:r>
      <w:r>
        <w:rPr>
          <w:rFonts w:ascii="Arial" w:cs="Arial" w:eastAsia="Arial" w:hAnsi="Arial"/>
          <w:sz w:val="15"/>
          <w:szCs w:val="15"/>
          <w:i w:val="1"/>
          <w:iCs w:val="1"/>
          <w:color w:val="auto"/>
        </w:rPr>
        <w:t>www.micron.com</w:t>
      </w:r>
      <w:r>
        <w:rPr>
          <w:rFonts w:ascii="Arial" w:cs="Arial" w:eastAsia="Arial" w:hAnsi="Arial"/>
          <w:sz w:val="15"/>
          <w:szCs w:val="15"/>
          <w:color w:val="auto"/>
        </w:rPr>
        <w:t>. The information on our website, however, is not, and should not be deemed to be, a part of this prospectus.</w:t>
      </w:r>
    </w:p>
    <w:p>
      <w:pPr>
        <w:spacing w:after="0" w:line="81" w:lineRule="exact"/>
        <w:rPr>
          <w:sz w:val="20"/>
          <w:szCs w:val="20"/>
          <w:color w:val="auto"/>
        </w:rPr>
      </w:pPr>
    </w:p>
    <w:p>
      <w:pPr>
        <w:ind w:left="1140" w:right="1179"/>
        <w:spacing w:after="0" w:line="249" w:lineRule="auto"/>
        <w:rPr>
          <w:sz w:val="20"/>
          <w:szCs w:val="20"/>
          <w:color w:val="auto"/>
        </w:rPr>
      </w:pPr>
      <w:r>
        <w:rPr>
          <w:rFonts w:ascii="Arial" w:cs="Arial" w:eastAsia="Arial" w:hAnsi="Arial"/>
          <w:sz w:val="15"/>
          <w:szCs w:val="15"/>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Incorporation by Reference</w:t>
      </w:r>
    </w:p>
    <w:p>
      <w:pPr>
        <w:spacing w:after="0" w:line="122" w:lineRule="exact"/>
        <w:rPr>
          <w:sz w:val="20"/>
          <w:szCs w:val="20"/>
          <w:color w:val="auto"/>
        </w:rPr>
      </w:pPr>
    </w:p>
    <w:p>
      <w:pPr>
        <w:ind w:left="1140" w:right="1319"/>
        <w:spacing w:after="0" w:line="271" w:lineRule="auto"/>
        <w:rPr>
          <w:sz w:val="20"/>
          <w:szCs w:val="20"/>
          <w:color w:val="auto"/>
        </w:rPr>
      </w:pPr>
      <w:r>
        <w:rPr>
          <w:rFonts w:ascii="Arial" w:cs="Arial" w:eastAsia="Arial" w:hAnsi="Arial"/>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85" w:lineRule="exact"/>
        <w:rPr>
          <w:sz w:val="20"/>
          <w:szCs w:val="20"/>
          <w:color w:val="auto"/>
        </w:rPr>
      </w:pPr>
    </w:p>
    <w:p>
      <w:pPr>
        <w:ind w:left="1140" w:right="1199"/>
        <w:spacing w:after="0" w:line="271" w:lineRule="auto"/>
        <w:rPr>
          <w:sz w:val="20"/>
          <w:szCs w:val="20"/>
          <w:color w:val="auto"/>
        </w:rPr>
      </w:pPr>
      <w:r>
        <w:rPr>
          <w:rFonts w:ascii="Arial" w:cs="Arial" w:eastAsia="Arial" w:hAnsi="Arial"/>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85" w:lineRule="exact"/>
        <w:rPr>
          <w:sz w:val="20"/>
          <w:szCs w:val="20"/>
          <w:color w:val="auto"/>
        </w:rPr>
      </w:pPr>
    </w:p>
    <w:p>
      <w:pPr>
        <w:ind w:left="1140" w:right="1179"/>
        <w:spacing w:after="0" w:line="274" w:lineRule="auto"/>
        <w:rPr>
          <w:sz w:val="20"/>
          <w:szCs w:val="20"/>
          <w:color w:val="auto"/>
        </w:rPr>
      </w:pPr>
      <w:r>
        <w:rPr>
          <w:rFonts w:ascii="Arial" w:cs="Arial" w:eastAsia="Arial" w:hAnsi="Arial"/>
          <w:sz w:val="15"/>
          <w:szCs w:val="15"/>
          <w:color w:val="auto"/>
        </w:rPr>
        <w:t>This prospectus and any accompanying prospectus supplement incorporate by reference the documents set forth below that have previously been filed with the SEC:</w:t>
      </w:r>
    </w:p>
    <w:p>
      <w:pPr>
        <w:spacing w:after="0" w:line="48" w:lineRule="exact"/>
        <w:rPr>
          <w:sz w:val="20"/>
          <w:szCs w:val="20"/>
          <w:color w:val="auto"/>
        </w:rPr>
      </w:pPr>
    </w:p>
    <w:p>
      <w:pPr>
        <w:ind w:left="1580" w:right="1199" w:hanging="138"/>
        <w:spacing w:after="0" w:line="274" w:lineRule="auto"/>
        <w:tabs>
          <w:tab w:leader="none" w:pos="1580" w:val="left"/>
        </w:tabs>
        <w:numPr>
          <w:ilvl w:val="0"/>
          <w:numId w:val="40"/>
        </w:numPr>
        <w:rPr>
          <w:rFonts w:ascii="Arial" w:cs="Arial" w:eastAsia="Arial" w:hAnsi="Arial"/>
          <w:sz w:val="15"/>
          <w:szCs w:val="15"/>
          <w:u w:val="single" w:color="auto"/>
          <w:color w:val="0000EE"/>
        </w:rPr>
      </w:pPr>
      <w:hyperlink r:id="rId110">
        <w:r>
          <w:rPr>
            <w:rFonts w:ascii="Arial" w:cs="Arial" w:eastAsia="Arial" w:hAnsi="Arial"/>
            <w:sz w:val="15"/>
            <w:szCs w:val="15"/>
            <w:u w:val="single" w:color="auto"/>
            <w:color w:val="0000EE"/>
          </w:rPr>
          <w:t>Our Annual Report on Form 10-K for the fiscal year ended August 31, 2023, filed with the SEC on</w:t>
        </w:r>
      </w:hyperlink>
      <w:r>
        <w:rPr>
          <w:rFonts w:ascii="Arial" w:cs="Arial" w:eastAsia="Arial" w:hAnsi="Arial"/>
          <w:sz w:val="15"/>
          <w:szCs w:val="15"/>
          <w:u w:val="single" w:color="auto"/>
          <w:color w:val="0000EE"/>
        </w:rPr>
        <w:t xml:space="preserve"> </w:t>
      </w:r>
      <w:hyperlink r:id="rId110">
        <w:r>
          <w:rPr>
            <w:rFonts w:ascii="Arial" w:cs="Arial" w:eastAsia="Arial" w:hAnsi="Arial"/>
            <w:sz w:val="15"/>
            <w:szCs w:val="15"/>
            <w:u w:val="single" w:color="auto"/>
            <w:color w:val="0000EE"/>
          </w:rPr>
          <w:t>October 6, 2023.</w:t>
        </w:r>
      </w:hyperlink>
    </w:p>
    <w:p>
      <w:pPr>
        <w:spacing w:after="0" w:line="47" w:lineRule="exact"/>
        <w:rPr>
          <w:rFonts w:ascii="Arial" w:cs="Arial" w:eastAsia="Arial" w:hAnsi="Arial"/>
          <w:sz w:val="15"/>
          <w:szCs w:val="15"/>
          <w:u w:val="single" w:color="auto"/>
          <w:color w:val="0000EE"/>
        </w:rPr>
      </w:pPr>
    </w:p>
    <w:p>
      <w:pPr>
        <w:ind w:left="1580" w:right="1259" w:hanging="138"/>
        <w:spacing w:after="0" w:line="260" w:lineRule="auto"/>
        <w:tabs>
          <w:tab w:leader="none" w:pos="1580" w:val="left"/>
        </w:tabs>
        <w:numPr>
          <w:ilvl w:val="0"/>
          <w:numId w:val="40"/>
        </w:numPr>
        <w:rPr>
          <w:rFonts w:ascii="Arial" w:cs="Arial" w:eastAsia="Arial" w:hAnsi="Arial"/>
          <w:sz w:val="15"/>
          <w:szCs w:val="15"/>
          <w:u w:val="single" w:color="auto"/>
          <w:color w:val="0000EE"/>
        </w:rPr>
      </w:pPr>
      <w:hyperlink r:id="rId111">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112">
        <w:r>
          <w:rPr>
            <w:rFonts w:ascii="Arial" w:cs="Arial" w:eastAsia="Arial" w:hAnsi="Arial"/>
            <w:sz w:val="15"/>
            <w:szCs w:val="15"/>
            <w:u w:val="single" w:color="auto"/>
            <w:color w:val="0000EE"/>
          </w:rPr>
          <w:t>fiscal year ended September 1, 2022</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112">
        <w:r>
          <w:rPr>
            <w:rFonts w:ascii="Arial" w:cs="Arial" w:eastAsia="Arial" w:hAnsi="Arial"/>
            <w:sz w:val="15"/>
            <w:szCs w:val="15"/>
            <w:u w:val="single" w:color="auto"/>
            <w:color w:val="0000EE"/>
          </w:rPr>
          <w:t>with the SEC on December 2, 2022.</w:t>
        </w:r>
      </w:hyperlink>
    </w:p>
    <w:p>
      <w:pPr>
        <w:spacing w:after="0" w:line="57" w:lineRule="exact"/>
        <w:rPr>
          <w:rFonts w:ascii="Arial" w:cs="Arial" w:eastAsia="Arial" w:hAnsi="Arial"/>
          <w:sz w:val="15"/>
          <w:szCs w:val="15"/>
          <w:u w:val="single" w:color="auto"/>
          <w:color w:val="0000EE"/>
        </w:rPr>
      </w:pPr>
    </w:p>
    <w:p>
      <w:pPr>
        <w:ind w:left="1580" w:right="1399" w:hanging="138"/>
        <w:spacing w:after="0" w:line="260" w:lineRule="auto"/>
        <w:tabs>
          <w:tab w:leader="none" w:pos="1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The description of our common stock, par value $0.10 per share, contained in our registration statement on </w:t>
      </w:r>
      <w:hyperlink r:id="rId113">
        <w:r>
          <w:rPr>
            <w:rFonts w:ascii="Arial" w:cs="Arial" w:eastAsia="Arial" w:hAnsi="Arial"/>
            <w:sz w:val="15"/>
            <w:szCs w:val="15"/>
            <w:u w:val="single" w:color="auto"/>
            <w:color w:val="0000EE"/>
          </w:rPr>
          <w:t>Form 8-A, filed with the SEC on December 21, 2009</w:t>
        </w:r>
      </w:hyperlink>
      <w:r>
        <w:rPr>
          <w:rFonts w:ascii="Arial" w:cs="Arial" w:eastAsia="Arial" w:hAnsi="Arial"/>
          <w:sz w:val="15"/>
          <w:szCs w:val="15"/>
          <w:color w:val="auto"/>
        </w:rPr>
        <w:t>, including any subsequently filed amendments and reports updating such description.</w:t>
      </w:r>
    </w:p>
    <w:p>
      <w:pPr>
        <w:spacing w:after="0" w:line="91" w:lineRule="exact"/>
        <w:rPr>
          <w:rFonts w:ascii="Arial" w:cs="Arial" w:eastAsia="Arial" w:hAnsi="Arial"/>
          <w:sz w:val="15"/>
          <w:szCs w:val="15"/>
          <w:color w:val="0000EE"/>
        </w:rPr>
      </w:pPr>
    </w:p>
    <w:p>
      <w:pPr>
        <w:ind w:left="1140" w:right="1219"/>
        <w:spacing w:after="0" w:line="274" w:lineRule="auto"/>
        <w:rPr>
          <w:sz w:val="20"/>
          <w:szCs w:val="20"/>
          <w:color w:val="auto"/>
        </w:rPr>
      </w:pPr>
      <w:r>
        <w:rPr>
          <w:rFonts w:ascii="Arial" w:cs="Arial" w:eastAsia="Arial" w:hAnsi="Arial"/>
          <w:sz w:val="15"/>
          <w:szCs w:val="15"/>
          <w:color w:val="auto"/>
        </w:rPr>
        <w:t>All reports and other documents we subsequently file pursuant to Section 13(a), 13(c), 14 or 15(d) of the Exchange Act prior to the termination of this offering but excluding any information furnished to,</w:t>
      </w:r>
    </w:p>
    <w:p>
      <w:pPr>
        <w:spacing w:after="0" w:line="280" w:lineRule="exact"/>
        <w:rPr>
          <w:rFonts w:ascii="Arial" w:cs="Arial" w:eastAsia="Arial" w:hAnsi="Arial"/>
          <w:sz w:val="15"/>
          <w:szCs w:val="15"/>
          <w:color w:val="0000EE"/>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74" w:lineRule="auto"/>
        <w:rPr>
          <w:sz w:val="20"/>
          <w:szCs w:val="20"/>
          <w:color w:val="auto"/>
        </w:rPr>
      </w:pPr>
      <w:r>
        <w:rPr>
          <w:rFonts w:ascii="Arial" w:cs="Arial" w:eastAsia="Arial" w:hAnsi="Arial"/>
          <w:sz w:val="15"/>
          <w:szCs w:val="15"/>
          <w:color w:val="auto"/>
        </w:rPr>
        <w:t>rather than filed with, the SEC, will also be incorporated by reference into this prospectus and deemed to be part of this prospectus from the date of the filing of such reports and documents.</w:t>
      </w:r>
    </w:p>
    <w:p>
      <w:pPr>
        <w:spacing w:after="0" w:line="81" w:lineRule="exact"/>
        <w:rPr>
          <w:sz w:val="20"/>
          <w:szCs w:val="20"/>
          <w:color w:val="auto"/>
        </w:rPr>
      </w:pPr>
    </w:p>
    <w:p>
      <w:pPr>
        <w:ind w:left="1140" w:right="1179"/>
        <w:spacing w:after="0" w:line="260" w:lineRule="auto"/>
        <w:rPr>
          <w:sz w:val="20"/>
          <w:szCs w:val="20"/>
          <w:color w:val="auto"/>
        </w:rPr>
      </w:pPr>
      <w:r>
        <w:rPr>
          <w:rFonts w:ascii="Arial" w:cs="Arial" w:eastAsia="Arial" w:hAnsi="Arial"/>
          <w:sz w:val="15"/>
          <w:szCs w:val="15"/>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91"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Micron Technology, Inc.</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8000 South Federal Way</w:t>
      </w:r>
    </w:p>
    <w:p>
      <w:pPr>
        <w:spacing w:after="0" w:line="4"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Boise, Idaho 83716-9632</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(208) 368-4000</w:t>
      </w:r>
    </w:p>
    <w:p>
      <w:pPr>
        <w:spacing w:after="0" w:line="101" w:lineRule="exact"/>
        <w:rPr>
          <w:sz w:val="20"/>
          <w:szCs w:val="20"/>
          <w:color w:val="auto"/>
        </w:rPr>
      </w:pPr>
    </w:p>
    <w:p>
      <w:pPr>
        <w:ind w:left="1140" w:right="1219"/>
        <w:spacing w:after="0" w:line="274" w:lineRule="auto"/>
        <w:rPr>
          <w:sz w:val="20"/>
          <w:szCs w:val="20"/>
          <w:color w:val="auto"/>
        </w:rPr>
      </w:pPr>
      <w:r>
        <w:rPr>
          <w:rFonts w:ascii="Arial" w:cs="Arial" w:eastAsia="Arial" w:hAnsi="Arial"/>
          <w:sz w:val="15"/>
          <w:szCs w:val="15"/>
          <w:color w:val="auto"/>
        </w:rPr>
        <w:t>Exhibits to the filings will not be sent, however, unless those exhibits have specifically been incorporated by reference in this prospectus or any accompanying prospectus supplement.</w:t>
      </w:r>
    </w:p>
    <w:p>
      <w:pPr>
        <w:spacing w:after="0" w:line="81" w:lineRule="exact"/>
        <w:rPr>
          <w:sz w:val="20"/>
          <w:szCs w:val="20"/>
          <w:color w:val="auto"/>
        </w:rPr>
      </w:pPr>
    </w:p>
    <w:p>
      <w:pPr>
        <w:ind w:left="1140" w:right="1819"/>
        <w:spacing w:after="0" w:line="311" w:lineRule="auto"/>
        <w:rPr>
          <w:sz w:val="20"/>
          <w:szCs w:val="20"/>
          <w:color w:val="auto"/>
        </w:rPr>
      </w:pPr>
      <w:r>
        <w:rPr>
          <w:rFonts w:ascii="Arial" w:cs="Arial" w:eastAsia="Arial" w:hAnsi="Arial"/>
          <w:sz w:val="14"/>
          <w:szCs w:val="14"/>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THE COMPANY</w:t>
      </w:r>
    </w:p>
    <w:p>
      <w:pPr>
        <w:spacing w:after="0" w:line="130" w:lineRule="exact"/>
        <w:rPr>
          <w:sz w:val="20"/>
          <w:szCs w:val="20"/>
          <w:color w:val="auto"/>
        </w:rPr>
      </w:pPr>
    </w:p>
    <w:p>
      <w:pPr>
        <w:ind w:left="1140" w:right="1239"/>
        <w:spacing w:after="0" w:line="221" w:lineRule="auto"/>
        <w:rPr>
          <w:sz w:val="20"/>
          <w:szCs w:val="20"/>
          <w:color w:val="auto"/>
        </w:rPr>
      </w:pPr>
      <w:r>
        <w:rPr>
          <w:rFonts w:ascii="Arial" w:cs="Arial" w:eastAsia="Arial" w:hAnsi="Arial"/>
          <w:sz w:val="15"/>
          <w:szCs w:val="15"/>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Crucial</w:t>
      </w:r>
      <w:r>
        <w:rPr>
          <w:rFonts w:ascii="Arial" w:cs="Arial" w:eastAsia="Arial" w:hAnsi="Arial"/>
          <w:sz w:val="22"/>
          <w:szCs w:val="22"/>
          <w:color w:val="auto"/>
          <w:vertAlign w:val="superscript"/>
        </w:rPr>
        <w:t>®</w:t>
      </w:r>
      <w:r>
        <w:rPr>
          <w:rFonts w:ascii="Arial" w:cs="Arial" w:eastAsia="Arial" w:hAnsi="Arial"/>
          <w:sz w:val="15"/>
          <w:szCs w:val="15"/>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09" w:lineRule="exact"/>
        <w:rPr>
          <w:sz w:val="20"/>
          <w:szCs w:val="20"/>
          <w:color w:val="auto"/>
        </w:rPr>
      </w:pPr>
    </w:p>
    <w:p>
      <w:pPr>
        <w:ind w:left="1140" w:right="1159"/>
        <w:spacing w:after="0" w:line="267"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78" w:lineRule="exact"/>
        <w:rPr>
          <w:sz w:val="20"/>
          <w:szCs w:val="20"/>
          <w:color w:val="auto"/>
        </w:rPr>
      </w:pPr>
    </w:p>
    <w:p>
      <w:pPr>
        <w:jc w:val="both"/>
        <w:ind w:left="1140" w:right="1479"/>
        <w:spacing w:after="0" w:line="287" w:lineRule="auto"/>
        <w:rPr>
          <w:sz w:val="20"/>
          <w:szCs w:val="20"/>
          <w:color w:val="auto"/>
        </w:rPr>
      </w:pPr>
      <w:r>
        <w:rPr>
          <w:rFonts w:ascii="Arial" w:cs="Arial" w:eastAsia="Arial" w:hAnsi="Arial"/>
          <w:sz w:val="14"/>
          <w:szCs w:val="14"/>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30"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30" w:lineRule="exact"/>
        <w:rPr>
          <w:sz w:val="20"/>
          <w:szCs w:val="20"/>
          <w:color w:val="auto"/>
        </w:rPr>
      </w:pPr>
    </w:p>
    <w:p>
      <w:pPr>
        <w:ind w:left="1140" w:right="1899"/>
        <w:spacing w:after="0" w:line="274" w:lineRule="auto"/>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SECURITIES</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issue from time to time, in one or more offerings, the following securities:</w:t>
      </w:r>
    </w:p>
    <w:p>
      <w:pPr>
        <w:spacing w:after="0" w:line="92" w:lineRule="exact"/>
        <w:rPr>
          <w:sz w:val="20"/>
          <w:szCs w:val="20"/>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shares of common stock, par value $0.10 per share, of the Company;</w:t>
      </w:r>
    </w:p>
    <w:p>
      <w:pPr>
        <w:spacing w:after="0" w:line="92" w:lineRule="exact"/>
        <w:rPr>
          <w:rFonts w:ascii="Arial" w:cs="Arial" w:eastAsia="Arial" w:hAnsi="Arial"/>
          <w:sz w:val="15"/>
          <w:szCs w:val="15"/>
          <w:color w:val="auto"/>
        </w:rPr>
      </w:pPr>
    </w:p>
    <w:p>
      <w:pPr>
        <w:ind w:left="1580" w:right="1539" w:hanging="138"/>
        <w:spacing w:after="0" w:line="274" w:lineRule="auto"/>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debt securities, which may be senior or subordinated, and which may be convertible into our common stock or be non-convertible;</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warrants;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purchase contracts;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units.</w:t>
      </w:r>
    </w:p>
    <w:p>
      <w:pPr>
        <w:spacing w:after="0" w:line="126" w:lineRule="exact"/>
        <w:rPr>
          <w:sz w:val="20"/>
          <w:szCs w:val="20"/>
          <w:color w:val="auto"/>
        </w:rPr>
      </w:pPr>
    </w:p>
    <w:p>
      <w:pPr>
        <w:ind w:left="1140" w:right="1319"/>
        <w:spacing w:after="0" w:line="260" w:lineRule="auto"/>
        <w:rPr>
          <w:sz w:val="20"/>
          <w:szCs w:val="20"/>
          <w:color w:val="auto"/>
        </w:rPr>
      </w:pPr>
      <w:r>
        <w:rPr>
          <w:rFonts w:ascii="Arial" w:cs="Arial" w:eastAsia="Arial" w:hAnsi="Arial"/>
          <w:sz w:val="15"/>
          <w:szCs w:val="15"/>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80"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PLAN OF DISTRIBUTION</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sell the offered securities from time to time:</w:t>
      </w:r>
    </w:p>
    <w:p>
      <w:pPr>
        <w:spacing w:after="0" w:line="92" w:lineRule="exact"/>
        <w:rPr>
          <w:sz w:val="20"/>
          <w:szCs w:val="20"/>
          <w:color w:val="auto"/>
        </w:rPr>
      </w:pPr>
    </w:p>
    <w:p>
      <w:pPr>
        <w:ind w:left="1580" w:hanging="138"/>
        <w:spacing w:after="0"/>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through underwriters or dealers;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directly to one or more purchasers; or</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through a combination of any of these methods of sale.</w:t>
      </w:r>
    </w:p>
    <w:p>
      <w:pPr>
        <w:spacing w:after="0" w:line="126" w:lineRule="exact"/>
        <w:rPr>
          <w:sz w:val="20"/>
          <w:szCs w:val="20"/>
          <w:color w:val="auto"/>
        </w:rPr>
      </w:pPr>
    </w:p>
    <w:p>
      <w:pPr>
        <w:ind w:left="1140" w:right="1519"/>
        <w:spacing w:after="0" w:line="274" w:lineRule="auto"/>
        <w:rPr>
          <w:sz w:val="20"/>
          <w:szCs w:val="20"/>
          <w:color w:val="auto"/>
        </w:rPr>
      </w:pPr>
      <w:r>
        <w:rPr>
          <w:rFonts w:ascii="Arial" w:cs="Arial" w:eastAsia="Arial" w:hAnsi="Arial"/>
          <w:sz w:val="15"/>
          <w:szCs w:val="15"/>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LEGAL MATTERS</w:t>
      </w:r>
    </w:p>
    <w:p>
      <w:pPr>
        <w:spacing w:after="0" w:line="130"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30" w:lineRule="exact"/>
        <w:rPr>
          <w:sz w:val="20"/>
          <w:szCs w:val="20"/>
          <w:color w:val="auto"/>
        </w:rPr>
      </w:pPr>
    </w:p>
    <w:p>
      <w:pPr>
        <w:ind w:left="1140" w:right="1219"/>
        <w:spacing w:after="0" w:line="251" w:lineRule="auto"/>
        <w:rPr>
          <w:rFonts w:ascii="Arial" w:cs="Arial" w:eastAsia="Arial" w:hAnsi="Arial"/>
          <w:sz w:val="15"/>
          <w:szCs w:val="15"/>
          <w:color w:val="0000EE"/>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w:t>
      </w:r>
      <w:hyperlink r:id="rId121">
        <w:r>
          <w:rPr>
            <w:rFonts w:ascii="Arial" w:cs="Arial" w:eastAsia="Arial" w:hAnsi="Arial"/>
            <w:sz w:val="15"/>
            <w:szCs w:val="15"/>
            <w:color w:val="auto"/>
          </w:rPr>
          <w:t xml:space="preserve">Reporting) incorporated in this prospectus by reference to the </w:t>
        </w:r>
        <w:r>
          <w:rPr>
            <w:rFonts w:ascii="Arial" w:cs="Arial" w:eastAsia="Arial" w:hAnsi="Arial"/>
            <w:sz w:val="15"/>
            <w:szCs w:val="15"/>
            <w:u w:val="single" w:color="auto"/>
            <w:color w:val="0000EE"/>
          </w:rPr>
          <w:t>Annual Report on Form 10-K of Micron</w:t>
        </w:r>
      </w:hyperlink>
      <w:r>
        <w:rPr>
          <w:rFonts w:ascii="Arial" w:cs="Arial" w:eastAsia="Arial" w:hAnsi="Arial"/>
          <w:sz w:val="15"/>
          <w:szCs w:val="15"/>
          <w:color w:val="auto"/>
        </w:rPr>
        <w:t xml:space="preserve"> </w:t>
      </w:r>
      <w:hyperlink r:id="rId121">
        <w:r>
          <w:rPr>
            <w:rFonts w:ascii="Arial" w:cs="Arial" w:eastAsia="Arial" w:hAnsi="Arial"/>
            <w:sz w:val="15"/>
            <w:szCs w:val="15"/>
            <w:u w:val="single" w:color="auto"/>
            <w:color w:val="0000EE"/>
          </w:rPr>
          <w:t>Technology, Inc. for the year ended August 31, 2023</w:t>
        </w:r>
        <w:r>
          <w:rPr>
            <w:rFonts w:ascii="Arial" w:cs="Arial" w:eastAsia="Arial" w:hAnsi="Arial"/>
            <w:sz w:val="15"/>
            <w:szCs w:val="15"/>
            <w:color w:val="0000EE"/>
          </w:rPr>
          <w:t xml:space="preserve"> </w:t>
        </w:r>
        <w:r>
          <w:rPr>
            <w:rFonts w:ascii="Arial" w:cs="Arial" w:eastAsia="Arial" w:hAnsi="Arial"/>
            <w:sz w:val="15"/>
            <w:szCs w:val="15"/>
            <w:color w:val="000000"/>
          </w:rPr>
          <w:t xml:space="preserve">have been so incorporated in reliance on the </w:t>
        </w:r>
      </w:hyperlink>
      <w:r>
        <w:rPr>
          <w:rFonts w:ascii="Arial" w:cs="Arial" w:eastAsia="Arial" w:hAnsi="Arial"/>
          <w:sz w:val="15"/>
          <w:szCs w:val="15"/>
          <w:color w:val="0000EE"/>
        </w:rPr>
        <w:t xml:space="preserve">report </w:t>
      </w:r>
      <w:r>
        <w:rPr>
          <w:rFonts w:ascii="Arial" w:cs="Arial" w:eastAsia="Arial" w:hAnsi="Arial"/>
          <w:sz w:val="15"/>
          <w:szCs w:val="15"/>
          <w:color w:val="000000"/>
        </w:rPr>
        <w:t>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20"/>
        <w:spacing w:after="0"/>
        <w:rPr>
          <w:sz w:val="20"/>
          <w:szCs w:val="20"/>
          <w:color w:val="auto"/>
        </w:rPr>
      </w:pPr>
      <w:r>
        <w:rPr>
          <w:rFonts w:ascii="Calibri" w:cs="Calibri" w:eastAsia="Calibri" w:hAnsi="Calibri"/>
          <w:sz w:val="12"/>
          <w:szCs w:val="12"/>
          <w:color w:val="003366"/>
        </w:rPr>
        <w:t>TABLE OF CONTENTS</w:t>
      </w:r>
    </w:p>
    <w:p>
      <w:pPr>
        <w:spacing w:after="0" w:line="396" w:lineRule="exact"/>
        <w:rPr>
          <w:sz w:val="20"/>
          <w:szCs w:val="20"/>
          <w:color w:val="auto"/>
        </w:rPr>
      </w:pPr>
    </w:p>
    <w:p>
      <w:pPr>
        <w:ind w:left="114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45085</wp:posOffset>
            </wp:positionV>
            <wp:extent cx="426212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795655</wp:posOffset>
            </wp:positionV>
            <wp:extent cx="2103120" cy="4413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210312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80" w:hanging="1062"/>
        <w:spacing w:after="0"/>
        <w:tabs>
          <w:tab w:leader="none" w:pos="3880"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 Senior Notes due 20   </w:t>
      </w:r>
    </w:p>
    <w:p>
      <w:pPr>
        <w:spacing w:after="0" w:line="22" w:lineRule="exact"/>
        <w:rPr>
          <w:sz w:val="20"/>
          <w:szCs w:val="20"/>
          <w:color w:val="auto"/>
        </w:rPr>
      </w:pPr>
    </w:p>
    <w:p>
      <w:pPr>
        <w:ind w:left="3900" w:hanging="1056"/>
        <w:spacing w:after="0"/>
        <w:tabs>
          <w:tab w:leader="none" w:pos="390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 Senior Notes due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1001395</wp:posOffset>
            </wp:positionV>
            <wp:extent cx="100965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187325</wp:posOffset>
            </wp:positionV>
            <wp:extent cx="10096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Joint Book-Running Managers</w:t>
      </w:r>
    </w:p>
    <w:p>
      <w:pPr>
        <w:spacing w:after="0" w:line="351" w:lineRule="exact"/>
        <w:rPr>
          <w:sz w:val="20"/>
          <w:szCs w:val="20"/>
          <w:color w:val="auto"/>
        </w:rPr>
      </w:pPr>
    </w:p>
    <w:p>
      <w:pPr>
        <w:jc w:val="center"/>
        <w:ind w:right="19"/>
        <w:spacing w:after="0"/>
        <w:tabs>
          <w:tab w:leader="none" w:pos="380" w:val="left"/>
          <w:tab w:leader="none" w:pos="220" w:val="left"/>
          <w:tab w:leader="none" w:pos="220" w:val="left"/>
        </w:tabs>
        <w:rPr>
          <w:sz w:val="20"/>
          <w:szCs w:val="20"/>
          <w:color w:val="auto"/>
        </w:rPr>
      </w:pPr>
      <w:r>
        <w:rPr>
          <w:rFonts w:ascii="Arial" w:cs="Arial" w:eastAsia="Arial" w:hAnsi="Arial"/>
          <w:sz w:val="21"/>
          <w:szCs w:val="21"/>
          <w:b w:val="1"/>
          <w:bCs w:val="1"/>
          <w:color w:val="auto"/>
        </w:rPr>
        <w:t>Morgan Stanley</w:t>
      </w:r>
      <w:r>
        <w:rPr>
          <w:sz w:val="20"/>
          <w:szCs w:val="20"/>
          <w:color w:val="auto"/>
        </w:rPr>
        <w:tab/>
      </w:r>
      <w:r>
        <w:rPr>
          <w:rFonts w:ascii="Arial" w:cs="Arial" w:eastAsia="Arial" w:hAnsi="Arial"/>
          <w:sz w:val="21"/>
          <w:szCs w:val="21"/>
          <w:b w:val="1"/>
          <w:bCs w:val="1"/>
          <w:color w:val="auto"/>
        </w:rPr>
        <w:t>BofA Securities</w:t>
        <w:tab/>
        <w:t>HSBC</w:t>
      </w:r>
      <w:r>
        <w:rPr>
          <w:sz w:val="20"/>
          <w:szCs w:val="20"/>
          <w:color w:val="auto"/>
        </w:rPr>
        <w:tab/>
      </w:r>
      <w:r>
        <w:rPr>
          <w:rFonts w:ascii="Arial" w:cs="Arial" w:eastAsia="Arial" w:hAnsi="Arial"/>
          <w:sz w:val="20"/>
          <w:szCs w:val="20"/>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987425</wp:posOffset>
            </wp:positionV>
            <wp:extent cx="426212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200660</wp:posOffset>
            </wp:positionV>
            <wp:extent cx="558419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lowerRoman"/>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2"/>
    </w:lvl>
  </w:abstractNum>
  <w:abstractNum w:abstractNumId="16">
    <w:nsid w:val="1E7FF521"/>
    <w:multiLevelType w:val="hybridMultilevel"/>
    <w:lvl w:ilvl="0">
      <w:lvlJc w:val="left"/>
      <w:lvlText w:val="(%1)"/>
      <w:numFmt w:val="decimal"/>
      <w:start w:val="1"/>
    </w:lvl>
    <w:lvl w:ilvl="1">
      <w:lvlJc w:val="left"/>
      <w:lvlText w:val="(%2)"/>
      <w:numFmt w:val="lowerLetter"/>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2"/>
    </w:lvl>
  </w:abstractNum>
  <w:abstractNum w:abstractNumId="21">
    <w:nsid w:val="4516DDE9"/>
    <w:multiLevelType w:val="hybridMultilevel"/>
    <w:lvl w:ilvl="0">
      <w:lvlJc w:val="left"/>
      <w:lvlText w:val="(%1)"/>
      <w:numFmt w:val="decimal"/>
      <w:start w:val="2"/>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0"/>
    </w:lvl>
  </w:abstractNum>
  <w:abstractNum w:abstractNumId="34">
    <w:nsid w:val="51EAD36B"/>
    <w:multiLevelType w:val="hybridMultilevel"/>
    <w:lvl w:ilvl="0">
      <w:lvlJc w:val="left"/>
      <w:lvlText w:val="(%1)"/>
      <w:numFmt w:val="decimal"/>
      <w:start w:val="8"/>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lowerLetter"/>
      <w:start w:val="1"/>
    </w:lvl>
    <w:lvl w:ilvl="1">
      <w:lvlJc w:val="left"/>
      <w:lvlText w:val="(%2)"/>
      <w:numFmt w:val="lowerRoman"/>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jpe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jpe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33" Type="http://schemas.openxmlformats.org/officeDocument/2006/relationships/hyperlink" Target="http://www.sec.gov/ix?doc=/Archives/edgar/data/723125/000072312524000027/mu-20240829.htm" TargetMode="External"/><Relationship Id="rId34" Type="http://schemas.openxmlformats.org/officeDocument/2006/relationships/hyperlink" Target="http://www.sec.gov/ix?doc=/Archives/edgar/data/723125/000072312525000009/mu-20250227.htm" TargetMode="External"/><Relationship Id="rId89" Type="http://schemas.openxmlformats.org/officeDocument/2006/relationships/hyperlink" Target="http://www.sec.gov/ix?doc=/Archives/edgar/data/723125/000072312524000047/mu-20241128.htm" TargetMode="External"/><Relationship Id="rId90" Type="http://schemas.openxmlformats.org/officeDocument/2006/relationships/hyperlink" Target="http://www.sec.gov/ix?doc=/Archives/edgar/data/723125/000072312524000039/mu-20241126.htm" TargetMode="External"/><Relationship Id="rId91" Type="http://schemas.openxmlformats.org/officeDocument/2006/relationships/hyperlink" Target="http://www.sec.gov/ix?doc=/Archives/edgar/data/723125/000110465924112626/tm2425615d2_8k.htm" TargetMode="External"/><Relationship Id="rId92" Type="http://schemas.openxmlformats.org/officeDocument/2006/relationships/hyperlink" Target="http://www.sec.gov/ix?doc=/Archives/edgar/data/723125/000110465924127174/tm2430615d1_8k.htm" TargetMode="External"/><Relationship Id="rId93" Type="http://schemas.openxmlformats.org/officeDocument/2006/relationships/hyperlink" Target="http://www.sec.gov/ix?doc=/Archives/edgar/data/723125/000110465925004100/tm2425615d5_8k.htm" TargetMode="External"/><Relationship Id="rId94" Type="http://schemas.openxmlformats.org/officeDocument/2006/relationships/hyperlink" Target="http://www.sec.gov/ix?doc=/Archives/edgar/data/723125/000110465925004879/tm253757d1_8k.htm" TargetMode="External"/><Relationship Id="rId95" Type="http://schemas.openxmlformats.org/officeDocument/2006/relationships/hyperlink" Target="http://www.sec.gov/ix?doc=/Archives/edgar/data/723125/000110465925020878/tm258327d1_8k.htm" TargetMode="External"/><Relationship Id="rId96" Type="http://schemas.openxmlformats.org/officeDocument/2006/relationships/hyperlink" Target="http://www.sec.gov/ix?doc=/Archives/edgar/data/723125/000110465925022973/tm258936d1_8k.htm" TargetMode="External"/><Relationship Id="rId110" Type="http://schemas.openxmlformats.org/officeDocument/2006/relationships/hyperlink" Target="http://www.sec.gov/ix?doc=/Archives/edgar/data/723125/000072312523000054/mu-20230831.htm" TargetMode="External"/><Relationship Id="rId111" Type="http://schemas.openxmlformats.org/officeDocument/2006/relationships/hyperlink" Target="http://www.sec.gov/ix?doc=/Archives/edgar/data/723125/000072312522000048/mu-20220901.htm" TargetMode="External"/><Relationship Id="rId112" Type="http://schemas.openxmlformats.org/officeDocument/2006/relationships/hyperlink" Target="http://www.sec.gov/Archives/edgar/data/723125/000072312522000063/a2022definitiveproxy.htm" TargetMode="External"/><Relationship Id="rId113" Type="http://schemas.openxmlformats.org/officeDocument/2006/relationships/hyperlink" Target="http://www.sec.gov/Archives/edgar/data/723125/000072312509000145/form8a12b-nasdaq.htm" TargetMode="External"/><Relationship Id="rId121" Type="http://schemas.openxmlformats.org/officeDocument/2006/relationships/hyperlink" Target="https://www.sec.gov/ix?doc=/Archives/edgar/data/723125/000072312523000054/mu-202308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2025-04-24T07:39:41Z</dcterms:created>
  <dcterms:modified xsi:type="dcterms:W3CDTF">2025-04-24T07:39:41Z</dcterms:modified>
</cp:coreProperties>
</file>