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April 17, 2026</w:t>
      </w:r>
    </w:p>
    <w:p>
      <w:pPr>
        <w:spacing w:after="0" w:line="26" w:lineRule="exact"/>
        <w:rPr>
          <w:sz w:val="24"/>
          <w:szCs w:val="24"/>
          <w:color w:val="auto"/>
        </w:rPr>
      </w:pPr>
    </w:p>
    <w:p>
      <w:pPr>
        <w:ind w:left="9120"/>
        <w:spacing w:after="0"/>
        <w:rPr>
          <w:sz w:val="20"/>
          <w:szCs w:val="20"/>
          <w:color w:val="auto"/>
        </w:rPr>
      </w:pPr>
      <w:r>
        <w:rPr>
          <w:rFonts w:ascii="Times New Roman" w:cs="Times New Roman" w:eastAsia="Times New Roman" w:hAnsi="Times New Roman"/>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38100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3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136525</wp:posOffset>
            </wp:positionV>
            <wp:extent cx="1790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0065" cy="8255"/>
                    </a:xfrm>
                    <a:prstGeom prst="rect">
                      <a:avLst/>
                    </a:prstGeom>
                    <a:noFill/>
                  </pic:spPr>
                </pic:pic>
              </a:graphicData>
            </a:graphic>
          </wp:anchor>
        </w:drawing>
        <w:drawing>
          <wp:anchor simplePos="0" relativeHeight="251657728" behindDoc="1" locked="0" layoutInCell="0" allowOverlap="1">
            <wp:simplePos x="0" y="0"/>
            <wp:positionH relativeFrom="column">
              <wp:posOffset>2583180</wp:posOffset>
            </wp:positionH>
            <wp:positionV relativeFrom="paragraph">
              <wp:posOffset>289560</wp:posOffset>
            </wp:positionV>
            <wp:extent cx="1985010" cy="424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85010" cy="424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Micron Technology, Inc.</w:t>
      </w:r>
    </w:p>
    <w:p>
      <w:pPr>
        <w:spacing w:after="0" w:line="4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23" w:lineRule="exact"/>
        <w:rPr>
          <w:sz w:val="24"/>
          <w:szCs w:val="24"/>
          <w:color w:val="auto"/>
        </w:rPr>
      </w:pPr>
    </w:p>
    <w:tbl>
      <w:tblPr>
        <w:tblLayout w:type="fixed"/>
        <w:tblInd w:w="700" w:type="dxa"/>
        <w:tblCellMar>
          <w:top w:w="0" w:type="dxa"/>
          <w:left w:w="0" w:type="dxa"/>
          <w:bottom w:w="0" w:type="dxa"/>
          <w:right w:w="0" w:type="dxa"/>
        </w:tblCellMar>
      </w:tblPr>
      <w:tr>
        <w:trPr>
          <w:trHeight w:val="237"/>
        </w:trPr>
        <w:tc>
          <w:tcPr>
            <w:tcW w:w="5380" w:type="dxa"/>
            <w:vAlign w:val="bottom"/>
          </w:tcPr>
          <w:p>
            <w:pPr>
              <w:jc w:val="center"/>
              <w:ind w:right="105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80" w:type="dxa"/>
            <w:vAlign w:val="bottom"/>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75-1618004</w:t>
            </w:r>
          </w:p>
        </w:tc>
      </w:tr>
      <w:tr>
        <w:trPr>
          <w:trHeight w:val="267"/>
        </w:trPr>
        <w:tc>
          <w:tcPr>
            <w:tcW w:w="5380" w:type="dxa"/>
            <w:vAlign w:val="bottom"/>
          </w:tcPr>
          <w:p>
            <w:pPr>
              <w:jc w:val="center"/>
              <w:ind w:right="1051"/>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3580" w:type="dxa"/>
            <w:vAlign w:val="bottom"/>
          </w:tcPr>
          <w:p>
            <w:pPr>
              <w:jc w:val="center"/>
              <w:ind w:left="1031"/>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534"/>
        </w:trPr>
        <w:tc>
          <w:tcPr>
            <w:tcW w:w="5380" w:type="dxa"/>
            <w:vAlign w:val="bottom"/>
          </w:tcPr>
          <w:p>
            <w:pPr>
              <w:jc w:val="center"/>
              <w:ind w:right="1071"/>
              <w:spacing w:after="0"/>
              <w:rPr>
                <w:sz w:val="20"/>
                <w:szCs w:val="20"/>
                <w:color w:val="auto"/>
              </w:rPr>
            </w:pPr>
            <w:r>
              <w:rPr>
                <w:rFonts w:ascii="Times New Roman" w:cs="Times New Roman" w:eastAsia="Times New Roman" w:hAnsi="Times New Roman"/>
                <w:sz w:val="18"/>
                <w:szCs w:val="18"/>
                <w:b w:val="1"/>
                <w:bCs w:val="1"/>
                <w:color w:val="auto"/>
                <w:w w:val="98"/>
              </w:rPr>
              <w:t>8000 S. Federal Way, Boise, Idaho</w:t>
            </w:r>
          </w:p>
        </w:tc>
        <w:tc>
          <w:tcPr>
            <w:tcW w:w="3580" w:type="dxa"/>
            <w:vAlign w:val="bottom"/>
          </w:tcPr>
          <w:p>
            <w:pPr>
              <w:jc w:val="right"/>
              <w:ind w:right="911"/>
              <w:spacing w:after="0"/>
              <w:rPr>
                <w:sz w:val="20"/>
                <w:szCs w:val="20"/>
                <w:color w:val="auto"/>
              </w:rPr>
            </w:pPr>
            <w:r>
              <w:rPr>
                <w:rFonts w:ascii="Times New Roman" w:cs="Times New Roman" w:eastAsia="Times New Roman" w:hAnsi="Times New Roman"/>
                <w:sz w:val="18"/>
                <w:szCs w:val="18"/>
                <w:b w:val="1"/>
                <w:bCs w:val="1"/>
                <w:color w:val="auto"/>
              </w:rPr>
              <w:t>83716</w:t>
            </w:r>
          </w:p>
        </w:tc>
      </w:tr>
      <w:tr>
        <w:trPr>
          <w:trHeight w:val="267"/>
        </w:trPr>
        <w:tc>
          <w:tcPr>
            <w:tcW w:w="5380" w:type="dxa"/>
            <w:vAlign w:val="bottom"/>
          </w:tcPr>
          <w:p>
            <w:pPr>
              <w:jc w:val="center"/>
              <w:ind w:right="1051"/>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580" w:type="dxa"/>
            <w:vAlign w:val="bottom"/>
          </w:tcPr>
          <w:p>
            <w:pPr>
              <w:jc w:val="center"/>
              <w:ind w:left="1031"/>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152400</wp:posOffset>
            </wp:positionV>
            <wp:extent cx="1790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Micron Technology, Inc.</w:t>
      </w:r>
    </w:p>
    <w:p>
      <w:pPr>
        <w:spacing w:after="0" w:line="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Deferred Compensation Plan</w:t>
      </w:r>
    </w:p>
    <w:p>
      <w:pPr>
        <w:jc w:val="center"/>
        <w:ind w:right="-99"/>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139065</wp:posOffset>
            </wp:positionV>
            <wp:extent cx="17900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Michael Ray</w:t>
      </w:r>
    </w:p>
    <w:p>
      <w:pPr>
        <w:spacing w:after="0" w:line="3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Senior Vice President, Chief Legal Officer and Corporate Secretary</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8000 South Federal Way, Boise, Idaho 83716</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(208) 368-4000</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139700</wp:posOffset>
            </wp:positionV>
            <wp:extent cx="1790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0" w:lineRule="exact"/>
        <w:rPr>
          <w:sz w:val="24"/>
          <w:szCs w:val="24"/>
          <w:color w:val="auto"/>
        </w:rPr>
      </w:pPr>
    </w:p>
    <w:tbl>
      <w:tblPr>
        <w:tblLayout w:type="fixed"/>
        <w:tblInd w:w="520" w:type="dxa"/>
        <w:tblCellMar>
          <w:top w:w="0" w:type="dxa"/>
          <w:left w:w="0" w:type="dxa"/>
          <w:bottom w:w="0" w:type="dxa"/>
          <w:right w:w="0" w:type="dxa"/>
        </w:tblCellMar>
      </w:tblPr>
      <w:tr>
        <w:trPr>
          <w:trHeight w:val="214"/>
        </w:trPr>
        <w:tc>
          <w:tcPr>
            <w:tcW w:w="1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Smaller</w:t>
            </w:r>
          </w:p>
        </w:tc>
        <w:tc>
          <w:tcPr>
            <w:tcW w:w="2480" w:type="dxa"/>
            <w:vAlign w:val="bottom"/>
          </w:tcPr>
          <w:p>
            <w:pPr>
              <w:spacing w:after="0"/>
              <w:rPr>
                <w:sz w:val="18"/>
                <w:szCs w:val="18"/>
                <w:color w:val="auto"/>
              </w:rPr>
            </w:pPr>
          </w:p>
        </w:tc>
      </w:tr>
      <w:tr>
        <w:trPr>
          <w:trHeight w:val="214"/>
        </w:trPr>
        <w:tc>
          <w:tcPr>
            <w:tcW w:w="1740" w:type="dxa"/>
            <w:vAlign w:val="bottom"/>
          </w:tcPr>
          <w:p>
            <w:pPr>
              <w:jc w:val="center"/>
              <w:ind w:right="471"/>
              <w:spacing w:after="0"/>
              <w:rPr>
                <w:sz w:val="20"/>
                <w:szCs w:val="20"/>
                <w:color w:val="auto"/>
              </w:rPr>
            </w:pPr>
            <w:r>
              <w:rPr>
                <w:rFonts w:ascii="Times New Roman" w:cs="Times New Roman" w:eastAsia="Times New Roman" w:hAnsi="Times New Roman"/>
                <w:sz w:val="18"/>
                <w:szCs w:val="18"/>
                <w:color w:val="auto"/>
                <w:w w:val="99"/>
              </w:rPr>
              <w:t>Large</w:t>
            </w:r>
          </w:p>
        </w:tc>
        <w:tc>
          <w:tcPr>
            <w:tcW w:w="2260" w:type="dxa"/>
            <w:vAlign w:val="bottom"/>
          </w:tcPr>
          <w:p>
            <w:pPr>
              <w:spacing w:after="0"/>
              <w:rPr>
                <w:sz w:val="18"/>
                <w:szCs w:val="18"/>
                <w:color w:val="auto"/>
              </w:rPr>
            </w:pPr>
          </w:p>
        </w:tc>
        <w:tc>
          <w:tcPr>
            <w:tcW w:w="23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Non-Accelerated</w:t>
            </w:r>
          </w:p>
        </w:tc>
        <w:tc>
          <w:tcPr>
            <w:tcW w:w="18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7"/>
              </w:rPr>
              <w:t>Reporting</w:t>
            </w:r>
          </w:p>
        </w:tc>
        <w:tc>
          <w:tcPr>
            <w:tcW w:w="2480" w:type="dxa"/>
            <w:vAlign w:val="bottom"/>
          </w:tcPr>
          <w:p>
            <w:pPr>
              <w:spacing w:after="0"/>
              <w:rPr>
                <w:sz w:val="18"/>
                <w:szCs w:val="18"/>
                <w:color w:val="auto"/>
              </w:rPr>
            </w:pPr>
          </w:p>
        </w:tc>
      </w:tr>
      <w:tr>
        <w:trPr>
          <w:trHeight w:val="227"/>
        </w:trPr>
        <w:tc>
          <w:tcPr>
            <w:tcW w:w="1740" w:type="dxa"/>
            <w:vAlign w:val="bottom"/>
          </w:tcPr>
          <w:p>
            <w:pPr>
              <w:jc w:val="center"/>
              <w:ind w:right="411"/>
              <w:spacing w:after="0"/>
              <w:rPr>
                <w:sz w:val="20"/>
                <w:szCs w:val="20"/>
                <w:color w:val="auto"/>
              </w:rPr>
            </w:pPr>
            <w:r>
              <w:rPr>
                <w:rFonts w:ascii="Times New Roman" w:cs="Times New Roman" w:eastAsia="Times New Roman" w:hAnsi="Times New Roman"/>
                <w:sz w:val="18"/>
                <w:szCs w:val="18"/>
                <w:color w:val="auto"/>
                <w:w w:val="99"/>
              </w:rPr>
              <w:t>Accelerated Filer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Accelerated Filer</w:t>
            </w:r>
          </w:p>
        </w:tc>
        <w:tc>
          <w:tcPr>
            <w:tcW w:w="23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Filer</w:t>
            </w:r>
          </w:p>
        </w:tc>
        <w:tc>
          <w:tcPr>
            <w:tcW w:w="180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Company</w:t>
            </w:r>
          </w:p>
        </w:tc>
        <w:tc>
          <w:tcPr>
            <w:tcW w:w="248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Emerging Growth Company</w:t>
            </w:r>
          </w:p>
        </w:tc>
      </w:tr>
      <w:tr>
        <w:trPr>
          <w:trHeight w:val="301"/>
        </w:trPr>
        <w:tc>
          <w:tcPr>
            <w:tcW w:w="1740" w:type="dxa"/>
            <w:vAlign w:val="bottom"/>
          </w:tcPr>
          <w:p>
            <w:pPr>
              <w:jc w:val="center"/>
              <w:ind w:right="411"/>
              <w:spacing w:after="0" w:line="181" w:lineRule="exact"/>
              <w:rPr>
                <w:sz w:val="20"/>
                <w:szCs w:val="20"/>
                <w:color w:val="auto"/>
              </w:rPr>
            </w:pPr>
            <w:r>
              <w:rPr>
                <w:rFonts w:ascii="MS PGothic" w:cs="MS PGothic" w:eastAsia="MS PGothic" w:hAnsi="MS PGothic"/>
                <w:sz w:val="18"/>
                <w:szCs w:val="18"/>
                <w:color w:val="auto"/>
                <w:w w:val="88"/>
              </w:rPr>
              <w:t>☒</w:t>
            </w:r>
          </w:p>
        </w:tc>
        <w:tc>
          <w:tcPr>
            <w:tcW w:w="22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340" w:type="dxa"/>
            <w:vAlign w:val="bottom"/>
          </w:tcPr>
          <w:p>
            <w:pPr>
              <w:jc w:val="center"/>
              <w:ind w:right="11"/>
              <w:spacing w:after="0" w:line="181" w:lineRule="exact"/>
              <w:rPr>
                <w:sz w:val="20"/>
                <w:szCs w:val="20"/>
                <w:color w:val="auto"/>
              </w:rPr>
            </w:pPr>
            <w:r>
              <w:rPr>
                <w:rFonts w:ascii="MS PGothic" w:cs="MS PGothic" w:eastAsia="MS PGothic" w:hAnsi="MS PGothic"/>
                <w:sz w:val="18"/>
                <w:szCs w:val="18"/>
                <w:color w:val="auto"/>
                <w:w w:val="88"/>
              </w:rPr>
              <w:t>☐</w:t>
            </w:r>
          </w:p>
        </w:tc>
        <w:tc>
          <w:tcPr>
            <w:tcW w:w="1800" w:type="dxa"/>
            <w:vAlign w:val="bottom"/>
          </w:tcPr>
          <w:p>
            <w:pPr>
              <w:jc w:val="center"/>
              <w:ind w:left="151"/>
              <w:spacing w:after="0" w:line="181" w:lineRule="exact"/>
              <w:rPr>
                <w:sz w:val="20"/>
                <w:szCs w:val="20"/>
                <w:color w:val="auto"/>
              </w:rPr>
            </w:pPr>
            <w:r>
              <w:rPr>
                <w:rFonts w:ascii="MS PGothic" w:cs="MS PGothic" w:eastAsia="MS PGothic" w:hAnsi="MS PGothic"/>
                <w:sz w:val="18"/>
                <w:szCs w:val="18"/>
                <w:color w:val="auto"/>
                <w:w w:val="88"/>
              </w:rPr>
              <w:t>☐</w:t>
            </w:r>
          </w:p>
        </w:tc>
        <w:tc>
          <w:tcPr>
            <w:tcW w:w="2480" w:type="dxa"/>
            <w:vAlign w:val="bottom"/>
          </w:tcPr>
          <w:p>
            <w:pPr>
              <w:jc w:val="center"/>
              <w:ind w:left="351"/>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93" w:lineRule="exact"/>
        <w:rPr>
          <w:sz w:val="24"/>
          <w:szCs w:val="24"/>
          <w:color w:val="auto"/>
        </w:rPr>
      </w:pPr>
    </w:p>
    <w:p>
      <w:pPr>
        <w:ind w:left="20" w:right="280"/>
        <w:spacing w:after="0" w:line="24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194945</wp:posOffset>
            </wp:positionV>
            <wp:extent cx="71335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492125</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140"/>
          </w:cols>
          <w:pgMar w:left="320" w:top="468" w:right="4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This Registration Statement on Form S-8 is filed by Micron Technology, Inc. (the “Company” or the “Registrant”) to register $120,000,000 of deferred compensation obligations (the “Obligations”) of the Company arising under the Micron Technology, Inc. Deferred Compensation Plan, as amended effective October 23, 2023 (the “Plan”).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INFORMATION REQUIRED IN THE SECTION 10(a) PROSPECTUS</w:t>
      </w:r>
    </w:p>
    <w:p>
      <w:pPr>
        <w:spacing w:after="0" w:line="22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accordance with the provisions of Rule 428 under the Securities Act of 1933, as amended (the “Securities Act”), and the introductory note to Part I of Form S-8, the documents containing the information specified in Part I of Form S-8 are not required to be filed with the Securities and Exchange Commission (the “Commission”) either as part of this Registration Statement or as a prospectus or prospectus supplement pursuant to Rule 424 under the Securities Act. The documents containing the information specified in Part I of Form S-8 will be delivered to the participants in the Plan as specified by Rule 428(b)(1) under the Securities Act. These documents and the documents incorporated by reference in this Registration Statement pursuant to Item 3 of Part II of Form S-8, taken together, constitute a prospectus that meets the requirements of Section 10(a) of the Securities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filed by the Company with the Commission are incorporated by reference in this Registration Statement:</w:t>
      </w:r>
    </w:p>
    <w:p>
      <w:pPr>
        <w:spacing w:after="0" w:line="220" w:lineRule="exact"/>
        <w:rPr>
          <w:sz w:val="20"/>
          <w:szCs w:val="20"/>
          <w:color w:val="auto"/>
        </w:rPr>
      </w:pPr>
    </w:p>
    <w:p>
      <w:pPr>
        <w:ind w:right="260" w:firstLine="7"/>
        <w:spacing w:after="0" w:line="277" w:lineRule="auto"/>
        <w:tabs>
          <w:tab w:leader="none" w:pos="23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w:t>
      </w:r>
      <w:hyperlink r:id="rId18">
        <w:r>
          <w:rPr>
            <w:rFonts w:ascii="Times New Roman" w:cs="Times New Roman" w:eastAsia="Times New Roman" w:hAnsi="Times New Roman"/>
            <w:sz w:val="18"/>
            <w:szCs w:val="18"/>
            <w:u w:val="single" w:color="auto"/>
            <w:color w:val="0000EE"/>
          </w:rPr>
          <w:t>Annual Report on Form 10-K for the fiscal year ended August 28,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“Annual Report”) filed with the Commission pursuant to Section 13(a) of the Securities Exchange Act of 1934, as amended (the “Exchange Act”) (File No. 1-10658), on October 3, 2025.</w:t>
      </w:r>
    </w:p>
    <w:p>
      <w:pPr>
        <w:spacing w:after="0" w:line="163" w:lineRule="exact"/>
        <w:rPr>
          <w:rFonts w:ascii="Times New Roman" w:cs="Times New Roman" w:eastAsia="Times New Roman" w:hAnsi="Times New Roman"/>
          <w:sz w:val="18"/>
          <w:szCs w:val="18"/>
          <w:color w:val="auto"/>
        </w:rPr>
      </w:pPr>
    </w:p>
    <w:p>
      <w:pPr>
        <w:ind w:right="120" w:firstLine="7"/>
        <w:spacing w:after="0" w:line="277" w:lineRule="auto"/>
        <w:tabs>
          <w:tab w:leader="none" w:pos="2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Reports on Form 10-Q for the quarterly periods ended </w:t>
      </w:r>
      <w:hyperlink r:id="rId19">
        <w:r>
          <w:rPr>
            <w:rFonts w:ascii="Times New Roman" w:cs="Times New Roman" w:eastAsia="Times New Roman" w:hAnsi="Times New Roman"/>
            <w:sz w:val="18"/>
            <w:szCs w:val="18"/>
            <w:u w:val="single" w:color="auto"/>
            <w:color w:val="0000EE"/>
          </w:rPr>
          <w:t>November 27,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0">
        <w:r>
          <w:rPr>
            <w:rFonts w:ascii="Times New Roman" w:cs="Times New Roman" w:eastAsia="Times New Roman" w:hAnsi="Times New Roman"/>
            <w:sz w:val="18"/>
            <w:szCs w:val="18"/>
            <w:u w:val="single" w:color="auto"/>
            <w:color w:val="0000EE"/>
          </w:rPr>
          <w:t>February 26,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pursuant to Section 13(a) of the Exchange Act (File No. 1-10658) on December 18, 2025 and March 19, 2026, respectively.</w:t>
      </w:r>
    </w:p>
    <w:p>
      <w:pPr>
        <w:spacing w:after="0" w:line="163" w:lineRule="exact"/>
        <w:rPr>
          <w:rFonts w:ascii="Times New Roman" w:cs="Times New Roman" w:eastAsia="Times New Roman" w:hAnsi="Times New Roman"/>
          <w:sz w:val="18"/>
          <w:szCs w:val="18"/>
          <w:color w:val="auto"/>
        </w:rPr>
      </w:pPr>
    </w:p>
    <w:p>
      <w:pPr>
        <w:ind w:right="180" w:firstLine="7"/>
        <w:spacing w:after="0" w:line="277" w:lineRule="auto"/>
        <w:tabs>
          <w:tab w:leader="none" w:pos="24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specifically incorporated by reference into the Company’s Annual Report from its Definitive </w:t>
      </w:r>
      <w:hyperlink r:id="rId21">
        <w:r>
          <w:rPr>
            <w:rFonts w:ascii="Times New Roman" w:cs="Times New Roman" w:eastAsia="Times New Roman" w:hAnsi="Times New Roman"/>
            <w:sz w:val="18"/>
            <w:szCs w:val="18"/>
            <w:u w:val="single" w:color="auto"/>
            <w:color w:val="0000EE"/>
          </w:rPr>
          <w:t>Proxy Statement on Schedule 14A</w:t>
        </w:r>
      </w:hyperlink>
      <w:r>
        <w:rPr>
          <w:rFonts w:ascii="Times New Roman" w:cs="Times New Roman" w:eastAsia="Times New Roman" w:hAnsi="Times New Roman"/>
          <w:sz w:val="18"/>
          <w:szCs w:val="18"/>
          <w:color w:val="auto"/>
        </w:rPr>
        <w:t>, filed with the Commission on November 25, 2025 (File No. 1-10658).</w:t>
      </w:r>
    </w:p>
    <w:p>
      <w:pPr>
        <w:spacing w:after="0" w:line="163" w:lineRule="exact"/>
        <w:rPr>
          <w:rFonts w:ascii="Times New Roman" w:cs="Times New Roman" w:eastAsia="Times New Roman" w:hAnsi="Times New Roman"/>
          <w:sz w:val="18"/>
          <w:szCs w:val="18"/>
          <w:color w:val="auto"/>
        </w:rPr>
      </w:pPr>
    </w:p>
    <w:p>
      <w:pPr>
        <w:ind w:firstLine="7"/>
        <w:spacing w:after="0" w:line="277" w:lineRule="auto"/>
        <w:tabs>
          <w:tab w:leader="none" w:pos="2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Reports on Form 8-K filed with the Commission on </w:t>
      </w:r>
      <w:hyperlink r:id="rId22">
        <w:r>
          <w:rPr>
            <w:rFonts w:ascii="Times New Roman" w:cs="Times New Roman" w:eastAsia="Times New Roman" w:hAnsi="Times New Roman"/>
            <w:sz w:val="18"/>
            <w:szCs w:val="18"/>
            <w:u w:val="single" w:color="auto"/>
            <w:color w:val="0000EE"/>
          </w:rPr>
          <w:t>October 21, 2025</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January 21, 2026</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March 25,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5">
        <w:r>
          <w:rPr>
            <w:rFonts w:ascii="Times New Roman" w:cs="Times New Roman" w:eastAsia="Times New Roman" w:hAnsi="Times New Roman"/>
            <w:sz w:val="18"/>
            <w:szCs w:val="18"/>
            <w:u w:val="single" w:color="auto"/>
            <w:color w:val="0000EE"/>
          </w:rPr>
          <w:t>April 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1-10658), other than information furnished rather than filed.</w:t>
      </w:r>
    </w:p>
    <w:p>
      <w:pPr>
        <w:spacing w:after="0" w:line="163" w:lineRule="exact"/>
        <w:rPr>
          <w:rFonts w:ascii="Times New Roman" w:cs="Times New Roman" w:eastAsia="Times New Roman" w:hAnsi="Times New Roman"/>
          <w:sz w:val="18"/>
          <w:szCs w:val="18"/>
          <w:color w:val="auto"/>
        </w:rPr>
      </w:pPr>
    </w:p>
    <w:p>
      <w:pPr>
        <w:ind w:right="60" w:firstLine="7"/>
        <w:spacing w:after="0" w:line="277" w:lineRule="auto"/>
        <w:tabs>
          <w:tab w:leader="none" w:pos="23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par value $0.10 per share, contained in the Company’s </w:t>
      </w:r>
      <w:hyperlink r:id="rId26">
        <w:r>
          <w:rPr>
            <w:rFonts w:ascii="Times New Roman" w:cs="Times New Roman" w:eastAsia="Times New Roman" w:hAnsi="Times New Roman"/>
            <w:sz w:val="18"/>
            <w:szCs w:val="18"/>
            <w:u w:val="single" w:color="auto"/>
            <w:color w:val="0000EE"/>
          </w:rPr>
          <w:t>Registration Statement on Form 8-A</w:t>
        </w:r>
      </w:hyperlink>
      <w:r>
        <w:rPr>
          <w:rFonts w:ascii="Times New Roman" w:cs="Times New Roman" w:eastAsia="Times New Roman" w:hAnsi="Times New Roman"/>
          <w:sz w:val="18"/>
          <w:szCs w:val="18"/>
          <w:color w:val="auto"/>
        </w:rPr>
        <w:t>, filed with the Commission on December 21, 2009, including any subsequently filed amendments and reports updating such description.</w:t>
      </w:r>
    </w:p>
    <w:p>
      <w:pPr>
        <w:spacing w:after="0" w:line="163" w:lineRule="exact"/>
        <w:rPr>
          <w:rFonts w:ascii="Times New Roman" w:cs="Times New Roman" w:eastAsia="Times New Roman" w:hAnsi="Times New Roman"/>
          <w:sz w:val="18"/>
          <w:szCs w:val="18"/>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 xml:space="preserve">All reports and other documents filed by the Company pursuant to Sections 13(a), 13(c), 14, and 15(d) of the Exchange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259715</wp:posOffset>
            </wp:positionV>
            <wp:extent cx="7133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00"/>
          </w:cols>
          <w:pgMar w:left="320" w:top="331"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Micron Technology, Inc. Deferred Compensation Plan Obligations</w:t>
      </w:r>
    </w:p>
    <w:p>
      <w:pPr>
        <w:spacing w:after="0" w:line="224"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7"/>
          <w:szCs w:val="17"/>
          <w:color w:val="auto"/>
        </w:rPr>
        <w:t>The Obligations being registered represent deferred compensation obligations of the Company arising under the Plan. The Obligations are unsecured general obligations of the Company. The Company reserves the right to amend or terminate the Plan at any time in accordance with its terms, provided that such amendment or termination shall not reduce or eliminate any benefit that has become fully vested under the Plan prior to such amendment or termination.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Plan as it relates to the Obligations. This summary is qualified in its entirety by reference to the Plan.</w:t>
      </w:r>
    </w:p>
    <w:p>
      <w:pPr>
        <w:spacing w:after="0" w:line="2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Purpose and Participation</w:t>
      </w:r>
      <w:r>
        <w:rPr>
          <w:rFonts w:ascii="Times New Roman" w:cs="Times New Roman" w:eastAsia="Times New Roman" w:hAnsi="Times New Roman"/>
          <w:sz w:val="18"/>
          <w:szCs w:val="18"/>
          <w:color w:val="auto"/>
        </w:rPr>
        <w:t>. The Plan is intended to constitute a non-qualified deferred compensation plan that, in accordance with Sections 201(2), 301(a)(3),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401(a)(1) of the Employee Retirement Income Security Act of 1974, as amended, is unfunded and established primarily for the purpose of providing deferred compensation to specifically designated employees of the Company (the “Participants”). The Plan is an unfunded deferred compensation plan for purposes of the Internal Revenue Code of 1986, as amended (the “Code”), and is intended to comply with the requirements of Section 409A of the Code so that no penalty taxes are owed under Section 409A(a)(1)(B).</w:t>
      </w:r>
    </w:p>
    <w:p>
      <w:pPr>
        <w:spacing w:after="0" w:line="18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i w:val="1"/>
          <w:iCs w:val="1"/>
          <w:color w:val="auto"/>
        </w:rPr>
        <w:t>Plan Deferrals</w:t>
      </w:r>
      <w:r>
        <w:rPr>
          <w:rFonts w:ascii="Times New Roman" w:cs="Times New Roman" w:eastAsia="Times New Roman" w:hAnsi="Times New Roman"/>
          <w:sz w:val="18"/>
          <w:szCs w:val="18"/>
          <w:color w:val="auto"/>
        </w:rPr>
        <w:t>. Participants may elect to defer up to 75% of eligible base compensation and up to 100% of eligible bonus, fiscal year or performance-based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under the Plan by completing deferral elections in accordance with Plan rules. The Company, in its sole discretion, may make employer contributions to the Plan. Participant and employer contributions to the Plan are credited to bookkeeping accounts maintained on behalf of each Participant under the Plan. The amounts credited to such deferral accounts under the Plan represent unfunded, unsecured Obligations of the Company, and do not represent ownership, or any ownership interest in, any particular assets of the Company. The deferred compensation Obligations are not convertible into any other security of the Company and do not have the benefit of any negative pledges or of any covenants on the part of the Company, other than to pay the deferred compensation Obligations arising under the Plan. The Company may elect to contribute deferrals to a trust that satisfies the tax requirements applicable to non-qualified deferred compensation plans to satisfy its payment Obligations under the Plan.</w:t>
      </w:r>
    </w:p>
    <w:p>
      <w:pPr>
        <w:spacing w:after="0" w:line="185"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i w:val="1"/>
          <w:iCs w:val="1"/>
          <w:color w:val="auto"/>
        </w:rPr>
        <w:t>Vesting of Deferrals</w:t>
      </w:r>
      <w:r>
        <w:rPr>
          <w:rFonts w:ascii="Times New Roman" w:cs="Times New Roman" w:eastAsia="Times New Roman" w:hAnsi="Times New Roman"/>
          <w:sz w:val="18"/>
          <w:szCs w:val="18"/>
          <w:color w:val="auto"/>
        </w:rPr>
        <w:t>. Participant deferrals are fully vested at all times. Participants become 100% vested in employer contributions, if any, upon 2 years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qualifying service with the Company. If not already vested, a Participant’s deferral account becomes 100% vested upon a change in control of the Company or upon the Participant’s death or disability.</w:t>
      </w:r>
    </w:p>
    <w:p>
      <w:pPr>
        <w:spacing w:after="0" w:line="17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i w:val="1"/>
          <w:iCs w:val="1"/>
          <w:color w:val="auto"/>
        </w:rPr>
        <w:t>Earnings Credits</w:t>
      </w:r>
      <w:r>
        <w:rPr>
          <w:rFonts w:ascii="Times New Roman" w:cs="Times New Roman" w:eastAsia="Times New Roman" w:hAnsi="Times New Roman"/>
          <w:sz w:val="18"/>
          <w:szCs w:val="18"/>
          <w:color w:val="auto"/>
        </w:rPr>
        <w:t>. Subject to certain exceptions and restrictions, a Participant’s deferral account balance is indexed to one or more hypothetical or “phantom”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options chosen by the Participant from the phantom investment options available under the Plan. A Participant’s deferred compensation benefit payable under the Plan increases or decreases based on the investment performance of the selected “phantom” investment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259715</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 w:name="page4"/>
    <w:bookmarkEnd w:id="3"/>
    <w:p>
      <w:pPr>
        <w:ind w:right="80"/>
        <w:spacing w:after="0" w:line="279" w:lineRule="auto"/>
        <w:rPr>
          <w:sz w:val="20"/>
          <w:szCs w:val="20"/>
          <w:color w:val="auto"/>
        </w:rPr>
      </w:pPr>
      <w:r>
        <w:rPr>
          <w:rFonts w:ascii="Times New Roman" w:cs="Times New Roman" w:eastAsia="Times New Roman" w:hAnsi="Times New Roman"/>
          <w:sz w:val="18"/>
          <w:szCs w:val="18"/>
          <w:i w:val="1"/>
          <w:iCs w:val="1"/>
          <w:color w:val="auto"/>
        </w:rPr>
        <w:t>Distribution of Deferrals</w:t>
      </w:r>
      <w:r>
        <w:rPr>
          <w:rFonts w:ascii="Times New Roman" w:cs="Times New Roman" w:eastAsia="Times New Roman" w:hAnsi="Times New Roman"/>
          <w:sz w:val="18"/>
          <w:szCs w:val="18"/>
          <w:color w:val="auto"/>
        </w:rPr>
        <w:t>. Participants choose the time and manner of distribution of their deferral accounts. Payment of deferral accounts is made in cash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and in the form elected by the Participant, subject to the following general rules:</w:t>
      </w:r>
    </w:p>
    <w:p>
      <w:pPr>
        <w:spacing w:after="0" w:line="162" w:lineRule="exact"/>
        <w:rPr>
          <w:sz w:val="20"/>
          <w:szCs w:val="20"/>
          <w:color w:val="auto"/>
        </w:rPr>
      </w:pPr>
    </w:p>
    <w:p>
      <w:pPr>
        <w:ind w:left="640" w:hanging="313"/>
        <w:spacing w:after="0" w:line="277"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elect, but is not required to elect, to receive his or her deferrals on a specified distribution date that occurs during the Participant’s employment.</w:t>
      </w:r>
    </w:p>
    <w:p>
      <w:pPr>
        <w:spacing w:after="0" w:line="163" w:lineRule="exact"/>
        <w:rPr>
          <w:rFonts w:ascii="Times New Roman" w:cs="Times New Roman" w:eastAsia="Times New Roman" w:hAnsi="Times New Roman"/>
          <w:sz w:val="18"/>
          <w:szCs w:val="18"/>
          <w:color w:val="auto"/>
        </w:rPr>
      </w:pPr>
    </w:p>
    <w:p>
      <w:pPr>
        <w:ind w:left="640" w:right="220" w:hanging="313"/>
        <w:spacing w:after="0" w:line="26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Participant’s deferrals will commence to be paid, if such deferrals have not already commenced to be paid, on the Participant’s termination of employment. Amounts payable to certain specified employees are delayed six months following such Participant’s termination of employment in accordance with the requirements of the Code and Plan.</w:t>
      </w:r>
    </w:p>
    <w:p>
      <w:pPr>
        <w:spacing w:after="0" w:line="17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elect to receive his or her deferrals in a lump-sum or in annual installments over a period of up to ten years.</w:t>
      </w:r>
    </w:p>
    <w:p>
      <w:pPr>
        <w:spacing w:after="0" w:line="220" w:lineRule="exact"/>
        <w:rPr>
          <w:rFonts w:ascii="Times New Roman" w:cs="Times New Roman" w:eastAsia="Times New Roman" w:hAnsi="Times New Roman"/>
          <w:sz w:val="18"/>
          <w:szCs w:val="18"/>
          <w:color w:val="auto"/>
        </w:rPr>
      </w:pPr>
    </w:p>
    <w:p>
      <w:pPr>
        <w:ind w:left="640" w:right="140" w:hanging="313"/>
        <w:spacing w:after="0" w:line="26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Participant’s entire deferral account balance will be paid in a lump sum upon the death or disability of the Participant, or upon a change in the ownership of the Company, a change in the effective control of the Company, or a change in the ownership of a substantial portion of the assets of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Subsection (a) of Section 145 of the General Corporation Law of the State of Delaware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85"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264795</wp:posOffset>
            </wp:positionV>
            <wp:extent cx="7133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 w:name="page5"/>
    <w:bookmarkEnd w:id="4"/>
    <w:p>
      <w:pPr>
        <w:ind w:right="160"/>
        <w:spacing w:after="0" w:line="251" w:lineRule="auto"/>
        <w:rPr>
          <w:sz w:val="20"/>
          <w:szCs w:val="20"/>
          <w:color w:val="auto"/>
        </w:rPr>
      </w:pPr>
      <w:r>
        <w:rPr>
          <w:rFonts w:ascii="Times New Roman" w:cs="Times New Roman" w:eastAsia="Times New Roman" w:hAnsi="Times New Roman"/>
          <w:sz w:val="18"/>
          <w:szCs w:val="18"/>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102(b)(7) of the DGCL provides that a corporation’s certificate of incorporation may contain a provision eliminating or limiting the personal liability of a director or officer to the corporation or its stockholders for monetary damages for breach of fiduciary duty as a director or officer, provided that such provision shall not eliminate or limit the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w:t>
      </w:r>
    </w:p>
    <w:p>
      <w:pPr>
        <w:spacing w:after="0" w:line="18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Company’s certificate of incorporation, as amended, provides for the elimination of liability of its directors and officers to the extent permitted by the DGCL. The Company’s Bylaws, as amended, provide for mandatory indemnification of its officers, directors, employees, and other agents to the extent set forth in the Company’s certificate of incorporation. In addition, the Company has entered into indemnification agreements with its directors and certain of its officers. The indemnification agreements provide such directors and officers with further indemnification to the maximum extent permitted by the DGCL.</w:t>
      </w:r>
    </w:p>
    <w:p>
      <w:pPr>
        <w:spacing w:after="0" w:line="166"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18"/>
          <w:szCs w:val="18"/>
          <w:color w:val="auto"/>
        </w:rPr>
        <w:t>The Company has in effect a directors and officers liability insurance policy indemnifying its directors and officers and the directors and officers of its subsidiaries within a specific limit for certain liabilities incurred by them, including liabilities under the Securities Act. The Company pays the entire premium of this policy.</w:t>
      </w:r>
    </w:p>
    <w:p>
      <w:pPr>
        <w:spacing w:after="0" w:line="177"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color w:val="auto"/>
        </w:rPr>
        <w:t>The Company believes that its certificate of incorporation and bylaw provisions, the directors and officers liability insurance policy and the indemnification agreements are necessary to attract and retain qualified persons to serve as directors and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287655</wp:posOffset>
            </wp:positionV>
            <wp:extent cx="7133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00"/>
          </w:cols>
          <w:pgMar w:left="320" w:top="335" w:right="3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7"/>
        </w:trPr>
        <w:tc>
          <w:tcPr>
            <w:tcW w:w="52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3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2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Exhibit/</w:t>
            </w:r>
          </w:p>
        </w:tc>
        <w:tc>
          <w:tcPr>
            <w:tcW w:w="280" w:type="dxa"/>
            <w:vAlign w:val="bottom"/>
          </w:tcPr>
          <w:p>
            <w:pPr>
              <w:spacing w:after="0"/>
              <w:rPr>
                <w:sz w:val="24"/>
                <w:szCs w:val="24"/>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Filing</w:t>
            </w:r>
          </w:p>
        </w:tc>
      </w:tr>
      <w:tr>
        <w:trPr>
          <w:trHeight w:val="236"/>
        </w:trPr>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13"/>
          </w:tcPr>
          <w:p>
            <w:pPr>
              <w:ind w:left="10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Ending</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Appendix</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spacing w:after="0" w:line="160"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940" w:type="dxa"/>
            <w:vAlign w:val="bottom"/>
            <w:tcBorders>
              <w:bottom w:val="single" w:sz="8" w:color="CCEEFF"/>
            </w:tcBorders>
            <w:gridSpan w:val="15"/>
            <w:shd w:val="clear" w:color="auto" w:fill="CCEEFF"/>
          </w:tcPr>
          <w:p>
            <w:pPr>
              <w:ind w:left="20"/>
              <w:spacing w:after="0" w:line="167"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Restated Certificate of Incorporation, as amended,</w:t>
              </w:r>
            </w:hyperlink>
          </w:p>
        </w:tc>
        <w:tc>
          <w:tcPr>
            <w:tcW w:w="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5"/>
            <w:shd w:val="clear" w:color="auto" w:fill="CCEEFF"/>
          </w:tcPr>
          <w:p>
            <w:pPr>
              <w:jc w:val="center"/>
              <w:ind w:right="480"/>
              <w:spacing w:after="0" w:line="167" w:lineRule="exact"/>
              <w:rPr>
                <w:rFonts w:ascii="Times New Roman" w:cs="Times New Roman" w:eastAsia="Times New Roman" w:hAnsi="Times New Roman"/>
                <w:sz w:val="18"/>
                <w:szCs w:val="18"/>
                <w:color w:val="0000EE"/>
                <w:w w:val="97"/>
              </w:rPr>
            </w:pPr>
            <w:hyperlink r:id="rId31">
              <w:r>
                <w:rPr>
                  <w:rFonts w:ascii="Times New Roman" w:cs="Times New Roman" w:eastAsia="Times New Roman" w:hAnsi="Times New Roman"/>
                  <w:sz w:val="18"/>
                  <w:szCs w:val="18"/>
                  <w:color w:val="0000EE"/>
                  <w:w w:val="97"/>
                </w:rPr>
                <w:t>10-Q</w:t>
              </w:r>
            </w:hyperlink>
          </w:p>
        </w:tc>
        <w:tc>
          <w:tcPr>
            <w:tcW w:w="3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0000EE"/>
            </w:tcBorders>
            <w:shd w:val="clear" w:color="auto" w:fill="CCEEFF"/>
          </w:tcPr>
          <w:p>
            <w:pPr>
              <w:spacing w:after="0" w:line="154" w:lineRule="exact"/>
              <w:rPr>
                <w:rFonts w:ascii="Times New Roman" w:cs="Times New Roman" w:eastAsia="Times New Roman" w:hAnsi="Times New Roman"/>
                <w:sz w:val="17"/>
                <w:szCs w:val="17"/>
                <w:color w:val="0000EE"/>
                <w:w w:val="99"/>
              </w:rPr>
            </w:pPr>
            <w:hyperlink r:id="rId31">
              <w:r>
                <w:rPr>
                  <w:rFonts w:ascii="Times New Roman" w:cs="Times New Roman" w:eastAsia="Times New Roman" w:hAnsi="Times New Roman"/>
                  <w:sz w:val="17"/>
                  <w:szCs w:val="17"/>
                  <w:color w:val="0000EE"/>
                  <w:w w:val="99"/>
                </w:rPr>
                <w:t>2/26/26</w:t>
              </w:r>
            </w:hyperlink>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4"/>
            <w:shd w:val="clear" w:color="auto" w:fill="CCEEFF"/>
          </w:tcPr>
          <w:p>
            <w:pPr>
              <w:jc w:val="center"/>
              <w:ind w:left="251"/>
              <w:spacing w:after="0" w:line="167" w:lineRule="exact"/>
              <w:rPr>
                <w:rFonts w:ascii="Times New Roman" w:cs="Times New Roman" w:eastAsia="Times New Roman" w:hAnsi="Times New Roman"/>
                <w:sz w:val="18"/>
                <w:szCs w:val="18"/>
                <w:color w:val="0000EE"/>
                <w:w w:val="97"/>
              </w:rPr>
            </w:pPr>
            <w:hyperlink r:id="rId31">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3"/>
            <w:shd w:val="clear" w:color="auto" w:fill="CCEEFF"/>
          </w:tcPr>
          <w:p>
            <w:pPr>
              <w:jc w:val="center"/>
              <w:spacing w:after="0" w:line="167"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3/19/26</w:t>
              </w:r>
            </w:hyperlink>
          </w:p>
        </w:tc>
      </w:tr>
      <w:tr>
        <w:trPr>
          <w:trHeight w:val="181"/>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0000EE"/>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0000EE"/>
              <w:bottom w:val="single" w:sz="8" w:color="0000EE"/>
            </w:tcBorders>
            <w:gridSpan w:val="2"/>
            <w:shd w:val="clear" w:color="auto" w:fill="CCEEFF"/>
          </w:tcPr>
          <w:p>
            <w:pPr>
              <w:spacing w:after="0" w:line="161" w:lineRule="exact"/>
              <w:rPr>
                <w:rFonts w:ascii="Times New Roman" w:cs="Times New Roman" w:eastAsia="Times New Roman" w:hAnsi="Times New Roman"/>
                <w:sz w:val="18"/>
                <w:szCs w:val="18"/>
                <w:color w:val="0000EE"/>
                <w:w w:val="98"/>
              </w:rPr>
            </w:pPr>
            <w:hyperlink r:id="rId31">
              <w:r>
                <w:rPr>
                  <w:rFonts w:ascii="Times New Roman" w:cs="Times New Roman" w:eastAsia="Times New Roman" w:hAnsi="Times New Roman"/>
                  <w:sz w:val="18"/>
                  <w:szCs w:val="18"/>
                  <w:color w:val="0000EE"/>
                  <w:w w:val="98"/>
                </w:rPr>
                <w:t>of the Registrant</w:t>
              </w:r>
            </w:hyperlink>
          </w:p>
        </w:tc>
        <w:tc>
          <w:tcPr>
            <w:tcW w:w="2380" w:type="dxa"/>
            <w:vAlign w:val="bottom"/>
            <w:tcBorders>
              <w:top w:val="single" w:sz="8" w:color="0000EE"/>
              <w:bottom w:val="single" w:sz="8" w:color="CCEEFF"/>
            </w:tcBorders>
            <w:gridSpan w:val="9"/>
            <w:shd w:val="clear" w:color="auto" w:fill="CCEEFF"/>
          </w:tcPr>
          <w:p>
            <w:pPr>
              <w:spacing w:after="0"/>
              <w:rPr>
                <w:sz w:val="15"/>
                <w:szCs w:val="15"/>
                <w:color w:val="auto"/>
              </w:rPr>
            </w:pPr>
          </w:p>
        </w:tc>
        <w:tc>
          <w:tcPr>
            <w:tcW w:w="34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0000EE"/>
              <w:bottom w:val="single" w:sz="8" w:color="CCEEFF"/>
            </w:tcBorders>
            <w:shd w:val="clear" w:color="auto" w:fill="CCEEFF"/>
          </w:tcPr>
          <w:p>
            <w:pPr>
              <w:spacing w:after="0"/>
              <w:rPr>
                <w:sz w:val="15"/>
                <w:szCs w:val="15"/>
                <w:color w:val="auto"/>
              </w:rPr>
            </w:pPr>
          </w:p>
        </w:tc>
        <w:tc>
          <w:tcPr>
            <w:tcW w:w="280" w:type="dxa"/>
            <w:vAlign w:val="bottom"/>
            <w:tcBorders>
              <w:top w:val="single" w:sz="8" w:color="0000EE"/>
              <w:bottom w:val="single" w:sz="8" w:color="CCEEFF"/>
            </w:tcBorders>
            <w:shd w:val="clear" w:color="auto" w:fill="CCEEFF"/>
          </w:tcPr>
          <w:p>
            <w:pPr>
              <w:spacing w:after="0"/>
              <w:rPr>
                <w:sz w:val="15"/>
                <w:szCs w:val="15"/>
                <w:color w:val="auto"/>
              </w:rPr>
            </w:pPr>
          </w:p>
        </w:tc>
        <w:tc>
          <w:tcPr>
            <w:tcW w:w="40" w:type="dxa"/>
            <w:vAlign w:val="bottom"/>
            <w:tcBorders>
              <w:top w:val="single" w:sz="8" w:color="0000EE"/>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0000EE"/>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0000EE"/>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240" w:type="dxa"/>
            <w:vAlign w:val="bottom"/>
          </w:tcPr>
          <w:p>
            <w:pPr>
              <w:spacing w:after="0" w:line="201" w:lineRule="exact"/>
              <w:rPr>
                <w:rFonts w:ascii="Times New Roman" w:cs="Times New Roman" w:eastAsia="Times New Roman" w:hAnsi="Times New Roman"/>
                <w:sz w:val="18"/>
                <w:szCs w:val="18"/>
                <w:color w:val="0000EE"/>
                <w:w w:val="97"/>
              </w:rPr>
            </w:pPr>
            <w:hyperlink r:id="rId32">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12"/>
          </w:tcPr>
          <w:p>
            <w:pPr>
              <w:spacing w:after="0" w:line="201" w:lineRule="exact"/>
              <w:rPr>
                <w:rFonts w:ascii="Times New Roman" w:cs="Times New Roman" w:eastAsia="Times New Roman" w:hAnsi="Times New Roman"/>
                <w:sz w:val="18"/>
                <w:szCs w:val="18"/>
                <w:color w:val="0000EE"/>
                <w:w w:val="98"/>
              </w:rPr>
            </w:pPr>
            <w:hyperlink r:id="rId32">
              <w:r>
                <w:rPr>
                  <w:rFonts w:ascii="Times New Roman" w:cs="Times New Roman" w:eastAsia="Times New Roman" w:hAnsi="Times New Roman"/>
                  <w:sz w:val="18"/>
                  <w:szCs w:val="18"/>
                  <w:color w:val="0000EE"/>
                  <w:w w:val="98"/>
                </w:rPr>
                <w:t>Amended and Restated Bylaws of the Registrant as</w:t>
              </w:r>
            </w:hyperlink>
          </w:p>
        </w:tc>
        <w:tc>
          <w:tcPr>
            <w:tcW w:w="26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5"/>
          </w:tcPr>
          <w:p>
            <w:pPr>
              <w:jc w:val="center"/>
              <w:ind w:right="480"/>
              <w:spacing w:after="0" w:line="201"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8-K</w:t>
              </w:r>
            </w:hyperlink>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4"/>
          </w:tcPr>
          <w:p>
            <w:pPr>
              <w:jc w:val="center"/>
              <w:ind w:left="251"/>
              <w:spacing w:after="0" w:line="201" w:lineRule="exact"/>
              <w:rPr>
                <w:rFonts w:ascii="Times New Roman" w:cs="Times New Roman" w:eastAsia="Times New Roman" w:hAnsi="Times New Roman"/>
                <w:sz w:val="18"/>
                <w:szCs w:val="18"/>
                <w:color w:val="0000EE"/>
                <w:w w:val="97"/>
              </w:rPr>
            </w:pPr>
            <w:hyperlink r:id="rId32">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spacing w:after="0" w:line="201"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7/18/25</w:t>
              </w:r>
            </w:hyperlink>
          </w:p>
        </w:tc>
      </w:tr>
      <w:tr>
        <w:trPr>
          <w:trHeight w:val="194"/>
        </w:trPr>
        <w:tc>
          <w:tcPr>
            <w:tcW w:w="20" w:type="dxa"/>
            <w:vAlign w:val="bottom"/>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60" w:type="dxa"/>
            <w:vAlign w:val="bottom"/>
            <w:tcBorders>
              <w:top w:val="single" w:sz="8" w:color="0000EE"/>
            </w:tcBorders>
            <w:gridSpan w:val="12"/>
          </w:tcPr>
          <w:p>
            <w:pPr>
              <w:spacing w:after="0" w:line="194"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of July 17, 2025</w:t>
              </w:r>
            </w:hyperlink>
          </w:p>
        </w:tc>
        <w:tc>
          <w:tcPr>
            <w:tcW w:w="260" w:type="dxa"/>
            <w:vAlign w:val="bottom"/>
            <w:gridSpan w:val="2"/>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9"/>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spacing w:after="0" w:line="167"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3940" w:type="dxa"/>
            <w:vAlign w:val="bottom"/>
            <w:tcBorders>
              <w:bottom w:val="single" w:sz="8" w:color="CCEEFF"/>
            </w:tcBorders>
            <w:gridSpan w:val="15"/>
            <w:shd w:val="clear" w:color="auto" w:fill="CCEEFF"/>
          </w:tcPr>
          <w:p>
            <w:pPr>
              <w:ind w:left="20"/>
              <w:spacing w:after="0" w:line="167"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Micron Technology, Inc. Deferred Compensation</w:t>
              </w:r>
            </w:hyperlink>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5"/>
            <w:shd w:val="clear" w:color="auto" w:fill="CCEEFF"/>
          </w:tcPr>
          <w:p>
            <w:pPr>
              <w:jc w:val="center"/>
              <w:ind w:right="480"/>
              <w:spacing w:after="0" w:line="167" w:lineRule="exact"/>
              <w:rPr>
                <w:rFonts w:ascii="Times New Roman" w:cs="Times New Roman" w:eastAsia="Times New Roman" w:hAnsi="Times New Roman"/>
                <w:sz w:val="18"/>
                <w:szCs w:val="18"/>
                <w:color w:val="0000EE"/>
                <w:w w:val="97"/>
              </w:rPr>
            </w:pPr>
            <w:hyperlink r:id="rId33">
              <w:r>
                <w:rPr>
                  <w:rFonts w:ascii="Times New Roman" w:cs="Times New Roman" w:eastAsia="Times New Roman" w:hAnsi="Times New Roman"/>
                  <w:sz w:val="18"/>
                  <w:szCs w:val="18"/>
                  <w:color w:val="0000EE"/>
                  <w:w w:val="97"/>
                </w:rPr>
                <w:t>10-K</w:t>
              </w:r>
            </w:hyperlink>
          </w:p>
        </w:tc>
        <w:tc>
          <w:tcPr>
            <w:tcW w:w="3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0000EE"/>
            </w:tcBorders>
            <w:shd w:val="clear" w:color="auto" w:fill="CCEEFF"/>
          </w:tcPr>
          <w:p>
            <w:pPr>
              <w:spacing w:after="0" w:line="154" w:lineRule="exact"/>
              <w:rPr>
                <w:rFonts w:ascii="Times New Roman" w:cs="Times New Roman" w:eastAsia="Times New Roman" w:hAnsi="Times New Roman"/>
                <w:sz w:val="17"/>
                <w:szCs w:val="17"/>
                <w:color w:val="0000EE"/>
                <w:w w:val="99"/>
              </w:rPr>
            </w:pPr>
            <w:hyperlink r:id="rId33">
              <w:r>
                <w:rPr>
                  <w:rFonts w:ascii="Times New Roman" w:cs="Times New Roman" w:eastAsia="Times New Roman" w:hAnsi="Times New Roman"/>
                  <w:sz w:val="17"/>
                  <w:szCs w:val="17"/>
                  <w:color w:val="0000EE"/>
                  <w:w w:val="99"/>
                </w:rPr>
                <w:t>8/31/23</w:t>
              </w:r>
            </w:hyperlink>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5"/>
            <w:shd w:val="clear" w:color="auto" w:fill="CCEEFF"/>
          </w:tcPr>
          <w:p>
            <w:pPr>
              <w:jc w:val="center"/>
              <w:spacing w:after="0" w:line="167" w:lineRule="exact"/>
              <w:rPr>
                <w:rFonts w:ascii="Times New Roman" w:cs="Times New Roman" w:eastAsia="Times New Roman" w:hAnsi="Times New Roman"/>
                <w:sz w:val="18"/>
                <w:szCs w:val="18"/>
                <w:color w:val="0000EE"/>
                <w:w w:val="98"/>
              </w:rPr>
            </w:pPr>
            <w:hyperlink r:id="rId3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10</w:t>
              </w:r>
            </w:hyperlink>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3"/>
            <w:shd w:val="clear" w:color="auto" w:fill="CCEEFF"/>
          </w:tcPr>
          <w:p>
            <w:pPr>
              <w:jc w:val="center"/>
              <w:spacing w:after="0" w:line="167"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10/6/23</w:t>
              </w:r>
            </w:hyperlink>
          </w:p>
        </w:tc>
      </w:tr>
      <w:tr>
        <w:trPr>
          <w:trHeight w:val="180"/>
        </w:trPr>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520" w:type="dxa"/>
            <w:vAlign w:val="bottom"/>
            <w:tcBorders>
              <w:top w:val="single" w:sz="8" w:color="0000EE"/>
            </w:tcBorders>
            <w:gridSpan w:val="10"/>
            <w:shd w:val="clear" w:color="auto" w:fill="CCEEFF"/>
          </w:tcPr>
          <w:p>
            <w:pPr>
              <w:spacing w:after="0" w:line="181"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Plan, as amended</w:t>
              </w:r>
            </w:hyperlink>
          </w:p>
        </w:tc>
        <w:tc>
          <w:tcPr>
            <w:tcW w:w="400" w:type="dxa"/>
            <w:vAlign w:val="bottom"/>
            <w:tcBorders>
              <w:top w:val="single" w:sz="8" w:color="CCEEFF"/>
            </w:tcBorders>
            <w:gridSpan w:val="4"/>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28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220" w:type="dxa"/>
            <w:vAlign w:val="bottom"/>
            <w:tcBorders>
              <w:top w:val="single" w:sz="8" w:color="0000EE"/>
            </w:tcBorders>
            <w:shd w:val="clear" w:color="auto" w:fill="CCEEFF"/>
          </w:tcPr>
          <w:p>
            <w:pPr>
              <w:spacing w:after="0"/>
              <w:rPr>
                <w:sz w:val="15"/>
                <w:szCs w:val="15"/>
                <w:color w:val="auto"/>
              </w:rPr>
            </w:pPr>
          </w:p>
        </w:tc>
        <w:tc>
          <w:tcPr>
            <w:tcW w:w="100" w:type="dxa"/>
            <w:vAlign w:val="bottom"/>
            <w:tcBorders>
              <w:top w:val="single" w:sz="8" w:color="0000EE"/>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0000EE"/>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2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gridSpan w:val="8"/>
          </w:tcPr>
          <w:p>
            <w:pPr>
              <w:spacing w:after="0" w:line="201" w:lineRule="exact"/>
              <w:rPr>
                <w:sz w:val="20"/>
                <w:szCs w:val="20"/>
                <w:color w:val="auto"/>
              </w:rPr>
            </w:pPr>
            <w:r>
              <w:rPr>
                <w:rFonts w:ascii="Times New Roman" w:cs="Times New Roman" w:eastAsia="Times New Roman" w:hAnsi="Times New Roman"/>
                <w:sz w:val="18"/>
                <w:szCs w:val="18"/>
                <w:color w:val="0000EE"/>
                <w:w w:val="98"/>
              </w:rPr>
              <w:t>Opinion of Wilson Sonsini Goodrich &amp; Rosati,</w:t>
            </w:r>
          </w:p>
        </w:tc>
        <w:tc>
          <w:tcPr>
            <w:tcW w:w="56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gridSpan w:val="3"/>
          </w:tcPr>
          <w:p>
            <w:pPr>
              <w:jc w:val="center"/>
              <w:ind w:right="620"/>
              <w:spacing w:after="0" w:line="201" w:lineRule="exact"/>
              <w:rPr>
                <w:sz w:val="20"/>
                <w:szCs w:val="20"/>
                <w:color w:val="auto"/>
              </w:rPr>
            </w:pPr>
            <w:r>
              <w:rPr>
                <w:rFonts w:ascii="Times New Roman" w:cs="Times New Roman" w:eastAsia="Times New Roman" w:hAnsi="Times New Roman"/>
                <w:sz w:val="18"/>
                <w:szCs w:val="18"/>
                <w:color w:val="0000EE"/>
                <w:w w:val="91"/>
              </w:rPr>
              <w:t>X</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60" w:type="dxa"/>
            <w:vAlign w:val="bottom"/>
            <w:tcBorders>
              <w:top w:val="single" w:sz="8" w:color="0000EE"/>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Professional Corporation</w:t>
            </w:r>
          </w:p>
        </w:tc>
        <w:tc>
          <w:tcPr>
            <w:tcW w:w="560" w:type="dxa"/>
            <w:vAlign w:val="bottom"/>
            <w:gridSpan w:val="6"/>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40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840" w:type="dxa"/>
            <w:vAlign w:val="bottom"/>
            <w:shd w:val="clear" w:color="auto" w:fill="CCEEFF"/>
          </w:tcPr>
          <w:p>
            <w:pPr>
              <w:spacing w:after="0"/>
              <w:rPr>
                <w:sz w:val="17"/>
                <w:szCs w:val="17"/>
                <w:color w:val="auto"/>
              </w:rPr>
            </w:pPr>
          </w:p>
        </w:tc>
        <w:tc>
          <w:tcPr>
            <w:tcW w:w="3940" w:type="dxa"/>
            <w:vAlign w:val="bottom"/>
            <w:gridSpan w:val="15"/>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0000EE"/>
              </w:rPr>
              <w:t>Consent of Independent Registered Public</w:t>
            </w:r>
          </w:p>
        </w:tc>
        <w:tc>
          <w:tcPr>
            <w:tcW w:w="5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center"/>
              <w:ind w:right="620"/>
              <w:spacing w:after="0" w:line="201" w:lineRule="exact"/>
              <w:rPr>
                <w:sz w:val="20"/>
                <w:szCs w:val="20"/>
                <w:color w:val="auto"/>
              </w:rPr>
            </w:pPr>
            <w:r>
              <w:rPr>
                <w:rFonts w:ascii="Times New Roman" w:cs="Times New Roman" w:eastAsia="Times New Roman" w:hAnsi="Times New Roman"/>
                <w:sz w:val="18"/>
                <w:szCs w:val="18"/>
                <w:color w:val="0000EE"/>
                <w:w w:val="91"/>
              </w:rPr>
              <w:t>X</w:t>
            </w: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194"/>
        </w:trPr>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20" w:type="dxa"/>
            <w:vAlign w:val="bottom"/>
            <w:tcBorders>
              <w:top w:val="single" w:sz="8" w:color="0000EE"/>
            </w:tcBorders>
            <w:gridSpan w:val="7"/>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rPr>
              <w:t>Accounting Firm</w:t>
            </w:r>
          </w:p>
        </w:tc>
        <w:tc>
          <w:tcPr>
            <w:tcW w:w="900" w:type="dxa"/>
            <w:vAlign w:val="bottom"/>
            <w:tcBorders>
              <w:top w:val="single" w:sz="8" w:color="CCEEFF"/>
            </w:tcBorders>
            <w:gridSpan w:val="7"/>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0000EE"/>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gridSpan w:val="14"/>
          </w:tcPr>
          <w:p>
            <w:pPr>
              <w:spacing w:after="0" w:line="201" w:lineRule="exact"/>
              <w:rPr>
                <w:sz w:val="20"/>
                <w:szCs w:val="20"/>
                <w:color w:val="auto"/>
              </w:rPr>
            </w:pPr>
            <w:r>
              <w:rPr>
                <w:rFonts w:ascii="Times New Roman" w:cs="Times New Roman" w:eastAsia="Times New Roman" w:hAnsi="Times New Roman"/>
                <w:sz w:val="18"/>
                <w:szCs w:val="18"/>
                <w:color w:val="0000EE"/>
              </w:rPr>
              <w:t>Consent of Wilson Sonsini Goodrich &amp; Rosati,</w:t>
            </w:r>
          </w:p>
        </w:tc>
        <w:tc>
          <w:tcPr>
            <w:tcW w:w="500" w:type="dxa"/>
            <w:vAlign w:val="bottom"/>
          </w:tcPr>
          <w:p>
            <w:pPr>
              <w:spacing w:after="0"/>
              <w:rPr>
                <w:sz w:val="17"/>
                <w:szCs w:val="17"/>
                <w:color w:val="auto"/>
              </w:rPr>
            </w:pPr>
          </w:p>
        </w:tc>
        <w:tc>
          <w:tcPr>
            <w:tcW w:w="740" w:type="dxa"/>
            <w:vAlign w:val="bottom"/>
            <w:gridSpan w:val="3"/>
          </w:tcPr>
          <w:p>
            <w:pPr>
              <w:jc w:val="center"/>
              <w:ind w:right="620"/>
              <w:spacing w:after="0" w:line="201" w:lineRule="exact"/>
              <w:rPr>
                <w:sz w:val="20"/>
                <w:szCs w:val="20"/>
                <w:color w:val="auto"/>
              </w:rPr>
            </w:pPr>
            <w:r>
              <w:rPr>
                <w:rFonts w:ascii="Times New Roman" w:cs="Times New Roman" w:eastAsia="Times New Roman" w:hAnsi="Times New Roman"/>
                <w:sz w:val="18"/>
                <w:szCs w:val="18"/>
                <w:color w:val="0000EE"/>
                <w:w w:val="91"/>
              </w:rPr>
              <w:t>X</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6"/>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2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Professional Corporation (contained in Exhibit 5.1)</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40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840" w:type="dxa"/>
            <w:vAlign w:val="bottom"/>
            <w:shd w:val="clear" w:color="auto" w:fill="CCEEFF"/>
          </w:tcPr>
          <w:p>
            <w:pPr>
              <w:spacing w:after="0"/>
              <w:rPr>
                <w:sz w:val="17"/>
                <w:szCs w:val="17"/>
                <w:color w:val="auto"/>
              </w:rPr>
            </w:pPr>
          </w:p>
        </w:tc>
        <w:tc>
          <w:tcPr>
            <w:tcW w:w="3940" w:type="dxa"/>
            <w:vAlign w:val="bottom"/>
            <w:gridSpan w:val="15"/>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0000EE"/>
              </w:rPr>
              <w:t>Power of Attorney (included on signature page)</w:t>
            </w:r>
          </w:p>
        </w:tc>
        <w:tc>
          <w:tcPr>
            <w:tcW w:w="5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center"/>
              <w:ind w:right="620"/>
              <w:spacing w:after="0" w:line="201" w:lineRule="exact"/>
              <w:rPr>
                <w:sz w:val="20"/>
                <w:szCs w:val="20"/>
                <w:color w:val="auto"/>
              </w:rPr>
            </w:pPr>
            <w:r>
              <w:rPr>
                <w:rFonts w:ascii="Times New Roman" w:cs="Times New Roman" w:eastAsia="Times New Roman" w:hAnsi="Times New Roman"/>
                <w:sz w:val="18"/>
                <w:szCs w:val="18"/>
                <w:color w:val="0000EE"/>
                <w:w w:val="91"/>
              </w:rPr>
              <w:t>X</w:t>
            </w: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0000EE"/>
                <w:w w:val="93"/>
              </w:rPr>
              <w:t>107.</w:t>
            </w:r>
            <w:r>
              <w:rPr>
                <w:rFonts w:ascii="Times New Roman" w:cs="Times New Roman" w:eastAsia="Times New Roman" w:hAnsi="Times New Roman"/>
                <w:sz w:val="18"/>
                <w:szCs w:val="18"/>
                <w:u w:val="single" w:color="auto"/>
                <w:color w:val="0000EE"/>
                <w:w w:val="93"/>
              </w:rPr>
              <w:t>1</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gridSpan w:val="14"/>
          </w:tcPr>
          <w:p>
            <w:pPr>
              <w:spacing w:after="0" w:line="201" w:lineRule="exact"/>
              <w:rPr>
                <w:sz w:val="20"/>
                <w:szCs w:val="20"/>
                <w:color w:val="auto"/>
              </w:rPr>
            </w:pPr>
            <w:r>
              <w:rPr>
                <w:rFonts w:ascii="Times New Roman" w:cs="Times New Roman" w:eastAsia="Times New Roman" w:hAnsi="Times New Roman"/>
                <w:sz w:val="18"/>
                <w:szCs w:val="18"/>
                <w:color w:val="0000EE"/>
              </w:rPr>
              <w:t>Calculation of Filing Fee Table</w:t>
            </w:r>
          </w:p>
        </w:tc>
        <w:tc>
          <w:tcPr>
            <w:tcW w:w="500" w:type="dxa"/>
            <w:vAlign w:val="bottom"/>
          </w:tcPr>
          <w:p>
            <w:pPr>
              <w:spacing w:after="0"/>
              <w:rPr>
                <w:sz w:val="17"/>
                <w:szCs w:val="17"/>
                <w:color w:val="auto"/>
              </w:rPr>
            </w:pPr>
          </w:p>
        </w:tc>
        <w:tc>
          <w:tcPr>
            <w:tcW w:w="740" w:type="dxa"/>
            <w:vAlign w:val="bottom"/>
            <w:gridSpan w:val="3"/>
          </w:tcPr>
          <w:p>
            <w:pPr>
              <w:jc w:val="center"/>
              <w:ind w:right="620"/>
              <w:spacing w:after="0" w:line="201" w:lineRule="exact"/>
              <w:rPr>
                <w:sz w:val="20"/>
                <w:szCs w:val="20"/>
                <w:color w:val="auto"/>
              </w:rPr>
            </w:pPr>
            <w:r>
              <w:rPr>
                <w:rFonts w:ascii="Times New Roman" w:cs="Times New Roman" w:eastAsia="Times New Roman" w:hAnsi="Times New Roman"/>
                <w:sz w:val="18"/>
                <w:szCs w:val="18"/>
                <w:color w:val="0000EE"/>
                <w:w w:val="91"/>
              </w:rPr>
              <w:t>X</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0" w:lineRule="exact"/>
        <w:rPr>
          <w:sz w:val="20"/>
          <w:szCs w:val="20"/>
          <w:color w:val="auto"/>
        </w:rPr>
      </w:pPr>
    </w:p>
    <w:p>
      <w:pPr>
        <w:ind w:left="260" w:hanging="253"/>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220" w:lineRule="exact"/>
        <w:rPr>
          <w:sz w:val="20"/>
          <w:szCs w:val="20"/>
          <w:color w:val="auto"/>
        </w:rPr>
      </w:pPr>
    </w:p>
    <w:p>
      <w:pPr>
        <w:ind w:right="140" w:firstLine="7"/>
        <w:spacing w:after="0" w:line="253" w:lineRule="auto"/>
        <w:tabs>
          <w:tab w:leader="none" w:pos="26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6" w:lineRule="exact"/>
        <w:rPr>
          <w:rFonts w:ascii="Times New Roman" w:cs="Times New Roman" w:eastAsia="Times New Roman" w:hAnsi="Times New Roman"/>
          <w:sz w:val="18"/>
          <w:szCs w:val="18"/>
          <w:color w:val="auto"/>
        </w:rPr>
      </w:pPr>
    </w:p>
    <w:p>
      <w:pPr>
        <w:ind w:right="80" w:firstLine="7"/>
        <w:spacing w:after="0" w:line="277" w:lineRule="auto"/>
        <w:tabs>
          <w:tab w:leader="none" w:pos="3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176" w:lineRule="exact"/>
        <w:rPr>
          <w:sz w:val="20"/>
          <w:szCs w:val="20"/>
          <w:color w:val="auto"/>
        </w:rPr>
      </w:pPr>
    </w:p>
    <w:p>
      <w:pPr>
        <w:jc w:val="both"/>
        <w:ind w:right="120" w:firstLine="7"/>
        <w:spacing w:after="0" w:line="308" w:lineRule="auto"/>
        <w:tabs>
          <w:tab w:leader="none" w:pos="24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236220</wp:posOffset>
            </wp:positionV>
            <wp:extent cx="71335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 w:name="page7"/>
    <w:bookmarkEnd w:id="6"/>
    <w:p>
      <w:pPr>
        <w:ind w:left="-7" w:firstLine="7"/>
        <w:spacing w:after="0" w:line="277" w:lineRule="auto"/>
        <w:tabs>
          <w:tab w:leader="none" w:pos="24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sz w:val="20"/>
          <w:szCs w:val="20"/>
          <w:color w:val="auto"/>
        </w:rPr>
      </w:pPr>
    </w:p>
    <w:p>
      <w:pPr>
        <w:ind w:left="-7" w:right="20" w:firstLine="7"/>
        <w:spacing w:after="0" w:line="277" w:lineRule="auto"/>
        <w:tabs>
          <w:tab w:leader="none" w:pos="24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6" w:lineRule="exact"/>
        <w:rPr>
          <w:rFonts w:ascii="Times New Roman" w:cs="Times New Roman" w:eastAsia="Times New Roman" w:hAnsi="Times New Roman"/>
          <w:sz w:val="17"/>
          <w:szCs w:val="17"/>
          <w:color w:val="auto"/>
        </w:rPr>
      </w:pPr>
    </w:p>
    <w:p>
      <w:pPr>
        <w:ind w:left="-7" w:right="40" w:firstLine="7"/>
        <w:spacing w:after="0" w:line="270" w:lineRule="auto"/>
        <w:tabs>
          <w:tab w:leader="none" w:pos="2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255905</wp:posOffset>
            </wp:positionV>
            <wp:extent cx="71335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153"/>
          </w:cols>
          <w:pgMar w:left="327" w:top="335" w:right="4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Jose, State of California, and the City of Boise, State of Idaho, respectively, on April 17, 2026.</w:t>
      </w:r>
    </w:p>
    <w:p>
      <w:pPr>
        <w:spacing w:after="0" w:line="391" w:lineRule="exact"/>
        <w:rPr>
          <w:sz w:val="20"/>
          <w:szCs w:val="20"/>
          <w:color w:val="auto"/>
        </w:rPr>
      </w:pPr>
    </w:p>
    <w:tbl>
      <w:tblPr>
        <w:tblLayout w:type="fixed"/>
        <w:tblInd w:w="5640" w:type="dxa"/>
        <w:tblCellMar>
          <w:top w:w="0" w:type="dxa"/>
          <w:left w:w="0" w:type="dxa"/>
          <w:bottom w:w="0" w:type="dxa"/>
          <w:right w:w="0" w:type="dxa"/>
        </w:tblCellMar>
      </w:tblPr>
      <w:tr>
        <w:trPr>
          <w:trHeight w:val="232"/>
        </w:trPr>
        <w:tc>
          <w:tcPr>
            <w:tcW w:w="320" w:type="dxa"/>
            <w:vAlign w:val="bottom"/>
          </w:tcPr>
          <w:p>
            <w:pPr>
              <w:spacing w:after="0"/>
              <w:rPr>
                <w:sz w:val="20"/>
                <w:szCs w:val="20"/>
                <w:color w:val="auto"/>
              </w:rPr>
            </w:pP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Micron Technology, Inc.</w:t>
            </w:r>
          </w:p>
        </w:tc>
      </w:tr>
      <w:tr>
        <w:trPr>
          <w:trHeight w:val="226"/>
        </w:trPr>
        <w:tc>
          <w:tcPr>
            <w:tcW w:w="32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(Registrant)</w:t>
            </w:r>
          </w:p>
        </w:tc>
      </w:tr>
      <w:tr>
        <w:trPr>
          <w:trHeight w:val="40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Sanjay Mehrotra</w:t>
            </w:r>
          </w:p>
        </w:tc>
      </w:tr>
      <w:tr>
        <w:trPr>
          <w:trHeight w:val="189"/>
        </w:trPr>
        <w:tc>
          <w:tcPr>
            <w:tcW w:w="320" w:type="dxa"/>
            <w:vAlign w:val="bottom"/>
          </w:tcPr>
          <w:p>
            <w:pPr>
              <w:spacing w:after="0"/>
              <w:rPr>
                <w:sz w:val="16"/>
                <w:szCs w:val="16"/>
                <w:color w:val="auto"/>
              </w:rPr>
            </w:pPr>
          </w:p>
        </w:tc>
        <w:tc>
          <w:tcPr>
            <w:tcW w:w="5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(Sanjay Mehrotra)</w:t>
            </w:r>
          </w:p>
        </w:tc>
      </w:tr>
      <w:tr>
        <w:trPr>
          <w:trHeight w:val="214"/>
        </w:trPr>
        <w:tc>
          <w:tcPr>
            <w:tcW w:w="3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233"/>
        </w:trPr>
        <w:tc>
          <w:tcPr>
            <w:tcW w:w="3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427"/>
        </w:trPr>
        <w:tc>
          <w:tcPr>
            <w:tcW w:w="320" w:type="dxa"/>
            <w:vAlign w:val="bottom"/>
          </w:tcPr>
          <w:p>
            <w:pPr>
              <w:spacing w:after="0"/>
              <w:rPr>
                <w:sz w:val="24"/>
                <w:szCs w:val="24"/>
                <w:color w:val="auto"/>
              </w:rPr>
            </w:pP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J. Murphy</w:t>
            </w:r>
          </w:p>
        </w:tc>
      </w:tr>
      <w:tr>
        <w:trPr>
          <w:trHeight w:val="189"/>
        </w:trPr>
        <w:tc>
          <w:tcPr>
            <w:tcW w:w="320" w:type="dxa"/>
            <w:vAlign w:val="bottom"/>
          </w:tcPr>
          <w:p>
            <w:pPr>
              <w:spacing w:after="0"/>
              <w:rPr>
                <w:sz w:val="16"/>
                <w:szCs w:val="16"/>
                <w:color w:val="auto"/>
              </w:rPr>
            </w:pPr>
          </w:p>
        </w:tc>
        <w:tc>
          <w:tcPr>
            <w:tcW w:w="5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(Mark J. Murphy)</w:t>
            </w:r>
          </w:p>
        </w:tc>
      </w:tr>
      <w:tr>
        <w:trPr>
          <w:trHeight w:val="214"/>
        </w:trPr>
        <w:tc>
          <w:tcPr>
            <w:tcW w:w="3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w:t>
            </w:r>
          </w:p>
        </w:tc>
      </w:tr>
      <w:tr>
        <w:trPr>
          <w:trHeight w:val="233"/>
        </w:trPr>
        <w:tc>
          <w:tcPr>
            <w:tcW w:w="3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Officer)</w:t>
            </w: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Sanjay Mehrotra and Mark J. Murphy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on Form S-8 and to file the same, with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in accordance with the laws of the State of Delaware and applicable federal securities laws.</w:t>
      </w:r>
    </w:p>
    <w:p>
      <w:pPr>
        <w:spacing w:after="0" w:line="185" w:lineRule="exact"/>
        <w:rPr>
          <w:sz w:val="20"/>
          <w:szCs w:val="20"/>
          <w:color w:val="auto"/>
        </w:rPr>
      </w:pPr>
    </w:p>
    <w:p>
      <w:pPr>
        <w:ind w:right="7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18"/>
                <w:szCs w:val="18"/>
                <w:color w:val="auto"/>
              </w:rPr>
            </w:pPr>
          </w:p>
        </w:tc>
        <w:tc>
          <w:tcPr>
            <w:tcW w:w="234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436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94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74"/>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Sanjay Mehrotra</w:t>
            </w:r>
          </w:p>
        </w:tc>
        <w:tc>
          <w:tcPr>
            <w:tcW w:w="436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Chairman, President and</w:t>
            </w:r>
          </w:p>
        </w:tc>
        <w:tc>
          <w:tcPr>
            <w:tcW w:w="294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23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(Sanjay Mehrotra)</w:t>
            </w:r>
          </w:p>
        </w:tc>
        <w:tc>
          <w:tcPr>
            <w:tcW w:w="436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36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4"/>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Mark J. Murphy</w:t>
            </w:r>
          </w:p>
        </w:tc>
        <w:tc>
          <w:tcPr>
            <w:tcW w:w="436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7"/>
              </w:rPr>
              <w:t>Executive Vice President and</w:t>
            </w:r>
          </w:p>
        </w:tc>
        <w:tc>
          <w:tcPr>
            <w:tcW w:w="294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23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(Mark J. Murphy)</w:t>
            </w:r>
          </w:p>
        </w:tc>
        <w:tc>
          <w:tcPr>
            <w:tcW w:w="436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36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4"/>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Scott Allen</w:t>
            </w:r>
          </w:p>
        </w:tc>
        <w:tc>
          <w:tcPr>
            <w:tcW w:w="436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7"/>
              </w:rPr>
              <w:t>Corporate Vice President and</w:t>
            </w:r>
          </w:p>
        </w:tc>
        <w:tc>
          <w:tcPr>
            <w:tcW w:w="294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23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(Scott Allen)</w:t>
            </w:r>
          </w:p>
        </w:tc>
        <w:tc>
          <w:tcPr>
            <w:tcW w:w="436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36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4"/>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Lynn A. Dugle</w:t>
            </w:r>
          </w:p>
        </w:tc>
        <w:tc>
          <w:tcPr>
            <w:tcW w:w="436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8"/>
              </w:rPr>
              <w:t>Lead Independent Director</w:t>
            </w:r>
          </w:p>
        </w:tc>
        <w:tc>
          <w:tcPr>
            <w:tcW w:w="294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23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(Lynn A. Dugle)</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4"/>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Steven J. Gomo</w:t>
            </w:r>
          </w:p>
        </w:tc>
        <w:tc>
          <w:tcPr>
            <w:tcW w:w="436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23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(Steven J. Gomo)</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4"/>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Linnie M. Haynesworth</w:t>
            </w:r>
          </w:p>
        </w:tc>
        <w:tc>
          <w:tcPr>
            <w:tcW w:w="436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23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(Linnie M. Haynesworth)</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4"/>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T. Mark Liu</w:t>
            </w:r>
          </w:p>
        </w:tc>
        <w:tc>
          <w:tcPr>
            <w:tcW w:w="436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23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 Mark Liu)</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80"/>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A. Christine Simons</w:t>
            </w:r>
          </w:p>
        </w:tc>
        <w:tc>
          <w:tcPr>
            <w:tcW w:w="436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23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 Christine Simons)</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4"/>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Robert H. Swan</w:t>
            </w:r>
          </w:p>
        </w:tc>
        <w:tc>
          <w:tcPr>
            <w:tcW w:w="436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23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(Robert H. Swan)</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4"/>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/s/ MaryAnn Wright</w:t>
            </w:r>
          </w:p>
        </w:tc>
        <w:tc>
          <w:tcPr>
            <w:tcW w:w="4360" w:type="dxa"/>
            <w:vAlign w:val="bottom"/>
            <w:gridSpan w:val="3"/>
          </w:tcPr>
          <w:p>
            <w:pPr>
              <w:jc w:val="center"/>
              <w:ind w:left="71"/>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gridSpan w:val="3"/>
          </w:tcPr>
          <w:p>
            <w:pPr>
              <w:jc w:val="center"/>
              <w:ind w:left="51"/>
              <w:spacing w:after="0"/>
              <w:rPr>
                <w:sz w:val="20"/>
                <w:szCs w:val="20"/>
                <w:color w:val="auto"/>
              </w:rPr>
            </w:pPr>
            <w:r>
              <w:rPr>
                <w:rFonts w:ascii="Times New Roman" w:cs="Times New Roman" w:eastAsia="Times New Roman" w:hAnsi="Times New Roman"/>
                <w:sz w:val="18"/>
                <w:szCs w:val="18"/>
                <w:color w:val="auto"/>
                <w:w w:val="98"/>
              </w:rPr>
              <w:t>April 17, 2026</w:t>
            </w:r>
          </w:p>
        </w:tc>
      </w:tr>
      <w:tr>
        <w:trPr>
          <w:trHeight w:val="234"/>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(MaryAnn Wright)</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27"/>
        </w:trPr>
        <w:tc>
          <w:tcPr>
            <w:tcW w:w="16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1" w:right="339" w:bottom="104" w:gutter="0" w:footer="0" w:header="0"/>
        </w:sectPr>
      </w:pPr>
    </w:p>
    <w:bookmarkStart w:id="8" w:name="page9"/>
    <w:bookmarkEnd w:id="8"/>
    <w:p>
      <w:pPr>
        <w:ind w:left="10240"/>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52"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1085850" cy="407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1085850" cy="407035"/>
                    </a:xfrm>
                    <a:prstGeom prst="rect">
                      <a:avLst/>
                    </a:prstGeom>
                    <a:noFill/>
                  </pic:spPr>
                </pic:pic>
              </a:graphicData>
            </a:graphic>
          </wp:anchor>
        </w:drawing>
      </w:r>
    </w:p>
    <w:p>
      <w:pPr>
        <w:spacing w:after="0" w:line="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2"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Palo Alto, California 94304-1050</w:t>
      </w:r>
    </w:p>
    <w:p>
      <w:pPr>
        <w:spacing w:after="0" w:line="202"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2"/>
          <w:szCs w:val="12"/>
          <w:color w:val="auto"/>
        </w:rPr>
        <w:t>o</w:t>
      </w:r>
      <w:r>
        <w:rPr>
          <w:rFonts w:ascii="Times New Roman" w:cs="Times New Roman" w:eastAsia="Times New Roman" w:hAnsi="Times New Roman"/>
          <w:sz w:val="17"/>
          <w:szCs w:val="17"/>
          <w:color w:val="auto"/>
        </w:rPr>
        <w:t>: 650.493.9300</w:t>
      </w:r>
    </w:p>
    <w:p>
      <w:pPr>
        <w:spacing w:after="0" w:line="3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2"/>
          <w:szCs w:val="12"/>
          <w:color w:val="auto"/>
        </w:rPr>
        <w:t>f</w:t>
      </w:r>
      <w:r>
        <w:rPr>
          <w:rFonts w:ascii="Times New Roman" w:cs="Times New Roman" w:eastAsia="Times New Roman" w:hAnsi="Times New Roman"/>
          <w:sz w:val="17"/>
          <w:szCs w:val="17"/>
          <w:color w:val="auto"/>
        </w:rPr>
        <w:t>: 866.974.7329</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17,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8000 South Federal Way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Boise, Idaho 83716-9632</w:t>
      </w:r>
    </w:p>
    <w:p>
      <w:pPr>
        <w:spacing w:after="0" w:line="19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Registration Statement on Form S-8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At your request, we are rendering this opinion in connection with the Registration Statement on Form S-8 to be filed by Micron Technology, Inc., a Delaware corporation (the “Company”), with the U.S. Securities and Exchange Commission (the “SEC”) on or about April 17, 2026 (the “Registration Statement”) for the proposed issuance of up to $120,000,000 of deferred compensation obligations of the Company (the “Obligations”) pursuant to the Micron Technology, Inc. Deferred Compensation Plan (the “Deferred Compensation Plan”).</w:t>
      </w:r>
    </w:p>
    <w:p>
      <w:pPr>
        <w:spacing w:after="0" w:line="182"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We have examined and relied, to the extent we deem proper, on certificates of the Company as to factual matters, and on the originals or copies certified or otherwise identified to our satisfaction, of all such corporate records of the Company and such other instruments, documents, and records that we have deemed relevant and necessary for the basis of our opinion hereinafter expressed. In such examination, we have assumed the genuineness of all signatures, the legal capacity of natural persons, the authenticity of all documents submitted to us as originals, the conformity to the originals of all documents submitted to us as copies, and the truth, accuracy and completeness of the information, representations and warranties contained in the records, documents, instruments and certificates we have reviewed.</w:t>
      </w:r>
    </w:p>
    <w:p>
      <w:pPr>
        <w:spacing w:after="0" w:line="187"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Based on such examination, we are of the opinion that, following the filing of the Registration Statement, the Obligations, when issued in accordance with the terms of the Deferred Compensation Plan, will be legally valid and binding obligations of the Company, enforceable in accordance with their terms.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AUSTIN     BEIJING     BOSTON     BOULDER     BRUSSELS     HONG KONG     LONDON     LOS ANGELES     NEW YORK     PALO ALTO</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SALT LAKE CITY     SAN DIEGO     SAN FRANCISCO     SEATTLE    SHANGHAI     WASHINGTON, DC     WILMINGTON, 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335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9" w:name="page10"/>
    <w:bookmarkEnd w:id="9"/>
    <w:p>
      <w:pPr>
        <w:spacing w:after="0" w:line="2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581025</wp:posOffset>
            </wp:positionV>
            <wp:extent cx="704215" cy="330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04215" cy="3308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2"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use of our name wherever it appears in the Registration Statement. In giving such consent, we do not consider that we are “experts” within the meaning of such term as used in the Securities Act of 1933, as amended, or the rules and regulations of the SEC issued thereunder, with respect to any part of the Registration Statement, including this opinion as an exhibit or otherwise.</w:t>
      </w:r>
    </w:p>
    <w:p>
      <w:pPr>
        <w:spacing w:after="0" w:line="18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Wilson Sonsini Goodrich &amp; Rosati</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275590</wp:posOffset>
            </wp:positionV>
            <wp:extent cx="71335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0"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Micron Technology, Inc. of our report dated October 3, 2025 relating to the financial statements, financial statement schedule and the effectiveness of internal control over financial reporting, which appears in Micron Technology, Inc.'s Annual Report on Form 10-K for the year ended August 28,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275590</wp:posOffset>
            </wp:positionV>
            <wp:extent cx="71335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1" w:name="page12"/>
    <w:bookmarkEnd w:id="11"/>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MICRON TECHNOLOGY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vMerge w:val="restart"/>
            <w:shd w:val="clear" w:color="auto" w:fill="9ADAF6"/>
          </w:tcPr>
          <w:p>
            <w:pP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4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000" w:type="dxa"/>
            <w:vAlign w:val="bottom"/>
            <w:shd w:val="clear" w:color="auto" w:fill="9ADAF6"/>
          </w:tcPr>
          <w:p>
            <w:pPr>
              <w:jc w:val="center"/>
              <w:ind w:left="73"/>
              <w:spacing w:after="0" w:line="240" w:lineRule="exact"/>
              <w:rPr>
                <w:sz w:val="20"/>
                <w:szCs w:val="20"/>
                <w:color w:val="auto"/>
              </w:rPr>
            </w:pPr>
            <w:r>
              <w:rPr>
                <w:rFonts w:ascii="Arial" w:cs="Arial" w:eastAsia="Arial" w:hAnsi="Arial"/>
                <w:sz w:val="21"/>
                <w:szCs w:val="21"/>
                <w:b w:val="1"/>
                <w:bCs w:val="1"/>
                <w:color w:val="auto"/>
              </w:rPr>
              <w:t>Fee</w:t>
            </w:r>
          </w:p>
        </w:tc>
        <w:tc>
          <w:tcPr>
            <w:tcW w:w="2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vMerge w:val="restart"/>
            <w:shd w:val="clear" w:color="auto" w:fill="9ADAF6"/>
          </w:tcPr>
          <w:p>
            <w:pPr>
              <w:jc w:val="right"/>
              <w:ind w:right="11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5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vMerge w:val="restart"/>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10"/>
                <w:szCs w:val="10"/>
                <w:color w:val="auto"/>
              </w:rPr>
            </w:pPr>
          </w:p>
        </w:tc>
        <w:tc>
          <w:tcPr>
            <w:tcW w:w="12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0"/>
                <w:szCs w:val="10"/>
                <w:color w:val="auto"/>
              </w:rPr>
            </w:pPr>
          </w:p>
        </w:tc>
        <w:tc>
          <w:tcPr>
            <w:tcW w:w="1540" w:type="dxa"/>
            <w:vAlign w:val="bottom"/>
            <w:vMerge w:val="restart"/>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10"/>
                <w:szCs w:val="10"/>
                <w:color w:val="auto"/>
              </w:rPr>
            </w:pPr>
          </w:p>
        </w:tc>
        <w:tc>
          <w:tcPr>
            <w:tcW w:w="1060" w:type="dxa"/>
            <w:vAlign w:val="bottom"/>
            <w:vMerge w:val="restart"/>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10"/>
                <w:szCs w:val="10"/>
                <w:color w:val="auto"/>
              </w:rPr>
            </w:pPr>
          </w:p>
        </w:tc>
        <w:tc>
          <w:tcPr>
            <w:tcW w:w="1320" w:type="dxa"/>
            <w:vAlign w:val="bottom"/>
            <w:vMerge w:val="restart"/>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vMerge w:val="restart"/>
            <w:shd w:val="clear" w:color="auto" w:fill="9ADAF6"/>
          </w:tcPr>
          <w:p>
            <w:pPr>
              <w:ind w:left="180"/>
              <w:spacing w:after="0"/>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10"/>
                <w:szCs w:val="10"/>
                <w:color w:val="auto"/>
              </w:rPr>
            </w:pPr>
          </w:p>
        </w:tc>
        <w:tc>
          <w:tcPr>
            <w:tcW w:w="14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Class Title</w:t>
            </w:r>
          </w:p>
        </w:tc>
        <w:tc>
          <w:tcPr>
            <w:tcW w:w="20" w:type="dxa"/>
            <w:vAlign w:val="bottom"/>
          </w:tcPr>
          <w:p>
            <w:pPr>
              <w:spacing w:after="0"/>
              <w:rPr>
                <w:sz w:val="10"/>
                <w:szCs w:val="10"/>
                <w:color w:val="auto"/>
              </w:rPr>
            </w:pPr>
          </w:p>
        </w:tc>
        <w:tc>
          <w:tcPr>
            <w:tcW w:w="1200" w:type="dxa"/>
            <w:vAlign w:val="bottom"/>
            <w:gridSpan w:val="2"/>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vMerge w:val="restart"/>
            <w:shd w:val="clear" w:color="auto" w:fill="9ADAF6"/>
          </w:tcPr>
          <w:p>
            <w:pPr>
              <w:jc w:val="right"/>
              <w:spacing w:after="0"/>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10"/>
                <w:szCs w:val="10"/>
                <w:color w:val="auto"/>
              </w:rPr>
            </w:pPr>
          </w:p>
        </w:tc>
        <w:tc>
          <w:tcPr>
            <w:tcW w:w="106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vMerge w:val="continue"/>
            <w:shd w:val="clear" w:color="auto" w:fill="9ADAF6"/>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vMerge w:val="continue"/>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vMerge w:val="continue"/>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9ADAF6"/>
          </w:tcPr>
          <w:p>
            <w:pPr>
              <w:jc w:val="center"/>
              <w:ind w:left="73"/>
              <w:spacing w:after="0" w:line="240" w:lineRule="exact"/>
              <w:rPr>
                <w:sz w:val="20"/>
                <w:szCs w:val="20"/>
                <w:color w:val="auto"/>
              </w:rPr>
            </w:pPr>
            <w:r>
              <w:rPr>
                <w:rFonts w:ascii="Arial" w:cs="Arial" w:eastAsia="Arial" w:hAnsi="Arial"/>
                <w:sz w:val="21"/>
                <w:szCs w:val="21"/>
                <w:b w:val="1"/>
                <w:bCs w:val="1"/>
                <w:color w:val="auto"/>
              </w:rPr>
              <w:t>Rule</w:t>
            </w:r>
          </w:p>
        </w:tc>
        <w:tc>
          <w:tcPr>
            <w:tcW w:w="2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vMerge w:val="continue"/>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20"/>
                <w:szCs w:val="20"/>
                <w:color w:val="auto"/>
              </w:rPr>
            </w:pPr>
          </w:p>
        </w:tc>
        <w:tc>
          <w:tcPr>
            <w:tcW w:w="15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 Price</w:t>
            </w: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9ADAF6"/>
          </w:tcPr>
          <w:p>
            <w:pPr>
              <w:spacing w:after="0"/>
              <w:rPr>
                <w:sz w:val="24"/>
                <w:szCs w:val="24"/>
                <w:color w:val="auto"/>
              </w:rPr>
            </w:pPr>
          </w:p>
        </w:tc>
        <w:tc>
          <w:tcPr>
            <w:tcW w:w="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5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Deferred</w:t>
            </w: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85"/>
              </w:rPr>
              <w:t>1</w:t>
            </w:r>
          </w:p>
        </w:tc>
        <w:tc>
          <w:tcPr>
            <w:tcW w:w="40" w:type="dxa"/>
            <w:vAlign w:val="bottom"/>
          </w:tcPr>
          <w:p>
            <w:pPr>
              <w:spacing w:after="0"/>
              <w:rPr>
                <w:sz w:val="10"/>
                <w:szCs w:val="10"/>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Other</w:t>
            </w:r>
          </w:p>
        </w:tc>
        <w:tc>
          <w:tcPr>
            <w:tcW w:w="20" w:type="dxa"/>
            <w:vAlign w:val="bottom"/>
          </w:tcPr>
          <w:p>
            <w:pPr>
              <w:spacing w:after="0"/>
              <w:rPr>
                <w:sz w:val="10"/>
                <w:szCs w:val="10"/>
                <w:color w:val="auto"/>
              </w:rPr>
            </w:pPr>
          </w:p>
        </w:tc>
        <w:tc>
          <w:tcPr>
            <w:tcW w:w="142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Compensation</w:t>
            </w:r>
          </w:p>
        </w:tc>
        <w:tc>
          <w:tcPr>
            <w:tcW w:w="20" w:type="dxa"/>
            <w:vAlign w:val="bottom"/>
          </w:tcPr>
          <w:p>
            <w:pPr>
              <w:spacing w:after="0"/>
              <w:rPr>
                <w:sz w:val="10"/>
                <w:szCs w:val="10"/>
                <w:color w:val="auto"/>
              </w:rPr>
            </w:pPr>
          </w:p>
        </w:tc>
        <w:tc>
          <w:tcPr>
            <w:tcW w:w="1000" w:type="dxa"/>
            <w:vAlign w:val="bottom"/>
            <w:vMerge w:val="restart"/>
            <w:shd w:val="clear" w:color="auto" w:fill="E7E7E2"/>
          </w:tcPr>
          <w:p>
            <w:pPr>
              <w:jc w:val="center"/>
              <w:ind w:left="73"/>
              <w:spacing w:after="0"/>
              <w:rPr>
                <w:sz w:val="20"/>
                <w:szCs w:val="20"/>
                <w:color w:val="auto"/>
              </w:rPr>
            </w:pPr>
            <w:r>
              <w:rPr>
                <w:rFonts w:ascii="Arial" w:cs="Arial" w:eastAsia="Arial" w:hAnsi="Arial"/>
                <w:sz w:val="21"/>
                <w:szCs w:val="21"/>
                <w:color w:val="auto"/>
              </w:rPr>
              <w:t>Other</w:t>
            </w:r>
          </w:p>
        </w:tc>
        <w:tc>
          <w:tcPr>
            <w:tcW w:w="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120,000,000</w:t>
            </w:r>
          </w:p>
        </w:tc>
        <w:tc>
          <w:tcPr>
            <w:tcW w:w="20" w:type="dxa"/>
            <w:vAlign w:val="bottom"/>
          </w:tcPr>
          <w:p>
            <w:pPr>
              <w:spacing w:after="0"/>
              <w:rPr>
                <w:sz w:val="10"/>
                <w:szCs w:val="10"/>
                <w:color w:val="auto"/>
              </w:rPr>
            </w:pPr>
          </w:p>
        </w:tc>
        <w:tc>
          <w:tcPr>
            <w:tcW w:w="10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$ 16,572.00</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vMerge w:val="continue"/>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120,000,000.00</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shd w:val="clear" w:color="auto" w:fill="E7E7E2"/>
          </w:tcPr>
          <w:p>
            <w:pPr>
              <w:ind w:left="20"/>
              <w:spacing w:after="0" w:line="187" w:lineRule="exact"/>
              <w:rPr>
                <w:sz w:val="20"/>
                <w:szCs w:val="20"/>
                <w:color w:val="auto"/>
              </w:rPr>
            </w:pPr>
            <w:r>
              <w:rPr>
                <w:rFonts w:ascii="Arial" w:cs="Arial" w:eastAsia="Arial" w:hAnsi="Arial"/>
                <w:sz w:val="21"/>
                <w:szCs w:val="21"/>
                <w:color w:val="auto"/>
              </w:rPr>
              <w:t>Obligations</w:t>
            </w: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40" w:type="dxa"/>
            <w:vAlign w:val="bottom"/>
            <w:gridSpan w:val="4"/>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Arial" w:cs="Arial" w:eastAsia="Arial" w:hAnsi="Arial"/>
                <w:sz w:val="21"/>
                <w:szCs w:val="21"/>
                <w:color w:val="auto"/>
              </w:rPr>
              <w:t>$ 16,572.00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120,000,000.00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gridSpan w:val="4"/>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21"/>
                <w:szCs w:val="21"/>
                <w:color w:val="auto"/>
              </w:rPr>
              <w:t>$ 16,572.00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800" w:firstLine="2"/>
        <w:spacing w:after="0" w:line="258" w:lineRule="auto"/>
        <w:tabs>
          <w:tab w:leader="none" w:pos="1121" w:val="left"/>
        </w:tabs>
        <w:numPr>
          <w:ilvl w:val="0"/>
          <w:numId w:val="8"/>
        </w:numPr>
        <w:rPr>
          <w:rFonts w:ascii="Arial" w:cs="Arial" w:eastAsia="Arial" w:hAnsi="Arial"/>
          <w:sz w:val="21"/>
          <w:szCs w:val="21"/>
          <w:color w:val="auto"/>
        </w:rPr>
      </w:pPr>
      <w:r>
        <w:rPr>
          <w:rFonts w:ascii="Arial" w:cs="Arial" w:eastAsia="Arial" w:hAnsi="Arial"/>
          <w:sz w:val="21"/>
          <w:szCs w:val="21"/>
          <w:color w:val="auto"/>
        </w:rPr>
        <w:t>The deferred compensation obligations are unsecured obligations of the Registrant to pay deferred compensation in the future in accordance with the terms of the Micron Technology, Inc. Deferred Compensation Plan (the "Deferred Compensation Plan").</w:t>
      </w:r>
    </w:p>
    <w:p>
      <w:pPr>
        <w:spacing w:after="0" w:line="183" w:lineRule="exact"/>
        <w:rPr>
          <w:rFonts w:ascii="Arial" w:cs="Arial" w:eastAsia="Arial" w:hAnsi="Arial"/>
          <w:sz w:val="21"/>
          <w:szCs w:val="21"/>
          <w:color w:val="auto"/>
        </w:rPr>
      </w:pPr>
    </w:p>
    <w:p>
      <w:pPr>
        <w:ind w:left="800" w:right="1440" w:firstLine="2"/>
        <w:spacing w:after="0" w:line="258" w:lineRule="auto"/>
        <w:tabs>
          <w:tab w:leader="none" w:pos="1121" w:val="left"/>
        </w:tabs>
        <w:numPr>
          <w:ilvl w:val="0"/>
          <w:numId w:val="8"/>
        </w:numPr>
        <w:rPr>
          <w:rFonts w:ascii="Arial" w:cs="Arial" w:eastAsia="Arial" w:hAnsi="Arial"/>
          <w:sz w:val="21"/>
          <w:szCs w:val="21"/>
          <w:color w:val="auto"/>
        </w:rPr>
      </w:pPr>
      <w:r>
        <w:rPr>
          <w:rFonts w:ascii="Arial" w:cs="Arial" w:eastAsia="Arial" w:hAnsi="Arial"/>
          <w:sz w:val="21"/>
          <w:szCs w:val="21"/>
          <w:color w:val="auto"/>
        </w:rPr>
        <w:t>Estimated in accordance with Rule 457(h) under the Securities Act, solely for the purpose of calculating the registration fee based on an estimate of the amount of eligible compensation participants may defer under the 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69215</wp:posOffset>
            </wp:positionV>
            <wp:extent cx="63874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Roman"/>
      <w:start w:val="2"/>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jpeg"/><Relationship Id="rId37" Type="http://schemas.openxmlformats.org/officeDocument/2006/relationships/image" Target="media/image18.png"/><Relationship Id="rId38" Type="http://schemas.openxmlformats.org/officeDocument/2006/relationships/image" Target="media/image19.jpe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png"/><Relationship Id="rId18" Type="http://schemas.openxmlformats.org/officeDocument/2006/relationships/hyperlink" Target="https://www.sec.gov/ix?doc=/Archives/edgar/data/0000723125/000072312525000028/mu-20250828.htm" TargetMode="External"/><Relationship Id="rId19" Type="http://schemas.openxmlformats.org/officeDocument/2006/relationships/hyperlink" Target="https://www.sec.gov/ix?doc=/Archives/edgar/data/0000723125/000072312525000046/mu-20251127.htm" TargetMode="External"/><Relationship Id="rId20" Type="http://schemas.openxmlformats.org/officeDocument/2006/relationships/hyperlink" Target="https://www.sec.gov/ix?doc=/Archives/edgar/data/0000723125/000072312526000006/mu-20260226.htm" TargetMode="External"/><Relationship Id="rId21" Type="http://schemas.openxmlformats.org/officeDocument/2006/relationships/hyperlink" Target="https://www.sec.gov/ix?doc=/Archives/edgar/data/0000723125/000072312525000038/mu-20251125.htm" TargetMode="External"/><Relationship Id="rId22" Type="http://schemas.openxmlformats.org/officeDocument/2006/relationships/hyperlink" Target="https://www.sec.gov/ix?doc=/Archives/edgar/data/0000723125/000110465925101237/tm2529116d1_8k.htm" TargetMode="External"/><Relationship Id="rId23" Type="http://schemas.openxmlformats.org/officeDocument/2006/relationships/hyperlink" Target="https://www.sec.gov/ix?doc=/Archives/edgar/data/0000723125/000110465926005366/tm263707d1_8k.htm" TargetMode="External"/><Relationship Id="rId24" Type="http://schemas.openxmlformats.org/officeDocument/2006/relationships/hyperlink" Target="https://www.sec.gov/ix?doc=/Archives/edgar/data/0000723125/000110465926034174/tm269755d1_8k.htm" TargetMode="External"/><Relationship Id="rId25" Type="http://schemas.openxmlformats.org/officeDocument/2006/relationships/hyperlink" Target="https://www.sec.gov/ix?doc=/Archives/edgar/data/0000723125/000110465926038249/tm2610810d1_8k.htm" TargetMode="External"/><Relationship Id="rId26" Type="http://schemas.openxmlformats.org/officeDocument/2006/relationships/hyperlink" Target="https://www.sec.gov/Archives/edgar/data/723125/000072312509000145/form8a12b-nasdaq.htm" TargetMode="External"/><Relationship Id="rId31" Type="http://schemas.openxmlformats.org/officeDocument/2006/relationships/hyperlink" Target="https://www.sec.gov/Archives/edgar/data/723125/000072312526000006/ex31-restatedcertificateof.htm" TargetMode="External"/><Relationship Id="rId32" Type="http://schemas.openxmlformats.org/officeDocument/2006/relationships/hyperlink" Target="https://www.sec.gov/Archives/edgar/data/723125/000110465925069019/tm2521153d1_ex3-1.htm" TargetMode="External"/><Relationship Id="rId33" Type="http://schemas.openxmlformats.org/officeDocument/2006/relationships/hyperlink" Target="https://www.sec.gov/Archives/edgar/data/723125/000072312523000054/a2023q4ex1010-deferredcom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2026-04-17T15:10:45Z</dcterms:created>
  <dcterms:modified xsi:type="dcterms:W3CDTF">2026-04-17T15:10:45Z</dcterms:modified>
</cp:coreProperties>
</file>