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25,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31365"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136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7"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October 25, 2024, Robert Switz, Chair of the Board of Directors (the “Board”) of Micron Technology, Inc. (the “Company”), provided notice to the Governance and Sustainability Committee of the Board that he has decided to retire from the Board and will not seek re-election at the Company’s fiscal 2024 annual shareholders meeting (the “Annual Meeting”). Mr. Switz will continue to serve as a director and as Chair through the end of his term at the Annual Meeting. Mr. Switz’s decision not to stand for re-election was not due to any disagreement with the Company on any matter relating to the Company’s operations, policies, or practices.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October 30, 2024, the Company announced that the independent members of the Board unanimously elected Sanjay Mehrotra, the Company’s Chief Executive Officer, to succeed Mr. Switz as Chair of the Board, and Lynn Dugle to serve as lead independent director, each effective as of Mr. Switz’s retirement. The full text of the press release issued on October 30, 2024 is attached as Exhibit 99.1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5.03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Amendments to Articles of Incorporation or Bylaws; Changes in Fiscal Year.</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28, 2024, the Board approved an amendment to the Company’s Amended and Restated Bylaws to provide that the number of directors shall be set from time to time by resolution of the Board, effective immediately. This description of the amendment to the Company’s bylaws is qualified in its entirety by reference to the text of the Amended and Restated Bylaws filed as Exhibit 3.1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960" w:type="dxa"/>
            <w:vAlign w:val="bottom"/>
          </w:tcPr>
          <w:p>
            <w:pPr>
              <w:spacing w:after="0"/>
              <w:rPr>
                <w:sz w:val="20"/>
                <w:szCs w:val="20"/>
                <w:color w:val="auto"/>
              </w:rPr>
            </w:pP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Borders>
              <w:top w:val="single" w:sz="8" w:color="auto"/>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Amended and Restated Bylaws as of October 28, 2024.</w:t>
            </w:r>
          </w:p>
        </w:tc>
        <w:tc>
          <w:tcPr>
            <w:tcW w:w="5960" w:type="dxa"/>
            <w:vAlign w:val="bottom"/>
            <w:tcBorders>
              <w:top w:val="single" w:sz="8" w:color="auto"/>
            </w:tcBorders>
          </w:tcPr>
          <w:p>
            <w:pPr>
              <w:spacing w:after="0"/>
              <w:rPr>
                <w:sz w:val="24"/>
                <w:szCs w:val="24"/>
                <w:color w:val="auto"/>
              </w:rPr>
            </w:pPr>
          </w:p>
        </w:tc>
      </w:tr>
      <w:tr>
        <w:trPr>
          <w:trHeight w:val="41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Press Release, dated October 30, 2024.</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b w:val="1"/>
          <w:bCs w:val="1"/>
          <w:color w:val="auto"/>
        </w:rPr>
        <w:t>MICRON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Ray</w:t>
      </w:r>
    </w:p>
    <w:p>
      <w:pPr>
        <w:spacing w:after="0" w:line="23" w:lineRule="exact"/>
        <w:rPr>
          <w:sz w:val="20"/>
          <w:szCs w:val="20"/>
          <w:color w:val="auto"/>
        </w:rPr>
      </w:pPr>
    </w:p>
    <w:p>
      <w:pPr>
        <w:jc w:val="right"/>
        <w:spacing w:after="0"/>
        <w:tabs>
          <w:tab w:leader="none" w:pos="4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Micron Confidential</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as of October 28,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Registered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Other Offices.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Place of Meetings.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Annual Meeting.</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 in accordance with Article II, Section 11 of these Bylaws.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Notice of Stockholder Meeting.</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the DGCL, the Certificate of Incorporation or these Bylaws, the notice of any meeting of stockholders shall be given not less than ten (10) nor more than sixty (60) days before the date of the meeting to each stockholder entitled to vote at such meeting as of the record date for determining the stockholders entitled to notice of the meeting. The Board of Directors acting pursuant to a resolution adopted by a majority of the Whole Board may cancel, postpone, or reschedule any previously scheduled meeting of stockholders at any time, before or after the notice for such meeting has been sent to the stockholders. For the purposes of these Bylaws, the term “Whole Board” shall mean the total number of authorized directorships whether or not there exist any vacancies or other unfilled seats in previously authorized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color w:val="auto"/>
        </w:rPr>
        <w:t>Section 4. List of Stockholders Entitled to Vote.</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shall prepare, no later than the tenth day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Special Meetings.</w:t>
      </w:r>
    </w:p>
    <w:p>
      <w:pPr>
        <w:spacing w:after="0" w:line="229" w:lineRule="exact"/>
        <w:rPr>
          <w:sz w:val="20"/>
          <w:szCs w:val="20"/>
          <w:color w:val="auto"/>
        </w:rPr>
      </w:pPr>
    </w:p>
    <w:p>
      <w:pPr>
        <w:ind w:firstLine="656"/>
        <w:spacing w:after="0" w:line="253" w:lineRule="auto"/>
        <w:tabs>
          <w:tab w:leader="none" w:pos="89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for any purpose or purposes, unless otherwise prescribed by law or by the Certificate of Incorporation, may be called at any time by (i) the Board of Directors acting pursuant to a resolution adopted by a majority of the Whole Board, (ii) the Chair of the Board, (iii) the Chief Executive Officer, or (iv)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Section 11(c) or Section 11(e) of this Article II, as applicable, if the actions proposed to be taken were taken at an annual meeting of stockholders.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proposed to be brought before the special meeting by stockholders is not a proper subject for stockholder action under applicable law or</w:t>
      </w:r>
    </w:p>
    <w:p>
      <w:pPr>
        <w:spacing w:after="0" w:line="9" w:lineRule="exact"/>
        <w:rPr>
          <w:rFonts w:ascii="Times New Roman" w:cs="Times New Roman" w:eastAsia="Times New Roman" w:hAnsi="Times New Roman"/>
          <w:sz w:val="18"/>
          <w:szCs w:val="18"/>
          <w:color w:val="auto"/>
        </w:rPr>
      </w:pPr>
    </w:p>
    <w:p>
      <w:pPr>
        <w:ind w:right="8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special meeting shall include the purpose for which the meeting is called. 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 Nothing contained in this Article II, Section 5(b) shall be construed as limiting, fixing, or affecting the time when a meeting of stockholders called by action of the Board of Directors may be held.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Quorum.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stock issued and outstanding and entitled to vote thereat, present in person or represented by proxy, shall constitute a quorum at all meetings of the stockholders for the transaction of business except as otherwise required by law, the Certificate of Incorporation, these Bylaws or the rules of any applicable stock exchange on which the corporation’s securities are listed.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however, such quorum shall not be present or represented at any meeting of the stockholders, then either (a) the Chair of the meeting, or (b) the stockholders entitled to vote at the meeting, present in person or represented by proxy thereat, shall have the power to adjourn the meeting from time to time without notice other than announcement at the meeting, until a quorum shall be present or represented. At such adjourned meeting at which a quorum is present or represented, any business may be transacted that might have been transacted at the original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Adjourned Meeting Notice.</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Any meeting of stockholders, annual or special, may adjourn from time to time (including an adjournment taken to address a technical failure to convene or continue a meeting using remote communication) to reconvene at the same or some other place, and notice need not be given of any such reconvened meeting if the time, place, if any, and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 new record date for determining stockholders entitled to notice of such reconvened meeting in accordance with Section 213(a) of the DGCL and Article VI, Section 5 of these Bylaws, and shall give notice of the reconvened meeting to each stockholder of record entitled to vote at such reconvened meeting as of the record date so fixed for notice of such reconvened meeting.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 Proxies; Voting.</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spacing w:after="0" w:line="17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Article VI, Section 5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62" w:lineRule="exact"/>
        <w:rPr>
          <w:sz w:val="20"/>
          <w:szCs w:val="20"/>
          <w:color w:val="auto"/>
        </w:rPr>
      </w:pPr>
    </w:p>
    <w:p>
      <w:pPr>
        <w:jc w:val="both"/>
        <w:ind w:right="240" w:firstLine="648"/>
        <w:spacing w:after="0" w:line="257" w:lineRule="auto"/>
        <w:rPr>
          <w:sz w:val="20"/>
          <w:szCs w:val="20"/>
          <w:color w:val="auto"/>
        </w:rPr>
      </w:pPr>
      <w:r>
        <w:rPr>
          <w:rFonts w:ascii="Times New Roman" w:cs="Times New Roman" w:eastAsia="Times New Roman" w:hAnsi="Times New Roman"/>
          <w:sz w:val="18"/>
          <w:szCs w:val="18"/>
          <w:color w:val="auto"/>
        </w:rPr>
        <w:t>When a quorum is present at any meeting, the affirmative vote of the holders of a majority of the voting power of the stock present in person or represented by proxy and entitled to vote on the subject matter shall decide any issue brought before such meeting, except as otherwise provided by the Certificate of Incorporation, these Bylaws, the rules of any applicable stock exchange on which the corporation’s securities are listed or applicable law.</w:t>
      </w:r>
    </w:p>
    <w:p>
      <w:pPr>
        <w:spacing w:after="0" w:line="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Except as otherwise required by applicable law, the Certificate of Incorporation or these Bylaws, directors shall be elected in accordance with the provisions of Article III, Section 3.</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auto"/>
        </w:rPr>
        <w:t>Section 9.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 Action by Written Consent.</w:t>
      </w:r>
    </w:p>
    <w:p>
      <w:pPr>
        <w:spacing w:after="0" w:line="227" w:lineRule="exact"/>
        <w:rPr>
          <w:sz w:val="20"/>
          <w:szCs w:val="20"/>
          <w:color w:val="auto"/>
        </w:rPr>
      </w:pPr>
    </w:p>
    <w:p>
      <w:pPr>
        <w:ind w:right="60" w:firstLine="656"/>
        <w:spacing w:after="0" w:line="254"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w:t>
      </w:r>
      <w:r>
        <w:rPr>
          <w:rFonts w:ascii="Times New Roman" w:cs="Times New Roman" w:eastAsia="Times New Roman" w:hAnsi="Times New Roman"/>
          <w:sz w:val="18"/>
          <w:szCs w:val="18"/>
          <w:color w:val="auto"/>
        </w:rPr>
        <w:t>Unless otherwise restricted by the Certificate of Incorporation, any action required to be taken at any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85" w:lineRule="exact"/>
        <w:rPr>
          <w:rFonts w:ascii="Times New Roman" w:cs="Times New Roman" w:eastAsia="Times New Roman" w:hAnsi="Times New Roman"/>
          <w:sz w:val="18"/>
          <w:szCs w:val="18"/>
          <w:color w:val="auto"/>
        </w:rPr>
      </w:pPr>
    </w:p>
    <w:p>
      <w:pPr>
        <w:ind w:right="60" w:firstLine="656"/>
        <w:spacing w:after="0" w:line="253"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Unless otherwise restricted by the Certificate of Incorporation, in order that the corporation may determine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w:t>
      </w:r>
    </w:p>
    <w:p>
      <w:pPr>
        <w:spacing w:after="0" w:line="4"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Inspector of Elections. </w:t>
      </w:r>
      <w:r>
        <w:rPr>
          <w:rFonts w:ascii="Times New Roman" w:cs="Times New Roman" w:eastAsia="Times New Roman" w:hAnsi="Times New Roman"/>
          <w:sz w:val="18"/>
          <w:szCs w:val="18"/>
          <w:color w:val="auto"/>
        </w:rPr>
        <w:t>In the event of the delivery, in the manner provided by this Article II, Section 10 and applicable law, to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ind w:firstLine="656"/>
        <w:spacing w:after="0" w:line="261"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Every written consent shall bear the date of signature of each stockholder who signs the consent and no written consent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Advance Notice Procedures; Proxy Access.</w:t>
      </w:r>
    </w:p>
    <w:p>
      <w:pPr>
        <w:spacing w:after="0" w:line="227" w:lineRule="exact"/>
        <w:rPr>
          <w:sz w:val="20"/>
          <w:szCs w:val="20"/>
          <w:color w:val="auto"/>
        </w:rPr>
      </w:pPr>
    </w:p>
    <w:p>
      <w:pPr>
        <w:ind w:right="460" w:firstLine="656"/>
        <w:spacing w:after="0" w:line="267"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 Timely Notice</w:t>
      </w:r>
      <w:r>
        <w:rPr>
          <w:rFonts w:ascii="Times New Roman" w:cs="Times New Roman" w:eastAsia="Times New Roman" w:hAnsi="Times New Roman"/>
          <w:sz w:val="18"/>
          <w:szCs w:val="18"/>
          <w:color w:val="auto"/>
        </w:rPr>
        <w:t>. At a meeting of the stockholders, only such nominations of persons for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such other business shall be conducted as shall have been properly brought before the meeting. To be properly brought before an annual meeting, nominations or such other business must be:</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66" w:lineRule="auto"/>
        <w:tabs>
          <w:tab w:leader="none" w:pos="15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of Directors or any committee thereof that has been formally delegated authority to nominate such persons or propose such business pursuant to a resolution adopted by a majority of the Whole Board,</w:t>
      </w:r>
    </w:p>
    <w:p>
      <w:pPr>
        <w:spacing w:after="0" w:line="175" w:lineRule="exact"/>
        <w:rPr>
          <w:rFonts w:ascii="Times New Roman" w:cs="Times New Roman" w:eastAsia="Times New Roman" w:hAnsi="Times New Roman"/>
          <w:sz w:val="18"/>
          <w:szCs w:val="18"/>
          <w:color w:val="auto"/>
        </w:rPr>
      </w:pPr>
    </w:p>
    <w:p>
      <w:pPr>
        <w:ind w:left="660" w:right="60" w:firstLine="644"/>
        <w:spacing w:after="0" w:line="266" w:lineRule="auto"/>
        <w:tabs>
          <w:tab w:leader="none" w:pos="157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or at the direction of the Board of Directors or any committee thereof that has been formally delegated authority to nominate such persons or propose such business pursuant to a resolution adopted by a majority of the Whole Board, or</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58" w:lineRule="auto"/>
        <w:tabs>
          <w:tab w:leader="none" w:pos="16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an annual meeting by a stockholder who: (A) is a stockholder of record on the record date for the determination of stockholders entitled to notice of the annual meeting; (B) is a stockholder of record at the time the notice required hereunder is delivered to the Secretary; (C) is a stockholder of record on the record date for the determination of stockholders entitled to vote at the annual meeting; (D) is a stockholder of record at the time of the annual meeting; and (E) complies with the procedures set forth in this Article II, Section 11.</w:t>
      </w:r>
    </w:p>
    <w:p>
      <w:pPr>
        <w:spacing w:after="0" w:line="18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Section 11(c) below, as applicable, in writing to the Secretary even if such matter is already the subject of any notice to the stockholders or public disclosure by the corporation.</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ind w:right="40"/>
        <w:spacing w:after="0" w:line="247" w:lineRule="auto"/>
        <w:rPr>
          <w:sz w:val="20"/>
          <w:szCs w:val="20"/>
          <w:color w:val="auto"/>
        </w:rPr>
      </w:pPr>
      <w:r>
        <w:rPr>
          <w:rFonts w:ascii="Times New Roman" w:cs="Times New Roman" w:eastAsia="Times New Roman" w:hAnsi="Times New Roman"/>
          <w:sz w:val="18"/>
          <w:szCs w:val="18"/>
          <w:color w:val="auto"/>
        </w:rPr>
        <w:t>To be timely, a stockholder's notice must be received by the Secretary at the principal executive office of the corporation no earlier than 8:00 a.m., Mountain time, on the 120th calendar day and no later than 5:00 p.m., Mountain time,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prior to the day of the first anniversary of the date on which the corporation first mailed its proxy materials or a notice of availability of proxy materials (whichever is earlier) to stockholders in connection with the previous year’s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no annual meeting of stockholders was held in the previous year, or if the date of the annual meeting for the current year has been changed by more than thirty (30) days from the first anniversary of the previous year’s annual meeting, then for notice by the stockholder to be timely such notice must be received by the Secretary at the principal executive offices of the corporation no earlier than 8:00 a.m., Mountain time, on the 120th calendar day prior to the day of the annual meeting and no later than 5:00 p.m., Mountain time, on the later of the 90th calendar day prior to the day of the annual meeting or, if the first public announcement of the date of such annual meeting is less than 100 calendar days prior to the date of such annual meeting, the 10th calendar day following the day on which public announcement of the date of the annual meeting was first made by the corporation.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calendar days before the last day that a stockholder may deliver a notice of nomination pursuant to the foregoing provisions, then a stockholder’s notice required by this Article II, Section 11(a) will also be considered timely, but only with respect to any nominees for any new positions created by such increase, if it is received by the Secretary at the principal executive offices of the corporation no later than 5:00 p.m., Mountain time, on the 10th calendar day following the day on which such public announcement is first made. “Public announcement” means disclosure in a press release reported by a national news service or in a document publicly filed by the corporation with the Securities and Exchange Commission (the “SEC”) pursuant to Section 13, Section 14 or Section 15(d) of the Securities Exchange Act of 1934 (as amended and inclusive of rules and regulations thereunder, the “Exchange Act”) or by such other means as is reasonably designed to inform the public or stockholders of the corporation in general of such information, including, without limitation, posting on the corporation’s investor relations website.</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persons who are nominated in accordance with the procedures set forth in Article II, Section 11(b), Section 11(c), or Section 11(e) shall be eligible for election as directors.</w:t>
      </w:r>
    </w:p>
    <w:p>
      <w:pPr>
        <w:spacing w:after="0" w:line="160" w:lineRule="exact"/>
        <w:rPr>
          <w:sz w:val="20"/>
          <w:szCs w:val="20"/>
          <w:color w:val="auto"/>
        </w:rPr>
      </w:pPr>
    </w:p>
    <w:p>
      <w:pPr>
        <w:ind w:right="40" w:firstLine="656"/>
        <w:spacing w:after="0" w:line="257"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 Notice Procedures</w:t>
      </w:r>
      <w:r>
        <w:rPr>
          <w:rFonts w:ascii="Times New Roman" w:cs="Times New Roman" w:eastAsia="Times New Roman" w:hAnsi="Times New Roman"/>
          <w:sz w:val="18"/>
          <w:szCs w:val="18"/>
          <w:color w:val="auto"/>
        </w:rPr>
        <w:t>. Nominations of persons for election to the Board of Directors or the proposal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be transacted by the stockholders at an annual meeting of stockholders may be made by or at the direction of the Board of Directors or any committee thereof as set forth in clauses (i) and (ii) of Article II, Section 11(a) or by any stockholder of the corporation as set forth in clause (iii) of Article II, Section 11(a) who complies with the notice procedures set forth in this Article II, Section 11(b). Such nominations and other business, other than those made by or at the direction of the Board of Directors or any committee thereof, shall be made pursuant to timely notice in writing to the Secretary in accordance with the provisions of Article II, Section 11(a). A stockholder's notice to the Secretary shall set forth:</w:t>
      </w:r>
    </w:p>
    <w:p>
      <w:pPr>
        <w:spacing w:after="0" w:line="18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each nominee proposed in such notice,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each such nominee,</w:t>
      </w:r>
    </w:p>
    <w:p>
      <w:pPr>
        <w:spacing w:after="0" w:line="225" w:lineRule="exact"/>
        <w:rPr>
          <w:rFonts w:ascii="Times New Roman" w:cs="Times New Roman" w:eastAsia="Times New Roman" w:hAnsi="Times New Roman"/>
          <w:sz w:val="18"/>
          <w:szCs w:val="18"/>
          <w:color w:val="auto"/>
        </w:rPr>
      </w:pPr>
    </w:p>
    <w:p>
      <w:pPr>
        <w:ind w:left="1300" w:right="340" w:firstLine="652"/>
        <w:spacing w:after="0" w:line="258" w:lineRule="auto"/>
        <w:tabs>
          <w:tab w:leader="none" w:pos="223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capital stock of the corporation which are held of record or are beneficially owned by each such nominee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corporation’s securities,</w:t>
      </w:r>
    </w:p>
    <w:p>
      <w:pPr>
        <w:spacing w:after="0" w:line="183" w:lineRule="exact"/>
        <w:rPr>
          <w:rFonts w:ascii="Times New Roman" w:cs="Times New Roman" w:eastAsia="Times New Roman" w:hAnsi="Times New Roman"/>
          <w:sz w:val="18"/>
          <w:szCs w:val="18"/>
          <w:color w:val="auto"/>
        </w:rPr>
      </w:pPr>
    </w:p>
    <w:p>
      <w:pPr>
        <w:ind w:left="1300" w:right="60" w:firstLine="652"/>
        <w:spacing w:after="0" w:line="258" w:lineRule="auto"/>
        <w:tabs>
          <w:tab w:leader="none" w:pos="224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compensatory, reimbursement, indemnification, payment or other financial agreement, arrangement or understanding that such nominee has, or has had within the past three years, with any person or entity other than the corporation (including, without limitation, the amount of any payment or payments received or receivable thereunder), in each case in connection with candidacy or service as a director of the corporation, (such agreement, arrangement or understanding, a “Compensation Arrangement”),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640" w:right="220" w:firstLine="652"/>
        <w:spacing w:after="0" w:line="266" w:lineRule="auto"/>
        <w:tabs>
          <w:tab w:leader="none" w:pos="15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each such nominee as would be required to be disclosed in a proxy statement soliciting proxies for the election of such nominee as a director in an election contest (even if an election contest is not involved) or that is otherwise required to be disclosed, in each case pursuant to Section 14 of the Exchange Act,</w:t>
      </w:r>
    </w:p>
    <w:p>
      <w:pPr>
        <w:spacing w:after="0" w:line="175" w:lineRule="exact"/>
        <w:rPr>
          <w:rFonts w:ascii="Times New Roman" w:cs="Times New Roman" w:eastAsia="Times New Roman" w:hAnsi="Times New Roman"/>
          <w:sz w:val="18"/>
          <w:szCs w:val="18"/>
          <w:color w:val="auto"/>
        </w:rPr>
      </w:pPr>
    </w:p>
    <w:p>
      <w:pPr>
        <w:ind w:left="640" w:right="40" w:firstLine="652"/>
        <w:spacing w:after="0" w:line="282" w:lineRule="auto"/>
        <w:tabs>
          <w:tab w:leader="none" w:pos="155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(x) to being named in the proxy statement as a nominee of such stockholder, (y) to being named in the corporation’s form of proxy pursuant to Rule 14a-19 under the Exchange Act and (z) to serving as a director if elected, and</w:t>
      </w:r>
    </w:p>
    <w:p>
      <w:pPr>
        <w:spacing w:after="0" w:line="161" w:lineRule="exact"/>
        <w:rPr>
          <w:rFonts w:ascii="Times New Roman" w:cs="Times New Roman" w:eastAsia="Times New Roman" w:hAnsi="Times New Roman"/>
          <w:sz w:val="18"/>
          <w:szCs w:val="18"/>
          <w:color w:val="auto"/>
        </w:rPr>
      </w:pPr>
    </w:p>
    <w:p>
      <w:pPr>
        <w:ind w:left="640" w:firstLine="652"/>
        <w:spacing w:after="0" w:line="256" w:lineRule="auto"/>
        <w:tabs>
          <w:tab w:leader="none" w:pos="15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other material relationships between such nominee and such nominee’s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 and</w:t>
      </w:r>
    </w:p>
    <w:p>
      <w:pPr>
        <w:spacing w:after="0" w:line="187"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w:t>
      </w:r>
    </w:p>
    <w:p>
      <w:pPr>
        <w:spacing w:after="0" w:line="225"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w:t>
      </w:r>
    </w:p>
    <w:p>
      <w:pPr>
        <w:spacing w:after="0" w:line="225" w:lineRule="exact"/>
        <w:rPr>
          <w:rFonts w:ascii="Times New Roman" w:cs="Times New Roman" w:eastAsia="Times New Roman" w:hAnsi="Times New Roman"/>
          <w:sz w:val="18"/>
          <w:szCs w:val="18"/>
          <w:color w:val="auto"/>
        </w:rPr>
      </w:pPr>
    </w:p>
    <w:p>
      <w:pPr>
        <w:ind w:left="640" w:right="220" w:firstLine="652"/>
        <w:spacing w:after="0" w:line="282" w:lineRule="auto"/>
        <w:tabs>
          <w:tab w:leader="none" w:pos="15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if applicable, the text of any proposed amendment to these Bylaws),</w:t>
      </w:r>
    </w:p>
    <w:p>
      <w:pPr>
        <w:spacing w:after="0" w:line="161"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61" w:lineRule="exact"/>
        <w:rPr>
          <w:rFonts w:ascii="Times New Roman" w:cs="Times New Roman" w:eastAsia="Times New Roman" w:hAnsi="Times New Roman"/>
          <w:sz w:val="18"/>
          <w:szCs w:val="18"/>
          <w:color w:val="auto"/>
        </w:rPr>
      </w:pPr>
    </w:p>
    <w:p>
      <w:pPr>
        <w:jc w:val="both"/>
        <w:ind w:left="640" w:right="480" w:firstLine="652"/>
        <w:spacing w:after="0" w:line="266" w:lineRule="auto"/>
        <w:tabs>
          <w:tab w:leader="none" w:pos="15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arrangements and understandings between such stockholder and the beneficial owner, if any, on whose behalf the proposal is made, and their respective affiliates or associates or others acting in concert with them, and any other persons (including their names) in connection with the proposal of such business by such stockholder, and</w:t>
      </w:r>
    </w:p>
    <w:p>
      <w:pPr>
        <w:spacing w:after="0" w:line="17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proposing stockholder giving the notice and the beneficial owner, if any, on whose behalf the nomination or proposal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left="640" w:right="420" w:firstLine="652"/>
        <w:spacing w:after="0" w:line="282" w:lineRule="auto"/>
        <w:tabs>
          <w:tab w:leader="none" w:pos="15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as they appear on the corporation's books, of the beneficial owner, and of their respective affiliates or associates or others acting in concert with them,</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ind w:left="180" w:right="20" w:firstLine="652"/>
        <w:spacing w:after="0" w:line="266" w:lineRule="auto"/>
        <w:tabs>
          <w:tab w:leader="none" w:pos="11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stock of the corporation that are, directly or indirectly, held of record or are beneficially owned by the proposing stockholder, the beneficial owner, or their respective affiliates or associates or others acting in concert with them, as of the date of the proposing stockholder's notice,</w:t>
      </w:r>
    </w:p>
    <w:p>
      <w:pPr>
        <w:spacing w:after="0" w:line="175" w:lineRule="exact"/>
        <w:rPr>
          <w:rFonts w:ascii="Times New Roman" w:cs="Times New Roman" w:eastAsia="Times New Roman" w:hAnsi="Times New Roman"/>
          <w:sz w:val="18"/>
          <w:szCs w:val="18"/>
          <w:color w:val="auto"/>
        </w:rPr>
      </w:pPr>
    </w:p>
    <w:p>
      <w:pPr>
        <w:ind w:left="180" w:right="40" w:firstLine="652"/>
        <w:spacing w:after="0" w:line="266" w:lineRule="auto"/>
        <w:tabs>
          <w:tab w:leader="none" w:pos="11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with respect to such nomination or other proposal between or among the proposing stockholder, the beneficial owner or their respective affiliates or associates or others acting in concert with them, and any other person or persons (including, in each case, their names) in connection with the proposal of each such nomination or other business,</w:t>
      </w:r>
    </w:p>
    <w:p>
      <w:pPr>
        <w:spacing w:after="0" w:line="175" w:lineRule="exact"/>
        <w:rPr>
          <w:rFonts w:ascii="Times New Roman" w:cs="Times New Roman" w:eastAsia="Times New Roman" w:hAnsi="Times New Roman"/>
          <w:sz w:val="18"/>
          <w:szCs w:val="18"/>
          <w:color w:val="auto"/>
        </w:rPr>
      </w:pPr>
    </w:p>
    <w:p>
      <w:pPr>
        <w:ind w:left="180" w:firstLine="652"/>
        <w:spacing w:after="0" w:line="254" w:lineRule="auto"/>
        <w:tabs>
          <w:tab w:leader="none" w:pos="11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(x)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as of the date of the proposing stockholder's notice by, or on behalf of, the proposing stockholder, the beneficial owner or their affiliates or associates or others acting in concert with them with respect to the corporation’s securities (any of the foregoing, a “Derivative Instrument”, including the full notional amount of any securities that, directly or indirectly, underlie any Derivative Instrument, and (y) other agreement, arrangement or understanding that has been made the effect or intent of which is to create or mitigate loss to, manage risk or benefit of share price changes for, or increase or decrease the voting power of, the proposing stockholder, the beneficial owner or their respective affiliates or associates or others acting in concert with them with respect to shares of stock of the corporation,</w:t>
      </w:r>
    </w:p>
    <w:p>
      <w:pPr>
        <w:spacing w:after="0" w:line="188" w:lineRule="exact"/>
        <w:rPr>
          <w:rFonts w:ascii="Times New Roman" w:cs="Times New Roman" w:eastAsia="Times New Roman" w:hAnsi="Times New Roman"/>
          <w:sz w:val="18"/>
          <w:szCs w:val="18"/>
          <w:color w:val="auto"/>
        </w:rPr>
      </w:pPr>
    </w:p>
    <w:p>
      <w:pPr>
        <w:jc w:val="both"/>
        <w:ind w:left="180" w:right="100" w:firstLine="652"/>
        <w:spacing w:after="0" w:line="266" w:lineRule="auto"/>
        <w:tabs>
          <w:tab w:leader="none" w:pos="11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understanding or relationship pursuant to which the proposing stockholder, the beneficial owner or their respective affiliates or associates or others acting in concert with them has a right to vote any shares of any security of the corporation,</w:t>
      </w:r>
    </w:p>
    <w:p>
      <w:pPr>
        <w:spacing w:after="0" w:line="175" w:lineRule="exact"/>
        <w:rPr>
          <w:rFonts w:ascii="Times New Roman" w:cs="Times New Roman" w:eastAsia="Times New Roman" w:hAnsi="Times New Roman"/>
          <w:sz w:val="18"/>
          <w:szCs w:val="18"/>
          <w:color w:val="auto"/>
        </w:rPr>
      </w:pPr>
    </w:p>
    <w:p>
      <w:pPr>
        <w:ind w:left="180" w:right="120" w:firstLine="652"/>
        <w:spacing w:after="0" w:line="266" w:lineRule="auto"/>
        <w:tabs>
          <w:tab w:leader="none" w:pos="10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corporation’s securities owned beneficially by the proposed stockholder, the beneficial owner or their respective affiliates or associates or others acting in concert with them that are separated or separable from the underlying security,</w:t>
      </w:r>
    </w:p>
    <w:p>
      <w:pPr>
        <w:spacing w:after="0" w:line="175" w:lineRule="exact"/>
        <w:rPr>
          <w:rFonts w:ascii="Times New Roman" w:cs="Times New Roman" w:eastAsia="Times New Roman" w:hAnsi="Times New Roman"/>
          <w:sz w:val="18"/>
          <w:szCs w:val="18"/>
          <w:color w:val="auto"/>
        </w:rPr>
      </w:pPr>
    </w:p>
    <w:p>
      <w:pPr>
        <w:ind w:left="180" w:firstLine="652"/>
        <w:spacing w:after="0" w:line="261" w:lineRule="auto"/>
        <w:tabs>
          <w:tab w:leader="none" w:pos="11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the corporation’s securities or Derivative Instruments held, directly or indirectly, by a general or limited partnership in which the proposing stockholder, the beneficial owner or their respective affiliates or associates or others acting in concert with them is a general partner or, directly or indirectly, beneficially owns an interest in a general partner of such general or limited partnership,</w:t>
      </w:r>
    </w:p>
    <w:p>
      <w:pPr>
        <w:spacing w:after="0" w:line="179" w:lineRule="exact"/>
        <w:rPr>
          <w:rFonts w:ascii="Times New Roman" w:cs="Times New Roman" w:eastAsia="Times New Roman" w:hAnsi="Times New Roman"/>
          <w:sz w:val="18"/>
          <w:szCs w:val="18"/>
          <w:color w:val="auto"/>
        </w:rPr>
      </w:pPr>
    </w:p>
    <w:p>
      <w:pPr>
        <w:ind w:left="180" w:right="120" w:firstLine="652"/>
        <w:spacing w:after="0" w:line="261" w:lineRule="auto"/>
        <w:tabs>
          <w:tab w:leader="none" w:pos="11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the proposing stockholder, the beneficial owner or their respective affiliates or associates or others acting in concert with them is entitled to based on any increase or decrease in the value of the corporation’s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18"/>
          <w:szCs w:val="18"/>
          <w:color w:val="auto"/>
        </w:rPr>
      </w:pPr>
    </w:p>
    <w:p>
      <w:pPr>
        <w:ind w:left="180" w:right="160" w:firstLine="652"/>
        <w:spacing w:after="0" w:line="282" w:lineRule="auto"/>
        <w:tabs>
          <w:tab w:leader="none" w:pos="10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in any principal competitor of the corporation that are held by the proposing stockholder, the beneficial owner or their respective affiliates or associates or others acting in concert with them,</w:t>
      </w:r>
    </w:p>
    <w:p>
      <w:pPr>
        <w:spacing w:after="0" w:line="161" w:lineRule="exact"/>
        <w:rPr>
          <w:rFonts w:ascii="Times New Roman" w:cs="Times New Roman" w:eastAsia="Times New Roman" w:hAnsi="Times New Roman"/>
          <w:sz w:val="18"/>
          <w:szCs w:val="18"/>
          <w:color w:val="auto"/>
        </w:rPr>
      </w:pPr>
    </w:p>
    <w:p>
      <w:pPr>
        <w:jc w:val="both"/>
        <w:ind w:left="180" w:right="120" w:firstLine="652"/>
        <w:spacing w:after="0" w:line="261" w:lineRule="auto"/>
        <w:tabs>
          <w:tab w:leader="none" w:pos="10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interest of the proposing stockholder, the beneficial owner or their respective affiliates or associates or others acting in concert with them in any contract with the corporation, any affiliate of the corporation or any principal competitor of the corporation (in each case, including, without limitation, any employment agreement, collective bargaining agreement or consulting agreement),</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ind w:left="1300" w:right="140" w:firstLine="652"/>
        <w:spacing w:after="0" w:line="266" w:lineRule="auto"/>
        <w:tabs>
          <w:tab w:leader="none" w:pos="22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the proposing stockholder, the beneficial owner or their respective affiliates or associates or others acting in concert with them is a party or material participant involving the corporation or any of its officers, directors, or affiliates,</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312" w:lineRule="auto"/>
        <w:tabs>
          <w:tab w:leader="none" w:pos="22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relationship between the proposing stockholder, the beneficial owner or their respective affiliates or associates or others acting in concert with them, on the one hand, and the corporation or any of its officers, directors, or affiliates, on the other hand,</w:t>
      </w:r>
    </w:p>
    <w:p>
      <w:pPr>
        <w:spacing w:after="0" w:line="139" w:lineRule="exact"/>
        <w:rPr>
          <w:rFonts w:ascii="Times New Roman" w:cs="Times New Roman" w:eastAsia="Times New Roman" w:hAnsi="Times New Roman"/>
          <w:sz w:val="17"/>
          <w:szCs w:val="17"/>
          <w:color w:val="auto"/>
        </w:rPr>
      </w:pPr>
    </w:p>
    <w:p>
      <w:pPr>
        <w:ind w:left="1300" w:firstLine="652"/>
        <w:spacing w:after="0" w:line="266" w:lineRule="auto"/>
        <w:tabs>
          <w:tab w:leader="none" w:pos="2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the proposing stockholder is a holder of record of shares of the corporation as of the date of submission of the stockholder’s notice and intends to appear in person or by proxy at the annual meeting to bring such nomination or other business before the annual meeting,</w:t>
      </w:r>
    </w:p>
    <w:p>
      <w:pPr>
        <w:spacing w:after="0" w:line="175" w:lineRule="exact"/>
        <w:rPr>
          <w:rFonts w:ascii="Times New Roman" w:cs="Times New Roman" w:eastAsia="Times New Roman" w:hAnsi="Times New Roman"/>
          <w:sz w:val="18"/>
          <w:szCs w:val="18"/>
          <w:color w:val="auto"/>
        </w:rPr>
      </w:pPr>
    </w:p>
    <w:p>
      <w:pPr>
        <w:ind w:left="1300" w:right="40" w:firstLine="652"/>
        <w:spacing w:after="0" w:line="255" w:lineRule="auto"/>
        <w:tabs>
          <w:tab w:leader="none" w:pos="22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as to whether the proposing stockholder, the beneficial owner or their respective affiliates, associates or others acting in concert with them intends, or is part of a group that intends, to (x) deliver a proxy statement or form of proxy to holders of at least the percentage of the voting power of the corporation's then-outstanding capital stock required to approve or adopt the proposal or elect each such nominee (which, in the case of the election of a nominee, such representation and undertaking must include a statement as to whether the proposing stockholder, the beneficial owner or their respective affiliates or associates or others acting in concert with them intends to solicit the requisite percentage of the voting power of the corporation’s stock under Rule 14a-19 of the Exchange Act) or (y) otherwise solicit proxies from stockholders in support of such proposal or nomination,</w:t>
      </w:r>
    </w:p>
    <w:p>
      <w:pPr>
        <w:spacing w:after="0" w:line="188" w:lineRule="exact"/>
        <w:rPr>
          <w:rFonts w:ascii="Times New Roman" w:cs="Times New Roman" w:eastAsia="Times New Roman" w:hAnsi="Times New Roman"/>
          <w:sz w:val="18"/>
          <w:szCs w:val="18"/>
          <w:color w:val="auto"/>
        </w:rPr>
      </w:pPr>
    </w:p>
    <w:p>
      <w:pPr>
        <w:ind w:left="1300" w:firstLine="652"/>
        <w:spacing w:after="0" w:line="261" w:lineRule="auto"/>
        <w:tabs>
          <w:tab w:leader="none" w:pos="22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proposing stockholder, the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Exchange Act, and</w:t>
      </w:r>
    </w:p>
    <w:p>
      <w:pPr>
        <w:spacing w:after="0" w:line="179" w:lineRule="exact"/>
        <w:rPr>
          <w:rFonts w:ascii="Times New Roman" w:cs="Times New Roman" w:eastAsia="Times New Roman" w:hAnsi="Times New Roman"/>
          <w:sz w:val="18"/>
          <w:szCs w:val="18"/>
          <w:color w:val="auto"/>
        </w:rPr>
      </w:pPr>
    </w:p>
    <w:p>
      <w:pPr>
        <w:ind w:left="1300" w:right="340" w:firstLine="652"/>
        <w:spacing w:after="0" w:line="282" w:lineRule="auto"/>
        <w:tabs>
          <w:tab w:leader="none" w:pos="22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corporation may reasonably require to determine whether such proposed item of business is a proper matter for stockholder action.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requirements of this Article II, Section 11, to be timely, a stockholder’s notice (and any additional information submitted to the corporation in connection therewith) must further be updated and supplemented (x)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(y) to provide any additional information that the corporation may reasonably request.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100"/>
        <w:spacing w:after="0" w:line="268" w:lineRule="auto"/>
        <w:rPr>
          <w:sz w:val="20"/>
          <w:szCs w:val="20"/>
          <w:color w:val="auto"/>
        </w:rPr>
      </w:pPr>
      <w:r>
        <w:rPr>
          <w:rFonts w:ascii="Times New Roman" w:cs="Times New Roman" w:eastAsia="Times New Roman" w:hAnsi="Times New Roman"/>
          <w:sz w:val="17"/>
          <w:szCs w:val="17"/>
          <w:color w:val="auto"/>
        </w:rPr>
        <w:t>Any such update and supplement or additional information (including, if requested pursuant to Article II, Section 11(b)(iii)(P)) must be received by the Secretary at the principal executive offices of the corporation (A) in the case of a request for additional information, promptly following a request therefor, which response must be received by the Secretary not later than such reasonable time as is specified in any such request from the corporation; or (B) in the case of any other update or supplement of any information, not later than five (5) business days after the record date(s) for the annual meeting (in the case of any update and supplement required to be made as of the record date(s)), and not later than eight (8) business days prior to the date for the annual meeting or any adjournment, rescheduling, postponement or other delay thereof (in the case of any update or supplement required to be made as of ten</w:t>
      </w:r>
    </w:p>
    <w:p>
      <w:pPr>
        <w:spacing w:after="0" w:line="5" w:lineRule="exact"/>
        <w:rPr>
          <w:sz w:val="20"/>
          <w:szCs w:val="20"/>
          <w:color w:val="auto"/>
        </w:rPr>
      </w:pPr>
    </w:p>
    <w:p>
      <w:pPr>
        <w:ind w:firstLine="8"/>
        <w:spacing w:after="0" w:line="251"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annual meeting or any adjournment, rescheduling, postponement or other delay thereof). No later than five (5)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For the avoidance of doubt, the obligation to update and supplement, or provide additional information or evidence, as set forth in these Bylaws shall not limit the corporation’s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Article II, Section 11 solely because such broker, dealer, commercial bank, trust company, or other nominee has been directed to prepare and submit the notice required by these Bylaws on behalf of a beneficial owner.</w:t>
      </w:r>
    </w:p>
    <w:p>
      <w:pPr>
        <w:spacing w:after="0" w:line="18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52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Inclusion of Proxy Access Nominees in Proxy Materials</w:t>
      </w:r>
      <w:r>
        <w:rPr>
          <w:rFonts w:ascii="Times New Roman" w:cs="Times New Roman" w:eastAsia="Times New Roman" w:hAnsi="Times New Roman"/>
          <w:sz w:val="18"/>
          <w:szCs w:val="18"/>
          <w:color w:val="auto"/>
        </w:rPr>
        <w:t>. Subject to the requirements of Article II, Section 11, the corporation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 its proxy statement and on its proxy card for any annual meeting of stockholders, the name of any director nominee, together with the Required Information (defined below),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191"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57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Proxy Access Nomination Notice</w:t>
      </w:r>
      <w:r>
        <w:rPr>
          <w:rFonts w:ascii="Times New Roman" w:cs="Times New Roman" w:eastAsia="Times New Roman" w:hAnsi="Times New Roman"/>
          <w:sz w:val="18"/>
          <w:szCs w:val="18"/>
          <w:color w:val="auto"/>
        </w:rPr>
        <w:t>. To be timely, the Proxy Access Nomination Notice must be received by the Secretary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principal executive office of the corporation no later than 5:00 p.m., Mountain time, on the 120th calendar day and no earlier than 8:00 a.m., Mountain time, on the 150th calendar day prior to the first anniversary of the date on which the corporation first mailed its proxy materials or a notice of availability of proxy materials (whichever is earlier) to stockholders in connection with the previous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no annual meeting was held in the previous year or the date of the annual meeting for the current year has been changed by more than thirty (30) days from the one-year anniversary of the previous year’s annual meeting, notice by the stockholder to be timely it must be so received no earlier than 8:00 a.m., Mountain time, on the 150th calendar day prior to the date of such annual meeting and no later than 5:00 p.m., Mountain time, on the later of: (A) the 120th calendar day prior to the date of such annual meeting or (B) the 10th calendar day following the day on which the public announcement of the date of such annual meeting is first made by the corporation. In no event shall the public announcement of an adjournment, rescheduling, postponement, or other delay of an annual meeting of stockholders commence a new time period (or extend any time period) for the submission of such Proxy Access Nomination.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200" w:firstLine="644"/>
        <w:spacing w:after="0" w:line="275" w:lineRule="auto"/>
        <w:tabs>
          <w:tab w:leader="none" w:pos="96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Required information</w:t>
      </w:r>
      <w:r>
        <w:rPr>
          <w:rFonts w:ascii="Times New Roman" w:cs="Times New Roman" w:eastAsia="Times New Roman" w:hAnsi="Times New Roman"/>
          <w:sz w:val="17"/>
          <w:szCs w:val="17"/>
          <w:color w:val="auto"/>
        </w:rPr>
        <w:t>. In addition to including the name of the Proxy Access Nominee in the corporation’s proxy statement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of stockholders, the corporation also shall include (A) the information concerning the Proxy Access Nominee and the Eligible Stockholder that is required to be disclosed in the corporation’s proxy statement pursuant to the proxy rules of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168" w:lineRule="exact"/>
        <w:rPr>
          <w:rFonts w:ascii="Times New Roman" w:cs="Times New Roman" w:eastAsia="Times New Roman" w:hAnsi="Times New Roman"/>
          <w:sz w:val="17"/>
          <w:szCs w:val="17"/>
          <w:color w:val="auto"/>
        </w:rPr>
      </w:pPr>
    </w:p>
    <w:p>
      <w:pPr>
        <w:ind w:right="160" w:firstLine="644"/>
        <w:spacing w:after="0" w:line="258" w:lineRule="auto"/>
        <w:tabs>
          <w:tab w:leader="none" w:pos="9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Number of Proxy Access Nominees</w:t>
      </w:r>
      <w:r>
        <w:rPr>
          <w:rFonts w:ascii="Times New Roman" w:cs="Times New Roman" w:eastAsia="Times New Roman" w:hAnsi="Times New Roman"/>
          <w:sz w:val="18"/>
          <w:szCs w:val="18"/>
          <w:color w:val="auto"/>
        </w:rPr>
        <w:t>. The maximum number of Proxy Access Nominees nominated by all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that will be included in the corporation’s proxy materials with respect to an annual meeting of stockholders pursuant to this Article II, Section 11(c) shall not exceed the greater of (A) two (2) and (B) 20 % of the total number of directors in office (rounded down to the nearest whole number), as of the last day on which a Proxy Access Nomination Notice may be delivered pursuant to and in accordance with this Article II, Section 11(c) (the “Permitted Number”); provided, however, the Permitted Number shall be reduced (but not below one) by:</w:t>
      </w:r>
    </w:p>
    <w:p>
      <w:pPr>
        <w:spacing w:after="0" w:line="185" w:lineRule="exact"/>
        <w:rPr>
          <w:rFonts w:ascii="Times New Roman" w:cs="Times New Roman" w:eastAsia="Times New Roman" w:hAnsi="Times New Roman"/>
          <w:sz w:val="18"/>
          <w:szCs w:val="18"/>
          <w:color w:val="auto"/>
        </w:rPr>
      </w:pPr>
    </w:p>
    <w:p>
      <w:pPr>
        <w:ind w:left="640" w:firstLine="652"/>
        <w:spacing w:after="0" w:line="256" w:lineRule="auto"/>
        <w:tabs>
          <w:tab w:leader="none" w:pos="158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individuals serving as directors or nominees for director who, in either case, were elected or appointed to the Board of Directors or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187" w:lineRule="exact"/>
        <w:rPr>
          <w:rFonts w:ascii="Times New Roman" w:cs="Times New Roman" w:eastAsia="Times New Roman" w:hAnsi="Times New Roman"/>
          <w:sz w:val="18"/>
          <w:szCs w:val="18"/>
          <w:color w:val="auto"/>
        </w:rPr>
      </w:pPr>
    </w:p>
    <w:p>
      <w:pPr>
        <w:ind w:left="640" w:right="420" w:firstLine="652"/>
        <w:spacing w:after="0" w:line="261" w:lineRule="auto"/>
        <w:tabs>
          <w:tab w:leader="none" w:pos="157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Proxy Access Nominees. In the event that one or more vacancies or other unfilled seats in previously authorized directorships for any reason occurs on the Board of Directors after the deadline for delivery of Proxy Access Nomination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2" w:right="379" w:bottom="1440" w:gutter="0" w:footer="0" w:header="0"/>
        </w:sectPr>
      </w:pPr>
    </w:p>
    <w:bookmarkStart w:id="14" w:name="page15"/>
    <w:bookmarkEnd w:id="14"/>
    <w:p>
      <w:pPr>
        <w:ind w:right="20"/>
        <w:spacing w:after="0" w:line="253" w:lineRule="auto"/>
        <w:rPr>
          <w:sz w:val="20"/>
          <w:szCs w:val="20"/>
          <w:color w:val="auto"/>
        </w:rPr>
      </w:pPr>
      <w:r>
        <w:rPr>
          <w:rFonts w:ascii="Times New Roman" w:cs="Times New Roman" w:eastAsia="Times New Roman" w:hAnsi="Times New Roman"/>
          <w:sz w:val="18"/>
          <w:szCs w:val="18"/>
          <w:color w:val="auto"/>
        </w:rPr>
        <w:t>Any Eligible Stockholder submitting more than one Proxy Access Nominee for inclusion in the corporation’s proxy materials pursuant to this Article II, Section 11(c) shall rank such Proxy Access Nominees in its Proxy Access Nomination Notice based on the order that the Eligible Stockholder desires such Proxy Access Nominees to be selected for inclusion in the corporation’s proxy materials. In the event that the number of Proxy Access Nominees submitted by Eligible Stockholders pursuant to this Article II, Section 11(c) exceeds the Permitted Number, the highest ranking Proxy Access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Nomination Notice submitted to the Corporation. If the Permitted Number is not reached after the highest ranking Proxy Access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92" w:lineRule="exact"/>
        <w:rPr>
          <w:sz w:val="20"/>
          <w:szCs w:val="20"/>
          <w:color w:val="auto"/>
        </w:rPr>
      </w:pPr>
    </w:p>
    <w:p>
      <w:pPr>
        <w:ind w:right="20" w:firstLine="644"/>
        <w:spacing w:after="0" w:line="252"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Requirement</w:t>
      </w:r>
      <w:r>
        <w:rPr>
          <w:rFonts w:ascii="Times New Roman" w:cs="Times New Roman" w:eastAsia="Times New Roman" w:hAnsi="Times New Roman"/>
          <w:sz w:val="18"/>
          <w:szCs w:val="18"/>
          <w:color w:val="auto"/>
        </w:rPr>
        <w:t>. An Eligible Stockholder must have owned (as defined below) continuously for at least three years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Period”) a number of shares that represents three percent (3%) or more of the total voting power of the corporation’s outstanding shares entitled to vote in the election of directors (such required number of shares, the “Required Shares”). For purposes of determining whether the Eligible Stockholder owned the Required Shares for the Holding Period, the number of shares of capital stock will be determined by reference to the corporation’s periodic filings with the SEC during the Holding Period. The Requires Shares must be owned continuously as of (A) the date the Proxy Access Nomination Notice is received by the corporation in accordance with this Article II, Section 11(c), (B) the record date for determining stockholders entitled to vote at the annual meeting of stockholders and (C) the annual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(X) under common management and investment control, (Y) under common management and funded primarily by the same employer (or by a group of related employers that are under common control), or (Z)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1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purposes of this Article II, Section 11(c), an Eligible Stockholder shall be deemed to “own” only those outstanding shares of the corporation as to which the Eligible Stockholder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Eligible Stockholder or any of its affiliates in any transaction that has not been settled or closed, including any short sale, (2) borrowed by such Eligible Stockholder or any of its affiliates for any purposes or purchased by such person or any of its affiliates pursuant to an agreement to resell, or (3) subject to any option, warrant, forward contract, swap, contract of sale, other Derivative Instrument or similar agreement entered into by such Eligible Stockholder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Eligible Stockholders’ or affiliates’ full right to vote or direct the voting of any such shares and/or hedging, offsetting or altering to any degree gain or loss arising from the full economic ownership of such shares by such Eligible Stockholder or affiliate. A person shall “own” shares held in the name of a nominee or other intermediary so long as the person retains the right to instruct how the shares are voted with respect to the election of directors and possesses the full economic interest in the shares. A person will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ind w:left="4" w:right="60" w:firstLine="644"/>
        <w:spacing w:after="0" w:line="269" w:lineRule="auto"/>
        <w:tabs>
          <w:tab w:leader="none" w:pos="9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Agreement of any Proxy Access Nominee</w:t>
      </w:r>
      <w:r>
        <w:rPr>
          <w:rFonts w:ascii="Times New Roman" w:cs="Times New Roman" w:eastAsia="Times New Roman" w:hAnsi="Times New Roman"/>
          <w:sz w:val="17"/>
          <w:szCs w:val="17"/>
          <w:color w:val="auto"/>
        </w:rPr>
        <w:t>. Within the time period specified in Article II, Section 11(c)(ii)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Access Nomination Notice, an Eligible Stockholder must provide in writing to the Secretary, with respect to the Proxy Access Nominee, in addition to the information and representations required to be provided in the stockholder’s notice pursuant to Article II, Section 11(b) and as required by Article II, Section 11(e),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w:t>
      </w:r>
    </w:p>
    <w:p>
      <w:pPr>
        <w:spacing w:after="0" w:line="1" w:lineRule="exact"/>
        <w:rPr>
          <w:rFonts w:ascii="Times New Roman" w:cs="Times New Roman" w:eastAsia="Times New Roman" w:hAnsi="Times New Roman"/>
          <w:sz w:val="17"/>
          <w:szCs w:val="17"/>
          <w:color w:val="auto"/>
        </w:rPr>
      </w:pPr>
    </w:p>
    <w:p>
      <w:pPr>
        <w:ind w:left="4" w:right="60" w:hanging="4"/>
        <w:spacing w:after="0" w:line="250" w:lineRule="auto"/>
        <w:tabs>
          <w:tab w:leader="none" w:pos="2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w:t>
      </w:r>
    </w:p>
    <w:p>
      <w:pPr>
        <w:spacing w:after="0" w:line="3"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6" w:name="page17"/>
    <w:bookmarkEnd w:id="16"/>
    <w:p>
      <w:pPr>
        <w:ind w:left="4" w:firstLine="644"/>
        <w:spacing w:after="0" w:line="252" w:lineRule="auto"/>
        <w:tabs>
          <w:tab w:leader="none" w:pos="10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to be Provided by an Eligible Stockholder</w:t>
      </w:r>
      <w:r>
        <w:rPr>
          <w:rFonts w:ascii="Times New Roman" w:cs="Times New Roman" w:eastAsia="Times New Roman" w:hAnsi="Times New Roman"/>
          <w:sz w:val="18"/>
          <w:szCs w:val="18"/>
          <w:color w:val="auto"/>
        </w:rPr>
        <w:t>. Within the time period specified in Article II, Section 11(c)(ii) for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Nomination Notice, an Eligible Stockholder (which for purposes of this Article II, Section 11(c)(vii), will be deemed to include any beneficial owner on whose behalf the nomination is made) making a nomination pursuant to this Article II, Section 11(c)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Holding Period) verifying that, as of a date within seven calendar days prior to the date the Proxy Access Nomination Notice is received by the Secretary of the corporation, the Eligible Stockholder owns, and has owned continuously for the Holding Period,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corporation</w:t>
      </w:r>
    </w:p>
    <w:p>
      <w:pPr>
        <w:spacing w:after="0" w:line="7" w:lineRule="exact"/>
        <w:rPr>
          <w:rFonts w:ascii="Times New Roman" w:cs="Times New Roman" w:eastAsia="Times New Roman" w:hAnsi="Times New Roman"/>
          <w:sz w:val="18"/>
          <w:szCs w:val="18"/>
          <w:color w:val="auto"/>
        </w:rPr>
      </w:pPr>
    </w:p>
    <w:p>
      <w:pPr>
        <w:ind w:left="4" w:hanging="4"/>
        <w:spacing w:after="0" w:line="265" w:lineRule="auto"/>
        <w:tabs>
          <w:tab w:leader="none" w:pos="24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 public announcement of such date or (b) delivered a written notice of the record date (including by electronic mail) to the Eligible Stockholder) or (y) the date on which the corporation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 (C) documentation satisfactory to the corporation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corporation,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w:t>
      </w:r>
    </w:p>
    <w:p>
      <w:pPr>
        <w:spacing w:after="0" w:line="1" w:lineRule="exact"/>
        <w:rPr>
          <w:rFonts w:ascii="Times New Roman" w:cs="Times New Roman" w:eastAsia="Times New Roman" w:hAnsi="Times New Roman"/>
          <w:sz w:val="17"/>
          <w:szCs w:val="17"/>
          <w:color w:val="auto"/>
        </w:rPr>
      </w:pPr>
    </w:p>
    <w:p>
      <w:pPr>
        <w:ind w:left="4"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has not and will not distribute to any stockholder any form of proxy for the annual meeting of stockholders other than the form distributed by the corporation, (5) consents to the public disclosure of the information provided pursuant to this Article II, Section 11(c), and (6)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Proxy Access Nominee and any other person or persons, including the Proxy Access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Proxy Access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corporation,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7" w:name="page18"/>
    <w:bookmarkEnd w:id="17"/>
    <w:p>
      <w:pPr>
        <w:ind w:right="20" w:firstLine="644"/>
        <w:spacing w:after="0" w:line="258" w:lineRule="auto"/>
        <w:tabs>
          <w:tab w:leader="none" w:pos="10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Supporting Statement</w:t>
      </w:r>
      <w:r>
        <w:rPr>
          <w:rFonts w:ascii="Times New Roman" w:cs="Times New Roman" w:eastAsia="Times New Roman" w:hAnsi="Times New Roman"/>
          <w:sz w:val="18"/>
          <w:szCs w:val="18"/>
          <w:color w:val="auto"/>
        </w:rPr>
        <w:t>. The Eligible Stockholder may with its Proxy Access Nomination Notice, provide to the Secretary, a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for inclusion in the corporation’s proxy statement for the annual meeting of stockholders, not to exceed 500 words per Proxy Access Nominee, in support of each Proxy Access Nominee it names in its Proxy Access Nomination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83" w:lineRule="exact"/>
        <w:rPr>
          <w:rFonts w:ascii="Times New Roman" w:cs="Times New Roman" w:eastAsia="Times New Roman" w:hAnsi="Times New Roman"/>
          <w:sz w:val="18"/>
          <w:szCs w:val="18"/>
          <w:color w:val="auto"/>
        </w:rPr>
      </w:pPr>
    </w:p>
    <w:p>
      <w:pPr>
        <w:ind w:right="60" w:firstLine="644"/>
        <w:spacing w:after="0" w:line="252" w:lineRule="auto"/>
        <w:tabs>
          <w:tab w:leader="none" w:pos="9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True, Correct and Complete Information</w:t>
      </w:r>
      <w:r>
        <w:rPr>
          <w:rFonts w:ascii="Times New Roman" w:cs="Times New Roman" w:eastAsia="Times New Roman" w:hAnsi="Times New Roman"/>
          <w:sz w:val="18"/>
          <w:szCs w:val="18"/>
          <w:color w:val="auto"/>
        </w:rPr>
        <w:t>. In the event that any information or communications provided by the Eligible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 and not misleading. In addition, any person or entity providing any information to the corporation pursuant to this Article II, Section 11(c) must further update and supplement such information, if necessary, so that all such information is true and correct as of the record date for the annual meeting and as of the date that is ten business days prior to the annual meeting or any adjournment, rescheduling, postponement or other delay thereof. Any update or supplement (or a written certification that no such updates or supplements are necessary and that the information previously provided remains true and correct as of the applicable date) pursuant to this Article II, Section 11(c) must be received by the Secretary of the corporation at the principal executive offices of the corporation no later than (i) five business days after the record date for the annual meeting (in the case of any update and supplement required to be made as of the record date); and (ii) seven business days prior to the date of the annual meeting or any adjournment, rescheduling, postponement or other thereof (in the case of any update and supplement required to be made as of ten business days prior to the annual meeting). No notification, update or supplement provided pursuant to this Article II, Section 11(c) or otherwise will be deemed to cure any defect in any previously provided information or communications or limit the remedies available to the corporation relating to any such defect (including the right to omit a Proxy Access Nominee from its proxy materials).</w:t>
      </w:r>
    </w:p>
    <w:p>
      <w:pPr>
        <w:spacing w:after="0" w:line="194"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Disqualifications and Exclusions of Proxy Access Nominees</w:t>
      </w:r>
      <w:r>
        <w:rPr>
          <w:rFonts w:ascii="Times New Roman" w:cs="Times New Roman" w:eastAsia="Times New Roman" w:hAnsi="Times New Roman"/>
          <w:sz w:val="18"/>
          <w:szCs w:val="18"/>
          <w:color w:val="auto"/>
        </w:rPr>
        <w:t>. The corporation shall not be required to include pursuant to this</w:t>
      </w:r>
    </w:p>
    <w:p>
      <w:pPr>
        <w:spacing w:after="0" w:line="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Article II, Section 11(c) any Proxy Access Nominee in its proxy materials (or, if the proxy materials have already been filed, to allow the nomination of a Proxy Access Nominee pursuant to this Article II, Section 11(c),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contemplated by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(I) such Proxy Access Nominee dies, becomes disabled or otherwise becomes ineligible for inclusion in the corporation’s proxy materials pursuant to this Article II, Section 11(c) or otherwise becomes unavailable for election at the annual meeting (including because such Proxy Access Nominee is no longer willing to serve on the Board of Directors), (J)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 or (K) the Eligible Stockholder who has nominated such Proxy Access Nominee ceases to be an Eligible Stockholder for any reason, including but not limited to not owning the Required Shares through the date of the applicable annual meeting.</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8" w:name="page19"/>
    <w:bookmarkEnd w:id="18"/>
    <w:p>
      <w:pPr>
        <w:jc w:val="both"/>
        <w:ind w:left="640" w:right="120" w:firstLine="644"/>
        <w:spacing w:after="0" w:line="256" w:lineRule="auto"/>
        <w:tabs>
          <w:tab w:leader="none" w:pos="15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Process Following Disqualification or Exclusion</w:t>
      </w:r>
      <w:r>
        <w:rPr>
          <w:rFonts w:ascii="Times New Roman" w:cs="Times New Roman" w:eastAsia="Times New Roman" w:hAnsi="Times New Roman"/>
          <w:sz w:val="18"/>
          <w:szCs w:val="18"/>
          <w:color w:val="auto"/>
        </w:rPr>
        <w:t>. Notwithstanding anything to the contrary set forth herein, if (A) the Proxy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w:t>
      </w:r>
    </w:p>
    <w:p>
      <w:pPr>
        <w:spacing w:after="0" w:line="1" w:lineRule="exact"/>
        <w:rPr>
          <w:rFonts w:ascii="Times New Roman" w:cs="Times New Roman" w:eastAsia="Times New Roman" w:hAnsi="Times New Roman"/>
          <w:sz w:val="18"/>
          <w:szCs w:val="18"/>
          <w:color w:val="auto"/>
        </w:rPr>
      </w:pPr>
    </w:p>
    <w:p>
      <w:pPr>
        <w:ind w:left="6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11(c), (i)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(ii) to the extent feasible, the corporation may remove the information concerning a Proxy Access Nominee and any related Statement (or portion thereof) from its proxy materials or otherwise communicate to its stockholders that such Proxy Access Nominee will not be eligible for election at the annual meeting, and (iii) the corporation shall not be required to include in its proxy statement any successor or replacement nominee proposed by the applicable Eligible Stockholder or any other Eligible Stockholder pursuant to this Article II, Section 11(c).</w:t>
      </w:r>
    </w:p>
    <w:p>
      <w:pPr>
        <w:spacing w:after="0" w:line="187" w:lineRule="exact"/>
        <w:rPr>
          <w:rFonts w:ascii="Times New Roman" w:cs="Times New Roman" w:eastAsia="Times New Roman" w:hAnsi="Times New Roman"/>
          <w:sz w:val="18"/>
          <w:szCs w:val="18"/>
          <w:color w:val="auto"/>
        </w:rPr>
      </w:pPr>
    </w:p>
    <w:p>
      <w:pPr>
        <w:ind w:left="640" w:right="40" w:firstLine="644"/>
        <w:spacing w:after="0" w:line="258" w:lineRule="auto"/>
        <w:tabs>
          <w:tab w:leader="none" w:pos="16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Status of Withdrawn or Ineligible Proxy Access Nominees</w:t>
      </w:r>
      <w:r>
        <w:rPr>
          <w:rFonts w:ascii="Times New Roman" w:cs="Times New Roman" w:eastAsia="Times New Roman" w:hAnsi="Times New Roman"/>
          <w:sz w:val="18"/>
          <w:szCs w:val="18"/>
          <w:color w:val="auto"/>
        </w:rPr>
        <w:t>. Any Proxy Access Nominee who is included in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for a particular annual meeting of stockholders as Proxy Access Nominee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Proxy Access Nominee has been nominated for election.</w:t>
      </w:r>
    </w:p>
    <w:p>
      <w:pPr>
        <w:spacing w:after="0" w:line="183" w:lineRule="exact"/>
        <w:rPr>
          <w:rFonts w:ascii="Times New Roman" w:cs="Times New Roman" w:eastAsia="Times New Roman" w:hAnsi="Times New Roman"/>
          <w:sz w:val="18"/>
          <w:szCs w:val="18"/>
          <w:color w:val="auto"/>
        </w:rPr>
      </w:pPr>
    </w:p>
    <w:p>
      <w:pPr>
        <w:jc w:val="both"/>
        <w:ind w:left="640" w:right="440" w:firstLine="644"/>
        <w:spacing w:after="0" w:line="267" w:lineRule="auto"/>
        <w:tabs>
          <w:tab w:leader="none" w:pos="16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Method for Proxy Access</w:t>
      </w:r>
      <w:r>
        <w:rPr>
          <w:rFonts w:ascii="Times New Roman" w:cs="Times New Roman" w:eastAsia="Times New Roman" w:hAnsi="Times New Roman"/>
          <w:sz w:val="18"/>
          <w:szCs w:val="18"/>
          <w:color w:val="auto"/>
        </w:rPr>
        <w:t>. Subject to Rule 14a-19 under the Exchange Act, this Article II, Section 11(c) provides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method for stockholders to include nominees for director in the corporation’s proxy materials with respect to an annual meeting of stockholders.</w:t>
      </w:r>
    </w:p>
    <w:p>
      <w:pPr>
        <w:spacing w:after="0" w:line="173" w:lineRule="exact"/>
        <w:rPr>
          <w:rFonts w:ascii="Times New Roman" w:cs="Times New Roman" w:eastAsia="Times New Roman" w:hAnsi="Times New Roman"/>
          <w:sz w:val="18"/>
          <w:szCs w:val="18"/>
          <w:color w:val="auto"/>
        </w:rPr>
      </w:pPr>
    </w:p>
    <w:p>
      <w:pPr>
        <w:ind w:left="-20" w:right="40" w:firstLine="656"/>
        <w:spacing w:after="0" w:line="258" w:lineRule="auto"/>
        <w:tabs>
          <w:tab w:leader="none" w:pos="8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the DGCL, and subject to Article II, Section 5 of these Bylaws,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of stockholders may be called only in accordance with the Certificate of Incorporation and these Bylaws. Only such business shall be conducted at a special meeting of stockholders as shall have been brought before the special meeting pursuant to the corporation's notice of meeting. If the election of directors is included as business to be brought before a special meeting of stockholders pursuant to the corporation's notice of meeting, then nominations of persons for election to the Board of Directors at such special meeting may be made</w:t>
      </w:r>
    </w:p>
    <w:p>
      <w:pPr>
        <w:spacing w:after="0" w:line="185" w:lineRule="exact"/>
        <w:rPr>
          <w:sz w:val="20"/>
          <w:szCs w:val="20"/>
          <w:color w:val="auto"/>
        </w:rPr>
      </w:pPr>
    </w:p>
    <w:p>
      <w:pPr>
        <w:ind w:left="1280"/>
        <w:spacing w:after="0" w:line="258" w:lineRule="auto"/>
        <w:rPr>
          <w:sz w:val="20"/>
          <w:szCs w:val="20"/>
          <w:color w:val="auto"/>
        </w:rPr>
      </w:pPr>
      <w:r>
        <w:rPr>
          <w:rFonts w:ascii="Times New Roman" w:cs="Times New Roman" w:eastAsia="Times New Roman" w:hAnsi="Times New Roman"/>
          <w:sz w:val="18"/>
          <w:szCs w:val="18"/>
          <w:color w:val="auto"/>
        </w:rPr>
        <w:t>by any stockholder of the corporation who (i) is a stockholder of record at the time the notice provided for in this Article II, Section 11 is delivered to the Secretary,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Article II, Section 11 (with such procedures that the corporation deems to be applicable to such special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2" w:right="33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In the event a special meeting of stockholders is called for the purpose of electing one or more directors to the Board of Directors, then for nominations or any proposed business to be properly brought by a stockholder before a special meeting pursuant to this Article II, Section 11(d), the stockholder's notice required by this Article II, Section 11 must be received by the Secretary at the principal executive offices of the corporation no earlier than 8:00 a.m., Mountain time, on the 120th calendar day prior to the day of the special meeting and no later than 5:00 p.m., Mountain time, on the 10th calendar day following the day on which public announcement of the date of the special meeting was first made. In no event shall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Article II, Section 11(b), with references therein to “annual meeting” deemed to mean “special meeting” for the purposes of this final sentence of this Article II, Section 11(d).</w:t>
      </w:r>
    </w:p>
    <w:p>
      <w:pPr>
        <w:spacing w:after="0" w:line="186" w:lineRule="exact"/>
        <w:rPr>
          <w:sz w:val="20"/>
          <w:szCs w:val="20"/>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Requirements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right="100" w:firstLine="648"/>
        <w:spacing w:after="0" w:line="282" w:lineRule="auto"/>
        <w:rPr>
          <w:sz w:val="20"/>
          <w:szCs w:val="20"/>
          <w:color w:val="auto"/>
        </w:rPr>
      </w:pPr>
      <w:r>
        <w:rPr>
          <w:rFonts w:ascii="Times New Roman" w:cs="Times New Roman" w:eastAsia="Times New Roman" w:hAnsi="Times New Roman"/>
          <w:sz w:val="18"/>
          <w:szCs w:val="18"/>
          <w:color w:val="auto"/>
        </w:rPr>
        <w:t>(i)             To be eligible to be a nominee of any stockholder for election as a director of the corporation, the proposed nominee must provide to the Secretary, in accordance with the applicable time periods prescribed for delivery of notice under Article II, Section 11:</w:t>
      </w:r>
    </w:p>
    <w:p>
      <w:pPr>
        <w:spacing w:after="0" w:line="162" w:lineRule="exact"/>
        <w:rPr>
          <w:sz w:val="20"/>
          <w:szCs w:val="20"/>
          <w:color w:val="auto"/>
        </w:rPr>
      </w:pPr>
    </w:p>
    <w:p>
      <w:pPr>
        <w:ind w:left="1300" w:right="40" w:firstLine="652"/>
        <w:spacing w:after="0" w:line="281" w:lineRule="auto"/>
        <w:tabs>
          <w:tab w:leader="none" w:pos="224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signed and completed written questionnaire (in the form provided by the Secretary at the written request of the proposing stockholder, which form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w:t>
      </w:r>
    </w:p>
    <w:p>
      <w:pPr>
        <w:spacing w:after="0" w:line="164" w:lineRule="exact"/>
        <w:rPr>
          <w:rFonts w:ascii="Times New Roman" w:cs="Times New Roman" w:eastAsia="Times New Roman" w:hAnsi="Times New Roman"/>
          <w:sz w:val="17"/>
          <w:szCs w:val="17"/>
          <w:color w:val="auto"/>
        </w:rPr>
      </w:pPr>
    </w:p>
    <w:p>
      <w:pPr>
        <w:ind w:left="1300" w:right="100" w:firstLine="652"/>
        <w:spacing w:after="0" w:line="266" w:lineRule="auto"/>
        <w:tabs>
          <w:tab w:leader="none" w:pos="22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corporation, such nominee is not, and will not become, a party to any voting agreement, arrangement, commitment, assurance or understanding with any person or entity as to how such nominee, if elected as a director, will vote on any issue,</w:t>
      </w:r>
    </w:p>
    <w:p>
      <w:pPr>
        <w:spacing w:after="0" w:line="175" w:lineRule="exact"/>
        <w:rPr>
          <w:rFonts w:ascii="Times New Roman" w:cs="Times New Roman" w:eastAsia="Times New Roman" w:hAnsi="Times New Roman"/>
          <w:sz w:val="18"/>
          <w:szCs w:val="18"/>
          <w:color w:val="auto"/>
        </w:rPr>
      </w:pPr>
    </w:p>
    <w:p>
      <w:pPr>
        <w:ind w:left="1300" w:right="180" w:firstLine="652"/>
        <w:spacing w:after="0" w:line="282" w:lineRule="auto"/>
        <w:tabs>
          <w:tab w:leader="none" w:pos="22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corporation, such nominee is not, and will not become, a party to any Compensation Arrangement,</w:t>
      </w:r>
    </w:p>
    <w:p>
      <w:pPr>
        <w:spacing w:after="0" w:line="161" w:lineRule="exact"/>
        <w:rPr>
          <w:rFonts w:ascii="Times New Roman" w:cs="Times New Roman" w:eastAsia="Times New Roman" w:hAnsi="Times New Roman"/>
          <w:sz w:val="18"/>
          <w:szCs w:val="18"/>
          <w:color w:val="auto"/>
        </w:rPr>
      </w:pPr>
    </w:p>
    <w:p>
      <w:pPr>
        <w:ind w:left="1300" w:right="60" w:firstLine="652"/>
        <w:spacing w:after="0" w:line="256" w:lineRule="auto"/>
        <w:tabs>
          <w:tab w:leader="none" w:pos="22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if elected as a director, such nominee would be in compliance, and will continue to comply, with the corporation’s corporate governance, conflict of interest, confidentiality, stock ownership and trading guidelines, and other policies and guidelines applicable to directors and in effect during such person’s term in office as a director, including, without limitation, the corporation’s Code of Business Conduct and Ethics and the corporation’s Corporate Governance Guidelines (and, if requested by any candidate for nomination, the Secretary will provide to such proposed nominee all such policies and guidelines then in effect within 5 business days of receiving such request), and</w:t>
      </w:r>
    </w:p>
    <w:p>
      <w:pPr>
        <w:spacing w:after="0" w:line="18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as to whether such nominee, if elected, intends to serve a full term on the Board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(ii)            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6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(iii)           No person will be eligible to be nominated by a stockholder for election as a director of the corporation, or to be seated as a director of the corporation, unless nominated and elected in accordance with the procedures set forth in this Article II, Section 11. No business shall be conducted at any annual meeting or special meeting except in accordance with the procedures set forth in this Article II, Section 11, and</w:t>
      </w:r>
    </w:p>
    <w:p>
      <w:pPr>
        <w:spacing w:after="0" w:line="15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(iv)           Notwithstanding anything to the contrary in this Article II, Section 11, 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in person at the meeting to present the proposed business or nominations, such business or nominations shall not be considered, notwithstanding that proxies in respect of such business or nominations may have been received by the corporation and counted for purposes of determining a quorum. For purposes of this Article II, Section 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9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(v)            The Chair of the meeting shall, if the facts warrant, determine and declare at the meeting that any nomination or business, as the case may be, was not properly brought before the meeting and in accordance with the provisions of this Article II, Section 11, and, if the Chair should so determine, the Chair shall so declare at the meeting that any such nomination or business, as the case may be, not properly brought before the meeting shall be disregarded or not be transacted, as the case may be.</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(vi)           Without limiting this Article II, Section 11, a stockholder must also comply with all applicable requirements of the Exchange Act with respect to the matters set forth in this Article II, Section 11, it being understood that (1) any references in these Bylaws to the Exchange Act are not intended to, and will not, limit any requirements applicable to nominations or proposals as to any other business to be considered pursuant to this Article II, Section 11; and (2) compliance with clause (iii) of Article II, Section 11(a) and with Article II, Section 11(d) are the exclusive means for a stockholder to make nominations or submit other business (other than as provided in Article II, Section 11(e)(vii)).</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(vii)          Notwithstanding anything to the contrary in this Article II, Section 11, the notice requirements set forth in these Bylaws with respect to the proposal of any business pursuant to this Article II, Section 11 will be deemed to be satisfied by a stockholder if (1) such stockholder has submitted a proposal to the corporation in compliance with Rule 14a-8 under the Exchange Act; and (2) such stockholder’s proposal has been included in a proxy statement that has been prepared by the corporation to solicit proxies for the meeting of stockholders. Subject to Rule 14a-8 and other applicable rules and regulations under the Exchange Act, nothing in these Bylaws will be construed to permit any stockholder, or give any stockholder the right, to include or have disseminated or described in the corporation’s proxy statement any nomination of a director or any other business proposal.</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Section 12. Conduct of Meetings.</w:t>
      </w:r>
    </w:p>
    <w:p>
      <w:pPr>
        <w:spacing w:after="0" w:line="229" w:lineRule="exact"/>
        <w:rPr>
          <w:sz w:val="20"/>
          <w:szCs w:val="20"/>
          <w:color w:val="auto"/>
        </w:rPr>
      </w:pPr>
    </w:p>
    <w:p>
      <w:pPr>
        <w:ind w:right="80" w:firstLine="656"/>
        <w:spacing w:after="0" w:line="261" w:lineRule="auto"/>
        <w:tabs>
          <w:tab w:leader="none" w:pos="8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shall be presided over by the Chair of the Board of Directors, if any, or in his or her absence, the Chief Executive Officer, if any, or in his or her absence by the President, if any, or in the absence of the foregoing persons by a Chair designated by the Board of Directors, or in the absence of such designation by any other executive officer of the corporation. The Secretary shall act as secretary of the meeting, but in his or her absence the Chair of the meeting may appoint any person to act as secretary of the meeting.</w:t>
      </w:r>
    </w:p>
    <w:p>
      <w:pPr>
        <w:spacing w:after="0" w:line="179" w:lineRule="exact"/>
        <w:rPr>
          <w:rFonts w:ascii="Times New Roman" w:cs="Times New Roman" w:eastAsia="Times New Roman" w:hAnsi="Times New Roman"/>
          <w:sz w:val="18"/>
          <w:szCs w:val="18"/>
          <w:color w:val="auto"/>
        </w:rPr>
      </w:pPr>
    </w:p>
    <w:p>
      <w:pPr>
        <w:ind w:right="20" w:firstLine="656"/>
        <w:spacing w:after="0" w:line="25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another place, if any, date or time,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w:t>
      </w:r>
    </w:p>
    <w:p>
      <w:pPr>
        <w:spacing w:after="0" w:line="5" w:lineRule="exact"/>
        <w:rPr>
          <w:rFonts w:ascii="Times New Roman" w:cs="Times New Roman" w:eastAsia="Times New Roman" w:hAnsi="Times New Roman"/>
          <w:sz w:val="18"/>
          <w:szCs w:val="18"/>
          <w:color w:val="auto"/>
        </w:rPr>
      </w:pPr>
    </w:p>
    <w:p>
      <w:pPr>
        <w:ind w:firstLine="8"/>
        <w:spacing w:after="0" w:line="252"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Inspector of Elections.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Number of Directors.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This Article III, Section 1 may be amended only by a Bylaw duly adopted by the affirmative vote of a majority in voting power of the outstanding shares entitled to vote or by a resolution of the Board of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Election of Directors.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Each director shall hold office until the expiration of the term for which elected and qualified and until such director’s successor is elected and qualified or until such director’s earlier death, resignation, or removal. A director need not be a stockholder unless so required by the Certificate of Incorporation or these Bylaws. The Certificate of Incorporation or these Bylaws may prescribe other qualifications for directors.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Majority Voting.</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in Section 6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considered for purposes of establishing a quorum at the meeting but not counted as a vote cast either “for” or “against” that director’s election).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Resignation of Directors.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director may resign effective upon giving notice in writing or by electronic transmission to the Chair of the Board, the Chief Executive Officer, the President, the Secretary or the Board of Directors, unless the notice specifies a later time for the effectiveness of such resignation or an effective time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time, a majority of the directors then in office, including those who have so resigned, shall have the power to fill such vacancy or vacancies, the vote thereon to take effect when such resignation or resignations shall become effective.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Removal of Directors.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Section 6. Vacancies and Newly Created Directorships.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or permitted in the specific case by resolution of the Board of Directors, any newly created directorship resulting from any increase in the authorized number of directors elected by all the stockholders having the right to vote as a single class or any vacancy occurring in the Board of Directors for any reason shall be filled by a majority of the directors then in office, whether or not less than a quorum, or by a sole remaining director, and not by stockholders. Each director so elected shall hold office until the expiration of the term for which he or she was elected and qualified and until his or her successor is elected and qualified at an annual or a special meeting of the stockholders, or until his or her earlier death, resignation, or removal.</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qualified and until his or her successor is elected and qualified at an annual or a special meeting of the stockholders, or until his or her earlier death, resignation, or removal.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Powers.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 Place of Meetings.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of the corporation may hold meetings, both regular and special, either within or without the State of Delaware.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Regular Meetings; Notice.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 Special Meetings; Notice.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Special meetings of the Board of Directors for any purpose or purposes may be called at any time by the Chair of the Board of Directors or the Chief Executive Officer; special meetings shall be called by the Chief Executive Officer or Secretary in like manner and on like notice on the request of the Chair of the Board of Directors or two (2)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person(s) authorized to call a special meeting of the Board of Directors may authorize another person or persons to send notice of such meeting.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(e) otherwise given by electronic transmission (as defined in Section 232 of the DGCL),</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and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corporation’s principal executive office) nor the purpose of the meeting, unless required by statute.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Quorum.</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and the affirmative vote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 Written Consent.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Article III, Section 12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thereof, in the same paper or electronic form as the minutes are maintained in accordance with applicable law.</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Meeting by Remote Communication.</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 Board Committees.</w:t>
      </w:r>
    </w:p>
    <w:p>
      <w:pPr>
        <w:spacing w:after="0" w:line="227" w:lineRule="exact"/>
        <w:rPr>
          <w:sz w:val="20"/>
          <w:szCs w:val="20"/>
          <w:color w:val="auto"/>
        </w:rPr>
      </w:pPr>
    </w:p>
    <w:p>
      <w:pPr>
        <w:ind w:firstLine="656"/>
        <w:spacing w:after="0" w:line="254"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Committee. </w:t>
      </w:r>
      <w:r>
        <w:rPr>
          <w:rFonts w:ascii="Times New Roman" w:cs="Times New Roman" w:eastAsia="Times New Roman" w:hAnsi="Times New Roman"/>
          <w:sz w:val="18"/>
          <w:szCs w:val="18"/>
          <w:color w:val="auto"/>
        </w:rPr>
        <w:t>The Board of Directors may designate an executive committee consisting of one or more of the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The Board of Directors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the executive committee shall not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firstLine="656"/>
        <w:spacing w:after="0" w:line="253"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Committees. </w:t>
      </w:r>
      <w:r>
        <w:rPr>
          <w:rFonts w:ascii="Times New Roman" w:cs="Times New Roman" w:eastAsia="Times New Roman" w:hAnsi="Times New Roman"/>
          <w:sz w:val="18"/>
          <w:szCs w:val="18"/>
          <w:color w:val="auto"/>
        </w:rPr>
        <w:t>The Board of Directors may designate such other committees, each consisting of one or more directors, as it may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deem advisable to perform such general or special duties as may from time to time be delegated to any such committee by the Board of Directors, subject to the limitations imposed by law, the Certificate of Incorporation or by these Bylaws. The Board of Directors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or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91" w:lineRule="exact"/>
        <w:rPr>
          <w:rFonts w:ascii="Times New Roman" w:cs="Times New Roman" w:eastAsia="Times New Roman" w:hAnsi="Times New Roman"/>
          <w:sz w:val="18"/>
          <w:szCs w:val="18"/>
          <w:color w:val="auto"/>
        </w:rPr>
      </w:pPr>
    </w:p>
    <w:p>
      <w:pPr>
        <w:ind w:right="100" w:firstLine="656"/>
        <w:spacing w:after="0" w:line="258"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Conduct of Committee Meetings. </w:t>
      </w:r>
      <w:r>
        <w:rPr>
          <w:rFonts w:ascii="Times New Roman" w:cs="Times New Roman" w:eastAsia="Times New Roman" w:hAnsi="Times New Roman"/>
          <w:sz w:val="18"/>
          <w:szCs w:val="18"/>
          <w:color w:val="auto"/>
        </w:rPr>
        <w:t>Unless the Board of Directors otherwise provides, each committee and subcommittee may make, alter,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 with such changes in the context of the Bylaws as a necessary to substitute the committee or subcommittee and its members for the Board of Directors and its members.</w:t>
      </w:r>
    </w:p>
    <w:p>
      <w:pPr>
        <w:spacing w:after="0" w:line="183" w:lineRule="exact"/>
        <w:rPr>
          <w:rFonts w:ascii="Times New Roman" w:cs="Times New Roman" w:eastAsia="Times New Roman" w:hAnsi="Times New Roman"/>
          <w:sz w:val="18"/>
          <w:szCs w:val="18"/>
          <w:color w:val="auto"/>
        </w:rPr>
      </w:pPr>
    </w:p>
    <w:p>
      <w:pPr>
        <w:ind w:right="120" w:firstLine="656"/>
        <w:spacing w:after="0" w:line="267"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Subcommittees. </w:t>
      </w:r>
      <w:r>
        <w:rPr>
          <w:rFonts w:ascii="Times New Roman" w:cs="Times New Roman" w:eastAsia="Times New Roman" w:hAnsi="Times New Roman"/>
          <w:sz w:val="18"/>
          <w:szCs w:val="18"/>
          <w:color w:val="auto"/>
        </w:rPr>
        <w:t>Unless otherwise provided in the Certificate of Incorporation, these Bylaws or the resolutions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designating the committee, a committee may create one or more subcommittees, each subcommittee to consist of one or more members of the committee, and delegate to a subcommittee any or all of the powers and authority of the committee.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15. Compensation of Directors.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 - NOTICES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Notice of Stockholders’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any meeting of stockholders shall be given in the manner set forth in the DGCL.</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Waiver of Notice.</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Whenever any notice is required to be given under any provision of the DGCL, the Certificate of Incorporation or these Bylaws, a waiver thereof in writing, signed by the person entitled to notice, or a waiver thereof by electronic transmission by the person entitled to such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officers of the corporation shall be a Chief Executive Officer and a Secretary. The corporation may also have, at the discretion of the Board of Directors, a Chair of the Board of Directors, a Vice Chair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Appointment of Officers.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corporation, except such officers as may be appointed in accordance with the provisions of Article V, Section 3 of these Bylaws, subject to the rights, if any, of an officer under any contract of employment.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Subordinate Officers.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appoint, or empower any officer to appoint, such other officers as the business of the corporation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Removal and Resignation of Officers.</w:t>
      </w:r>
    </w:p>
    <w:p>
      <w:pPr>
        <w:spacing w:after="0" w:line="227" w:lineRule="exact"/>
        <w:rPr>
          <w:sz w:val="20"/>
          <w:szCs w:val="20"/>
          <w:color w:val="auto"/>
        </w:rPr>
      </w:pPr>
    </w:p>
    <w:p>
      <w:pPr>
        <w:ind w:right="40" w:firstLine="656"/>
        <w:spacing w:after="0" w:line="267" w:lineRule="auto"/>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Subject to the rights, if any, of an officer under any contract of employment, any officer may be removed, either with or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by the Board of Directors or, for the avoidance of doubt, any duly authorized committee or subcommittee thereof or by any officer upon whom such power of removal has be conferred by the Board of Directors.</w:t>
      </w:r>
    </w:p>
    <w:p>
      <w:pPr>
        <w:spacing w:after="0" w:line="173" w:lineRule="exact"/>
        <w:rPr>
          <w:rFonts w:ascii="Times New Roman" w:cs="Times New Roman" w:eastAsia="Times New Roman" w:hAnsi="Times New Roman"/>
          <w:sz w:val="18"/>
          <w:szCs w:val="18"/>
          <w:color w:val="auto"/>
        </w:rPr>
      </w:pPr>
    </w:p>
    <w:p>
      <w:pPr>
        <w:ind w:right="80" w:firstLine="656"/>
        <w:spacing w:after="0" w:line="261"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w:t>
      </w:r>
      <w:r>
        <w:rPr>
          <w:rFonts w:ascii="Times New Roman" w:cs="Times New Roman" w:eastAsia="Times New Roman" w:hAnsi="Times New Roman"/>
          <w:sz w:val="18"/>
          <w:szCs w:val="18"/>
          <w:color w:val="auto"/>
        </w:rPr>
        <w:t>Any officer may resign at any time by giving notice, in writing or by electronic transmission, to the corporation. Any resignation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Section 5. Vacancies in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 or as provided in Article V, Section 3.</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Representation of Securities of Other Entities.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Chair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Authority and Duties of 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offices, subject to the control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 CERTIFICATES OF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Certificates.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certifying the number of shares owned by such holder in the corporation.</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however,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Article VI, Section 1 or Sections 151, 156, 202(a), 218(a) or 364 of the DGCL or with respect to this Article VI, Section 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color w:val="auto"/>
        </w:rPr>
        <w:t>Section 2. Signatures on Certificates.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Lost Certificates.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Except as provided in this Article VI, Section 3, no new certificates for shares shall be issued to replace a previously issued certificate unless the latter is surrendered to the corporation and cancelled at the same time. The corporation may issue a new certificate or certificates of stock or uncertificated shares in place of any certificate or certificates theretofore issued by the corporation, alleged to have been lost, stolen, or destroyed, upon the making of an affidavit to that fact by the person claiming the certificate of stock to be lost, stolen, or destroyed. When issuing a new certificate or certificates of stock or uncertificated shares, the corporation may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 or the issuance of such new certificates of stock or uncertificated shares.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Transfer of Stock.</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on the transfer books of the corporation upon authorization by the registered holder thereof, in person or by such holder’s attorney duly authorized, and, subject to Article VI, Section 3, if such shares are represented by a certificate, upon surrender of the certificate or certificates for such shares, properly endorsed or accompanied by proper evidence of succession, assignation or authority to transfer and payment of applicable taxes, if any; provided however, that the corporation shall be entitled to recognize any lawful restriction on transfer.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Record Date.</w:t>
      </w:r>
    </w:p>
    <w:p>
      <w:pPr>
        <w:spacing w:after="0" w:line="229" w:lineRule="exact"/>
        <w:rPr>
          <w:sz w:val="20"/>
          <w:szCs w:val="20"/>
          <w:color w:val="auto"/>
        </w:rPr>
      </w:pPr>
    </w:p>
    <w:p>
      <w:pPr>
        <w:ind w:firstLine="656"/>
        <w:spacing w:after="0" w:line="253" w:lineRule="auto"/>
        <w:tabs>
          <w:tab w:leader="none" w:pos="8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with the provisions of Section 213 of the DGCL and this Article VI, Section 5 at the reconvened meeting.</w:t>
      </w:r>
    </w:p>
    <w:p>
      <w:pPr>
        <w:spacing w:after="0" w:line="189" w:lineRule="exact"/>
        <w:rPr>
          <w:rFonts w:ascii="Times New Roman" w:cs="Times New Roman" w:eastAsia="Times New Roman" w:hAnsi="Times New Roman"/>
          <w:sz w:val="18"/>
          <w:szCs w:val="18"/>
          <w:color w:val="auto"/>
        </w:rPr>
      </w:pPr>
    </w:p>
    <w:p>
      <w:pPr>
        <w:ind w:right="20" w:firstLine="656"/>
        <w:spacing w:after="0" w:line="256"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and which record date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color w:val="auto"/>
        </w:rPr>
        <w:t>Section 6. Registered Stockholders.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shall be entitled to recognize the exclusive right of a person registered on its books as the owner of shares to receive dividends and notices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Stock Transfer Agreements.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the corporation to restrict the transfer of shares of stock of the corporation owned by such stockholders in any manner not prohibited by the DGCL.</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 - FORUM FOR DISPUTES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Forum for Disputes.</w:t>
      </w:r>
    </w:p>
    <w:p>
      <w:pPr>
        <w:spacing w:after="0" w:line="229" w:lineRule="exact"/>
        <w:rPr>
          <w:sz w:val="20"/>
          <w:szCs w:val="20"/>
          <w:color w:val="auto"/>
        </w:rPr>
      </w:pPr>
    </w:p>
    <w:p>
      <w:pPr>
        <w:ind w:right="20" w:firstLine="656"/>
        <w:spacing w:after="0" w:line="269" w:lineRule="auto"/>
        <w:tabs>
          <w:tab w:leader="none" w:pos="893"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w:t>
      </w:r>
    </w:p>
    <w:p>
      <w:pPr>
        <w:spacing w:after="0" w:line="2" w:lineRule="exact"/>
        <w:rPr>
          <w:rFonts w:ascii="Times New Roman" w:cs="Times New Roman" w:eastAsia="Times New Roman" w:hAnsi="Times New Roman"/>
          <w:sz w:val="17"/>
          <w:szCs w:val="17"/>
          <w:color w:val="auto"/>
        </w:rPr>
      </w:pPr>
    </w:p>
    <w:p>
      <w:pPr>
        <w:ind w:right="520" w:firstLine="8"/>
        <w:spacing w:after="0" w:line="260" w:lineRule="auto"/>
        <w:tabs>
          <w:tab w:leader="none" w:pos="3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any complaint as to which such court determines that there is an indispensable party not subject to the jurisdiction of such court (and the indispensable party does not consent to the personal jurisdiction of such court within 10 days following such determination).</w:t>
      </w:r>
    </w:p>
    <w:p>
      <w:pPr>
        <w:spacing w:after="0" w:line="181"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holding, or otherwise acquiring any interest in security of the corporation shall be deemed to have notice of and consented to the provisions of this Article VII Section 1. This provision shall be enforceable by any party to a complaint covered by the provisions of this Article VII, Section 1.</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VIII - GENERAL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Dividends.</w:t>
      </w:r>
    </w:p>
    <w:p>
      <w:pPr>
        <w:spacing w:after="0" w:line="227" w:lineRule="exact"/>
        <w:rPr>
          <w:sz w:val="20"/>
          <w:szCs w:val="20"/>
          <w:color w:val="auto"/>
        </w:rPr>
      </w:pPr>
    </w:p>
    <w:p>
      <w:pPr>
        <w:ind w:right="60" w:firstLine="656"/>
        <w:spacing w:after="0" w:line="267" w:lineRule="auto"/>
        <w:tabs>
          <w:tab w:leader="none" w:pos="8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Declaration of Dividends</w:t>
      </w:r>
      <w:r>
        <w:rPr>
          <w:rFonts w:ascii="Times New Roman" w:cs="Times New Roman" w:eastAsia="Times New Roman" w:hAnsi="Times New Roman"/>
          <w:sz w:val="18"/>
          <w:szCs w:val="18"/>
          <w:color w:val="auto"/>
        </w:rPr>
        <w:t>. Dividends upon the capital stock of the corporation, subject to the provision of the Certificate of Incorporation,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73"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Dividends. </w:t>
      </w:r>
      <w:r>
        <w:rPr>
          <w:rFonts w:ascii="Times New Roman" w:cs="Times New Roman" w:eastAsia="Times New Roman" w:hAnsi="Times New Roman"/>
          <w:sz w:val="18"/>
          <w:szCs w:val="18"/>
          <w:color w:val="auto"/>
        </w:rPr>
        <w:t>Before payment of any dividend, there may be set aside out of funds of the corporation available for dividends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 or sums as the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color w:val="auto"/>
        </w:rPr>
        <w:t>Section 2. Checks.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Corporate Seal.</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Advancement of Expenses.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to the fullest extent not prohibited by applicable law, pay the expenses (including attorneys’ fees) actually and reasonably incurred by a director or officer in defending any action, suit or proceeding, whether civil, criminal, administrative or investigative (a “proceeding”) in advance of its final disposition upon receipt of a written request therefor (together with documentation reasonably evidencing such expenses),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 Certificate of Incorporation or the DGCL.</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Execution of Corporate Contracts and Instruments.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color w:val="auto"/>
        </w:rPr>
        <w:t>Section 8. Construction; Definitions.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Severability.</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these Bylaws becomes or is declared on any ground by a court of competent jurisdiction to be illegal, unenforceable or void, portions of such provision, or such provision in its entirety, to the extent necessary, shall be severed from these Bylaws, and the court will replace such illegal, void or unenforceable provision of these Bylaws with a valid and enforceable provision that most accurately reflects the corporation’s intent, in order to achieve, to the maximum extent possible, the same economic, business and other purposes of the illegal, void or unenforceable provision. In the event the court declines to replace such illegal, void, or unenforceable provision of these Bylaws, these Bylaws should be construed to give effect to all remaining terms. The balance of these Bylaws shall be enforceable in accordance with its terms.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 Amendment.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The Board of Directors shall also have the power to adopt, amend or repeal these Bylaws; provided, however, that a bylaw amendment adopted by stockholders which specifies the votes that shall be necessary for the election of directors shall not be further amended or repealed by the Board of Directors.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8480" cy="462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84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Announces Changes to its Board of Directors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BOISE, Idaho, Oct. 30, 2024</w:t>
      </w:r>
      <w:r>
        <w:rPr>
          <w:rFonts w:ascii="Times New Roman" w:cs="Times New Roman" w:eastAsia="Times New Roman" w:hAnsi="Times New Roman"/>
          <w:sz w:val="18"/>
          <w:szCs w:val="18"/>
          <w:color w:val="auto"/>
        </w:rPr>
        <w:t>—Micron Technology, Inc. (Nasdaq: MU) today announced that Robert (Bob) Switz, its current Board Chair, will retire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shareholders meeting on Jan. 16, 2025. The Board has unanimously approved the appointment of Micron’s President and CEO, Sanjay Mehrotra, to serve as Board Chair and Lynn Dugle as Lead Independent Director following the annual shareholders meeting.</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Switz joined Micron’s Board of Directors in 2006 and was named Chair in 2012. With broad experience, a clear-headed approach and exceptional business acumen, Switz has been a leading voice in driving strong governance and the company’s successful strategy. Throughout his tenure, Micron introduced many industry-first products and increased revenues over five times. Also, Switz was instrumental in recruiting Mehrotra as the company’s CEO in 2017.</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“Bob has been an invaluable partner and advisor to Micron for nearly 20 years, and I am deeply grateful to him for his leadership and counsel,” said Mehrotra. “On behalf of my fellow board members and the over 48,000 team members at Micron, I want to thank him for all his contributions. During his tenure, Micron has gained tremendous momentum and is now a recognized leader in the memory and storage industry. I am honored to succeed Bob as the Board Chair, and I look forward to working with Lynn Dugle and the rest of the Micron Board to continue to advance Micron’s market leadership position and financial strength.”</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have thoroughly enjoyed my time serving on the Micron Board, and I’m grateful for the opportunity to have worked alongside many talented executives as we expanded the company’s global footprint and product portfolio,” said Switz. “Memory and storage are essential to the growth of AI in the digital economy, and Micron holds the strongest competitive position in its history. Working with Sanjay to take Micron, an iconic American company, to industry leadership has been very rewarding.”</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Since joining Micron in 2017 as President and CEO, Mehrotra has transformed the company into a technology, product, and manufacturing leader. During his time as CEO, the company has introduced multiple generations of both DRAM and NAND ahead of its competitors and delivered the best products in the industry acknowledged for their world-class quality. Mehrotra has been widely recognized for his leadership and contributions to the memory and storage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ind w:right="80"/>
        <w:spacing w:after="0" w:line="282" w:lineRule="auto"/>
        <w:rPr>
          <w:sz w:val="20"/>
          <w:szCs w:val="20"/>
          <w:color w:val="auto"/>
        </w:rPr>
      </w:pPr>
      <w:r>
        <w:rPr>
          <w:rFonts w:ascii="Times New Roman" w:cs="Times New Roman" w:eastAsia="Times New Roman" w:hAnsi="Times New Roman"/>
          <w:sz w:val="18"/>
          <w:szCs w:val="18"/>
          <w:color w:val="auto"/>
        </w:rPr>
        <w:t>“Sanjay has done an outstanding job of transforming Micron and creating value for all stakeholders. I am confident that in this expanded role, Sanjay will lead the company to new heights,” said Switz.</w:t>
      </w:r>
    </w:p>
    <w:p>
      <w:pPr>
        <w:spacing w:after="0" w:line="16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Dugle joined the Board in 2020 and has over 30 years of experience in the defense, intelligence, and technology industries. She currently serves on Micron’s Governance and Sustainability and Security Committees and previously served on the Audit Committee and as Chair of the Security Committee.</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congratulate Bob on his retirement, and I’m grateful to him for his consensus-minded leadership,” said Dugle. “Being selected as lead independent director is an honor and a great responsibility, and I am excited to step into this role and partner with Sanjay, my fellow board members and the company’s management team to help realize the company's potential.”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Micron Technology, Inc.</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micron.com.</w:t>
      </w:r>
    </w:p>
    <w:p>
      <w:pPr>
        <w:spacing w:after="0" w:line="181" w:lineRule="exact"/>
        <w:rPr>
          <w:sz w:val="20"/>
          <w:szCs w:val="20"/>
          <w:color w:val="auto"/>
        </w:rPr>
      </w:pPr>
    </w:p>
    <w:p>
      <w:pPr>
        <w:ind w:right="40" w:firstLine="8"/>
        <w:spacing w:after="0" w:line="315" w:lineRule="auto"/>
        <w:tabs>
          <w:tab w:leader="none" w:pos="182"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2024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Rodriguez Pompen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(408) 834-1873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epompen@micron.com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 Kumar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(408) 450-6199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satyakumar@micron.com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1"/>
    </w:lvl>
    <w:lvl w:ilvl="1">
      <w:lvlJc w:val="left"/>
      <w:lvlText w:val="(%2)"/>
      <w:numFmt w:val="lowerLetter"/>
      <w:start w:val="1"/>
    </w:lvl>
  </w:abstractNum>
  <w:abstractNum w:abstractNumId="2">
    <w:nsid w:val="7C83E458"/>
    <w:multiLevelType w:val="hybridMultilevel"/>
    <w:lvl w:ilvl="0">
      <w:lvlJc w:val="left"/>
      <w:lvlText w:val="(%1)"/>
      <w:numFmt w:val="lowerLetter"/>
      <w:start w:val="1"/>
    </w:lvl>
    <w:lvl w:ilvl="1">
      <w:lvlJc w:val="left"/>
      <w:lvlText w:val="(%2)"/>
      <w:numFmt w:val="lowerLetter"/>
      <w:start w:val="2"/>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4"/>
    </w:lvl>
  </w:abstractNum>
  <w:abstractNum w:abstractNumId="5">
    <w:nsid w:val="436C6125"/>
    <w:multiLevelType w:val="hybridMultilevel"/>
    <w:lvl w:ilvl="0">
      <w:lvlJc w:val="left"/>
      <w:lvlText w:val="(%1)"/>
      <w:numFmt w:val="lowerLetter"/>
      <w:start w:val="1"/>
    </w:lvl>
    <w:lvl w:ilvl="1">
      <w:lvlJc w:val="left"/>
      <w:lvlText w:val="(%2)"/>
      <w:numFmt w:val="lowerRoman"/>
      <w:start w:val="1"/>
    </w:lvl>
  </w:abstractNum>
  <w:abstractNum w:abstractNumId="6">
    <w:nsid w:val="628C895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
    <w:nsid w:val="333AB105"/>
    <w:multiLevelType w:val="hybridMultilevel"/>
    <w:lvl w:ilvl="0">
      <w:lvlJc w:val="left"/>
      <w:lvlText w:val="%1"/>
      <w:numFmt w:val="lowerRoman"/>
      <w:start w:val="1"/>
    </w:lvl>
    <w:lvl w:ilvl="1">
      <w:lvlJc w:val="left"/>
      <w:lvlText w:val="(%2)"/>
      <w:numFmt w:val="upperLetter"/>
      <w:start w:val="5"/>
    </w:lvl>
  </w:abstractNum>
  <w:abstractNum w:abstractNumId="8">
    <w:nsid w:val="721DA317"/>
    <w:multiLevelType w:val="hybridMultilevel"/>
    <w:lvl w:ilvl="0">
      <w:lvlJc w:val="left"/>
      <w:lvlText w:val="(%1)"/>
      <w:numFmt w:val="lowerRoman"/>
      <w:start w:val="2"/>
    </w:lvl>
    <w:lvl w:ilvl="1">
      <w:lvlJc w:val="left"/>
      <w:lvlText w:val="(%2)"/>
      <w:numFmt w:val="upperLetter"/>
      <w:start w:val="1"/>
    </w:lvl>
  </w:abstractNum>
  <w:abstractNum w:abstractNumId="9">
    <w:nsid w:val="2443A858"/>
    <w:multiLevelType w:val="hybridMultilevel"/>
    <w:lvl w:ilvl="0">
      <w:lvlJc w:val="left"/>
      <w:lvlText w:val="(%1)"/>
      <w:numFmt w:val="upperLetter"/>
      <w:start w:val="1"/>
    </w:lvl>
  </w:abstractNum>
  <w:abstractNum w:abstractNumId="10">
    <w:nsid w:val="2D1D5AE9"/>
    <w:multiLevelType w:val="hybridMultilevel"/>
    <w:lvl w:ilvl="0">
      <w:lvlJc w:val="left"/>
      <w:lvlText w:val="(%1)"/>
      <w:numFmt w:val="upperLetter"/>
      <w:start w:val="2"/>
    </w:lvl>
  </w:abstractNum>
  <w:abstractNum w:abstractNumId="11">
    <w:nsid w:val="6763845E"/>
    <w:multiLevelType w:val="hybridMultilevel"/>
    <w:lvl w:ilvl="0">
      <w:lvlJc w:val="left"/>
      <w:lvlText w:val="(%1)"/>
      <w:numFmt w:val="upperLetter"/>
      <w:start w:val="11"/>
    </w:lvl>
  </w:abstractNum>
  <w:abstractNum w:abstractNumId="12">
    <w:nsid w:val="75A2A8D4"/>
    <w:multiLevelType w:val="hybridMultilevel"/>
    <w:lvl w:ilvl="0">
      <w:lvlJc w:val="left"/>
      <w:lvlText w:val="(%1)"/>
      <w:numFmt w:val="decimal"/>
      <w:start w:val="10"/>
    </w:lvl>
    <w:lvl w:ilvl="1">
      <w:lvlJc w:val="left"/>
      <w:lvlText w:val="(%2)"/>
      <w:numFmt w:val="lowerLetter"/>
      <w:start w:val="3"/>
    </w:lvl>
    <w:lvl w:ilvl="2">
      <w:lvlJc w:val="left"/>
      <w:lvlText w:val="(%3)"/>
      <w:numFmt w:val="lowerRoman"/>
      <w:start w:val="1"/>
    </w:lvl>
  </w:abstractNum>
  <w:abstractNum w:abstractNumId="13">
    <w:nsid w:val="8EDBDAB"/>
    <w:multiLevelType w:val="hybridMultilevel"/>
    <w:lvl w:ilvl="0">
      <w:lvlJc w:val="left"/>
      <w:lvlText w:val="(%1)"/>
      <w:numFmt w:val="lowerRoman"/>
      <w:start w:val="3"/>
    </w:lvl>
    <w:lvl w:ilvl="1">
      <w:lvlJc w:val="left"/>
      <w:lvlText w:val="(%2)"/>
      <w:numFmt w:val="upperLetter"/>
      <w:start w:val="1"/>
    </w:lvl>
  </w:abstractNum>
  <w:abstractNum w:abstractNumId="14">
    <w:nsid w:val="79838CB2"/>
    <w:multiLevelType w:val="hybridMultilevel"/>
    <w:lvl w:ilvl="0">
      <w:lvlJc w:val="left"/>
      <w:lvlText w:val="(%1)"/>
      <w:numFmt w:val="lowerRoman"/>
      <w:start w:val="5"/>
    </w:lvl>
  </w:abstractNum>
  <w:abstractNum w:abstractNumId="15">
    <w:nsid w:val="4353D0CD"/>
    <w:multiLevelType w:val="hybridMultilevel"/>
    <w:lvl w:ilvl="0">
      <w:lvlJc w:val="left"/>
      <w:lvlText w:val="%1"/>
      <w:numFmt w:val="upperLetter"/>
      <w:start w:val="1"/>
    </w:lvl>
    <w:lvl w:ilvl="1">
      <w:lvlJc w:val="left"/>
      <w:lvlText w:val="(%2)"/>
      <w:numFmt w:val="lowerRoman"/>
      <w:start w:val="6"/>
    </w:lvl>
  </w:abstractNum>
  <w:abstractNum w:abstractNumId="16">
    <w:nsid w:val="B03E0C6"/>
    <w:multiLevelType w:val="hybridMultilevel"/>
    <w:lvl w:ilvl="0">
      <w:lvlJc w:val="left"/>
      <w:lvlText w:val="(%1)"/>
      <w:numFmt w:val="upperLetter"/>
      <w:start w:val="2"/>
    </w:lvl>
    <w:lvl w:ilvl="1">
      <w:lvlJc w:val="left"/>
      <w:lvlText w:val="%2"/>
      <w:numFmt w:val="lowerRoman"/>
      <w:start w:val="1"/>
    </w:lvl>
  </w:abstractNum>
  <w:abstractNum w:abstractNumId="17">
    <w:nsid w:val="189A769B"/>
    <w:multiLevelType w:val="hybridMultilevel"/>
    <w:lvl w:ilvl="0">
      <w:lvlJc w:val="left"/>
      <w:lvlText w:val="%1"/>
      <w:numFmt w:val="lowerLetter"/>
      <w:start w:val="1"/>
    </w:lvl>
    <w:lvl w:ilvl="1">
      <w:lvlJc w:val="left"/>
      <w:lvlText w:val="(%2)"/>
      <w:numFmt w:val="lowerRoman"/>
      <w:start w:val="7"/>
    </w:lvl>
  </w:abstractNum>
  <w:abstractNum w:abstractNumId="18">
    <w:nsid w:val="54E49EB4"/>
    <w:multiLevelType w:val="hybridMultilevel"/>
    <w:lvl w:ilvl="0">
      <w:lvlJc w:val="left"/>
      <w:lvlText w:val="(%1)"/>
      <w:numFmt w:val="lowerLetter"/>
      <w:start w:val="1"/>
    </w:lvl>
    <w:lvl w:ilvl="1">
      <w:lvlJc w:val="left"/>
      <w:lvlText w:val="%2"/>
      <w:numFmt w:val="lowerRoman"/>
      <w:start w:val="1"/>
    </w:lvl>
  </w:abstractNum>
  <w:abstractNum w:abstractNumId="19">
    <w:nsid w:val="71F32454"/>
    <w:multiLevelType w:val="hybridMultilevel"/>
    <w:lvl w:ilvl="0">
      <w:lvlJc w:val="left"/>
      <w:lvlText w:val="(%1)"/>
      <w:numFmt w:val="lowerRoman"/>
      <w:start w:val="8"/>
    </w:lvl>
  </w:abstractNum>
  <w:abstractNum w:abstractNumId="20">
    <w:nsid w:val="2CA88611"/>
    <w:multiLevelType w:val="hybridMultilevel"/>
    <w:lvl w:ilvl="0">
      <w:lvlJc w:val="left"/>
      <w:lvlText w:val="%1"/>
      <w:numFmt w:val="lowerLetter"/>
      <w:start w:val="1"/>
    </w:lvl>
    <w:lvl w:ilvl="1">
      <w:lvlJc w:val="left"/>
      <w:lvlText w:val="(%2)"/>
      <w:numFmt w:val="lowerRoman"/>
      <w:start w:val="11"/>
    </w:lvl>
  </w:abstractNum>
  <w:abstractNum w:abstractNumId="21">
    <w:nsid w:val="836C40E"/>
    <w:multiLevelType w:val="hybridMultilevel"/>
    <w:lvl w:ilvl="0">
      <w:lvlJc w:val="left"/>
      <w:lvlText w:val="(%1)"/>
      <w:numFmt w:val="lowerLetter"/>
      <w:start w:val="4"/>
    </w:lvl>
    <w:lvl w:ilvl="1">
      <w:lvlJc w:val="left"/>
      <w:lvlText w:val="%2"/>
      <w:numFmt w:val="lowerRoman"/>
      <w:start w:val="1"/>
    </w:lvl>
  </w:abstractNum>
  <w:abstractNum w:abstractNumId="22">
    <w:nsid w:val="2901D82"/>
    <w:multiLevelType w:val="hybridMultilevel"/>
    <w:lvl w:ilvl="0">
      <w:lvlJc w:val="left"/>
      <w:lvlText w:val="(%1)"/>
      <w:numFmt w:val="lowerLetter"/>
      <w:start w:val="5"/>
    </w:lvl>
  </w:abstractNum>
  <w:abstractNum w:abstractNumId="23">
    <w:nsid w:val="3A95F874"/>
    <w:multiLevelType w:val="hybridMultilevel"/>
    <w:lvl w:ilvl="0">
      <w:lvlJc w:val="left"/>
      <w:lvlText w:val="(%1)"/>
      <w:numFmt w:val="upperLetter"/>
      <w:start w:val="1"/>
    </w:lvl>
  </w:abstractNum>
  <w:abstractNum w:abstractNumId="24">
    <w:nsid w:val="8138641"/>
    <w:multiLevelType w:val="hybridMultilevel"/>
    <w:lvl w:ilvl="0">
      <w:lvlJc w:val="left"/>
      <w:lvlText w:val="%1"/>
      <w:numFmt w:val="lowerLetter"/>
      <w:start w:val="1"/>
    </w:lvl>
    <w:lvl w:ilvl="1">
      <w:lvlJc w:val="left"/>
      <w:lvlText w:val="(%2)"/>
      <w:numFmt w:val="lowerLetter"/>
      <w:start w:val="1"/>
    </w:lvl>
  </w:abstractNum>
  <w:abstractNum w:abstractNumId="25">
    <w:nsid w:val="1E7FF521"/>
    <w:multiLevelType w:val="hybridMultilevel"/>
    <w:lvl w:ilvl="0">
      <w:lvlJc w:val="left"/>
      <w:lvlText w:val="(%1)"/>
      <w:numFmt w:val="lowerLetter"/>
      <w:start w:val="5"/>
    </w:lvl>
    <w:lvl w:ilvl="1">
      <w:lvlJc w:val="left"/>
      <w:lvlText w:val="%2"/>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Roman"/>
      <w:start w:val="1"/>
    </w:lvl>
    <w:lvl w:ilvl="1">
      <w:lvlJc w:val="left"/>
      <w:lvlText w:val="(%2)"/>
      <w:numFmt w:val="lowerLetter"/>
      <w:start w:val="1"/>
    </w:lvl>
  </w:abstractNum>
  <w:abstractNum w:abstractNumId="32">
    <w:nsid w:val="614FD4A1"/>
    <w:multiLevelType w:val="hybridMultilevel"/>
    <w:lvl w:ilvl="0">
      <w:lvlJc w:val="left"/>
      <w:lvlText w:val="(%1)"/>
      <w:numFmt w:val="lowerRoman"/>
      <w:start w:val="4"/>
    </w:lvl>
    <w:lvl w:ilvl="1">
      <w:lvlJc w:val="left"/>
      <w:lvlText w:val="(%2)"/>
      <w:numFmt w:val="lowerLetter"/>
      <w:start w:val="2"/>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2024-10-30T15:57:21Z</dcterms:created>
  <dcterms:modified xsi:type="dcterms:W3CDTF">2024-10-30T15:57:21Z</dcterms:modified>
</cp:coreProperties>
</file>