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April 13, 2011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820" w:type="dxa"/>
            <w:vAlign w:val="bottom"/>
            <w:tcBorders>
              <w:bottom w:val="single" w:sz="8" w:color="auto"/>
            </w:tcBorders>
          </w:tcPr>
          <w:p>
            <w:pPr>
              <w:jc w:val="center"/>
              <w:ind w:left="335"/>
              <w:spacing w:after="0"/>
              <w:rPr>
                <w:sz w:val="20"/>
                <w:szCs w:val="20"/>
                <w:color w:val="auto"/>
              </w:rPr>
            </w:pPr>
            <w:r>
              <w:rPr>
                <w:rFonts w:ascii="Arial" w:cs="Arial" w:eastAsia="Arial" w:hAnsi="Arial"/>
                <w:sz w:val="17"/>
                <w:szCs w:val="17"/>
                <w:b w:val="1"/>
                <w:bCs w:val="1"/>
                <w:color w:val="auto"/>
                <w:w w:val="91"/>
              </w:rPr>
              <w:t>Delaware</w:t>
            </w:r>
          </w:p>
        </w:tc>
        <w:tc>
          <w:tcPr>
            <w:tcW w:w="4060" w:type="dxa"/>
            <w:vAlign w:val="bottom"/>
            <w:tcBorders>
              <w:bottom w:val="single" w:sz="8" w:color="auto"/>
            </w:tcBorders>
          </w:tcPr>
          <w:p>
            <w:pPr>
              <w:jc w:val="right"/>
              <w:ind w:right="1535"/>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5"/>
              <w:spacing w:after="0"/>
              <w:rPr>
                <w:sz w:val="20"/>
                <w:szCs w:val="20"/>
                <w:color w:val="auto"/>
              </w:rPr>
            </w:pPr>
            <w:r>
              <w:rPr>
                <w:rFonts w:ascii="Arial" w:cs="Arial" w:eastAsia="Arial" w:hAnsi="Arial"/>
                <w:sz w:val="17"/>
                <w:szCs w:val="17"/>
                <w:b w:val="1"/>
                <w:bCs w:val="1"/>
                <w:color w:val="auto"/>
              </w:rPr>
              <w:t>75-1618004</w:t>
            </w:r>
          </w:p>
        </w:tc>
      </w:tr>
      <w:tr>
        <w:trPr>
          <w:trHeight w:val="216"/>
        </w:trPr>
        <w:tc>
          <w:tcPr>
            <w:tcW w:w="3820" w:type="dxa"/>
            <w:vAlign w:val="bottom"/>
          </w:tcPr>
          <w:p>
            <w:pPr>
              <w:jc w:val="center"/>
              <w:ind w:left="335"/>
              <w:spacing w:after="0"/>
              <w:rPr>
                <w:sz w:val="20"/>
                <w:szCs w:val="20"/>
                <w:color w:val="auto"/>
              </w:rPr>
            </w:pPr>
            <w:r>
              <w:rPr>
                <w:rFonts w:ascii="Arial" w:cs="Arial" w:eastAsia="Arial" w:hAnsi="Arial"/>
                <w:sz w:val="17"/>
                <w:szCs w:val="17"/>
                <w:color w:val="auto"/>
                <w:w w:val="93"/>
              </w:rPr>
              <w:t>(State or other jurisdiction of incorporation)</w:t>
            </w:r>
          </w:p>
        </w:tc>
        <w:tc>
          <w:tcPr>
            <w:tcW w:w="4060" w:type="dxa"/>
            <w:vAlign w:val="bottom"/>
          </w:tcPr>
          <w:p>
            <w:pPr>
              <w:jc w:val="center"/>
              <w:ind w:left="175"/>
              <w:spacing w:after="0"/>
              <w:rPr>
                <w:sz w:val="20"/>
                <w:szCs w:val="20"/>
                <w:color w:val="auto"/>
              </w:rPr>
            </w:pPr>
            <w:r>
              <w:rPr>
                <w:rFonts w:ascii="Arial" w:cs="Arial" w:eastAsia="Arial" w:hAnsi="Arial"/>
                <w:sz w:val="17"/>
                <w:szCs w:val="17"/>
                <w:color w:val="auto"/>
                <w:w w:val="92"/>
              </w:rPr>
              <w:t>(Commission File Number)</w:t>
            </w:r>
          </w:p>
        </w:tc>
        <w:tc>
          <w:tcPr>
            <w:tcW w:w="3540" w:type="dxa"/>
            <w:vAlign w:val="bottom"/>
          </w:tcPr>
          <w:p>
            <w:pPr>
              <w:jc w:val="right"/>
              <w:ind w:right="455"/>
              <w:spacing w:after="0"/>
              <w:rPr>
                <w:sz w:val="20"/>
                <w:szCs w:val="20"/>
                <w:color w:val="auto"/>
              </w:rPr>
            </w:pPr>
            <w:r>
              <w:rPr>
                <w:rFonts w:ascii="Arial" w:cs="Arial" w:eastAsia="Arial" w:hAnsi="Arial"/>
                <w:sz w:val="17"/>
                <w:szCs w:val="17"/>
                <w:color w:val="auto"/>
              </w:rPr>
              <w:t>(I.R.S. Employer Identification No.)</w:t>
            </w:r>
          </w:p>
        </w:tc>
      </w:tr>
      <w:tr>
        <w:trPr>
          <w:trHeight w:val="408"/>
        </w:trPr>
        <w:tc>
          <w:tcPr>
            <w:tcW w:w="382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90"/>
              </w:rPr>
              <w:t>8000 South Federal Way</w:t>
            </w:r>
          </w:p>
        </w:tc>
        <w:tc>
          <w:tcPr>
            <w:tcW w:w="3540" w:type="dxa"/>
            <w:vAlign w:val="bottom"/>
          </w:tcPr>
          <w:p>
            <w:pPr>
              <w:spacing w:after="0"/>
              <w:rPr>
                <w:sz w:val="24"/>
                <w:szCs w:val="24"/>
                <w:color w:val="auto"/>
              </w:rPr>
            </w:pPr>
          </w:p>
        </w:tc>
      </w:tr>
      <w:tr>
        <w:trPr>
          <w:trHeight w:val="227"/>
        </w:trPr>
        <w:tc>
          <w:tcPr>
            <w:tcW w:w="3820" w:type="dxa"/>
            <w:vAlign w:val="bottom"/>
          </w:tcPr>
          <w:p>
            <w:pPr>
              <w:spacing w:after="0"/>
              <w:rPr>
                <w:sz w:val="19"/>
                <w:szCs w:val="19"/>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19"/>
                <w:szCs w:val="19"/>
                <w:color w:val="auto"/>
              </w:rPr>
            </w:pPr>
          </w:p>
        </w:tc>
      </w:tr>
      <w:tr>
        <w:trPr>
          <w:trHeight w:val="216"/>
        </w:trPr>
        <w:tc>
          <w:tcPr>
            <w:tcW w:w="3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7"/>
                <w:szCs w:val="17"/>
                <w:color w:val="auto"/>
                <w:w w:val="92"/>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2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16510</wp:posOffset>
            </wp:positionV>
            <wp:extent cx="328104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1045" cy="16510"/>
                    </a:xfrm>
                    <a:prstGeom prst="rect">
                      <a:avLst/>
                    </a:prstGeom>
                    <a:noFill/>
                  </pic:spPr>
                </pic:pic>
              </a:graphicData>
            </a:graphic>
          </wp:anchor>
        </w:drawing>
      </w:r>
    </w:p>
    <w:p>
      <w:pPr>
        <w:spacing w:after="0" w:line="19" w:lineRule="exact"/>
        <w:rPr>
          <w:sz w:val="24"/>
          <w:szCs w:val="24"/>
          <w:color w:val="auto"/>
        </w:rPr>
      </w:pPr>
    </w:p>
    <w:p>
      <w:pPr>
        <w:jc w:val="center"/>
        <w:ind w:left="520"/>
        <w:spacing w:after="0"/>
        <w:rPr>
          <w:sz w:val="20"/>
          <w:szCs w:val="20"/>
          <w:color w:val="auto"/>
        </w:rPr>
      </w:pPr>
      <w:r>
        <w:rPr>
          <w:rFonts w:ascii="Arial" w:cs="Arial" w:eastAsia="Arial" w:hAnsi="Arial"/>
          <w:sz w:val="17"/>
          <w:szCs w:val="17"/>
          <w:color w:val="auto"/>
        </w:rPr>
        <w:t>(Registrant’s telephone number, including area code)</w:t>
      </w:r>
    </w:p>
    <w:p>
      <w:pPr>
        <w:spacing w:after="0" w:line="240" w:lineRule="exact"/>
        <w:rPr>
          <w:sz w:val="24"/>
          <w:szCs w:val="24"/>
          <w:color w:val="auto"/>
        </w:rPr>
      </w:pPr>
    </w:p>
    <w:p>
      <w:pPr>
        <w:ind w:right="700"/>
        <w:spacing w:after="0" w:line="27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1"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25805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712470</wp:posOffset>
            </wp:positionV>
            <wp:extent cx="72580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4" w:lineRule="exact"/>
        <w:rPr>
          <w:sz w:val="20"/>
          <w:szCs w:val="20"/>
          <w:color w:val="auto"/>
        </w:rPr>
      </w:pPr>
    </w:p>
    <w:p>
      <w:pPr>
        <w:ind w:right="480"/>
        <w:spacing w:after="0" w:line="309" w:lineRule="auto"/>
        <w:rPr>
          <w:sz w:val="20"/>
          <w:szCs w:val="20"/>
          <w:color w:val="auto"/>
        </w:rPr>
      </w:pPr>
      <w:r>
        <w:rPr>
          <w:rFonts w:ascii="Arial" w:cs="Arial" w:eastAsia="Arial" w:hAnsi="Arial"/>
          <w:sz w:val="16"/>
          <w:szCs w:val="16"/>
          <w:color w:val="auto"/>
        </w:rPr>
        <w:t>In its Quarterly Report on Form 10-Q for the second quarter of fiscal 2011 (“Recent Quarterly Report”), Micron Technology, Inc. (the “Company”) changed the presentation of its financial information to reflect its new organization structure that includes the following four reportable business segments:</w:t>
      </w:r>
    </w:p>
    <w:p>
      <w:pPr>
        <w:spacing w:after="0" w:line="167" w:lineRule="exact"/>
        <w:rPr>
          <w:sz w:val="20"/>
          <w:szCs w:val="20"/>
          <w:color w:val="auto"/>
        </w:rPr>
      </w:pPr>
    </w:p>
    <w:p>
      <w:pPr>
        <w:ind w:left="1240" w:hanging="135"/>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DRAM Solutions Group (“DSG”)</w:t>
      </w:r>
    </w:p>
    <w:p>
      <w:pPr>
        <w:spacing w:after="0" w:line="20" w:lineRule="exact"/>
        <w:rPr>
          <w:rFonts w:ascii="Arial" w:cs="Arial" w:eastAsia="Arial" w:hAnsi="Arial"/>
          <w:sz w:val="17"/>
          <w:szCs w:val="17"/>
          <w:color w:val="auto"/>
        </w:rPr>
      </w:pPr>
    </w:p>
    <w:p>
      <w:pPr>
        <w:ind w:left="1240" w:hanging="135"/>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NAND Solutions Group (“NSG”)</w:t>
      </w:r>
    </w:p>
    <w:p>
      <w:pPr>
        <w:spacing w:after="0" w:line="9" w:lineRule="exact"/>
        <w:rPr>
          <w:rFonts w:ascii="Arial" w:cs="Arial" w:eastAsia="Arial" w:hAnsi="Arial"/>
          <w:sz w:val="17"/>
          <w:szCs w:val="17"/>
          <w:color w:val="auto"/>
        </w:rPr>
      </w:pPr>
    </w:p>
    <w:p>
      <w:pPr>
        <w:ind w:left="1240" w:hanging="135"/>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Wireless Solutions Group (“WSG”)</w:t>
      </w:r>
    </w:p>
    <w:p>
      <w:pPr>
        <w:spacing w:after="0" w:line="9" w:lineRule="exact"/>
        <w:rPr>
          <w:rFonts w:ascii="Arial" w:cs="Arial" w:eastAsia="Arial" w:hAnsi="Arial"/>
          <w:sz w:val="17"/>
          <w:szCs w:val="17"/>
          <w:color w:val="auto"/>
        </w:rPr>
      </w:pPr>
    </w:p>
    <w:p>
      <w:pPr>
        <w:ind w:left="1240" w:hanging="135"/>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Embedded Solutions Group (“ESG”):</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Company is filing this current report on Form 8-K (“Current Report”) to provide segment reporting financial information for the above segments with respect to the historical financial information included in its Annual Report on Form 10-K for the year ended September 2, 2010 (the “Annual Report”) in order to make such historical financial information consistent with the segment presentation set forth in the Company’s Recent Quarterly Report and consistent with how the Company expects to present its financial information in its future filings.</w:t>
      </w:r>
    </w:p>
    <w:p>
      <w:pPr>
        <w:spacing w:after="0" w:line="20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ease of reference, the Company is providing this additional segment reporting information by including such information in the following sections from its Annual Report: Item 1 (Business), Item 7 (Management’s Discussion and Analysis of Financial Condition and Results of Operations) and Item 8 (Financial Statements and Supplementary Data). The additional information provided in this Current Report only reflects the Company’s new segment reporting structure.</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The Company has not revised its disclosures to reflect events since the date of the Annual Report. Investors are encouraged to check the documents the Company files from time to time with the Securities and Exchange Commission for information related to the Company’s business and results of operations subsequent to the date of the Annual Report.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Arial" w:cs="Arial" w:eastAsia="Arial" w:hAnsi="Arial"/>
                <w:sz w:val="17"/>
                <w:szCs w:val="17"/>
                <w:b w:val="1"/>
                <w:bCs w:val="1"/>
                <w:color w:val="auto"/>
              </w:rPr>
              <w:t>Item 9.01.</w:t>
            </w:r>
          </w:p>
        </w:tc>
        <w:tc>
          <w:tcPr>
            <w:tcW w:w="10380" w:type="dxa"/>
            <w:vAlign w:val="bottom"/>
            <w:gridSpan w:val="4"/>
          </w:tcPr>
          <w:p>
            <w:pPr>
              <w:ind w:left="20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0"/>
        </w:trPr>
        <w:tc>
          <w:tcPr>
            <w:tcW w:w="1040" w:type="dxa"/>
            <w:vAlign w:val="bottom"/>
          </w:tcPr>
          <w:p>
            <w:pPr>
              <w:spacing w:after="0"/>
              <w:rPr>
                <w:sz w:val="24"/>
                <w:szCs w:val="24"/>
                <w:color w:val="auto"/>
              </w:rPr>
            </w:pPr>
          </w:p>
        </w:tc>
        <w:tc>
          <w:tcPr>
            <w:tcW w:w="1620" w:type="dxa"/>
            <w:vAlign w:val="bottom"/>
            <w:gridSpan w:val="3"/>
          </w:tcPr>
          <w:p>
            <w:pPr>
              <w:ind w:left="200"/>
              <w:spacing w:after="0"/>
              <w:rPr>
                <w:sz w:val="20"/>
                <w:szCs w:val="20"/>
                <w:color w:val="auto"/>
              </w:rPr>
            </w:pPr>
            <w:r>
              <w:rPr>
                <w:rFonts w:ascii="Arial" w:cs="Arial" w:eastAsia="Arial" w:hAnsi="Arial"/>
                <w:sz w:val="17"/>
                <w:szCs w:val="17"/>
                <w:color w:val="auto"/>
              </w:rPr>
              <w:t>(d) Exhibits.</w:t>
            </w:r>
          </w:p>
        </w:tc>
        <w:tc>
          <w:tcPr>
            <w:tcW w:w="8760" w:type="dxa"/>
            <w:vAlign w:val="bottom"/>
          </w:tcPr>
          <w:p>
            <w:pPr>
              <w:spacing w:after="0"/>
              <w:rPr>
                <w:sz w:val="24"/>
                <w:szCs w:val="24"/>
                <w:color w:val="auto"/>
              </w:rPr>
            </w:pPr>
          </w:p>
        </w:tc>
      </w:tr>
      <w:tr>
        <w:trPr>
          <w:trHeight w:val="648"/>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c>
          <w:tcPr>
            <w:tcW w:w="8760" w:type="dxa"/>
            <w:vAlign w:val="bottom"/>
            <w:tcBorders>
              <w:bottom w:val="single" w:sz="8" w:color="auto"/>
            </w:tcBorders>
          </w:tcPr>
          <w:p>
            <w:pPr>
              <w:spacing w:after="0"/>
              <w:rPr>
                <w:sz w:val="24"/>
                <w:szCs w:val="24"/>
                <w:color w:val="auto"/>
              </w:rPr>
            </w:pPr>
          </w:p>
        </w:tc>
      </w:tr>
      <w:tr>
        <w:trPr>
          <w:trHeight w:val="193"/>
        </w:trPr>
        <w:tc>
          <w:tcPr>
            <w:tcW w:w="1040" w:type="dxa"/>
            <w:vAlign w:val="bottom"/>
          </w:tcPr>
          <w:p>
            <w:pPr>
              <w:jc w:val="right"/>
              <w:ind w:right="155"/>
              <w:spacing w:after="0" w:line="193" w:lineRule="exact"/>
              <w:rPr>
                <w:sz w:val="20"/>
                <w:szCs w:val="20"/>
                <w:color w:val="auto"/>
              </w:rPr>
            </w:pPr>
            <w:r>
              <w:rPr>
                <w:rFonts w:ascii="Arial" w:cs="Arial" w:eastAsia="Arial" w:hAnsi="Arial"/>
                <w:sz w:val="17"/>
                <w:szCs w:val="17"/>
                <w:color w:val="auto"/>
              </w:rPr>
              <w:t>23.1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80" w:type="dxa"/>
            <w:vAlign w:val="bottom"/>
            <w:gridSpan w:val="2"/>
          </w:tcPr>
          <w:p>
            <w:pPr>
              <w:spacing w:after="0" w:line="193" w:lineRule="exact"/>
              <w:rPr>
                <w:sz w:val="20"/>
                <w:szCs w:val="20"/>
                <w:color w:val="auto"/>
              </w:rPr>
            </w:pPr>
            <w:r>
              <w:rPr>
                <w:rFonts w:ascii="Arial" w:cs="Arial" w:eastAsia="Arial" w:hAnsi="Arial"/>
                <w:sz w:val="17"/>
                <w:szCs w:val="17"/>
                <w:color w:val="auto"/>
              </w:rPr>
              <w:t>Consent of Independent Registered Public Accounting Firm</w:t>
            </w:r>
          </w:p>
        </w:tc>
      </w:tr>
      <w:tr>
        <w:trPr>
          <w:trHeight w:val="205"/>
        </w:trPr>
        <w:tc>
          <w:tcPr>
            <w:tcW w:w="1040" w:type="dxa"/>
            <w:vAlign w:val="bottom"/>
          </w:tcPr>
          <w:p>
            <w:pPr>
              <w:jc w:val="right"/>
              <w:ind w:right="155"/>
              <w:spacing w:after="0"/>
              <w:rPr>
                <w:sz w:val="20"/>
                <w:szCs w:val="20"/>
                <w:color w:val="auto"/>
              </w:rPr>
            </w:pPr>
            <w:r>
              <w:rPr>
                <w:rFonts w:ascii="Arial" w:cs="Arial" w:eastAsia="Arial" w:hAnsi="Arial"/>
                <w:sz w:val="17"/>
                <w:szCs w:val="17"/>
                <w:color w:val="auto"/>
              </w:rPr>
              <w:t>99.1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7"/>
                <w:szCs w:val="17"/>
                <w:color w:val="auto"/>
                <w:w w:val="93"/>
              </w:rPr>
              <w:t>Revised Item 1.</w:t>
            </w:r>
          </w:p>
        </w:tc>
        <w:tc>
          <w:tcPr>
            <w:tcW w:w="8760" w:type="dxa"/>
            <w:vAlign w:val="bottom"/>
          </w:tcPr>
          <w:p>
            <w:pPr>
              <w:ind w:left="40"/>
              <w:spacing w:after="0"/>
              <w:rPr>
                <w:sz w:val="20"/>
                <w:szCs w:val="20"/>
                <w:color w:val="auto"/>
              </w:rPr>
            </w:pPr>
            <w:r>
              <w:rPr>
                <w:rFonts w:ascii="Arial" w:cs="Arial" w:eastAsia="Arial" w:hAnsi="Arial"/>
                <w:sz w:val="17"/>
                <w:szCs w:val="17"/>
                <w:color w:val="auto"/>
              </w:rPr>
              <w:t>Business</w:t>
            </w:r>
          </w:p>
        </w:tc>
      </w:tr>
      <w:tr>
        <w:trPr>
          <w:trHeight w:val="205"/>
        </w:trPr>
        <w:tc>
          <w:tcPr>
            <w:tcW w:w="1040" w:type="dxa"/>
            <w:vAlign w:val="bottom"/>
          </w:tcPr>
          <w:p>
            <w:pPr>
              <w:jc w:val="right"/>
              <w:ind w:right="155"/>
              <w:spacing w:after="0"/>
              <w:rPr>
                <w:sz w:val="20"/>
                <w:szCs w:val="20"/>
                <w:color w:val="auto"/>
              </w:rPr>
            </w:pPr>
            <w:r>
              <w:rPr>
                <w:rFonts w:ascii="Arial" w:cs="Arial" w:eastAsia="Arial" w:hAnsi="Arial"/>
                <w:sz w:val="17"/>
                <w:szCs w:val="17"/>
                <w:color w:val="auto"/>
              </w:rPr>
              <w:t>99.2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7"/>
                <w:szCs w:val="17"/>
                <w:color w:val="auto"/>
                <w:w w:val="93"/>
              </w:rPr>
              <w:t>Revised Item 7.</w:t>
            </w:r>
          </w:p>
        </w:tc>
        <w:tc>
          <w:tcPr>
            <w:tcW w:w="8760" w:type="dxa"/>
            <w:vAlign w:val="bottom"/>
          </w:tcPr>
          <w:p>
            <w:pPr>
              <w:ind w:left="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r>
      <w:tr>
        <w:trPr>
          <w:trHeight w:val="216"/>
        </w:trPr>
        <w:tc>
          <w:tcPr>
            <w:tcW w:w="1040" w:type="dxa"/>
            <w:vAlign w:val="bottom"/>
          </w:tcPr>
          <w:p>
            <w:pPr>
              <w:jc w:val="right"/>
              <w:ind w:right="155"/>
              <w:spacing w:after="0"/>
              <w:rPr>
                <w:sz w:val="20"/>
                <w:szCs w:val="20"/>
                <w:color w:val="auto"/>
              </w:rPr>
            </w:pPr>
            <w:r>
              <w:rPr>
                <w:rFonts w:ascii="Arial" w:cs="Arial" w:eastAsia="Arial" w:hAnsi="Arial"/>
                <w:sz w:val="17"/>
                <w:szCs w:val="17"/>
                <w:color w:val="auto"/>
              </w:rPr>
              <w:t>99.3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color w:val="auto"/>
                <w:w w:val="93"/>
              </w:rPr>
              <w:t>Revised Item 8.</w:t>
            </w:r>
          </w:p>
        </w:tc>
        <w:tc>
          <w:tcPr>
            <w:tcW w:w="8760" w:type="dxa"/>
            <w:vAlign w:val="bottom"/>
          </w:tcPr>
          <w:p>
            <w:pPr>
              <w:ind w:left="40"/>
              <w:spacing w:after="0"/>
              <w:rPr>
                <w:sz w:val="20"/>
                <w:szCs w:val="20"/>
                <w:color w:val="auto"/>
              </w:rPr>
            </w:pPr>
            <w:r>
              <w:rPr>
                <w:rFonts w:ascii="Arial" w:cs="Arial" w:eastAsia="Arial" w:hAnsi="Arial"/>
                <w:sz w:val="17"/>
                <w:szCs w:val="17"/>
                <w:color w:val="auto"/>
                <w:w w:val="91"/>
              </w:rPr>
              <w:t>Financial Statements and Supplementary Data as of September 2, 2010 and September 3, 2009 and for the fiscal years ended</w:t>
            </w:r>
          </w:p>
        </w:tc>
      </w:tr>
    </w:tbl>
    <w:p>
      <w:pPr>
        <w:ind w:left="1540"/>
        <w:spacing w:after="0"/>
        <w:rPr>
          <w:sz w:val="20"/>
          <w:szCs w:val="20"/>
          <w:color w:val="auto"/>
        </w:rPr>
      </w:pPr>
      <w:r>
        <w:rPr>
          <w:rFonts w:ascii="Arial" w:cs="Arial" w:eastAsia="Arial" w:hAnsi="Arial"/>
          <w:sz w:val="17"/>
          <w:szCs w:val="17"/>
          <w:color w:val="auto"/>
        </w:rPr>
        <w:t>September 2, 2010, September 3, 2009 and 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672465</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4" w:lineRule="exact"/>
        <w:rPr>
          <w:sz w:val="20"/>
          <w:szCs w:val="20"/>
          <w:color w:val="auto"/>
        </w:rPr>
      </w:pPr>
    </w:p>
    <w:p>
      <w:pPr>
        <w:ind w:right="120" w:firstLine="615"/>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880" w:type="dxa"/>
            <w:vAlign w:val="bottom"/>
            <w:gridSpan w:val="2"/>
          </w:tcPr>
          <w:p>
            <w:pPr>
              <w:ind w:left="1940"/>
              <w:spacing w:after="0"/>
              <w:rPr>
                <w:sz w:val="20"/>
                <w:szCs w:val="20"/>
                <w:color w:val="auto"/>
              </w:rPr>
            </w:pPr>
            <w:r>
              <w:rPr>
                <w:rFonts w:ascii="Arial" w:cs="Arial" w:eastAsia="Arial" w:hAnsi="Arial"/>
                <w:sz w:val="17"/>
                <w:szCs w:val="17"/>
                <w:b w:val="1"/>
                <w:bCs w:val="1"/>
                <w:color w:val="auto"/>
              </w:rPr>
              <w:t>MICRON TECHNOLOGY, INC.</w:t>
            </w:r>
          </w:p>
        </w:tc>
      </w:tr>
      <w:tr>
        <w:trPr>
          <w:trHeight w:val="615"/>
        </w:trPr>
        <w:tc>
          <w:tcPr>
            <w:tcW w:w="3540" w:type="dxa"/>
            <w:vAlign w:val="bottom"/>
          </w:tcPr>
          <w:p>
            <w:pPr>
              <w:spacing w:after="0"/>
              <w:rPr>
                <w:sz w:val="20"/>
                <w:szCs w:val="20"/>
                <w:color w:val="auto"/>
              </w:rPr>
            </w:pPr>
            <w:r>
              <w:rPr>
                <w:rFonts w:ascii="Arial" w:cs="Arial" w:eastAsia="Arial" w:hAnsi="Arial"/>
                <w:sz w:val="17"/>
                <w:szCs w:val="17"/>
                <w:color w:val="auto"/>
              </w:rPr>
              <w:t>Date:   April 13, 2011</w:t>
            </w:r>
          </w:p>
        </w:tc>
        <w:tc>
          <w:tcPr>
            <w:tcW w:w="2860" w:type="dxa"/>
            <w:vAlign w:val="bottom"/>
          </w:tcPr>
          <w:p>
            <w:pPr>
              <w:ind w:left="194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87"/>
        </w:trPr>
        <w:tc>
          <w:tcPr>
            <w:tcW w:w="3540" w:type="dxa"/>
            <w:vAlign w:val="bottom"/>
          </w:tcPr>
          <w:p>
            <w:pPr>
              <w:spacing w:after="0"/>
              <w:rPr>
                <w:sz w:val="16"/>
                <w:szCs w:val="16"/>
                <w:color w:val="auto"/>
              </w:rPr>
            </w:pPr>
          </w:p>
        </w:tc>
        <w:tc>
          <w:tcPr>
            <w:tcW w:w="2860" w:type="dxa"/>
            <w:vAlign w:val="bottom"/>
          </w:tcPr>
          <w:p>
            <w:pPr>
              <w:ind w:left="1940"/>
              <w:spacing w:after="0" w:line="187" w:lineRule="exact"/>
              <w:rPr>
                <w:sz w:val="20"/>
                <w:szCs w:val="20"/>
                <w:color w:val="auto"/>
              </w:rPr>
            </w:pPr>
            <w:r>
              <w:rPr>
                <w:rFonts w:ascii="Arial" w:cs="Arial" w:eastAsia="Arial" w:hAnsi="Arial"/>
                <w:sz w:val="17"/>
                <w:szCs w:val="17"/>
                <w:color w:val="auto"/>
              </w:rPr>
              <w:t>Name:</w:t>
            </w:r>
          </w:p>
        </w:tc>
        <w:tc>
          <w:tcPr>
            <w:tcW w:w="5020" w:type="dxa"/>
            <w:vAlign w:val="bottom"/>
          </w:tcPr>
          <w:p>
            <w:pPr>
              <w:spacing w:after="0" w:line="187" w:lineRule="exact"/>
              <w:rPr>
                <w:sz w:val="20"/>
                <w:szCs w:val="20"/>
                <w:color w:val="auto"/>
              </w:rPr>
            </w:pPr>
            <w:r>
              <w:rPr>
                <w:rFonts w:ascii="Arial" w:cs="Arial" w:eastAsia="Arial" w:hAnsi="Arial"/>
                <w:sz w:val="17"/>
                <w:szCs w:val="17"/>
                <w:color w:val="auto"/>
              </w:rPr>
              <w:t>Ronald C. Foster</w:t>
            </w:r>
          </w:p>
        </w:tc>
      </w:tr>
      <w:tr>
        <w:trPr>
          <w:trHeight w:val="205"/>
        </w:trPr>
        <w:tc>
          <w:tcPr>
            <w:tcW w:w="3540" w:type="dxa"/>
            <w:vAlign w:val="bottom"/>
          </w:tcPr>
          <w:p>
            <w:pPr>
              <w:spacing w:after="0"/>
              <w:rPr>
                <w:sz w:val="17"/>
                <w:szCs w:val="17"/>
                <w:color w:val="auto"/>
              </w:rPr>
            </w:pPr>
          </w:p>
        </w:tc>
        <w:tc>
          <w:tcPr>
            <w:tcW w:w="2860" w:type="dxa"/>
            <w:vAlign w:val="bottom"/>
          </w:tcPr>
          <w:p>
            <w:pPr>
              <w:ind w:left="1940"/>
              <w:spacing w:after="0"/>
              <w:rPr>
                <w:sz w:val="20"/>
                <w:szCs w:val="20"/>
                <w:color w:val="auto"/>
              </w:rPr>
            </w:pPr>
            <w:r>
              <w:rPr>
                <w:rFonts w:ascii="Arial" w:cs="Arial" w:eastAsia="Arial" w:hAnsi="Arial"/>
                <w:sz w:val="17"/>
                <w:szCs w:val="17"/>
                <w:color w:val="auto"/>
              </w:rPr>
              <w:t>Title:</w:t>
            </w:r>
          </w:p>
        </w:tc>
        <w:tc>
          <w:tcPr>
            <w:tcW w:w="50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6"/>
        </w:trPr>
        <w:tc>
          <w:tcPr>
            <w:tcW w:w="35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857"/>
        </w:trPr>
        <w:tc>
          <w:tcPr>
            <w:tcW w:w="35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INDEX TO EXHIBITS FILED WITH</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CURRENT REPORT ON FORM 8-K DATED APRIL 13, 2011</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1820" w:type="dxa"/>
            <w:vAlign w:val="bottom"/>
            <w:tcBorders>
              <w:bottom w:val="single" w:sz="8" w:color="auto"/>
            </w:tcBorders>
          </w:tcPr>
          <w:p>
            <w:pPr>
              <w:ind w:left="700"/>
              <w:spacing w:after="0"/>
              <w:rPr>
                <w:sz w:val="20"/>
                <w:szCs w:val="20"/>
                <w:color w:val="auto"/>
              </w:rPr>
            </w:pPr>
            <w:r>
              <w:rPr>
                <w:rFonts w:ascii="Arial" w:cs="Arial" w:eastAsia="Arial" w:hAnsi="Arial"/>
                <w:sz w:val="17"/>
                <w:szCs w:val="17"/>
                <w:b w:val="1"/>
                <w:bCs w:val="1"/>
                <w:color w:val="auto"/>
              </w:rPr>
              <w:t>Description</w:t>
            </w:r>
          </w:p>
        </w:tc>
        <w:tc>
          <w:tcPr>
            <w:tcW w:w="8080" w:type="dxa"/>
            <w:vAlign w:val="bottom"/>
            <w:tcBorders>
              <w:bottom w:val="single" w:sz="8" w:color="auto"/>
            </w:tcBorders>
          </w:tcPr>
          <w:p>
            <w:pPr>
              <w:spacing w:after="0"/>
              <w:rPr>
                <w:sz w:val="19"/>
                <w:szCs w:val="19"/>
                <w:color w:val="auto"/>
              </w:rPr>
            </w:pPr>
          </w:p>
        </w:tc>
      </w:tr>
      <w:tr>
        <w:trPr>
          <w:trHeight w:val="193"/>
        </w:trPr>
        <w:tc>
          <w:tcPr>
            <w:tcW w:w="1520" w:type="dxa"/>
            <w:vAlign w:val="bottom"/>
          </w:tcPr>
          <w:p>
            <w:pPr>
              <w:spacing w:after="0" w:line="193" w:lineRule="exact"/>
              <w:rPr>
                <w:sz w:val="20"/>
                <w:szCs w:val="20"/>
                <w:color w:val="auto"/>
              </w:rPr>
            </w:pPr>
            <w:r>
              <w:rPr>
                <w:rFonts w:ascii="Arial" w:cs="Arial" w:eastAsia="Arial" w:hAnsi="Arial"/>
                <w:sz w:val="17"/>
                <w:szCs w:val="17"/>
                <w:color w:val="auto"/>
              </w:rPr>
              <w:t>23.1</w:t>
            </w:r>
          </w:p>
        </w:tc>
        <w:tc>
          <w:tcPr>
            <w:tcW w:w="9900" w:type="dxa"/>
            <w:vAlign w:val="bottom"/>
            <w:gridSpan w:val="2"/>
          </w:tcPr>
          <w:p>
            <w:pPr>
              <w:ind w:left="700"/>
              <w:spacing w:after="0" w:line="193" w:lineRule="exact"/>
              <w:rPr>
                <w:sz w:val="20"/>
                <w:szCs w:val="20"/>
                <w:color w:val="auto"/>
              </w:rPr>
            </w:pPr>
            <w:r>
              <w:rPr>
                <w:rFonts w:ascii="Arial" w:cs="Arial" w:eastAsia="Arial" w:hAnsi="Arial"/>
                <w:sz w:val="17"/>
                <w:szCs w:val="17"/>
                <w:color w:val="auto"/>
              </w:rPr>
              <w:t>Consent of Independent Registered Public Accounting Firm</w:t>
            </w:r>
          </w:p>
        </w:tc>
      </w:tr>
      <w:tr>
        <w:trPr>
          <w:trHeight w:val="205"/>
        </w:trPr>
        <w:tc>
          <w:tcPr>
            <w:tcW w:w="1520" w:type="dxa"/>
            <w:vAlign w:val="bottom"/>
          </w:tcPr>
          <w:p>
            <w:pPr>
              <w:spacing w:after="0"/>
              <w:rPr>
                <w:sz w:val="20"/>
                <w:szCs w:val="20"/>
                <w:color w:val="auto"/>
              </w:rPr>
            </w:pPr>
            <w:r>
              <w:rPr>
                <w:rFonts w:ascii="Arial" w:cs="Arial" w:eastAsia="Arial" w:hAnsi="Arial"/>
                <w:sz w:val="17"/>
                <w:szCs w:val="17"/>
                <w:color w:val="auto"/>
              </w:rPr>
              <w:t>99.1</w:t>
            </w:r>
          </w:p>
        </w:tc>
        <w:tc>
          <w:tcPr>
            <w:tcW w:w="1820" w:type="dxa"/>
            <w:vAlign w:val="bottom"/>
          </w:tcPr>
          <w:p>
            <w:pPr>
              <w:ind w:left="700"/>
              <w:spacing w:after="0"/>
              <w:rPr>
                <w:sz w:val="20"/>
                <w:szCs w:val="20"/>
                <w:color w:val="auto"/>
              </w:rPr>
            </w:pPr>
            <w:r>
              <w:rPr>
                <w:rFonts w:ascii="Arial" w:cs="Arial" w:eastAsia="Arial" w:hAnsi="Arial"/>
                <w:sz w:val="17"/>
                <w:szCs w:val="17"/>
                <w:color w:val="auto"/>
                <w:w w:val="93"/>
              </w:rPr>
              <w:t>Revised Item 1.</w:t>
            </w:r>
          </w:p>
        </w:tc>
        <w:tc>
          <w:tcPr>
            <w:tcW w:w="8080" w:type="dxa"/>
            <w:vAlign w:val="bottom"/>
          </w:tcPr>
          <w:p>
            <w:pPr>
              <w:ind w:left="40"/>
              <w:spacing w:after="0"/>
              <w:rPr>
                <w:sz w:val="20"/>
                <w:szCs w:val="20"/>
                <w:color w:val="auto"/>
              </w:rPr>
            </w:pPr>
            <w:r>
              <w:rPr>
                <w:rFonts w:ascii="Arial" w:cs="Arial" w:eastAsia="Arial" w:hAnsi="Arial"/>
                <w:sz w:val="17"/>
                <w:szCs w:val="17"/>
                <w:color w:val="auto"/>
              </w:rPr>
              <w:t>Business</w:t>
            </w:r>
          </w:p>
        </w:tc>
      </w:tr>
      <w:tr>
        <w:trPr>
          <w:trHeight w:val="205"/>
        </w:trPr>
        <w:tc>
          <w:tcPr>
            <w:tcW w:w="1520" w:type="dxa"/>
            <w:vAlign w:val="bottom"/>
          </w:tcPr>
          <w:p>
            <w:pPr>
              <w:spacing w:after="0"/>
              <w:rPr>
                <w:sz w:val="20"/>
                <w:szCs w:val="20"/>
                <w:color w:val="auto"/>
              </w:rPr>
            </w:pPr>
            <w:r>
              <w:rPr>
                <w:rFonts w:ascii="Arial" w:cs="Arial" w:eastAsia="Arial" w:hAnsi="Arial"/>
                <w:sz w:val="17"/>
                <w:szCs w:val="17"/>
                <w:color w:val="auto"/>
              </w:rPr>
              <w:t>99.2</w:t>
            </w:r>
          </w:p>
        </w:tc>
        <w:tc>
          <w:tcPr>
            <w:tcW w:w="1820" w:type="dxa"/>
            <w:vAlign w:val="bottom"/>
          </w:tcPr>
          <w:p>
            <w:pPr>
              <w:ind w:left="700"/>
              <w:spacing w:after="0"/>
              <w:rPr>
                <w:sz w:val="20"/>
                <w:szCs w:val="20"/>
                <w:color w:val="auto"/>
              </w:rPr>
            </w:pPr>
            <w:r>
              <w:rPr>
                <w:rFonts w:ascii="Arial" w:cs="Arial" w:eastAsia="Arial" w:hAnsi="Arial"/>
                <w:sz w:val="17"/>
                <w:szCs w:val="17"/>
                <w:color w:val="auto"/>
                <w:w w:val="93"/>
              </w:rPr>
              <w:t>Revised Item 7.</w:t>
            </w:r>
          </w:p>
        </w:tc>
        <w:tc>
          <w:tcPr>
            <w:tcW w:w="8080" w:type="dxa"/>
            <w:vAlign w:val="bottom"/>
          </w:tcPr>
          <w:p>
            <w:pPr>
              <w:ind w:left="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r>
      <w:tr>
        <w:trPr>
          <w:trHeight w:val="216"/>
        </w:trPr>
        <w:tc>
          <w:tcPr>
            <w:tcW w:w="1520" w:type="dxa"/>
            <w:vAlign w:val="bottom"/>
          </w:tcPr>
          <w:p>
            <w:pPr>
              <w:spacing w:after="0"/>
              <w:rPr>
                <w:sz w:val="20"/>
                <w:szCs w:val="20"/>
                <w:color w:val="auto"/>
              </w:rPr>
            </w:pPr>
            <w:r>
              <w:rPr>
                <w:rFonts w:ascii="Arial" w:cs="Arial" w:eastAsia="Arial" w:hAnsi="Arial"/>
                <w:sz w:val="17"/>
                <w:szCs w:val="17"/>
                <w:color w:val="auto"/>
              </w:rPr>
              <w:t>99.3</w:t>
            </w:r>
          </w:p>
        </w:tc>
        <w:tc>
          <w:tcPr>
            <w:tcW w:w="1820" w:type="dxa"/>
            <w:vAlign w:val="bottom"/>
          </w:tcPr>
          <w:p>
            <w:pPr>
              <w:ind w:left="700"/>
              <w:spacing w:after="0"/>
              <w:rPr>
                <w:sz w:val="20"/>
                <w:szCs w:val="20"/>
                <w:color w:val="auto"/>
              </w:rPr>
            </w:pPr>
            <w:r>
              <w:rPr>
                <w:rFonts w:ascii="Arial" w:cs="Arial" w:eastAsia="Arial" w:hAnsi="Arial"/>
                <w:sz w:val="17"/>
                <w:szCs w:val="17"/>
                <w:color w:val="auto"/>
                <w:w w:val="93"/>
              </w:rPr>
              <w:t>Revised Item 8.</w:t>
            </w:r>
          </w:p>
        </w:tc>
        <w:tc>
          <w:tcPr>
            <w:tcW w:w="8080" w:type="dxa"/>
            <w:vAlign w:val="bottom"/>
          </w:tcPr>
          <w:p>
            <w:pPr>
              <w:ind w:left="40"/>
              <w:spacing w:after="0"/>
              <w:rPr>
                <w:sz w:val="20"/>
                <w:szCs w:val="20"/>
                <w:color w:val="auto"/>
              </w:rPr>
            </w:pPr>
            <w:r>
              <w:rPr>
                <w:rFonts w:ascii="Arial" w:cs="Arial" w:eastAsia="Arial" w:hAnsi="Arial"/>
                <w:sz w:val="17"/>
                <w:szCs w:val="17"/>
                <w:color w:val="auto"/>
                <w:w w:val="93"/>
              </w:rPr>
              <w:t>Financial Statements and Supplementary Data as of September 2, 2010 and September 3, 2009 and for the fiscal</w:t>
            </w:r>
          </w:p>
        </w:tc>
      </w:tr>
    </w:tbl>
    <w:p>
      <w:pPr>
        <w:ind w:left="2220"/>
        <w:spacing w:after="0"/>
        <w:rPr>
          <w:sz w:val="20"/>
          <w:szCs w:val="20"/>
          <w:color w:val="auto"/>
        </w:rPr>
      </w:pPr>
      <w:r>
        <w:rPr>
          <w:rFonts w:ascii="Arial" w:cs="Arial" w:eastAsia="Arial" w:hAnsi="Arial"/>
          <w:sz w:val="17"/>
          <w:szCs w:val="17"/>
          <w:color w:val="auto"/>
        </w:rPr>
        <w:t>years ended September 2, 2010, September 3, 2009 and August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hereby consent to the incorporation by reference in the Registration Statements on Form S-3 (File Nos. 333-143026 and 333-158473) and S-8 (File Nos. 33-27078, 33-57887, 33-65050, 333-07283, 333-17073, 333-50353, 333-65449, 333-71249, 333-82549, 333-99271, 333-102545, 333-103341, 333-111170, 333-120620, 333-133667, 333-135459, 333-140091, 333-148357, 333-159711, 333-167536 and 333-171717) of Micron Technology, Inc. of our report dated October 26, 2010 except with respect to our opinion on the consolidated financial statements insofar as it relates to the effects of the change in reportable segments described in the Segment Information note, which is as of April 13, 2011, relating to the financial statements, financial statement schedule and the effectiveness of internal control over financial reporting, which appears in this Current Report on Form 8-K.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PricewaterhouseCoopers LLP</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April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655955</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b w:val="1"/>
          <w:bCs w:val="1"/>
          <w:color w:val="auto"/>
        </w:rPr>
        <w:t>EXHIBIT 99.1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4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increased sales of DDR3 DRAM products and growth in demand for NAND Flash products and solid-state drives; and in "Manufacturing" regarding the transition to smaller line-width process technologies. Our actual results could differ materially from our historical results and those discussed in the forward-looking statements. Factors that could cause actual results to differ materially include, but are not limited to, those identified in "Item 1A. Risk Factors." All period references are to our fiscal periods unless otherwise indicated.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Information</w:t>
      </w:r>
    </w:p>
    <w:p>
      <w:pPr>
        <w:spacing w:after="0" w:line="23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Micron Technology, Inc., and its consolidated subsidiaries, a Delaware corporation, was incorporated in 1978. As used herein, "we," "our," "us" and similar terms include Micron Technology, Inc. and its subsidiaries, unless the context indicates otherwise. Our executive offices are located at 8000 South Federal Way, Boise, Idaho 83716-9632 and our telephone number is (208) 368-4000. Information about us is available on the internet at www.micron.com. Copies of our Annual Report on Form 10-K, Quarterly Reports on Form 10-Q and Current Reports on Form 8-K, as well as any amendments to these reports, are available through the our website as soon as reasonably practicable after they are electronically filed with or furnished to the Securities and Exchange Commission (the "SEC"). Materials filed by us with the SEC are also available at the SEC’s Public Reference Room at 100 F Street, NE, Washington, D.C. 20549. Information on the operation of the Public Reference Room is available by calling (800) SEC-0330. Also available on our website are our: Corporate Governance Guidelines, Governance Committee Charter, Compensation Committee Charter, Audit Committee Charter and Code of Business Conduct and Ethics. Any amendments or waivers of our Code of Business Conduct and Ethics will also be posted on our website at www.micron.com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3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are a global manufacturer and marketer of semiconductor devices, principally DRAM, NAND Flash and NOR Flash memory, as well as other innovative memory technologies, packaging solutions and semiconductor systems for use in leading-edge computing, consumer, networking, embedded and mobile products. In addition, we manufacture semiconductor components for CMOS image sensors and other semiconductor products. We market our products through our internal sales force, independent sales representatives and distributors primarily to original equipment manufacturers and retailers located around the world. Our success is largely dependent on the market acceptance of our diversified portfolio of semiconductor products, efficient utilization of our manufacturing infrastructure, successful ongoing development of advanced process technologies and the return on research and development investments.</w:t>
      </w:r>
    </w:p>
    <w:p>
      <w:pPr>
        <w:spacing w:after="0" w:line="197"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We obtain product for sale through two primary channels: 1) production from wholly-owned manufacturing facilities and 2) production from our joint venture manufacturing facilities. In recent years, we have obtained additional manufacturing scale and diversity of products through strategic acquisitions and various partnering arrangements, including joint ventures which have helped us to attain lower cash costs than we could otherwise achieve through internal investments alone. In addition, we have leveraged our significant investments in research and development by sharing costs of developing memory product and process technologies with our joint venture partners.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In the second quarter of 2011, we reorganized our business to better align with our markets. All prior period amounts have been retrospectively adjusted to reflect this reorganization. After the reorganization, we have the following four reportable segments:</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 xml:space="preserve">DRAM Solutions Group ("DSG"): </w:t>
      </w:r>
      <w:r>
        <w:rPr>
          <w:rFonts w:ascii="Arial" w:cs="Arial" w:eastAsia="Arial" w:hAnsi="Arial"/>
          <w:sz w:val="16"/>
          <w:szCs w:val="16"/>
          <w:color w:val="auto"/>
        </w:rPr>
        <w:t>Includes high-volume DRAM products sold to the PC, consumer electronics, networking and server markets.</w:t>
      </w:r>
    </w:p>
    <w:p>
      <w:pPr>
        <w:spacing w:after="0" w:line="32" w:lineRule="exact"/>
        <w:rPr>
          <w:sz w:val="20"/>
          <w:szCs w:val="20"/>
          <w:color w:val="auto"/>
        </w:rPr>
      </w:pPr>
    </w:p>
    <w:p>
      <w:pPr>
        <w:ind w:left="960" w:right="740" w:hanging="153"/>
        <w:spacing w:after="0" w:line="263" w:lineRule="auto"/>
        <w:rPr>
          <w:sz w:val="20"/>
          <w:szCs w:val="20"/>
          <w:color w:val="auto"/>
        </w:rPr>
      </w:pPr>
      <w:r>
        <w:rPr>
          <w:rFonts w:ascii="Arial" w:cs="Arial" w:eastAsia="Arial" w:hAnsi="Arial"/>
          <w:sz w:val="17"/>
          <w:szCs w:val="17"/>
          <w:b w:val="1"/>
          <w:bCs w:val="1"/>
          <w:i w:val="1"/>
          <w:iCs w:val="1"/>
          <w:color w:val="auto"/>
        </w:rPr>
        <w:t xml:space="preserve">NAND Solutions Group ("NSG"): </w:t>
      </w:r>
      <w:r>
        <w:rPr>
          <w:rFonts w:ascii="Arial" w:cs="Arial" w:eastAsia="Arial" w:hAnsi="Arial"/>
          <w:sz w:val="17"/>
          <w:szCs w:val="17"/>
          <w:color w:val="auto"/>
        </w:rPr>
        <w:t>Includes high-volume NAND Flash products sold into data storage, personal music players, and portions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computing markets, as well as NAND Flash products sold to Intel through our consolidated IM Flash joint ventures.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ind w:left="960" w:right="120" w:hanging="153"/>
        <w:spacing w:after="0" w:line="258" w:lineRule="auto"/>
        <w:rPr>
          <w:sz w:val="20"/>
          <w:szCs w:val="20"/>
          <w:color w:val="auto"/>
        </w:rPr>
      </w:pPr>
      <w:r>
        <w:rPr>
          <w:rFonts w:ascii="Arial" w:cs="Arial" w:eastAsia="Arial" w:hAnsi="Arial"/>
          <w:sz w:val="17"/>
          <w:szCs w:val="17"/>
          <w:b w:val="1"/>
          <w:bCs w:val="1"/>
          <w:i w:val="1"/>
          <w:iCs w:val="1"/>
          <w:color w:val="auto"/>
        </w:rPr>
        <w:t xml:space="preserve">Wireless Solutions Group ("WSG"): </w:t>
      </w:r>
      <w:r>
        <w:rPr>
          <w:rFonts w:ascii="Arial" w:cs="Arial" w:eastAsia="Arial" w:hAnsi="Arial"/>
          <w:sz w:val="17"/>
          <w:szCs w:val="17"/>
          <w:color w:val="auto"/>
        </w:rPr>
        <w:t>Includes DRAM, NAND Flash and NOR Flash products, including multi-chip packages, sold to the mobile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w:t>
      </w:r>
    </w:p>
    <w:p>
      <w:pPr>
        <w:spacing w:after="0" w:line="1" w:lineRule="exact"/>
        <w:rPr>
          <w:sz w:val="20"/>
          <w:szCs w:val="20"/>
          <w:color w:val="auto"/>
        </w:rPr>
      </w:pPr>
    </w:p>
    <w:p>
      <w:pPr>
        <w:ind w:left="960" w:right="100" w:hanging="153"/>
        <w:spacing w:after="0" w:line="263" w:lineRule="auto"/>
        <w:rPr>
          <w:sz w:val="20"/>
          <w:szCs w:val="20"/>
          <w:color w:val="auto"/>
        </w:rPr>
      </w:pPr>
      <w:r>
        <w:rPr>
          <w:rFonts w:ascii="Arial" w:cs="Arial" w:eastAsia="Arial" w:hAnsi="Arial"/>
          <w:sz w:val="17"/>
          <w:szCs w:val="17"/>
          <w:b w:val="1"/>
          <w:bCs w:val="1"/>
          <w:i w:val="1"/>
          <w:iCs w:val="1"/>
          <w:color w:val="auto"/>
        </w:rPr>
        <w:t xml:space="preserve">Embedded Solutions Group ("ESG"): </w:t>
      </w:r>
      <w:r>
        <w:rPr>
          <w:rFonts w:ascii="Arial" w:cs="Arial" w:eastAsia="Arial" w:hAnsi="Arial"/>
          <w:sz w:val="17"/>
          <w:szCs w:val="17"/>
          <w:color w:val="auto"/>
        </w:rPr>
        <w:t>Includes DRAM, NAND Flash and NOR Flash products sold into automotive and industrial applications,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NOR and NAND flash sold to consumer electronics, networking, PC and server markets.</w:t>
      </w: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Our other operations do not meet the quantitative thresholds of a reportable segment and are reported under All Other. All Other includes our CMOS image sensor, microdisplay and solar operations.</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are focused on improving our competitiveness in all segments by developing new products, advancing our technology and reducing costs. On May 7, 2010, we completed our acquisition of Numonyx Holdings B.V. ("Numonyx"), which manufactures and sells NOR Flash, NAND Flash, DRAM and Phase Change memory technologies and products. We acquired Numonyx in a stock-for-stock transaction to further strengthen our portfolio of memory products, increase manufacturing and revenue scale, access Numonyx’s customer base and provide opportunities to increase multi-chip offerings in the embedded and mobile markets. (See "Item 8. Financial Statements – Notes to Consolidated Financial Statements – Numonyx Holdings B.V." note.)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Products</w:t>
      </w:r>
    </w:p>
    <w:p>
      <w:pPr>
        <w:spacing w:after="0" w:line="23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b w:val="1"/>
          <w:bCs w:val="1"/>
          <w:i w:val="1"/>
          <w:iCs w:val="1"/>
          <w:color w:val="auto"/>
        </w:rPr>
        <w:t xml:space="preserve">Dynamic Random Access Memory ("DRAM"): </w:t>
      </w:r>
      <w:r>
        <w:rPr>
          <w:rFonts w:ascii="Arial" w:cs="Arial" w:eastAsia="Arial" w:hAnsi="Arial"/>
          <w:sz w:val="16"/>
          <w:szCs w:val="16"/>
          <w:color w:val="auto"/>
        </w:rPr>
        <w:t>DRAM products are high-density, low-cost-per-bit, random access memory devices that provide high-speed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storage and retrieval. DRAM products were 60%, 50% and 54% of our total net sales in 2010, 2009 and 2008, respectively. DRAM products are sold by the DSG, WSG and ESG segments. We offer DRAM products with a variety of performance, pricing and other characteristics including high-volume DDR3 and DDR2 products as well as specialty DRAM memory products including DDR, SDRAM, Mobile Low Power DRAM, PSRAM and RLDRAM.</w:t>
      </w:r>
    </w:p>
    <w:p>
      <w:pPr>
        <w:spacing w:after="0" w:line="18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u w:val="single" w:color="auto"/>
          <w:color w:val="auto"/>
        </w:rPr>
        <w:t>DDR3 and DDR2</w:t>
      </w:r>
      <w:r>
        <w:rPr>
          <w:rFonts w:ascii="Arial" w:cs="Arial" w:eastAsia="Arial" w:hAnsi="Arial"/>
          <w:sz w:val="16"/>
          <w:szCs w:val="16"/>
          <w:b w:val="1"/>
          <w:bCs w:val="1"/>
          <w:color w:val="auto"/>
        </w:rPr>
        <w:t>:</w:t>
      </w:r>
      <w:r>
        <w:rPr>
          <w:rFonts w:ascii="Arial" w:cs="Arial" w:eastAsia="Arial" w:hAnsi="Arial"/>
          <w:sz w:val="16"/>
          <w:szCs w:val="16"/>
          <w:color w:val="auto"/>
        </w:rPr>
        <w:t xml:space="preserve"> DDR3 and DDR2 are standardized, high-density, high-volume DRAM products that are sold primarily for use as main system memory in computers and servers. DDR3 and DDR2 products offer high speed and high bandwidth at a relatively low cost compared to other DRAM products. DDR3 products were 22% of our total net sales in 2010 as compared to 7% of our total net sales in 2009 and we expect that sales of DDR3 products as a percentage of total net sales will continue to increase in 2011. DDR2 products were 24%, 22% and 28% of our total net sales in 2010, 2009 and 2008, respectively.</w:t>
      </w:r>
    </w:p>
    <w:p>
      <w:pPr>
        <w:spacing w:after="0" w:line="187"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We offer DDR3 products in 1 gigabit ("Gb") and 2 Gb densities and DDR2 products in 256 megabit ("Mb"), 512 Mb, 1 Gb and 2 Gb densities. We expect that these densities will be necessary to meet future customer demands for a broad array of products and offer these products in multiple configurations, speeds and package types. In connection with our investment in Inotera in 2009, we also offered DDR2 and DDR3 DRAM products manufactured by Inotera using a trench DRAM technology. As Inotera transitioned to our stack DRAM technology it discontinued wafers starts on trench DRAM in July of 2010. All wafer starts since that time have been on our stack DRAM technology.</w:t>
      </w:r>
    </w:p>
    <w:p>
      <w:pPr>
        <w:spacing w:after="0" w:line="202"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u w:val="single" w:color="auto"/>
          <w:color w:val="auto"/>
        </w:rPr>
        <w:t>Other DRAM products</w:t>
      </w:r>
      <w:r>
        <w:rPr>
          <w:rFonts w:ascii="Arial" w:cs="Arial" w:eastAsia="Arial" w:hAnsi="Arial"/>
          <w:sz w:val="17"/>
          <w:szCs w:val="17"/>
          <w:b w:val="1"/>
          <w:bCs w:val="1"/>
          <w:color w:val="auto"/>
        </w:rPr>
        <w:t>:</w:t>
      </w:r>
      <w:r>
        <w:rPr>
          <w:rFonts w:ascii="Arial" w:cs="Arial" w:eastAsia="Arial" w:hAnsi="Arial"/>
          <w:sz w:val="17"/>
          <w:szCs w:val="17"/>
          <w:color w:val="auto"/>
        </w:rPr>
        <w:t xml:space="preserve"> We also offer specialty DRAM memory products including DDR, SDRAM, DDR and DDR2 Mobile Low Power DRAM ("LPDRAM"), Pseudo-static RAM ("PSRAM") and Reduced Latency DRAM ("RLDRAM"), in densities ranging from 64 Mb to 2 Gb, which are used primarily in networking devices, servers, consumer electronics, communications equipment and computer peripherals as well as computer memory upgrades. Aggregate sales of these products were 14%, 21% and 25% of our total net sales in 2010, 2009 and 2008, respectively.</w:t>
      </w:r>
    </w:p>
    <w:p>
      <w:pPr>
        <w:spacing w:after="0" w:line="205"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b w:val="1"/>
          <w:bCs w:val="1"/>
          <w:i w:val="1"/>
          <w:iCs w:val="1"/>
          <w:color w:val="auto"/>
        </w:rPr>
        <w:t xml:space="preserve">NAND Flash memory ("NAND"): </w:t>
      </w:r>
      <w:r>
        <w:rPr>
          <w:rFonts w:ascii="Arial" w:cs="Arial" w:eastAsia="Arial" w:hAnsi="Arial"/>
          <w:sz w:val="16"/>
          <w:szCs w:val="16"/>
          <w:color w:val="auto"/>
        </w:rPr>
        <w:t>NAND products are electrically re-writeable, non-volatile semiconductor memory devices that retain content when power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turned off. NAND sales were 28%, 39% and 35% of our total net sales in 2010, 2009 and 2008, respectively. NAND products are sold by the NSG, WSG and ESG segments. NAND is ideal for mass-storage devices due to its fast erase and write times, high density, and low cost per bit relative to other solid-state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memory. Removable storage devices, such as USB and Flash memory cards, are used with applications such as personal computers, digital still cameras, MP3/4 players and mobile phones. Embedded NAND-based storage devices are utilized in mobile phones, MP3/4 players, computers, solid-state drives ("SSD’s"), tablets and other personal and consumer applications. The market for NAND products has grown rapidly and we expect it to continue to grow due to demand for these and other removable and embedded storage devices.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7" w:name="page8"/>
    <w:bookmarkEnd w:id="7"/>
    <w:p>
      <w:pPr>
        <w:ind w:right="60"/>
        <w:spacing w:after="0" w:line="256" w:lineRule="auto"/>
        <w:rPr>
          <w:sz w:val="20"/>
          <w:szCs w:val="20"/>
          <w:color w:val="auto"/>
        </w:rPr>
      </w:pPr>
      <w:r>
        <w:rPr>
          <w:rFonts w:ascii="Arial" w:cs="Arial" w:eastAsia="Arial" w:hAnsi="Arial"/>
          <w:sz w:val="17"/>
          <w:szCs w:val="17"/>
          <w:color w:val="auto"/>
        </w:rPr>
        <w:t>DRAM, NAND and NOR share common manufacturing processes, enabling us to leverage our product and process technologies and manufacturing infrastructure across these product lines. Our NAND designs feature a small cell structure that enables higher densities for demanding applications. We offer Single-Level Cell ("SLC") products and Multi-Level Cell ("MLC") NAND products, which have two or more times the bit density of SLC products. In 2010, we offered SLC NAND products in 1 Gb, 2 Gb, 4 Gb and 8 Gb densities. In addition, we offered 8 Gb, 16 Gb, 32 Gb and 64 Gb 2-bit-per-cell MLC NAND products and 32 Gb and 64 Gb 3-bit-per-cell MLC NAND products. We offer high-speed NAND products that deliver much faster access by leveraging ONFI 2.0/2.1/2.2 specifications and a four-plane architecture with higher clock speeds.</w:t>
      </w:r>
    </w:p>
    <w:p>
      <w:pPr>
        <w:spacing w:after="0" w:line="21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offer next-generation RealSSD™ solid-state drives for enterprise server and notebook applications which feature higher performance, reduced power consumption and enhanced reliability as compared to typical hard disk drives. Using our SLC and MLC NAND process technology, these SSDs are offered in 2.5-inch and 1.8-inch form factors, with densities up to 256 gigabytes and as embedded USB devices with densities up to 16 gigabytes. We expect that demand for SSD’s will increase significantly over the next few years. We also offer NAND Flash in multichip packages ("MCP’s") that incorporate NAND Flash with other memory products to create a single package that simplifies design while improving performance and functionality.</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Lexar subsidiary sells high-performance digital media products and other flash-based storage products through retail and original equipment manufacturing ("OEM") channels. Our digital media products include a variety of Flash memory cards with a range of speeds, capacities and value-added features. Our digital media products also include our JumpDrive™ products, which are high-speed, portable USB flash drives for consumer applications that serve a variety of uses, including floppy disk replacement and digital media accessories such as card readers and image rescue software. We offer Flash memory cards in a variety of speeds and capacities and in all major media formats currently used by digital cameras and other electronic host devices, including: CompactFlash, Memory Stick and Secure Digital Cards. CompactFlash and Memory Stick products sold by us incorporate our patented controller technology. Other products, including Secure Digital Card Flash memory cards and some JumpDrive products, incorporate third party controllers. We sell products under our Lexar™ brand and manufacture products that are sold under other brand names, including pursuant to an agreement with Eastman Kodak Company to sell digital media products under the Kodak brand name. We also resell Flash memory products that are purchased from other NAND Flash suppliers.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 xml:space="preserve">NOR Flash Memory ("NOR"): </w:t>
      </w:r>
      <w:r>
        <w:rPr>
          <w:rFonts w:ascii="Arial" w:cs="Arial" w:eastAsia="Arial" w:hAnsi="Arial"/>
          <w:sz w:val="17"/>
          <w:szCs w:val="17"/>
          <w:color w:val="auto"/>
        </w:rPr>
        <w:t>NOR products are electrically re-writeable, non-volatile semiconductor memory devices that retain content when power is turned off,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fast read times due to random access capability and have execute-in-place ("XiP") capability, which enables processors to read NOR without first accessing RAM. These capabilities make NOR ideal for storing program code in wireless and embedded applications. NOR sales from the May 7, 2010 acquisition of Numonyx were 5% of our total net sales for 2010. NOR products are sold by the WSG and ESG segments. We offer NOR products in scalable densities from 32 Mb to 2 Gb and in a wide range of voltages to meet embedded application design requirements.</w:t>
      </w:r>
    </w:p>
    <w:p>
      <w:pPr>
        <w:spacing w:after="0" w:line="206"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We offer NOR in several product families to address different customer requirements for embedded and wireless applications. For embedded applications, Axcell™ NOR products feature memories that are divided into blocks that can be erased independently to allow valid data to be preserved while old data is erased and offer higher flexibility in code storage via both asymmetrical and symmetrical block architecture. These Axcell™ products feature flexible partition Read-While-Write/Erase (RWW/E) operation, which allows data to be read from one bank, or group of banks, while another bank is written or erased.</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For wireless applications, we offer NOR flash in several product families to address a variety of applications. "M Family" StrataFlash® cellular memory NOR products, manufactured on our advanced 65nm process technology, deliver the highest available density and performance in the market for XiP solutions. "L Family" StrataFlash® cellular memory NOR products offer long-term solutions for legacy platform architectures. "W Family" NOR products offer reliable solutions for designers looking for easy integration, low density and low power.</w:t>
      </w:r>
    </w:p>
    <w:p>
      <w:pPr>
        <w:spacing w:after="0" w:line="204"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We also offer Forté™ serial flash memory NOR products to address applications that require small, low-power and cost-effective memory solutions. Forté™ serial flash memory NOR products are offered in four product families to address different performance requirements.</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auto"/>
        </w:rPr>
        <w:t xml:space="preserve">Phase Change Memory ("PCM"): </w:t>
      </w:r>
      <w:r>
        <w:rPr>
          <w:rFonts w:ascii="Arial" w:cs="Arial" w:eastAsia="Arial" w:hAnsi="Arial"/>
          <w:sz w:val="17"/>
          <w:szCs w:val="17"/>
          <w:color w:val="auto"/>
        </w:rPr>
        <w:t>PCM is a new memory technology that combines the best attributes of NOR, NAND and RAM, simplifying memory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producing more capabilities within a single chip. PCM is bit-alterable, non-volatile memory featuring fast read/write/erase speeds that is highly scalable to lower line-width technologies. We currently offer Omneo™ PCM products and are developing next generation PCM products.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ind w:right="200"/>
        <w:spacing w:after="0" w:line="264" w:lineRule="auto"/>
        <w:rPr>
          <w:sz w:val="20"/>
          <w:szCs w:val="20"/>
          <w:color w:val="auto"/>
        </w:rPr>
      </w:pPr>
      <w:r>
        <w:rPr>
          <w:rFonts w:ascii="Arial" w:cs="Arial" w:eastAsia="Arial" w:hAnsi="Arial"/>
          <w:sz w:val="17"/>
          <w:szCs w:val="17"/>
          <w:b w:val="1"/>
          <w:bCs w:val="1"/>
          <w:i w:val="1"/>
          <w:iCs w:val="1"/>
          <w:color w:val="auto"/>
        </w:rPr>
        <w:t xml:space="preserve">All Other: </w:t>
      </w:r>
      <w:r>
        <w:rPr>
          <w:rFonts w:ascii="Arial" w:cs="Arial" w:eastAsia="Arial" w:hAnsi="Arial"/>
          <w:sz w:val="17"/>
          <w:szCs w:val="17"/>
          <w:color w:val="auto"/>
        </w:rPr>
        <w:t>We manufacture CMOS image sensor products for Aptina Imaging Corporation ("Aptina") under a wafer supply agreement. Our sales of these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dependent on Aptina’s ability to successfully design and market its CMOS image sensor products to end customers. We are also developing microdisplay and solar products.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Partnering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partnering arrangements as of September 2, 2010: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Approximate</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Micron</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Ownership</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2400" w:type="dxa"/>
            <w:vAlign w:val="bottom"/>
          </w:tcPr>
          <w:p>
            <w:pPr>
              <w:spacing w:after="0"/>
              <w:rPr>
                <w:sz w:val="19"/>
                <w:szCs w:val="19"/>
                <w:color w:val="auto"/>
              </w:rPr>
            </w:pPr>
          </w:p>
        </w:tc>
        <w:tc>
          <w:tcPr>
            <w:tcW w:w="2880" w:type="dxa"/>
            <w:vAlign w:val="bottom"/>
          </w:tcPr>
          <w:p>
            <w:pPr>
              <w:ind w:left="300"/>
              <w:spacing w:after="0"/>
              <w:rPr>
                <w:sz w:val="20"/>
                <w:szCs w:val="20"/>
                <w:color w:val="auto"/>
              </w:rPr>
            </w:pPr>
            <w:r>
              <w:rPr>
                <w:rFonts w:ascii="Arial" w:cs="Arial" w:eastAsia="Arial" w:hAnsi="Arial"/>
                <w:sz w:val="17"/>
                <w:szCs w:val="17"/>
                <w:b w:val="1"/>
                <w:bCs w:val="1"/>
                <w:color w:val="auto"/>
              </w:rPr>
              <w:t>Partner(s)</w:t>
            </w: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Interest</w:t>
            </w:r>
          </w:p>
        </w:tc>
        <w:tc>
          <w:tcPr>
            <w:tcW w:w="14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w w:val="95"/>
              </w:rPr>
              <w:t>Formed/Acquired</w:t>
            </w:r>
          </w:p>
        </w:tc>
        <w:tc>
          <w:tcPr>
            <w:tcW w:w="1980" w:type="dxa"/>
            <w:vAlign w:val="bottom"/>
            <w:gridSpan w:val="2"/>
          </w:tcPr>
          <w:p>
            <w:pPr>
              <w:ind w:left="40"/>
              <w:spacing w:after="0"/>
              <w:rPr>
                <w:sz w:val="20"/>
                <w:szCs w:val="20"/>
                <w:color w:val="auto"/>
              </w:rPr>
            </w:pPr>
            <w:r>
              <w:rPr>
                <w:rFonts w:ascii="Arial" w:cs="Arial" w:eastAsia="Arial" w:hAnsi="Arial"/>
                <w:sz w:val="17"/>
                <w:szCs w:val="17"/>
                <w:b w:val="1"/>
                <w:bCs w:val="1"/>
                <w:color w:val="auto"/>
              </w:rPr>
              <w:t>Product Market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24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Consolidated Entities:</w:t>
            </w:r>
          </w:p>
        </w:tc>
        <w:tc>
          <w:tcPr>
            <w:tcW w:w="2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IMFT</w:t>
            </w:r>
          </w:p>
        </w:tc>
        <w:tc>
          <w:tcPr>
            <w:tcW w:w="2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Intel Corporation</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2006</w:t>
            </w: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NAND Flash</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2400" w:type="dxa"/>
            <w:vAlign w:val="bottom"/>
          </w:tcPr>
          <w:p>
            <w:pPr>
              <w:spacing w:after="0"/>
              <w:rPr>
                <w:sz w:val="20"/>
                <w:szCs w:val="20"/>
                <w:color w:val="auto"/>
              </w:rPr>
            </w:pPr>
            <w:r>
              <w:rPr>
                <w:rFonts w:ascii="Arial" w:cs="Arial" w:eastAsia="Arial" w:hAnsi="Arial"/>
                <w:sz w:val="17"/>
                <w:szCs w:val="17"/>
                <w:color w:val="auto"/>
              </w:rPr>
              <w:t>IMFS</w:t>
            </w:r>
          </w:p>
        </w:tc>
        <w:tc>
          <w:tcPr>
            <w:tcW w:w="2880" w:type="dxa"/>
            <w:vAlign w:val="bottom"/>
          </w:tcPr>
          <w:p>
            <w:pPr>
              <w:ind w:left="300"/>
              <w:spacing w:after="0"/>
              <w:rPr>
                <w:sz w:val="20"/>
                <w:szCs w:val="20"/>
                <w:color w:val="auto"/>
              </w:rPr>
            </w:pPr>
            <w:r>
              <w:rPr>
                <w:rFonts w:ascii="Arial" w:cs="Arial" w:eastAsia="Arial" w:hAnsi="Arial"/>
                <w:sz w:val="17"/>
                <w:szCs w:val="17"/>
                <w:color w:val="auto"/>
              </w:rPr>
              <w:t>Intel Corporation</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color w:val="auto"/>
              </w:rPr>
              <w:t>57%</w:t>
            </w:r>
          </w:p>
        </w:tc>
        <w:tc>
          <w:tcPr>
            <w:tcW w:w="1400" w:type="dxa"/>
            <w:vAlign w:val="bottom"/>
            <w:gridSpan w:val="3"/>
          </w:tcPr>
          <w:p>
            <w:pPr>
              <w:jc w:val="right"/>
              <w:ind w:right="60"/>
              <w:spacing w:after="0"/>
              <w:rPr>
                <w:sz w:val="20"/>
                <w:szCs w:val="20"/>
                <w:color w:val="auto"/>
              </w:rPr>
            </w:pPr>
            <w:r>
              <w:rPr>
                <w:rFonts w:ascii="Arial" w:cs="Arial" w:eastAsia="Arial" w:hAnsi="Arial"/>
                <w:sz w:val="17"/>
                <w:szCs w:val="17"/>
                <w:color w:val="auto"/>
              </w:rPr>
              <w:t>2007</w:t>
            </w:r>
          </w:p>
        </w:tc>
        <w:tc>
          <w:tcPr>
            <w:tcW w:w="1980" w:type="dxa"/>
            <w:vAlign w:val="bottom"/>
            <w:gridSpan w:val="2"/>
          </w:tcPr>
          <w:p>
            <w:pPr>
              <w:ind w:left="40"/>
              <w:spacing w:after="0"/>
              <w:rPr>
                <w:sz w:val="20"/>
                <w:szCs w:val="20"/>
                <w:color w:val="auto"/>
              </w:rPr>
            </w:pPr>
            <w:r>
              <w:rPr>
                <w:rFonts w:ascii="Arial" w:cs="Arial" w:eastAsia="Arial" w:hAnsi="Arial"/>
                <w:sz w:val="17"/>
                <w:szCs w:val="17"/>
                <w:color w:val="auto"/>
              </w:rPr>
              <w:t>NAND Flash</w:t>
            </w:r>
          </w:p>
        </w:tc>
        <w:tc>
          <w:tcPr>
            <w:tcW w:w="132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193"/>
        </w:trPr>
        <w:tc>
          <w:tcPr>
            <w:tcW w:w="2400" w:type="dxa"/>
            <w:vAlign w:val="bottom"/>
            <w:shd w:val="clear" w:color="auto" w:fill="CCEEFF"/>
          </w:tcPr>
          <w:p>
            <w:pPr>
              <w:spacing w:after="0"/>
              <w:rPr>
                <w:sz w:val="16"/>
                <w:szCs w:val="16"/>
                <w:color w:val="auto"/>
              </w:rPr>
            </w:pPr>
          </w:p>
        </w:tc>
        <w:tc>
          <w:tcPr>
            <w:tcW w:w="2880" w:type="dxa"/>
            <w:vAlign w:val="bottom"/>
            <w:shd w:val="clear" w:color="auto" w:fill="CCEEFF"/>
          </w:tcPr>
          <w:p>
            <w:pPr>
              <w:ind w:left="300"/>
              <w:spacing w:after="0" w:line="193" w:lineRule="exact"/>
              <w:rPr>
                <w:sz w:val="20"/>
                <w:szCs w:val="20"/>
                <w:color w:val="auto"/>
              </w:rPr>
            </w:pPr>
            <w:r>
              <w:rPr>
                <w:rFonts w:ascii="Arial" w:cs="Arial" w:eastAsia="Arial" w:hAnsi="Arial"/>
                <w:sz w:val="17"/>
                <w:szCs w:val="17"/>
                <w:color w:val="auto"/>
              </w:rPr>
              <w:t>Canon Inc. and Hewlett-Packard</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TECH</w:t>
            </w:r>
          </w:p>
        </w:tc>
        <w:tc>
          <w:tcPr>
            <w:tcW w:w="2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Corporation</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87%</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1998</w:t>
            </w: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DRAM</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2400" w:type="dxa"/>
            <w:vAlign w:val="bottom"/>
          </w:tcPr>
          <w:p>
            <w:pPr>
              <w:spacing w:after="0"/>
              <w:rPr>
                <w:sz w:val="20"/>
                <w:szCs w:val="20"/>
                <w:color w:val="auto"/>
              </w:rPr>
            </w:pPr>
            <w:r>
              <w:rPr>
                <w:rFonts w:ascii="Arial" w:cs="Arial" w:eastAsia="Arial" w:hAnsi="Arial"/>
                <w:sz w:val="17"/>
                <w:szCs w:val="17"/>
                <w:color w:val="auto"/>
              </w:rPr>
              <w:t>MP Mask</w:t>
            </w:r>
          </w:p>
        </w:tc>
        <w:tc>
          <w:tcPr>
            <w:tcW w:w="2880" w:type="dxa"/>
            <w:vAlign w:val="bottom"/>
          </w:tcPr>
          <w:p>
            <w:pPr>
              <w:ind w:left="300"/>
              <w:spacing w:after="0"/>
              <w:rPr>
                <w:sz w:val="20"/>
                <w:szCs w:val="20"/>
                <w:color w:val="auto"/>
              </w:rPr>
            </w:pPr>
            <w:r>
              <w:rPr>
                <w:rFonts w:ascii="Arial" w:cs="Arial" w:eastAsia="Arial" w:hAnsi="Arial"/>
                <w:sz w:val="17"/>
                <w:szCs w:val="17"/>
                <w:color w:val="auto"/>
              </w:rPr>
              <w:t>Photronics, Inc.</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color w:val="auto"/>
              </w:rPr>
              <w:t>50%</w:t>
            </w:r>
          </w:p>
        </w:tc>
        <w:tc>
          <w:tcPr>
            <w:tcW w:w="1400" w:type="dxa"/>
            <w:vAlign w:val="bottom"/>
            <w:gridSpan w:val="3"/>
          </w:tcPr>
          <w:p>
            <w:pPr>
              <w:jc w:val="right"/>
              <w:ind w:right="60"/>
              <w:spacing w:after="0"/>
              <w:rPr>
                <w:sz w:val="20"/>
                <w:szCs w:val="20"/>
                <w:color w:val="auto"/>
              </w:rPr>
            </w:pPr>
            <w:r>
              <w:rPr>
                <w:rFonts w:ascii="Arial" w:cs="Arial" w:eastAsia="Arial" w:hAnsi="Arial"/>
                <w:sz w:val="17"/>
                <w:szCs w:val="17"/>
                <w:color w:val="auto"/>
              </w:rPr>
              <w:t>2006</w:t>
            </w:r>
          </w:p>
        </w:tc>
        <w:tc>
          <w:tcPr>
            <w:tcW w:w="1980" w:type="dxa"/>
            <w:vAlign w:val="bottom"/>
            <w:gridSpan w:val="2"/>
          </w:tcPr>
          <w:p>
            <w:pPr>
              <w:ind w:left="40"/>
              <w:spacing w:after="0"/>
              <w:rPr>
                <w:sz w:val="20"/>
                <w:szCs w:val="20"/>
                <w:color w:val="auto"/>
              </w:rPr>
            </w:pPr>
            <w:r>
              <w:rPr>
                <w:rFonts w:ascii="Arial" w:cs="Arial" w:eastAsia="Arial" w:hAnsi="Arial"/>
                <w:sz w:val="17"/>
                <w:szCs w:val="17"/>
                <w:color w:val="auto"/>
              </w:rPr>
              <w:t>Photomasks</w:t>
            </w:r>
          </w:p>
        </w:tc>
        <w:tc>
          <w:tcPr>
            <w:tcW w:w="1320" w:type="dxa"/>
            <w:vAlign w:val="bottom"/>
            <w:gridSpan w:val="3"/>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24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400" w:type="dxa"/>
            <w:vAlign w:val="bottom"/>
          </w:tcPr>
          <w:p>
            <w:pPr>
              <w:spacing w:after="0"/>
              <w:rPr>
                <w:sz w:val="20"/>
                <w:szCs w:val="20"/>
                <w:color w:val="auto"/>
              </w:rPr>
            </w:pPr>
            <w:r>
              <w:rPr>
                <w:rFonts w:ascii="Arial" w:cs="Arial" w:eastAsia="Arial" w:hAnsi="Arial"/>
                <w:sz w:val="17"/>
                <w:szCs w:val="17"/>
                <w:b w:val="1"/>
                <w:bCs w:val="1"/>
                <w:color w:val="auto"/>
              </w:rPr>
              <w:t>Equity Method Investments:</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Inotera</w:t>
            </w:r>
          </w:p>
        </w:tc>
        <w:tc>
          <w:tcPr>
            <w:tcW w:w="2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Nanya Technology Corporation</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2009</w:t>
            </w: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DRAM</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2400" w:type="dxa"/>
            <w:vAlign w:val="bottom"/>
          </w:tcPr>
          <w:p>
            <w:pPr>
              <w:spacing w:after="0"/>
              <w:rPr>
                <w:sz w:val="20"/>
                <w:szCs w:val="20"/>
                <w:color w:val="auto"/>
              </w:rPr>
            </w:pPr>
            <w:r>
              <w:rPr>
                <w:rFonts w:ascii="Arial" w:cs="Arial" w:eastAsia="Arial" w:hAnsi="Arial"/>
                <w:sz w:val="17"/>
                <w:szCs w:val="17"/>
                <w:color w:val="auto"/>
              </w:rPr>
              <w:t>MeiYa</w:t>
            </w:r>
          </w:p>
        </w:tc>
        <w:tc>
          <w:tcPr>
            <w:tcW w:w="2880" w:type="dxa"/>
            <w:vAlign w:val="bottom"/>
          </w:tcPr>
          <w:p>
            <w:pPr>
              <w:ind w:left="300"/>
              <w:spacing w:after="0"/>
              <w:rPr>
                <w:sz w:val="20"/>
                <w:szCs w:val="20"/>
                <w:color w:val="auto"/>
              </w:rPr>
            </w:pPr>
            <w:r>
              <w:rPr>
                <w:rFonts w:ascii="Arial" w:cs="Arial" w:eastAsia="Arial" w:hAnsi="Arial"/>
                <w:sz w:val="17"/>
                <w:szCs w:val="17"/>
                <w:color w:val="auto"/>
              </w:rPr>
              <w:t>Nanya Technology Corporation</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color w:val="auto"/>
              </w:rPr>
              <w:t>50%</w:t>
            </w:r>
          </w:p>
        </w:tc>
        <w:tc>
          <w:tcPr>
            <w:tcW w:w="1400" w:type="dxa"/>
            <w:vAlign w:val="bottom"/>
            <w:gridSpan w:val="3"/>
          </w:tcPr>
          <w:p>
            <w:pPr>
              <w:jc w:val="right"/>
              <w:ind w:right="60"/>
              <w:spacing w:after="0"/>
              <w:rPr>
                <w:sz w:val="20"/>
                <w:szCs w:val="20"/>
                <w:color w:val="auto"/>
              </w:rPr>
            </w:pPr>
            <w:r>
              <w:rPr>
                <w:rFonts w:ascii="Arial" w:cs="Arial" w:eastAsia="Arial" w:hAnsi="Arial"/>
                <w:sz w:val="17"/>
                <w:szCs w:val="17"/>
                <w:color w:val="auto"/>
              </w:rPr>
              <w:t>2008</w:t>
            </w:r>
          </w:p>
        </w:tc>
        <w:tc>
          <w:tcPr>
            <w:tcW w:w="1980" w:type="dxa"/>
            <w:vAlign w:val="bottom"/>
            <w:gridSpan w:val="2"/>
          </w:tcPr>
          <w:p>
            <w:pPr>
              <w:ind w:left="40"/>
              <w:spacing w:after="0"/>
              <w:rPr>
                <w:sz w:val="20"/>
                <w:szCs w:val="20"/>
                <w:color w:val="auto"/>
              </w:rPr>
            </w:pPr>
            <w:r>
              <w:rPr>
                <w:rFonts w:ascii="Arial" w:cs="Arial" w:eastAsia="Arial" w:hAnsi="Arial"/>
                <w:sz w:val="17"/>
                <w:szCs w:val="17"/>
                <w:color w:val="auto"/>
              </w:rPr>
              <w:t>DRAM</w:t>
            </w:r>
          </w:p>
        </w:tc>
        <w:tc>
          <w:tcPr>
            <w:tcW w:w="132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Transform</w:t>
            </w:r>
          </w:p>
        </w:tc>
        <w:tc>
          <w:tcPr>
            <w:tcW w:w="2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Origin Energy Limited</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2010</w:t>
            </w: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Solar Panels</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193"/>
        </w:trPr>
        <w:tc>
          <w:tcPr>
            <w:tcW w:w="2400" w:type="dxa"/>
            <w:vAlign w:val="bottom"/>
          </w:tcPr>
          <w:p>
            <w:pPr>
              <w:spacing w:after="0"/>
              <w:rPr>
                <w:sz w:val="16"/>
                <w:szCs w:val="16"/>
                <w:color w:val="auto"/>
              </w:rPr>
            </w:pPr>
          </w:p>
        </w:tc>
        <w:tc>
          <w:tcPr>
            <w:tcW w:w="2880" w:type="dxa"/>
            <w:vAlign w:val="bottom"/>
          </w:tcPr>
          <w:p>
            <w:pPr>
              <w:ind w:left="300"/>
              <w:spacing w:after="0" w:line="193" w:lineRule="exact"/>
              <w:rPr>
                <w:sz w:val="20"/>
                <w:szCs w:val="20"/>
                <w:color w:val="auto"/>
              </w:rPr>
            </w:pPr>
            <w:r>
              <w:rPr>
                <w:rFonts w:ascii="Arial" w:cs="Arial" w:eastAsia="Arial" w:hAnsi="Arial"/>
                <w:sz w:val="17"/>
                <w:szCs w:val="17"/>
                <w:color w:val="auto"/>
              </w:rPr>
              <w:t>Riverwood Capital LLC and TPG</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7"/>
                <w:szCs w:val="17"/>
                <w:color w:val="auto"/>
              </w:rPr>
              <w:t>Aptina</w:t>
            </w:r>
          </w:p>
        </w:tc>
        <w:tc>
          <w:tcPr>
            <w:tcW w:w="2880" w:type="dxa"/>
            <w:vAlign w:val="bottom"/>
          </w:tcPr>
          <w:p>
            <w:pPr>
              <w:ind w:left="440"/>
              <w:spacing w:after="0"/>
              <w:rPr>
                <w:sz w:val="20"/>
                <w:szCs w:val="20"/>
                <w:color w:val="auto"/>
              </w:rPr>
            </w:pPr>
            <w:r>
              <w:rPr>
                <w:rFonts w:ascii="Arial" w:cs="Arial" w:eastAsia="Arial" w:hAnsi="Arial"/>
                <w:sz w:val="17"/>
                <w:szCs w:val="17"/>
                <w:color w:val="auto"/>
              </w:rPr>
              <w:t>Partners VI, L.P.</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color w:val="auto"/>
              </w:rPr>
              <w:t>35%</w:t>
            </w:r>
          </w:p>
        </w:tc>
        <w:tc>
          <w:tcPr>
            <w:tcW w:w="1400" w:type="dxa"/>
            <w:vAlign w:val="bottom"/>
            <w:gridSpan w:val="3"/>
          </w:tcPr>
          <w:p>
            <w:pPr>
              <w:jc w:val="right"/>
              <w:ind w:right="60"/>
              <w:spacing w:after="0"/>
              <w:rPr>
                <w:sz w:val="20"/>
                <w:szCs w:val="20"/>
                <w:color w:val="auto"/>
              </w:rPr>
            </w:pPr>
            <w:r>
              <w:rPr>
                <w:rFonts w:ascii="Arial" w:cs="Arial" w:eastAsia="Arial" w:hAnsi="Arial"/>
                <w:sz w:val="17"/>
                <w:szCs w:val="17"/>
                <w:color w:val="auto"/>
              </w:rPr>
              <w:t>2009</w:t>
            </w:r>
          </w:p>
        </w:tc>
        <w:tc>
          <w:tcPr>
            <w:tcW w:w="1980" w:type="dxa"/>
            <w:vAlign w:val="bottom"/>
            <w:gridSpan w:val="2"/>
          </w:tcPr>
          <w:p>
            <w:pPr>
              <w:ind w:left="40"/>
              <w:spacing w:after="0"/>
              <w:rPr>
                <w:sz w:val="20"/>
                <w:szCs w:val="20"/>
                <w:color w:val="auto"/>
              </w:rPr>
            </w:pPr>
            <w:r>
              <w:rPr>
                <w:rFonts w:ascii="Arial" w:cs="Arial" w:eastAsia="Arial" w:hAnsi="Arial"/>
                <w:sz w:val="17"/>
                <w:szCs w:val="17"/>
                <w:color w:val="auto"/>
              </w:rPr>
              <w:t>CMOS Image Sensors</w:t>
            </w:r>
          </w:p>
        </w:tc>
        <w:tc>
          <w:tcPr>
            <w:tcW w:w="132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bl>
    <w:p>
      <w:pPr>
        <w:spacing w:after="0" w:line="220" w:lineRule="exact"/>
        <w:rPr>
          <w:sz w:val="20"/>
          <w:szCs w:val="20"/>
          <w:color w:val="auto"/>
        </w:rPr>
      </w:pPr>
    </w:p>
    <w:p>
      <w:pPr>
        <w:ind w:left="620" w:hanging="287"/>
        <w:spacing w:after="0"/>
        <w:tabs>
          <w:tab w:leader="none" w:pos="62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 Flash: </w:t>
      </w:r>
      <w:r>
        <w:rPr>
          <w:rFonts w:ascii="Arial" w:cs="Arial" w:eastAsia="Arial" w:hAnsi="Arial"/>
          <w:sz w:val="16"/>
          <w:szCs w:val="16"/>
          <w:color w:val="auto"/>
        </w:rPr>
        <w:t>We have partnered with Intel Corporation ("Intel") for the design, development and manufacture of NAND Flash products. In connection</w:t>
      </w:r>
    </w:p>
    <w:p>
      <w:pPr>
        <w:spacing w:after="0" w:line="32" w:lineRule="exact"/>
        <w:rPr>
          <w:rFonts w:ascii="Arial" w:cs="Arial" w:eastAsia="Arial" w:hAnsi="Arial"/>
          <w:sz w:val="16"/>
          <w:szCs w:val="16"/>
          <w:b w:val="1"/>
          <w:bCs w:val="1"/>
          <w:i w:val="1"/>
          <w:iCs w:val="1"/>
          <w:color w:val="auto"/>
        </w:rPr>
      </w:pPr>
    </w:p>
    <w:p>
      <w:pPr>
        <w:ind w:left="620" w:right="140"/>
        <w:spacing w:after="0" w:line="253" w:lineRule="auto"/>
        <w:rPr>
          <w:rFonts w:ascii="Arial" w:cs="Arial" w:eastAsia="Arial" w:hAnsi="Arial"/>
          <w:sz w:val="16"/>
          <w:szCs w:val="16"/>
          <w:b w:val="1"/>
          <w:bCs w:val="1"/>
          <w:i w:val="1"/>
          <w:iCs w:val="1"/>
          <w:color w:val="auto"/>
        </w:rPr>
      </w:pPr>
      <w:r>
        <w:rPr>
          <w:rFonts w:ascii="Arial" w:cs="Arial" w:eastAsia="Arial" w:hAnsi="Arial"/>
          <w:sz w:val="17"/>
          <w:szCs w:val="17"/>
          <w:color w:val="auto"/>
        </w:rPr>
        <w:t>therewith, we have formed two joint ventures with Intel to manufacture NAND Flash memory products for the exclusive benefit of the partners: IM Flash Technologies, LLC ("IMFT") and IM Flash Singapore LLP ("IMFS") (collectively, "IM Flash"). The parties share the output of IM Flash generally in proportion to their investment in IM Flash. We sell NAND Flash products to Intel through IM Flash at long-term negotiated prices approximating cost. We generally share product design and other research and development costs equally with Intel. In the second quarter of 2010, IM Flash commenced start-up activities, including placing purchase orders and preparing for tool installations, at its new 300mm wafer fabrication facility in Singapore. Our interest in IMFS increased to 71% on October 5, 2010, at which time we obtained a majority of the seats of the board of managers of IMFS. (See "Item 8. Financial Statements and Supplementary Data – Notes to Consolidated Financial Statements – Consolidated Variable Interest Entities – NAND Flash joint ventures with Intel" note.)</w:t>
      </w:r>
    </w:p>
    <w:p>
      <w:pPr>
        <w:spacing w:after="0" w:line="212" w:lineRule="exact"/>
        <w:rPr>
          <w:rFonts w:ascii="Arial" w:cs="Arial" w:eastAsia="Arial" w:hAnsi="Arial"/>
          <w:sz w:val="16"/>
          <w:szCs w:val="16"/>
          <w:b w:val="1"/>
          <w:bCs w:val="1"/>
          <w:i w:val="1"/>
          <w:iCs w:val="1"/>
          <w:color w:val="auto"/>
        </w:rPr>
      </w:pPr>
    </w:p>
    <w:p>
      <w:pPr>
        <w:ind w:left="620" w:right="20" w:hanging="287"/>
        <w:spacing w:after="0" w:line="293" w:lineRule="auto"/>
        <w:tabs>
          <w:tab w:leader="none" w:pos="62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TECH: </w:t>
      </w:r>
      <w:r>
        <w:rPr>
          <w:rFonts w:ascii="Arial" w:cs="Arial" w:eastAsia="Arial" w:hAnsi="Arial"/>
          <w:sz w:val="15"/>
          <w:szCs w:val="15"/>
          <w:color w:val="auto"/>
        </w:rPr>
        <w:t>We have a DRAM memory manufacturing joint venture in Singapore, TECH Semiconductor Singapore Pte. Ltd. ("TECH") among us, Canon Inc.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("Canon") and Hewlett-Packard Company ("HP"). As of September 2, 2010, we owned an approximate 87% interest in TECH. Subject to specific terms and conditions of the joint venture agreements, we have agreed to purchase all of the products manufactured by TECH. TECH’s semiconductor manufacturing facilities use our product and process technology. The shareholders’ agreement for the TECH joint venture expires in April 2011. In September 2009, TECH received a notice from HP that it does not intend to extend the TECH joint venture beyond April 2011. We are in discussions with HP and Canon to reach a resolution of this matter. The parties’ inability to reach a resolution prior to April 2011 could result in the sale of TECH’s assets and could require repayment of TECH’s credit facility ($348 million outstanding as of September 2, 2010). As of September 2, 2010, the carrying value of TECH’s net assets was $1.1 billion. TECH accounted for 45% of our total DRAM wafer production in 2010, including 48% in the fourth quarter of 2010. (See "Item 8. Financial Statements and Supplementary Data – Notes to Consolidated Financial Statements – TECH Semiconductor Singapore Pte. Ltd." note.)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 w:name="page10"/>
    <w:bookmarkEnd w:id="9"/>
    <w:p>
      <w:pPr>
        <w:ind w:left="620" w:right="180" w:hanging="287"/>
        <w:spacing w:after="0" w:line="260" w:lineRule="auto"/>
        <w:tabs>
          <w:tab w:leader="none" w:pos="62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MP Mask: </w:t>
      </w:r>
      <w:r>
        <w:rPr>
          <w:rFonts w:ascii="Arial" w:cs="Arial" w:eastAsia="Arial" w:hAnsi="Arial"/>
          <w:sz w:val="17"/>
          <w:szCs w:val="17"/>
          <w:color w:val="auto"/>
        </w:rPr>
        <w:t>We produce photomasks for leading-edge and advanced next generation semiconductors through MP Mask Technology Center, LLC ("MP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Mask"), a joint venture with Photronics, Inc. ("Photronics"). We and Photronics also have supply arrangements wherein we purchase a substantial majority of the reticles produced by MP Mask. (See "Item 8. Financial Statements and Supplementary Data – Notes to Consolidated Financial Statements – Consolidated Variable Interest Entities – MP Mask Technology Center, LLC." note.)</w:t>
      </w:r>
    </w:p>
    <w:p>
      <w:pPr>
        <w:spacing w:after="0" w:line="204" w:lineRule="exact"/>
        <w:rPr>
          <w:rFonts w:ascii="Arial" w:cs="Arial" w:eastAsia="Arial" w:hAnsi="Arial"/>
          <w:sz w:val="17"/>
          <w:szCs w:val="17"/>
          <w:b w:val="1"/>
          <w:bCs w:val="1"/>
          <w:i w:val="1"/>
          <w:iCs w:val="1"/>
          <w:color w:val="auto"/>
        </w:rPr>
      </w:pPr>
    </w:p>
    <w:p>
      <w:pPr>
        <w:ind w:left="620" w:right="40" w:hanging="287"/>
        <w:spacing w:after="0" w:line="287" w:lineRule="auto"/>
        <w:tabs>
          <w:tab w:leader="none" w:pos="62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Inotera and MeiYa: </w:t>
      </w:r>
      <w:r>
        <w:rPr>
          <w:rFonts w:ascii="Arial" w:cs="Arial" w:eastAsia="Arial" w:hAnsi="Arial"/>
          <w:sz w:val="15"/>
          <w:szCs w:val="15"/>
          <w:color w:val="auto"/>
        </w:rPr>
        <w:t>We have partnered with Nanya Technology Corporation ("Nanya") for the design, development and manufacture of stack DRAM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products, including the joint development of DRAM process technology. In connection therewith, we have partnered with Nanya in two Taiwan DRAM memory companies, Inotera Memories, Inc. ("Inotera") and MeiYa Technology Corporation ("MeiYa"). We have a supply agreement with Inotera and Nanya which gives us the right and obligation to purchase 50% of Inotera’s semiconductor memory components subject to specific terms and conditions. Under the formula for this supply agreement, all parties’ manufacturing costs related to wafers supplied by Inotera, as well as our and Nanya’s selling prices for the resale of products from wafers supplied by Inotera, are considered in determining costs for wafers from Inotera. We also partner with Nanya to jointly develop process technology and designs to manufacture stack DRAM products. In connection with the partnering agreement, we have also deployed and licensed certain intellectual property related to the manufacture of stack DRAM products to Nanya and licensed certain intellectual property from</w:t>
      </w:r>
    </w:p>
    <w:p>
      <w:pPr>
        <w:spacing w:after="0" w:line="2" w:lineRule="exact"/>
        <w:rPr>
          <w:rFonts w:ascii="Arial" w:cs="Arial" w:eastAsia="Arial" w:hAnsi="Arial"/>
          <w:sz w:val="15"/>
          <w:szCs w:val="15"/>
          <w:b w:val="1"/>
          <w:bCs w:val="1"/>
          <w:i w:val="1"/>
          <w:iCs w:val="1"/>
          <w:color w:val="auto"/>
        </w:rPr>
      </w:pPr>
    </w:p>
    <w:p>
      <w:pPr>
        <w:jc w:val="both"/>
        <w:ind w:left="620" w:right="40"/>
        <w:spacing w:after="0" w:line="255" w:lineRule="auto"/>
        <w:rPr>
          <w:rFonts w:ascii="Arial" w:cs="Arial" w:eastAsia="Arial" w:hAnsi="Arial"/>
          <w:sz w:val="15"/>
          <w:szCs w:val="15"/>
          <w:b w:val="1"/>
          <w:bCs w:val="1"/>
          <w:i w:val="1"/>
          <w:iCs w:val="1"/>
          <w:color w:val="auto"/>
        </w:rPr>
      </w:pPr>
      <w:r>
        <w:rPr>
          <w:rFonts w:ascii="Arial" w:cs="Arial" w:eastAsia="Arial" w:hAnsi="Arial"/>
          <w:sz w:val="17"/>
          <w:szCs w:val="17"/>
          <w:color w:val="auto"/>
        </w:rPr>
        <w:t>Nanya. Under a cost sharing arrangement effective beginning in April 2010, we generally share DRAM development costs equally with Nanya. In addition, in 2010, we began receiving royalties from Nanya for sales of stack DRAM products manufactured by or for Nanya with technology developed prior to April 2010. (See "Item 8. Financial Statements and Supplementary Data – Notes to Consolidated Financial Statements – Equity Method Investments – Inotera and MeiYa DRAM Joint Ventures with Nanya" note.)</w:t>
      </w:r>
    </w:p>
    <w:p>
      <w:pPr>
        <w:spacing w:after="0" w:line="209" w:lineRule="exact"/>
        <w:rPr>
          <w:rFonts w:ascii="Arial" w:cs="Arial" w:eastAsia="Arial" w:hAnsi="Arial"/>
          <w:sz w:val="15"/>
          <w:szCs w:val="15"/>
          <w:b w:val="1"/>
          <w:bCs w:val="1"/>
          <w:i w:val="1"/>
          <w:iCs w:val="1"/>
          <w:color w:val="auto"/>
        </w:rPr>
      </w:pPr>
    </w:p>
    <w:p>
      <w:pPr>
        <w:ind w:left="620" w:right="80" w:hanging="287"/>
        <w:spacing w:after="0" w:line="281" w:lineRule="auto"/>
        <w:tabs>
          <w:tab w:leader="none" w:pos="62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Transform: </w:t>
      </w:r>
      <w:r>
        <w:rPr>
          <w:rFonts w:ascii="Arial" w:cs="Arial" w:eastAsia="Arial" w:hAnsi="Arial"/>
          <w:sz w:val="16"/>
          <w:szCs w:val="16"/>
          <w:color w:val="auto"/>
        </w:rPr>
        <w:t>On December 18, 2009, we acquired a 50% interest in Transform Solar Pty Limited ("Transform"), a subsidiary of Origin Energy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 in exchange for nonmonetary assets with a fair value of $65 million, consisting of manufacturing facilities, equipment, intellectual property and a fully-paid lease to a portion of our Boise, Idaho manufacturing facilities. Transform develops and manufactures photovoltaic solar panels. (See "Item 8. Financial Statements and Supplementary Data – Notes to Consolidated Financial Statements – Equity Method Investments – Transform" note.)</w:t>
      </w:r>
    </w:p>
    <w:p>
      <w:pPr>
        <w:spacing w:after="0" w:line="189" w:lineRule="exact"/>
        <w:rPr>
          <w:rFonts w:ascii="Arial" w:cs="Arial" w:eastAsia="Arial" w:hAnsi="Arial"/>
          <w:sz w:val="16"/>
          <w:szCs w:val="16"/>
          <w:b w:val="1"/>
          <w:bCs w:val="1"/>
          <w:i w:val="1"/>
          <w:iCs w:val="1"/>
          <w:color w:val="auto"/>
        </w:rPr>
      </w:pPr>
    </w:p>
    <w:p>
      <w:pPr>
        <w:ind w:left="620" w:right="120" w:hanging="287"/>
        <w:spacing w:after="0" w:line="281" w:lineRule="auto"/>
        <w:tabs>
          <w:tab w:leader="none" w:pos="62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Aptina: </w:t>
      </w:r>
      <w:r>
        <w:rPr>
          <w:rFonts w:ascii="Arial" w:cs="Arial" w:eastAsia="Arial" w:hAnsi="Arial"/>
          <w:sz w:val="16"/>
          <w:szCs w:val="16"/>
          <w:color w:val="auto"/>
        </w:rPr>
        <w:t>We manufacture CMOS image sensor products for Aptina under a wafer supply agreement. Our ownership in Aptina constitutes 35% of Aptina’s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common and preferred stock and 64% of Aptina’s common stock. Our investment in Aptina is accounted for as an equity method investment, in which we recognize our share of Aptina’s results of operations based on our 64% share of Aptina’s common stock. (See "Item 8. Financial Statements and Supplementary Data – Notes to Consolidated Financial Statements – Equity Method Investments – Aptina" note.)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233"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Our manufacturing facilities are located in the United States, China, Israel, Italy, Japan, Malaysia, the Philippines, Puerto Rico and Singapore. Our Inotera joint venture also has a wafer fabrication facility in Taiwan. Our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We continuously enhance our production processes, reducing die sizes and transitioning to higher density products. In the second half of 2010, most of our DRAM products were manufactured using our 50nm line-width process technology and we expect to transition our DRAM production to 42nm line-width process technology in 2011. In 2010 we began transitioning production of our NAND Flash memory products to our 25nm line-width process technology and expect that most of our NAND Flash products will be manufactured with this process technology in 2011. In 2010, we manufactured substantially all of our high-volume DRAM and NAND Flash products on 300mm wafers. We manufactured NOR Flash, some specialty DRAM and CMOS image sensor products on 200mm wafers.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spacing w:after="0" w:line="258" w:lineRule="auto"/>
        <w:rPr>
          <w:sz w:val="20"/>
          <w:szCs w:val="20"/>
          <w:color w:val="auto"/>
        </w:rPr>
      </w:pPr>
      <w:r>
        <w:rPr>
          <w:rFonts w:ascii="Arial" w:cs="Arial" w:eastAsia="Arial" w:hAnsi="Arial"/>
          <w:sz w:val="17"/>
          <w:szCs w:val="17"/>
          <w:color w:val="auto"/>
        </w:rPr>
        <w:t>Wafer fabrication occurs in a highly controlled, clean environment to minimize dust and other yield- and quality-limiting contaminants. Despite stringent manufacturing controls, equipment errors, minute impurities in materials, defects in photomasks, circuit design marginalities or defects and dust particles can lead to wafers being scrapped and individual circuits being nonfunctional. Success of our manufacturing operations depends largely on minimizing defects to maximize yield of high-quality circuits. In this regard, we employ rigorous quality controls throughout the manufacturing, screening and testing processes. We are able to recover many nonstandard devices by testing and grading them to their highest level of functionality.</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After fabrication, most silicon wafers are separated into individual die. We sell semiconductor products in both packaged and unpackaged (i.e. "bare die") forms. For packaged products, functional die are sorted, connected to external leads and encapsulated in plastic packages. We assemble products in a variety of packages, including TSOP (thin small outline package), TQFP (thin quad flat package) and FBGA (fine pitch ball grid array). Bare die products address customer requirements for smaller form factors and higher memory densities and provide superior flexibility for use in packaging technologies such as systems-in-a-package (SIPs) and multi-chip packages (MCPs), which reduce the board area required.</w:t>
      </w:r>
    </w:p>
    <w:p>
      <w:pPr>
        <w:spacing w:after="0" w:line="20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test our products at various stages in the manufacturing process, perform high temperature burn-in on finished products and conduct numerous quality control inspections throughout the entire production flow. In addition, we use our proprietary AMBYX™ line of intelligent test and burn-in systems to perform simultaneous circuit tests of DRAM die during the burn-in process, capturing quality and reliability data and reducing testing time and cost.</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We assemble a significant portion of our memory products into memory modules. Memory modules consist of an array of memory components attached to printed circuit boards ("PCBs") that insert directly into computer systems or other electronic devices. We also contract with independent foundries and assembly and testing organizations to manufacture Lexar flash media products such as memory cards and USB devices.</w:t>
      </w: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We utilize subcontractors to perform a significant portion of our assembly, test and module assembly services. Outsourcing these services enables us to reduce costs and minimize our capital investment.</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recent years, we have produced an increasingly broad portfolio of products, which enhances our ability to allocate resources to our most profitable products but also increases the complexity of our manufacturing process. Although our product lines generally use similar manufacturing processes, our overall cost efficiency can be affected by frequent conversions to new products, the allocation of manufacturing capacity to more complex, smaller-volume parts and the reallocation of manufacturing capacity across various product lines.</w:t>
      </w:r>
    </w:p>
    <w:p>
      <w:pPr>
        <w:spacing w:after="0" w:line="20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i w:val="1"/>
          <w:iCs w:val="1"/>
          <w:color w:val="auto"/>
        </w:rPr>
        <w:t xml:space="preserve">NAND Flash joint ventures with Intel Corporation: </w:t>
      </w:r>
      <w:r>
        <w:rPr>
          <w:rFonts w:ascii="Arial" w:cs="Arial" w:eastAsia="Arial" w:hAnsi="Arial"/>
          <w:sz w:val="17"/>
          <w:szCs w:val="17"/>
          <w:color w:val="auto"/>
        </w:rPr>
        <w:t>Our IM Flash joint ventures with Intel manufacture NAND Flash memory products for the exclusive benefit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partners. We share the output of IM Flash with Intel generally in proportion to their investment in IM Flash. In the second quarter of 2010, IM Flash began moving forward with start-up activities in a new Singapore wafer fabrication facility, including placing purchase orders and tool installations that commenced in the first quarter of 2011.</w:t>
      </w:r>
    </w:p>
    <w:p>
      <w:pPr>
        <w:spacing w:after="0" w:line="2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Under a supply agreement with Inotera, we have the right and obligation to obtain 50% of Inotera’s output, estimated to be approximately 65,000 300mm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DRAM wafer starts per month by the end of calendar 2010. In 2010, Inotera substantially completed a transition of its manufacturing from trench DRAM process technology to our stack DRAM process technology.</w:t>
      </w:r>
    </w:p>
    <w:p>
      <w:pPr>
        <w:spacing w:after="0" w:line="201"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b w:val="1"/>
          <w:bCs w:val="1"/>
          <w:i w:val="1"/>
          <w:iCs w:val="1"/>
          <w:color w:val="auto"/>
        </w:rPr>
        <w:t xml:space="preserve">TECH: </w:t>
      </w:r>
      <w:r>
        <w:rPr>
          <w:rFonts w:ascii="Arial" w:cs="Arial" w:eastAsia="Arial" w:hAnsi="Arial"/>
          <w:sz w:val="17"/>
          <w:szCs w:val="17"/>
          <w:color w:val="auto"/>
        </w:rPr>
        <w:t>Our TECH joint venture in Singapore manufactures DRAM products using our product and process technology. Subject to specific terms and conditions,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agreed to purchase all of the products manufactured by TECH. In 2010, TECH accounted for approximately 24% of our total wafer production and 45% of our total DRAM production.</w:t>
      </w:r>
    </w:p>
    <w:p>
      <w:pPr>
        <w:spacing w:after="0" w:line="201" w:lineRule="exact"/>
        <w:rPr>
          <w:sz w:val="20"/>
          <w:szCs w:val="20"/>
          <w:color w:val="auto"/>
        </w:rPr>
      </w:pPr>
    </w:p>
    <w:p>
      <w:pPr>
        <w:ind w:right="660"/>
        <w:spacing w:after="0" w:line="277" w:lineRule="auto"/>
        <w:rPr>
          <w:sz w:val="20"/>
          <w:szCs w:val="20"/>
          <w:color w:val="auto"/>
        </w:rPr>
      </w:pPr>
      <w:r>
        <w:rPr>
          <w:rFonts w:ascii="Arial" w:cs="Arial" w:eastAsia="Arial" w:hAnsi="Arial"/>
          <w:sz w:val="17"/>
          <w:szCs w:val="17"/>
          <w:b w:val="1"/>
          <w:bCs w:val="1"/>
          <w:i w:val="1"/>
          <w:iCs w:val="1"/>
          <w:color w:val="auto"/>
        </w:rPr>
        <w:t xml:space="preserve">MP Mask: </w:t>
      </w:r>
      <w:r>
        <w:rPr>
          <w:rFonts w:ascii="Arial" w:cs="Arial" w:eastAsia="Arial" w:hAnsi="Arial"/>
          <w:sz w:val="17"/>
          <w:szCs w:val="17"/>
          <w:color w:val="auto"/>
        </w:rPr>
        <w:t>We produce photomasks for leading-edge and advanced next generation semiconductors through MP Mask. We and Photronics also have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wherein we purchase a substantial majority of the reticles produced by MP Mask.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Aptina Supply Agreement: </w:t>
      </w:r>
      <w:r>
        <w:rPr>
          <w:rFonts w:ascii="Arial" w:cs="Arial" w:eastAsia="Arial" w:hAnsi="Arial"/>
          <w:sz w:val="17"/>
          <w:szCs w:val="17"/>
          <w:color w:val="auto"/>
        </w:rPr>
        <w:t>We manufacture CMOS image sensor products for Aptina under a wafer supply agreement.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(See "Partnering Arrangements")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Availability of Raw Materials</w:t>
      </w:r>
    </w:p>
    <w:p>
      <w:pPr>
        <w:spacing w:after="0" w:line="233" w:lineRule="exact"/>
        <w:rPr>
          <w:sz w:val="20"/>
          <w:szCs w:val="20"/>
          <w:color w:val="auto"/>
        </w:rPr>
      </w:pPr>
    </w:p>
    <w:p>
      <w:pPr>
        <w:ind w:right="520"/>
        <w:spacing w:after="0" w:line="289" w:lineRule="auto"/>
        <w:rPr>
          <w:sz w:val="20"/>
          <w:szCs w:val="20"/>
          <w:color w:val="auto"/>
        </w:rPr>
      </w:pPr>
      <w:r>
        <w:rPr>
          <w:rFonts w:ascii="Arial" w:cs="Arial" w:eastAsia="Arial" w:hAnsi="Arial"/>
          <w:sz w:val="15"/>
          <w:szCs w:val="15"/>
          <w:color w:val="auto"/>
        </w:rPr>
        <w:t>Our production processes require raw materials that meet exacting standards, including several that are customized for, or are unique to, us. We generally have multiple sources and sufficient availability of supply; however, only a limited number of suppliers are capable of delivering certain raw materials that meet our standards. In some cases, materials are provided by a single supplier. Various factors could reduce the availability of raw materials such as silicon wafers, photomasks, chemicals, gases, lead frames, molding compound and other materials. In addition, transportation problems could delay our receipt of raw</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materials. Although raw materials shortages or transportation problems have not significantly interrupted our operations in the past, shortages may occur from time to time in the future. Also, lead times for the supply of raw materials have been extended in the past. If our supply of raw materials is interrupted, or lead times are extended, our results of operations could be adversely affected.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Marketing and Customers</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Our products are sold into computing, consumer, networking, telecommunications, and imaging markets. Approximately 45% of our net sales for 2010 were to the computing market, which includes desktop PCs, servers, notebooks and workstations. Sales to Hewlett-Packard Company, primarily of DRAM, were 13% of our net sales in 2010. Sales to Intel, primarily of NAND Flash from our IM Flash joint ventures, were 9% of our net sales in 2010, 20% of our net sales in 2009 and 19% of our net sales in 2008.</w:t>
      </w:r>
    </w:p>
    <w:p>
      <w:pPr>
        <w:spacing w:after="0" w:line="204"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Our semiconductor memory products are offered under the Micron, Lexar®, Crucial™, SpecTek® and Numonyx® brand names and private labels. We market our semiconductor memory products primarily through our own direct sales force and maintain sales offices in our primary markets around the world. We sell Lexar-branded NAND Flash memory products primarily through retail channels and our Crucial™-branded products primarily through a web-based customer direct sales channel. Our products are also offered through independent sales representatives and distributors. Independent sales representatives obtain orders subject to final acceptance by us and are compensated on a commission basis. We make shipments against these orders directly to the customer. Distributors carry our products in inventory and typically sell a variety of other semiconductor products, including competitors’ products. We maintain inventory at locations in close proximity to certain key customers to facilitate rapid delivery of products.</w:t>
      </w:r>
    </w:p>
    <w:p>
      <w:pPr>
        <w:spacing w:after="0" w:line="196" w:lineRule="exact"/>
        <w:rPr>
          <w:sz w:val="20"/>
          <w:szCs w:val="20"/>
          <w:color w:val="auto"/>
        </w:rPr>
      </w:pPr>
    </w:p>
    <w:p>
      <w:pPr>
        <w:ind w:right="80"/>
        <w:spacing w:after="0" w:line="346" w:lineRule="auto"/>
        <w:rPr>
          <w:sz w:val="20"/>
          <w:szCs w:val="20"/>
          <w:color w:val="auto"/>
        </w:rPr>
      </w:pPr>
      <w:r>
        <w:rPr>
          <w:rFonts w:ascii="Arial" w:cs="Arial" w:eastAsia="Arial" w:hAnsi="Arial"/>
          <w:sz w:val="15"/>
          <w:szCs w:val="15"/>
          <w:color w:val="auto"/>
        </w:rPr>
        <w:t>We offer products designed to meet the diverse needs of computing, server, automotive, networking, commercial/industrial, consumer electronics, mobile, embedded, security and medical applications. Many of our customers require a thorough review or qualification of semiconductor products, which may take several months.</w:t>
      </w: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Backlog</w:t>
      </w:r>
    </w:p>
    <w:p>
      <w:pPr>
        <w:spacing w:after="0" w:line="233"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Because of volatile industry conditions, customers are reluctant to enter into long-term, fixed-price contracts. Accordingly, new order volumes for our semiconductor products fluctuate significantly. We typically accept orders with acknowledgment that the terms may be adjusted to reflect market conditions at the date of shipment. For these reasons, we do not believe that our order backlog as of any particular date is a reliable indicator of actual sales for any succeeding period.</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 Warranty</w:t>
      </w:r>
    </w:p>
    <w:p>
      <w:pPr>
        <w:spacing w:after="0" w:line="23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Because the design and manufacturing process for semiconductor products is highly complex, it is possible that we may produce products that do not comply with customer specifications, contain defects or are otherwise incompatible with end uses. In accordance with industry practice, we generally provide a limited warranty that our products are in compliance with our specifications existing at the time of delivery. Under our general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general terms and conditions.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2" w:name="page13"/>
    <w:bookmarkEnd w:id="12"/>
    <w:p>
      <w:pPr>
        <w:spacing w:after="0"/>
        <w:rPr>
          <w:sz w:val="20"/>
          <w:szCs w:val="20"/>
          <w:color w:val="auto"/>
        </w:rPr>
      </w:pPr>
      <w:r>
        <w:rPr>
          <w:rFonts w:ascii="Arial" w:cs="Arial" w:eastAsia="Arial" w:hAnsi="Arial"/>
          <w:sz w:val="21"/>
          <w:szCs w:val="21"/>
          <w:b w:val="1"/>
          <w:bCs w:val="1"/>
          <w:color w:val="auto"/>
        </w:rPr>
        <w:t>Competition</w:t>
      </w:r>
    </w:p>
    <w:p>
      <w:pPr>
        <w:spacing w:after="0" w:line="233"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We face intense competition in the semiconductor memory markets from a number of companies, including Elpida Memory, Inc.; Hynix Semiconductor Inc.; Samsung Electronics Co., Ltd; SanDisk Corporation; Spansion Inc. and Toshiba Corporation.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resulting in significantly increased worldwide supply and downward pressure on prices.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235" w:lineRule="exact"/>
        <w:rPr>
          <w:sz w:val="20"/>
          <w:szCs w:val="20"/>
          <w:color w:val="auto"/>
        </w:rPr>
      </w:pPr>
    </w:p>
    <w:p>
      <w:pPr>
        <w:ind w:right="300"/>
        <w:spacing w:after="0" w:line="300" w:lineRule="auto"/>
        <w:rPr>
          <w:sz w:val="20"/>
          <w:szCs w:val="20"/>
          <w:color w:val="auto"/>
        </w:rPr>
      </w:pPr>
      <w:r>
        <w:rPr>
          <w:rFonts w:ascii="Arial" w:cs="Arial" w:eastAsia="Arial" w:hAnsi="Arial"/>
          <w:sz w:val="15"/>
          <w:szCs w:val="15"/>
          <w:color w:val="auto"/>
        </w:rPr>
        <w:t>Our process technology research and development ("R&amp;D") efforts are focused primarily on development of successively smaller line-width process technologies, which are designed to facilitate our transition to next generation memory products. Additional process technology R&amp;D efforts focus on advanced computing and mobile memory architectures, the investigation of new opportunities that leverage our core semiconductor expertise and the development of new manufacturing materials. Product design and development efforts are concentrated on our high density DDR3DRAM and LP-DDR2 mobile LPDRAM products as well as high density and mobile NAND Flash memory (including multi-level cell technology), NOR Flash memory, specialty memory, PCM and memory systems.</w:t>
      </w:r>
    </w:p>
    <w:p>
      <w:pPr>
        <w:spacing w:after="0" w:line="178" w:lineRule="exact"/>
        <w:rPr>
          <w:sz w:val="20"/>
          <w:szCs w:val="20"/>
          <w:color w:val="auto"/>
        </w:rPr>
      </w:pPr>
    </w:p>
    <w:p>
      <w:pPr>
        <w:jc w:val="both"/>
        <w:ind w:right="240"/>
        <w:spacing w:after="0" w:line="315" w:lineRule="auto"/>
        <w:rPr>
          <w:sz w:val="20"/>
          <w:szCs w:val="20"/>
          <w:color w:val="auto"/>
        </w:rPr>
      </w:pPr>
      <w:r>
        <w:rPr>
          <w:rFonts w:ascii="Arial" w:cs="Arial" w:eastAsia="Arial" w:hAnsi="Arial"/>
          <w:sz w:val="15"/>
          <w:szCs w:val="15"/>
          <w:color w:val="auto"/>
        </w:rPr>
        <w:t>Our R&amp;D expenses were $624 million, $647 million and $680 million in 2010, 2009 and 2008, respectively. We generally share R&amp;D process and design costs for NAND Flash equally with Intel and for DRAM equally with Nanya. As a result of reimbursements under our NAND Flash and DRAM cost sharing arrangements with our joint venture partners, our overall R&amp;D expenses were reduced by $155 million, $107 million and $148 million in 2010, 2009 and 2008, respectively.</w:t>
      </w:r>
    </w:p>
    <w:p>
      <w:pPr>
        <w:spacing w:after="0" w:line="16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To compete in the semiconductor memory industry, we must continue to develop technologically advanced products and processes. We believe that expansion of our semiconductor product offerings is necessary to meet expected market demand for specific memory solutions. Our process development center and largest design center are located at our corporate headquarters in Boise, Idaho. We have several additional product design centers in other strategic locations around the world. In addition, we develop leading edge photolithography mask technology at our MP Mask joint venture facility in Boise.</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We deem development of a product complete once the product has been thoroughly reviewed and tested for performance and reliability. R&amp;D expenses can vary significantly depending on the timing of product qualification.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Geographic Information</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Sales to customers outside the United States totaled $7.1 billion for 2010 and included $3.3 billion in sales to China, $817 million in sales to Malaysia, $777 million in sales to Europe, $711 million in sales to Taiwan, and $1.1 billion in sales to the rest of the Asia Pacific region (excluding China, Malaysia and Taiwan). Sales to customers outside the United States totaled $3.9 billion for 2009 and $4.4 billion for 2008. As of September 2, 2010, we had net property, plant and equipment of $3.9 billion in the United States, $2.2 billion in Singapore, $173 million in Italy, $111 million in Israel, $90 million in China, $81 million in Japan, and $60 million in other countries. (See "Item 8. Financial Statements and Supplementary Data – Notes to Consolidated Financial Statements – Geographic Information" note and "Item 1A. Risk Factors.")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 and Licenses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In recent years, we have been recognized as a leader in per capita and quality of patents issued. As of September 2, 2010, we owned approximately 16,800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patents and 2,900 foreign patents. In addition, we have numerous U.S. and foreign patent applications pending. Our patents have terms expiring through 2029.</w:t>
      </w:r>
    </w:p>
    <w:p>
      <w:pPr>
        <w:spacing w:after="0" w:line="241"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We have a number of patent and intellectual property license agreements. Some of these license agreements require us to make one-time or periodic payments. We may need to obtain additional patent licenses or renew existing license agreements in the future. We are unable to predict whether these license agreements can be obtained or renewed on acceptable terms.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ind w:right="20"/>
        <w:spacing w:after="0" w:line="272" w:lineRule="auto"/>
        <w:rPr>
          <w:sz w:val="20"/>
          <w:szCs w:val="20"/>
          <w:color w:val="auto"/>
        </w:rPr>
      </w:pPr>
      <w:r>
        <w:rPr>
          <w:rFonts w:ascii="Arial" w:cs="Arial" w:eastAsia="Arial" w:hAnsi="Arial"/>
          <w:sz w:val="16"/>
          <w:szCs w:val="16"/>
          <w:color w:val="auto"/>
        </w:rPr>
        <w:t>In recent years, we have recovered some of our investment in technology through sales or license of intellectual property rights to joint venture partners and other third parties. We are pursuing additional opportunities to recover our investment in intellectual property through additional sales or licenses of intellectual property and potential partnering arrangements. On October 1, 2010, we entered into a 10-year patent cross-license agreement with Samsung Electronics Co., Ltd.</w:t>
      </w:r>
    </w:p>
    <w:p>
      <w:pPr>
        <w:spacing w:after="0" w:line="1"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("Samsung"). Under the agreement, Samsung will pay us $275 million, with $200 million paid in October 2010, $40 million due January 31, 2011 and $35 million due March 31, 2011. The license is a life-of-patents license for existing patents and applications, and a 10-year term license for all other patents.</w:t>
      </w: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As of September 2, 2010, we had approximately 25,900 employees, of which approximately 15,900 were outside the United States, including approximately 6,400 in Singapore, 3,400 in Italy, 1,500 in Japan, 1,300 in China and 1,200 in Israel. Our employees include approximately 2,300 in our IM Flash joint ventures, primarily located in the United States, and approximately 1,800 are employees of our TECH joint venture, located in Singapore. Our employment levels can vary depending on market conditions and the level of our production, research and product and process development. Many of our employees are highly skilled and our continued success depends in part upon our ability to attract and retain such employees. The loss of our key personnel could have a material adverse effect on our business, results of operations or financial condition.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Compliance</w:t>
      </w:r>
    </w:p>
    <w:p>
      <w:pPr>
        <w:spacing w:after="0" w:line="235"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Government regulations impose various environmental controls on raw materials and discharges, emissions and solid wastes from our manufacturing processes. In 2010, our wholly-owned wafer fabrication facilities continued to conform to the requirements of ISO 14001certification. To continue certification, we met annual requirements in environmental policy, compliance, planning, management, structure and responsibility, training, communication, document control, operational control, emergency preparedness and response, record keeping and management review. While we have not experienced any materially adverse effects to our operations from environmental regulations, changes in the regulations could necessitate additional capital expenditures, modification of our operations or other compliance actions.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Directors and Executive Officers of the Registrant</w:t>
      </w:r>
    </w:p>
    <w:p>
      <w:pPr>
        <w:spacing w:after="0" w:line="235"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Our officers are appointed annually by the Board of Directors and our directors are elected annually by our shareholders.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201"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As of September 2, 2010, the following executive officers and directors were subject to the reporting requirements of Section 16(a) of the Securities Exchange Act of 1934, as amended.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520" w:type="dxa"/>
            <w:vAlign w:val="bottom"/>
            <w:tcBorders>
              <w:bottom w:val="single" w:sz="8" w:color="auto"/>
            </w:tcBorders>
          </w:tcPr>
          <w:p>
            <w:pPr>
              <w:jc w:val="center"/>
              <w:ind w:left="835"/>
              <w:spacing w:after="0"/>
              <w:rPr>
                <w:sz w:val="20"/>
                <w:szCs w:val="20"/>
                <w:color w:val="auto"/>
              </w:rPr>
            </w:pPr>
            <w:r>
              <w:rPr>
                <w:rFonts w:ascii="Arial" w:cs="Arial" w:eastAsia="Arial" w:hAnsi="Arial"/>
                <w:sz w:val="17"/>
                <w:szCs w:val="17"/>
                <w:b w:val="1"/>
                <w:bCs w:val="1"/>
                <w:color w:val="auto"/>
                <w:w w:val="87"/>
              </w:rPr>
              <w:t>Age</w:t>
            </w:r>
          </w:p>
        </w:tc>
        <w:tc>
          <w:tcPr>
            <w:tcW w:w="72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Position</w:t>
            </w:r>
          </w:p>
        </w:tc>
        <w:tc>
          <w:tcPr>
            <w:tcW w:w="120" w:type="dxa"/>
            <w:vAlign w:val="bottom"/>
          </w:tcPr>
          <w:p>
            <w:pPr>
              <w:spacing w:after="0"/>
              <w:rPr>
                <w:sz w:val="19"/>
                <w:szCs w:val="19"/>
                <w:color w:val="auto"/>
              </w:rPr>
            </w:pP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Mark W. Adams</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46</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Vice President of Worldwide Sales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Steven R. Appleton</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50</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Chairman and Chief Executive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D. Mark Durcan</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49</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President and Chief Operating Officer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Ronald C. Foster</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59</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Vice President of Finance and Chief Financial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Glen W. Hawk</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48</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Vice President of Embedded Solutions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Roderic W. Lewis</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55</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Vice President of Legal Affairs, General Counsel and Corporate Secretary</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Mario Licciardello</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68</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Vice President of Wireless Business Group</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Patrick T. Otte</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48</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Vice President of Human Resources</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Brian J. Shields</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48</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Vice President of Worldwide Operations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Brian M. Shirley</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41</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Vice President of DRAM Solutions</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Teruaki Aoki</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68</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James W. Bagley</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71</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Robert L. Bailey</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53</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Mercedes Johnson</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56</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Lawrence N. Mondry</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50</w:t>
            </w:r>
          </w:p>
        </w:tc>
        <w:tc>
          <w:tcPr>
            <w:tcW w:w="7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Director</w:t>
            </w:r>
          </w:p>
        </w:tc>
      </w:tr>
      <w:tr>
        <w:trPr>
          <w:trHeight w:val="216"/>
        </w:trPr>
        <w:tc>
          <w:tcPr>
            <w:tcW w:w="2560" w:type="dxa"/>
            <w:vAlign w:val="bottom"/>
          </w:tcPr>
          <w:p>
            <w:pPr>
              <w:spacing w:after="0"/>
              <w:rPr>
                <w:sz w:val="20"/>
                <w:szCs w:val="20"/>
                <w:color w:val="auto"/>
              </w:rPr>
            </w:pPr>
            <w:r>
              <w:rPr>
                <w:rFonts w:ascii="Arial" w:cs="Arial" w:eastAsia="Arial" w:hAnsi="Arial"/>
                <w:sz w:val="17"/>
                <w:szCs w:val="17"/>
                <w:color w:val="auto"/>
              </w:rPr>
              <w:t>Robert E. Switz</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64</w:t>
            </w:r>
          </w:p>
        </w:tc>
        <w:tc>
          <w:tcPr>
            <w:tcW w:w="7340" w:type="dxa"/>
            <w:vAlign w:val="bottom"/>
            <w:gridSpan w:val="2"/>
          </w:tcPr>
          <w:p>
            <w:pPr>
              <w:ind w:left="340"/>
              <w:spacing w:after="0"/>
              <w:rPr>
                <w:sz w:val="20"/>
                <w:szCs w:val="20"/>
                <w:color w:val="auto"/>
              </w:rPr>
            </w:pPr>
            <w:r>
              <w:rPr>
                <w:rFonts w:ascii="Arial" w:cs="Arial" w:eastAsia="Arial" w:hAnsi="Arial"/>
                <w:sz w:val="17"/>
                <w:szCs w:val="17"/>
                <w:color w:val="auto"/>
              </w:rPr>
              <w:t>Director</w:t>
            </w:r>
          </w:p>
        </w:tc>
      </w:tr>
      <w:tr>
        <w:trPr>
          <w:trHeight w:val="564"/>
        </w:trPr>
        <w:tc>
          <w:tcPr>
            <w:tcW w:w="2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20" w:type="dxa"/>
            <w:vAlign w:val="bottom"/>
          </w:tcPr>
          <w:p>
            <w:pPr>
              <w:ind w:left="160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4"/>
                <w:szCs w:val="24"/>
                <w:color w:val="auto"/>
              </w:rPr>
            </w:pPr>
          </w:p>
        </w:tc>
      </w:tr>
      <w:tr>
        <w:trPr>
          <w:trHeight w:val="113"/>
        </w:trPr>
        <w:tc>
          <w:tcPr>
            <w:tcW w:w="25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14" w:name="page15"/>
    <w:bookmarkEnd w:id="14"/>
    <w:p>
      <w:pPr>
        <w:spacing w:after="0" w:line="288" w:lineRule="auto"/>
        <w:rPr>
          <w:sz w:val="20"/>
          <w:szCs w:val="20"/>
          <w:color w:val="auto"/>
        </w:rPr>
      </w:pPr>
      <w:r>
        <w:rPr>
          <w:rFonts w:ascii="Arial" w:cs="Arial" w:eastAsia="Arial" w:hAnsi="Arial"/>
          <w:sz w:val="16"/>
          <w:szCs w:val="16"/>
          <w:i w:val="1"/>
          <w:iCs w:val="1"/>
          <w:color w:val="auto"/>
        </w:rPr>
        <w:t xml:space="preserve">Mark W. Adams </w:t>
      </w:r>
      <w:r>
        <w:rPr>
          <w:rFonts w:ascii="Arial" w:cs="Arial" w:eastAsia="Arial" w:hAnsi="Arial"/>
          <w:sz w:val="16"/>
          <w:szCs w:val="16"/>
          <w:color w:val="auto"/>
        </w:rPr>
        <w:t>joined us in June 2006. From January 2006, until he joined us, Mr. Adams was the Chief Operating Officer of Lexar Media, Inc. Mr. Adams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us in February 1983 and has served in various capacities since that time. Mr. Appleton first became an officer in August 1989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in various officer positions since that time. From April 1991 until July 1992 and since May 1994, Mr. Appleton has served on our Board of Directors. From September 1994 to June 2007, Mr. Appleton served as our Chief Executive Officer, President and Chairman of the Board of Directors. From June 2007, Mr. Appleton served as our Chief Executive Officer and Chairman of the Board. Mr. Appleton is a member of the Board of Directors of National Semiconductor Corporation. Mr. Appleton holds a BA in Business Management from Boise State University.</w:t>
      </w:r>
    </w:p>
    <w:p>
      <w:pPr>
        <w:spacing w:after="0" w:line="206"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us in June 1984 and has served in various positions since that time. Mr. Durcan was appointed our Chief Operating Officer in February 2006</w:t>
      </w:r>
      <w:r>
        <w:rPr>
          <w:rFonts w:ascii="Arial" w:cs="Arial" w:eastAsia="Arial" w:hAnsi="Arial"/>
          <w:sz w:val="16"/>
          <w:szCs w:val="16"/>
          <w:i w:val="1"/>
          <w:iCs w:val="1"/>
          <w:color w:val="auto"/>
        </w:rPr>
        <w:t xml:space="preserve"> </w:t>
      </w:r>
      <w:r>
        <w:rPr>
          <w:rFonts w:ascii="Arial" w:cs="Arial" w:eastAsia="Arial" w:hAnsi="Arial"/>
          <w:sz w:val="16"/>
          <w:szCs w:val="16"/>
          <w:color w:val="auto"/>
        </w:rPr>
        <w:t>and President in June 2007. Mr. Durcan has been an officer since 1996. Mr. Durcan holds a BS and MChE in Chemical Engineering from Rice University.</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 xml:space="preserve">Ronald C. Foster </w:t>
      </w:r>
      <w:r>
        <w:rPr>
          <w:rFonts w:ascii="Arial" w:cs="Arial" w:eastAsia="Arial" w:hAnsi="Arial"/>
          <w:sz w:val="17"/>
          <w:szCs w:val="17"/>
          <w:color w:val="auto"/>
        </w:rPr>
        <w:t>joined us in April 2008 and is the Chief Financial Officer and Vice President of Finance. In this position, Mr. Foster has oversight responsibilities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aspects of Micron’s worldwide operations. He was appointed to his current position in 2008 after serving as a member of the Board of Directors from June 2004 to April 2005. Before joining Micron, Mr. Foster was the chief financial officer of FormFactor, Inc. He previously served as the Chief Financial Officer for JDS Uniphase, Inc., and Novell, Inc., and has held senior financial management positions at Hewlett-Packard and Applied Materials. He is currently a member of the Board of Directors of Luxim, Inc. Mr. Foster holds a master’s degree in business administration from the University of Chicago and a bachelor’s degree in economics from Whitman College.</w:t>
      </w:r>
    </w:p>
    <w:p>
      <w:pPr>
        <w:spacing w:after="0" w:line="2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7"/>
          <w:szCs w:val="17"/>
          <w:i w:val="1"/>
          <w:iCs w:val="1"/>
          <w:color w:val="auto"/>
        </w:rPr>
        <w:t xml:space="preserve">Glen W. Hawk </w:t>
      </w:r>
      <w:r>
        <w:rPr>
          <w:rFonts w:ascii="Arial" w:cs="Arial" w:eastAsia="Arial" w:hAnsi="Arial"/>
          <w:sz w:val="17"/>
          <w:szCs w:val="17"/>
          <w:color w:val="auto"/>
        </w:rPr>
        <w:t>joined us in May 2010 and serves as our Vice President of Embedded Solutions. Mr. Hawk served as the Vice President and General Manger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Embedded Business Group for Numonyx from 2008 to May 2010. Prior to Numonyx, Mr. Hawk served as General Manager of the Flash Product Group for Intel Corporation. Mr. Hawk holds a BS degree in Chemical Engineering from the University of California, Berkeley.</w:t>
      </w:r>
    </w:p>
    <w:p>
      <w:pPr>
        <w:spacing w:after="0" w:line="201"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i w:val="1"/>
          <w:iCs w:val="1"/>
          <w:color w:val="auto"/>
        </w:rPr>
        <w:t xml:space="preserve">Roderic W. Lewis </w:t>
      </w:r>
      <w:r>
        <w:rPr>
          <w:rFonts w:ascii="Arial" w:cs="Arial" w:eastAsia="Arial" w:hAnsi="Arial"/>
          <w:sz w:val="17"/>
          <w:szCs w:val="17"/>
          <w:color w:val="auto"/>
        </w:rPr>
        <w:t>joined us in August 1991 and has served in various capacities since that time. Mr. Lewis has served as our Vice President of Legal Affairs,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and Corporate Secretary since July 1996. Mr. Lewis holds a BA in Economics and Asian Studies from Brigham Young University and a JD from Columbia University School of Law.</w:t>
      </w:r>
    </w:p>
    <w:p>
      <w:pPr>
        <w:spacing w:after="0" w:line="201"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i w:val="1"/>
          <w:iCs w:val="1"/>
          <w:color w:val="auto"/>
        </w:rPr>
        <w:t xml:space="preserve">Mario Licciardello </w:t>
      </w:r>
      <w:r>
        <w:rPr>
          <w:rFonts w:ascii="Arial" w:cs="Arial" w:eastAsia="Arial" w:hAnsi="Arial"/>
          <w:sz w:val="16"/>
          <w:szCs w:val="16"/>
          <w:color w:val="auto"/>
        </w:rPr>
        <w:t>joined us in May 2010 and serves as our Vice President of Wireless Business Group. Mr. Licciardello served as the Chief Operating Officer for</w:t>
      </w:r>
      <w:r>
        <w:rPr>
          <w:rFonts w:ascii="Arial" w:cs="Arial" w:eastAsia="Arial" w:hAnsi="Arial"/>
          <w:sz w:val="16"/>
          <w:szCs w:val="16"/>
          <w:i w:val="1"/>
          <w:iCs w:val="1"/>
          <w:color w:val="auto"/>
        </w:rPr>
        <w:t xml:space="preserve"> </w:t>
      </w:r>
      <w:r>
        <w:rPr>
          <w:rFonts w:ascii="Arial" w:cs="Arial" w:eastAsia="Arial" w:hAnsi="Arial"/>
          <w:sz w:val="16"/>
          <w:szCs w:val="16"/>
          <w:color w:val="auto"/>
        </w:rPr>
        <w:t>Numonyx since its inception in 2008 through May 2010. Prior to Numonyx, Mr. Licciardello served as Corporate Vice President and General Manager of the Flash Memories Group at STMicroelectronics N.V. Mr. Licciardello holds a BS degree in Physics from the University of Catania, Italy.</w:t>
      </w:r>
    </w:p>
    <w:p>
      <w:pPr>
        <w:spacing w:after="0" w:line="184"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i w:val="1"/>
          <w:iCs w:val="1"/>
          <w:color w:val="auto"/>
        </w:rPr>
        <w:t xml:space="preserve">Patrick T. Otte </w:t>
      </w:r>
      <w:r>
        <w:rPr>
          <w:rFonts w:ascii="Arial" w:cs="Arial" w:eastAsia="Arial" w:hAnsi="Arial"/>
          <w:sz w:val="17"/>
          <w:szCs w:val="17"/>
          <w:color w:val="auto"/>
        </w:rPr>
        <w:t>joined us in 1987 and has served in various positions of increasing responsibility, including production and operations manager in several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fabrication facilities and site director for our facility in Manassas, Virginia. Mr. Otte has served as our Vice President of Human Resources since March 2007. Mr. Otte holds a Bachelor of Science degree from St. Paul Bible College in Minneapolis, Minnesota.</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i w:val="1"/>
          <w:iCs w:val="1"/>
          <w:color w:val="auto"/>
        </w:rPr>
        <w:t xml:space="preserve">Brian J. Shields </w:t>
      </w:r>
      <w:r>
        <w:rPr>
          <w:rFonts w:ascii="Arial" w:cs="Arial" w:eastAsia="Arial" w:hAnsi="Arial"/>
          <w:sz w:val="17"/>
          <w:szCs w:val="17"/>
          <w:color w:val="auto"/>
        </w:rPr>
        <w:t>joined us in November 1986 and has served in various operational positions with us. Mr. Shields first became an officer in March 2003 and was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Wafer Fabrication starting December 2005 and has served as Vice President of Worldwide Operations from June, 2010.</w:t>
      </w:r>
    </w:p>
    <w:p>
      <w:pPr>
        <w:spacing w:after="0" w:line="190"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i w:val="1"/>
          <w:iCs w:val="1"/>
          <w:color w:val="auto"/>
        </w:rPr>
        <w:t xml:space="preserve">Brian M. Shirley </w:t>
      </w:r>
      <w:r>
        <w:rPr>
          <w:rFonts w:ascii="Arial" w:cs="Arial" w:eastAsia="Arial" w:hAnsi="Arial"/>
          <w:sz w:val="16"/>
          <w:szCs w:val="16"/>
          <w:color w:val="auto"/>
        </w:rPr>
        <w:t>joined us in August 1992 and has served in various positions since that time. Mr. Shirley became Vice President of Memory in February 2006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served as Vice President of DRAM Solutions from June, 2010. Mr. Shirley holds a BS in Electrical Engineering from Stanford University.</w:t>
      </w:r>
    </w:p>
    <w:p>
      <w:pPr>
        <w:spacing w:after="0" w:line="167"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i w:val="1"/>
          <w:iCs w:val="1"/>
          <w:color w:val="auto"/>
        </w:rPr>
        <w:t xml:space="preserve">Teruaki Aoki </w:t>
      </w:r>
      <w:r>
        <w:rPr>
          <w:rFonts w:ascii="Arial" w:cs="Arial" w:eastAsia="Arial" w:hAnsi="Arial"/>
          <w:sz w:val="15"/>
          <w:szCs w:val="15"/>
          <w:color w:val="auto"/>
        </w:rPr>
        <w:t>has served as President of Sony University since April 2005. Dr. Aoki has been associated with Sony since 1970 and has held various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Compensation Committee. He has served on our Board of Directors since 2006.</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5" w:name="page16"/>
    <w:bookmarkEnd w:id="15"/>
    <w:p>
      <w:pPr>
        <w:ind w:right="40"/>
        <w:spacing w:after="0" w:line="315" w:lineRule="auto"/>
        <w:rPr>
          <w:sz w:val="20"/>
          <w:szCs w:val="20"/>
          <w:color w:val="auto"/>
        </w:rPr>
      </w:pPr>
      <w:r>
        <w:rPr>
          <w:rFonts w:ascii="Arial" w:cs="Arial" w:eastAsia="Arial" w:hAnsi="Arial"/>
          <w:sz w:val="15"/>
          <w:szCs w:val="15"/>
          <w:i w:val="1"/>
          <w:iCs w:val="1"/>
          <w:color w:val="auto"/>
        </w:rPr>
        <w:t xml:space="preserve">James W. Bagley </w:t>
      </w:r>
      <w:r>
        <w:rPr>
          <w:rFonts w:ascii="Arial" w:cs="Arial" w:eastAsia="Arial" w:hAnsi="Arial"/>
          <w:sz w:val="15"/>
          <w:szCs w:val="15"/>
          <w:color w:val="auto"/>
        </w:rPr>
        <w:t>became the Executive Chairman of Lam Research Corporation ("Lam"), a supplier of semiconductor manufacturing equipment, in June 2005. From</w:t>
      </w:r>
      <w:r>
        <w:rPr>
          <w:rFonts w:ascii="Arial" w:cs="Arial" w:eastAsia="Arial" w:hAnsi="Arial"/>
          <w:sz w:val="15"/>
          <w:szCs w:val="15"/>
          <w:i w:val="1"/>
          <w:iCs w:val="1"/>
          <w:color w:val="auto"/>
        </w:rPr>
        <w:t xml:space="preserve"> </w:t>
      </w:r>
      <w:r>
        <w:rPr>
          <w:rFonts w:ascii="Arial" w:cs="Arial" w:eastAsia="Arial" w:hAnsi="Arial"/>
          <w:sz w:val="15"/>
          <w:szCs w:val="15"/>
          <w:color w:val="auto"/>
        </w:rPr>
        <w:t>August 1997 through June 2005, Mr. Bagley served as the Chairman and Chief Executive Officer of Lam. Mr. Bagley is a member of the Board of Directors of Teradyne, Inc. He has served on our Board of Directors since June 1997. Mr. Bagley holds a MS and BS in Electrical Engineering from Mississippi State University.</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 xml:space="preserve">Robert L. Bailey </w:t>
      </w:r>
      <w:r>
        <w:rPr>
          <w:rFonts w:ascii="Arial" w:cs="Arial" w:eastAsia="Arial" w:hAnsi="Arial"/>
          <w:sz w:val="17"/>
          <w:szCs w:val="17"/>
          <w:color w:val="auto"/>
        </w:rPr>
        <w:t>has been Chairman of the Board of Directors of PMC-Sierra ("PMC") since 2005 and also served as PMC’s Chairman from February 2000 until</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2003. Mr. Bailey has been a director of PMC since October 1996. He also served as the President and Chief Executive Officer of PMC from July 1997 until May 2008. PMC is a leading provider of broadband communication and semiconductor storage solutions for the next-generation Internet. Mr. Bailey currently serves on the Board of Directors of Entropic Communications. Mr. Bailey holds a BS degree in Electrical Engineering from the University of Bridgeport and an MBA from the University of Dallas. He has served on our Board of Directors since 2007.</w:t>
      </w: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 xml:space="preserve">Mercedes Johnson </w:t>
      </w:r>
      <w:r>
        <w:rPr>
          <w:rFonts w:ascii="Arial" w:cs="Arial" w:eastAsia="Arial" w:hAnsi="Arial"/>
          <w:sz w:val="17"/>
          <w:szCs w:val="17"/>
          <w:color w:val="auto"/>
        </w:rPr>
        <w:t>was the Senior Vice President and Chief Financial Officer of Avago Technologies Limited, a supplier of analog interface components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industrial and consumer applications, from December 2005 to August 2008. She also served as the Senior Vice President, Finance, of Lam from June 2004 to January 2005 and as Lam’s Chief Financial Officer from May 1997 to May 2004. Ms. Johnson holds a degree in Accounting from the University of Buenos Aires and currently serves on the Board of Directors for Intersil Corporation. Ms. Johnson is the Chairman of the Board’s Audit Committee and has served on our Board of Directors since 2005.</w:t>
      </w:r>
    </w:p>
    <w:p>
      <w:pPr>
        <w:spacing w:after="0" w:line="206"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was the President and Chief Executive Officer of CSK Auto Corporation ("CSK"), a specialty retailer of automotive aftermarket parts, from</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2007 to July 2008. Prior to his appointment at CSK, Mr. Mondry served as the Chief Executive Officer of CompUSA Inc. from November 2003 to May 2006. Mr. Mondry joined CompUSA in 1990. Mr. Mondry is the Chairman of the Board’s Governance Committee and Presiding Director. He has served on our Board of Directors since 2005.</w:t>
      </w:r>
    </w:p>
    <w:p>
      <w:pPr>
        <w:spacing w:after="0" w:line="20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is currently Chairman, President and Chief Executive Officer of ADC Telecommunications, Inc., ("ADC"), a supplier of network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Mr. Switz has been President and Chief Executive officer of ADC since August 2003 and Chairman since August 2008. He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He has served on our Board of Directors since 2006.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our directors or executive officers.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21"/>
          <w:szCs w:val="21"/>
          <w:b w:val="1"/>
          <w:bCs w:val="1"/>
          <w:color w:val="auto"/>
        </w:rPr>
        <w:t>EXHIBIT 99.2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i w:val="1"/>
          <w:iCs w:val="1"/>
          <w:color w:val="auto"/>
        </w:rPr>
        <w:t>As used herein, "we," "our," "us" and similar terms include Micron Technology, Inc. and its subsidiaries, unless the context indicates otherwise. The following discussion contains trend information and other forward-looking statements that involve a number of risks and uncertainties. Forward-looking statements include, but are not limited to, statements such as those made in "Results of Operations" regarding the future composition of the our reportable segments; in "Net Sales" regarding future royalty and other payments from Nanya; DRAM production received from Inotera in 2011 and future increases in NAND Flash production resulting from the production ramp of IM Flash’s new fabrication facility; in "Gross Margin" regarding future charges for inventory write-downs and the impact on future margins from sales of Numonyx products obtained in the acquisition of Numonyx; in "Selling, General and Administrative" regarding SG&amp;A costs for the first quarter of 2011, future legal expenses and increased expenses resulting from the acquisition of Numonyx; in "Research and Development" regarding R&amp;D costs for the first quarter of 2011 and increased expenses resulting from the acquisition of Numonyx; in "Liquidity and Capital Resources" regarding capital spending in 2011, future distributions from IM Flash to Intel and future contribution by us to IM Flash; and in "Recently Issued Accounting Standards" regarding the impact from the adoption of new accounting standards. Our actual results could differ materially from our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September 2, 2010. All period references are to our fiscal periods unless otherwise indicated. Our fiscal year is the 52 or 53-week period ending on the Thursday closest to August 31. All tabular dollar amounts are in millions. Our fiscal 2010, which ended on September 2, 2010, contained 52 weeks, our fiscal 2009 contained 53 weeks and our fiscal 2008 contained 52 weeks. All production data includes the production of our consolidated joint ventures and our other partnering arrangements.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are a global manufacturer and marketer of semiconductor devices, principally DRAM, NAND Flash and NOR Flash memory, as well as other innovative memory technologies, packaging solutions and semiconductor systems. In addition, we manufacture semiconductor components for CMOS image sensors and other semiconductor products. We market our products through our internal sales force, independent sales representatives and distributors primarily to original equipment manufacturers and retailers located around the world. Our success is largely dependent on the market acceptance of our diversified portfolio of semiconductor products, efficient utilization of our manufacturing infrastructure, successful ongoing development of advanced process technologies and the return on research and development investments. (See "PART I - Item 1. Business.")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Numonyx Holdings B.V. ("Numonyx"): </w:t>
      </w:r>
      <w:r>
        <w:rPr>
          <w:rFonts w:ascii="Arial" w:cs="Arial" w:eastAsia="Arial" w:hAnsi="Arial"/>
          <w:sz w:val="17"/>
          <w:szCs w:val="17"/>
          <w:color w:val="auto"/>
        </w:rPr>
        <w:t>On May 7, 2010, we completed our acquisition of Numonyx Holdings B.V. ("Numonyx"), which manufactures and sells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NOR Flash, NAND Flash, DRAM and Phase Change memory technologies and products. We acquired Numonyx to further strengthen our portfolio of memory products, increase manufacturing and revenue scale, access Numonyx’s customer base and provide opportunities to increase multi-chip offerings in the embedded and mobile markets. In connection therewith, we issued 137.7 million shares of our common stock in exchange for all of the outstanding Numonyx capital stock and issued 4.8 million restricted stock units to the employees of Numonyx in exchange for all of their outstanding restricted stock units. The total fair value of the consideration we paid for Numonyx was $1,112 million and the net assets acquired were valued at $1,549 million resulting in a gain of $437 million. In addition, we recognized a $51 million income tax benefit in connection with the acquisition. Our results of operations for 2010 include $635 million of net sales and $13 million of operating losses from the Numonyx operations after the May 7, 2010 acquisition date. We incurred transaction costs of $20 million during 2010 in connection with the acquisition.</w:t>
      </w:r>
    </w:p>
    <w:p>
      <w:pPr>
        <w:spacing w:after="0" w:line="208"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In connection with our purchase of Numonyx on May 7, 2010, we acquired a 20.7% noncontrolling equity interest in Hynix-Numonyx Semiconductor Ltd. (the "Hynix JV"), a joint venture with Hynix Semiconductor, Inc. ("Hynix") and Hynix Semiconductor (WUXI) Limited. The change in control of Numonyx gave Hynix the right to purchase all of our equity interest in the Hynix JV. Hynix exercised its right to purchase our interest in the Hynix JV and consummated the equity transfer on August 31, 2010 for $423 million. Concurrent with the Numonyx acquisition, we entered into agreements with STMicroelectronics N.V. and DBS Bank Ltd. ("DBS") that required us to guarantee, under certain conditions, an outstanding loan, made by DBS to the Hynix JV and as a result, recorded a $15 million liability as of the acquisition date. The outstanding balance of the Hynix JV loan was $250 million as of the acquisition date and is due in periodic installments from 2014 through 2016. Under the agreements, on August 31, 2010 the conditions for the guarantee were satisfied and we deposited $250 million of proceeds from the sale of our interest in the Hynix JV into a pledged account at DBS to collateralize our obligations under the guarantee of the loan. The amount on deposit in the DBS account is accounted for as restricted cash. The amount on deposit and our guarantee decrease as payments are made by the Hynix JV against the loan.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ind w:right="460"/>
        <w:spacing w:after="0" w:line="277" w:lineRule="auto"/>
        <w:rPr>
          <w:sz w:val="20"/>
          <w:szCs w:val="20"/>
          <w:color w:val="auto"/>
        </w:rPr>
      </w:pPr>
      <w:r>
        <w:rPr>
          <w:rFonts w:ascii="Arial" w:cs="Arial" w:eastAsia="Arial" w:hAnsi="Arial"/>
          <w:sz w:val="17"/>
          <w:szCs w:val="17"/>
          <w:color w:val="auto"/>
        </w:rPr>
        <w:t>(See "Item 8. Financial Statements – Notes to Consolidated Financial Statements – Numonyx Holdings B.V." note and "Item 1. Financial Statements – Notes to Consolidated Financial Statements – Equity Method Investments – Hynix JV" note.)</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i w:val="1"/>
          <w:iCs w:val="1"/>
          <w:color w:val="auto"/>
        </w:rPr>
        <w:t xml:space="preserve">Business Segments: </w:t>
      </w:r>
      <w:r>
        <w:rPr>
          <w:rFonts w:ascii="Arial" w:cs="Arial" w:eastAsia="Arial" w:hAnsi="Arial"/>
          <w:sz w:val="17"/>
          <w:szCs w:val="17"/>
          <w:color w:val="auto"/>
        </w:rPr>
        <w:t>In the second quarter of 2011, we reorganized our business to better align with our markets. All prior period amounts have been retrospectively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to reflect this reorganization. After the reorganization, we have the following four reportable segments:</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 xml:space="preserve">DRAM Solutions Group ("DSG"): </w:t>
      </w:r>
      <w:r>
        <w:rPr>
          <w:rFonts w:ascii="Arial" w:cs="Arial" w:eastAsia="Arial" w:hAnsi="Arial"/>
          <w:sz w:val="16"/>
          <w:szCs w:val="16"/>
          <w:color w:val="auto"/>
        </w:rPr>
        <w:t>Includes high-volume DRAM products sold to the PC, consumer electronics, networking and server markets.</w:t>
      </w:r>
    </w:p>
    <w:p>
      <w:pPr>
        <w:spacing w:after="0" w:line="32" w:lineRule="exact"/>
        <w:rPr>
          <w:sz w:val="20"/>
          <w:szCs w:val="20"/>
          <w:color w:val="auto"/>
        </w:rPr>
      </w:pPr>
    </w:p>
    <w:p>
      <w:pPr>
        <w:ind w:left="960" w:right="740" w:hanging="153"/>
        <w:spacing w:after="0" w:line="251" w:lineRule="auto"/>
        <w:rPr>
          <w:sz w:val="20"/>
          <w:szCs w:val="20"/>
          <w:color w:val="auto"/>
        </w:rPr>
      </w:pPr>
      <w:r>
        <w:rPr>
          <w:rFonts w:ascii="Arial" w:cs="Arial" w:eastAsia="Arial" w:hAnsi="Arial"/>
          <w:sz w:val="17"/>
          <w:szCs w:val="17"/>
          <w:b w:val="1"/>
          <w:bCs w:val="1"/>
          <w:i w:val="1"/>
          <w:iCs w:val="1"/>
          <w:color w:val="auto"/>
        </w:rPr>
        <w:t xml:space="preserve">NAND Solutions Group ("NSG"): </w:t>
      </w:r>
      <w:r>
        <w:rPr>
          <w:rFonts w:ascii="Arial" w:cs="Arial" w:eastAsia="Arial" w:hAnsi="Arial"/>
          <w:sz w:val="17"/>
          <w:szCs w:val="17"/>
          <w:color w:val="auto"/>
        </w:rPr>
        <w:t>Includes high-volume NAND Flash products sold into data storage, personal music players, and portions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computing markets, as well as NAND Flash products sold to Intel through our consolidated IM Flash joint ventures.</w:t>
      </w:r>
    </w:p>
    <w:p>
      <w:pPr>
        <w:spacing w:after="0" w:line="1" w:lineRule="exact"/>
        <w:rPr>
          <w:sz w:val="20"/>
          <w:szCs w:val="20"/>
          <w:color w:val="auto"/>
        </w:rPr>
      </w:pPr>
    </w:p>
    <w:p>
      <w:pPr>
        <w:ind w:left="960" w:right="140" w:hanging="153"/>
        <w:spacing w:after="0" w:line="251" w:lineRule="auto"/>
        <w:rPr>
          <w:sz w:val="20"/>
          <w:szCs w:val="20"/>
          <w:color w:val="auto"/>
        </w:rPr>
      </w:pPr>
      <w:r>
        <w:rPr>
          <w:rFonts w:ascii="Arial" w:cs="Arial" w:eastAsia="Arial" w:hAnsi="Arial"/>
          <w:sz w:val="17"/>
          <w:szCs w:val="17"/>
          <w:b w:val="1"/>
          <w:bCs w:val="1"/>
          <w:i w:val="1"/>
          <w:iCs w:val="1"/>
          <w:color w:val="auto"/>
        </w:rPr>
        <w:t xml:space="preserve">Wireless Solutions Group ("WSG"): </w:t>
      </w:r>
      <w:r>
        <w:rPr>
          <w:rFonts w:ascii="Arial" w:cs="Arial" w:eastAsia="Arial" w:hAnsi="Arial"/>
          <w:sz w:val="17"/>
          <w:szCs w:val="17"/>
          <w:color w:val="auto"/>
        </w:rPr>
        <w:t>Includes DRAM, NAND Flash and NOR Flash products, including multi-chip packages, sold to the mobile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w:t>
      </w:r>
    </w:p>
    <w:p>
      <w:pPr>
        <w:spacing w:after="0" w:line="1" w:lineRule="exact"/>
        <w:rPr>
          <w:sz w:val="20"/>
          <w:szCs w:val="20"/>
          <w:color w:val="auto"/>
        </w:rPr>
      </w:pPr>
    </w:p>
    <w:p>
      <w:pPr>
        <w:ind w:left="960" w:right="120" w:hanging="153"/>
        <w:spacing w:after="0" w:line="263" w:lineRule="auto"/>
        <w:rPr>
          <w:sz w:val="20"/>
          <w:szCs w:val="20"/>
          <w:color w:val="auto"/>
        </w:rPr>
      </w:pPr>
      <w:r>
        <w:rPr>
          <w:rFonts w:ascii="Arial" w:cs="Arial" w:eastAsia="Arial" w:hAnsi="Arial"/>
          <w:sz w:val="17"/>
          <w:szCs w:val="17"/>
          <w:b w:val="1"/>
          <w:bCs w:val="1"/>
          <w:i w:val="1"/>
          <w:iCs w:val="1"/>
          <w:color w:val="auto"/>
        </w:rPr>
        <w:t xml:space="preserve">Embedded Solutions Group ("ESG"): </w:t>
      </w:r>
      <w:r>
        <w:rPr>
          <w:rFonts w:ascii="Arial" w:cs="Arial" w:eastAsia="Arial" w:hAnsi="Arial"/>
          <w:sz w:val="17"/>
          <w:szCs w:val="17"/>
          <w:color w:val="auto"/>
        </w:rPr>
        <w:t>Includes DRAM, NAND Flash and NOR Flash products sold into automotive and industrial applications,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NOR and NAND flash sold to consumer electronics, networking, PC and server markets.</w:t>
      </w: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Our other operations do not meet the quantitative thresholds of a reportable segment and are reported under All Other. All Other includes our CMOS image sensor, microdisplay and solar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35"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following table presents consolidated results of operations. Amounts in the table have been adjusted to reflect the retrospective application of new accounting standards for noncontrolling interests and certain convertible debt instruments. (See "Item 8. Financial Statements and Supplementary Data – Notes to Consolidated Financial Statements – Adjustment for Retrospective Application of New Accounting Standards" note.)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b w:val="1"/>
                <w:bCs w:val="1"/>
                <w:color w:val="auto"/>
              </w:rPr>
              <w:t>2010</w:t>
            </w: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b w:val="1"/>
                <w:bCs w:val="1"/>
                <w:color w:val="auto"/>
              </w:rPr>
              <w:t>2009</w:t>
            </w: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b w:val="1"/>
                <w:bCs w:val="1"/>
                <w:color w:val="auto"/>
              </w:rPr>
              <w:t>2008</w:t>
            </w: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(in</w:t>
            </w:r>
          </w:p>
        </w:tc>
        <w:tc>
          <w:tcPr>
            <w:tcW w:w="2820" w:type="dxa"/>
            <w:vAlign w:val="bottom"/>
            <w:gridSpan w:val="6"/>
          </w:tcPr>
          <w:p>
            <w:pPr>
              <w:ind w:left="20"/>
              <w:spacing w:after="0"/>
              <w:rPr>
                <w:sz w:val="20"/>
                <w:szCs w:val="20"/>
                <w:color w:val="auto"/>
              </w:rPr>
            </w:pPr>
            <w:r>
              <w:rPr>
                <w:rFonts w:ascii="Arial" w:cs="Arial" w:eastAsia="Arial" w:hAnsi="Arial"/>
                <w:sz w:val="17"/>
                <w:szCs w:val="17"/>
                <w:color w:val="auto"/>
                <w:w w:val="97"/>
              </w:rPr>
              <w:t>millions and as a percent of net sales)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98"/>
        </w:trPr>
        <w:tc>
          <w:tcPr>
            <w:tcW w:w="2860" w:type="dxa"/>
            <w:vAlign w:val="bottom"/>
          </w:tcPr>
          <w:p>
            <w:pPr>
              <w:spacing w:after="0"/>
              <w:rPr>
                <w:sz w:val="20"/>
                <w:szCs w:val="20"/>
                <w:color w:val="auto"/>
              </w:rPr>
            </w:pPr>
            <w:r>
              <w:rPr>
                <w:rFonts w:ascii="Arial" w:cs="Arial" w:eastAsia="Arial" w:hAnsi="Arial"/>
                <w:sz w:val="17"/>
                <w:szCs w:val="17"/>
                <w:color w:val="auto"/>
              </w:rPr>
              <w:t>Net sales: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DSG</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4,638</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2,100</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36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2,718</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tcPr>
          <w:p>
            <w:pPr>
              <w:spacing w:after="0"/>
              <w:rPr>
                <w:sz w:val="20"/>
                <w:szCs w:val="20"/>
                <w:color w:val="auto"/>
              </w:rPr>
            </w:pPr>
            <w:r>
              <w:rPr>
                <w:rFonts w:ascii="Arial" w:cs="Arial" w:eastAsia="Arial" w:hAnsi="Arial"/>
                <w:sz w:val="17"/>
                <w:szCs w:val="17"/>
                <w:color w:val="auto"/>
              </w:rPr>
              <w:t>NSG</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2,113</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1,747</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2,010</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WSG</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778</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247</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6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226</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tcPr>
          <w:p>
            <w:pPr>
              <w:spacing w:after="0"/>
              <w:rPr>
                <w:sz w:val="20"/>
                <w:szCs w:val="20"/>
                <w:color w:val="auto"/>
              </w:rPr>
            </w:pPr>
            <w:r>
              <w:rPr>
                <w:rFonts w:ascii="Arial" w:cs="Arial" w:eastAsia="Arial" w:hAnsi="Arial"/>
                <w:sz w:val="17"/>
                <w:szCs w:val="17"/>
                <w:color w:val="auto"/>
              </w:rPr>
              <w:t>ESG</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521</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178</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222</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6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665</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r>
      <w:tr>
        <w:trPr>
          <w:trHeight w:val="205"/>
        </w:trPr>
        <w:tc>
          <w:tcPr>
            <w:tcW w:w="286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8,482</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4,803</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100</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5,841</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tcBorders>
              <w:left w:val="single" w:sz="8" w:color="CCEEFF"/>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r>
      <w:tr>
        <w:trPr>
          <w:trHeight w:val="205"/>
        </w:trPr>
        <w:tc>
          <w:tcPr>
            <w:tcW w:w="2860" w:type="dxa"/>
            <w:vAlign w:val="bottom"/>
          </w:tcPr>
          <w:p>
            <w:pPr>
              <w:spacing w:after="0"/>
              <w:rPr>
                <w:sz w:val="20"/>
                <w:szCs w:val="20"/>
                <w:color w:val="auto"/>
              </w:rPr>
            </w:pPr>
            <w:r>
              <w:rPr>
                <w:rFonts w:ascii="Arial" w:cs="Arial" w:eastAsia="Arial" w:hAnsi="Arial"/>
                <w:sz w:val="17"/>
                <w:szCs w:val="17"/>
                <w:color w:val="auto"/>
              </w:rPr>
              <w:t>Cost of goods sold</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5,768</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5,243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5,896</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0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(440)</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(9) %</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05"/>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528</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354</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6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624</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647</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680</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tcPr>
          <w:p>
            <w:pPr>
              <w:spacing w:after="0"/>
              <w:rPr>
                <w:sz w:val="20"/>
                <w:szCs w:val="20"/>
                <w:color w:val="auto"/>
              </w:rPr>
            </w:pPr>
            <w:r>
              <w:rPr>
                <w:rFonts w:ascii="Arial" w:cs="Arial" w:eastAsia="Arial" w:hAnsi="Arial"/>
                <w:sz w:val="17"/>
                <w:szCs w:val="17"/>
                <w:color w:val="auto"/>
              </w:rPr>
              <w:t>Goodwill impairment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463</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w w:val="97"/>
              </w:rPr>
              <w:t>Other operating (income) expense, net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60" w:type="dxa"/>
            <w:vAlign w:val="bottom"/>
            <w:tcBorders>
              <w:lef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05"/>
        </w:trPr>
        <w:tc>
          <w:tcPr>
            <w:tcW w:w="2860" w:type="dxa"/>
            <w:vAlign w:val="bottom"/>
          </w:tcPr>
          <w:p>
            <w:pPr>
              <w:spacing w:after="0"/>
              <w:rPr>
                <w:sz w:val="20"/>
                <w:szCs w:val="20"/>
                <w:color w:val="auto"/>
              </w:rPr>
            </w:pPr>
            <w:r>
              <w:rPr>
                <w:rFonts w:ascii="Arial" w:cs="Arial" w:eastAsia="Arial" w:hAnsi="Arial"/>
                <w:sz w:val="17"/>
                <w:szCs w:val="17"/>
                <w:color w:val="auto"/>
              </w:rPr>
              <w:t>Gain from acquisition of Numonyx</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437</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r>
      <w:tr>
        <w:trPr>
          <w:trHeight w:val="193"/>
        </w:trPr>
        <w:tc>
          <w:tcPr>
            <w:tcW w:w="2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9"/>
              </w:rPr>
              <w:t>Equity in net income (losses) of equity</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tcBorders>
              <w:lef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218"/>
        </w:trPr>
        <w:tc>
          <w:tcPr>
            <w:tcW w:w="2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method investees,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 %</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7"/>
                <w:szCs w:val="17"/>
                <w:color w:val="auto"/>
                <w:w w:val="96"/>
              </w:rPr>
              <w:t>Net income (loss) attributable to Micron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1,850</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(1,882)</w:t>
            </w:r>
          </w:p>
        </w:tc>
        <w:tc>
          <w:tcPr>
            <w:tcW w:w="48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7"/>
                <w:szCs w:val="17"/>
                <w:color w:val="auto"/>
              </w:rPr>
              <w:t>(39) %</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(1,655)</w:t>
            </w:r>
          </w:p>
        </w:tc>
        <w:tc>
          <w:tcPr>
            <w:tcW w:w="4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(28) %</w:t>
            </w:r>
          </w:p>
        </w:tc>
      </w:tr>
      <w:tr>
        <w:trPr>
          <w:trHeight w:val="564"/>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3"/>
        </w:trPr>
        <w:tc>
          <w:tcPr>
            <w:tcW w:w="2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Net Sales</w:t>
      </w:r>
    </w:p>
    <w:p>
      <w:pPr>
        <w:spacing w:after="0" w:line="24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Total net sales for 2010 increased 77% as compared to 2009 as a result of improved sales for all reportable segments. Increases in DSG and NSG for 2010 primarily reflect significant increases in gigabits sold for both segments and improved average selling prices for DSG products. Increases in ESG and WSG sales for 2010 were primarily the result of the acquisition of Numonyx in May 2010. Total net sales for 2009 decreased 18% as compared to 2008 primarily due to decreases in sales for the DSG, NSG and ESG segments as a result of declines in average selling prices.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Product sales were as follows: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3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DRAM</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5,052</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2,422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NAND Flash</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2,555</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1,857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2,053</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NOR Flash</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451</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653</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8,482</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4,803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color w:val="auto"/>
        </w:rPr>
        <w:t>Sales of DRAM products for 2010 increased 109% from 2009 primarily due to a 75% increase in gigabit production and a 28% increase in average selling prices. Sales of DRAM products for 2009 decreased from 2008 primarily due to a 52% decline in average selling prices mitigated by a 52% increase in production. The increase in production was enabled by additional supply received from our Inotera joint venture and production efficiencies, achieved primarily through transitions to higher density, advanced geometry devices.</w:t>
      </w:r>
    </w:p>
    <w:p>
      <w:pPr>
        <w:spacing w:after="0" w:line="204"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We sell NAND Flash products in various forms, including discrete standalone devices as well as in multi-chip packages ("MCPs") and other NAND Flash systems solution products. MCPs and system solutions products combine NAND Flash devices with a controller and/or other semiconductor devices. MCPs and system solution products generally have significantly higher average selling prices and costs per gigabit than discrete NAND Flash devices. Our sales of MCPs and other system solution NAND Flash products increased in 2010 from 2009 due primarily to our acquisition of Numonyx in May 2010 and to targeted efforts at increasing sales of these products. Average selling prices for our NAND Flash products are also impacted by the mix of product in our sales channels, particularly for those products sold to Intel Corporation ("Intel") through our IM Flash consolidated joint ventures at long-term negotiated prices approximating cost. See "Segment Operating Results – NAND Solutions Group" for further detail.</w:t>
      </w:r>
    </w:p>
    <w:p>
      <w:pPr>
        <w:spacing w:after="0" w:line="196"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Sales of NAND Flash products for 2010 increased 38% from 2009 primarily due to the addition of sales from the acquisition of Numonyx and an increase in sales through other channels as a result of a 68% increase in gigabit production partially offset by an 18% decline in average selling prices. Sales of NAND Flash products for 2009 decreased 10% from 2008 due to a 15% decrease in sales to Intel, primarily due to the shutdown of NAND Flash production at the our Boise wafer fabrication facility in 2009 and a 4% decrease in sales to OEM, resellers and retail customers. The decrease in sales to OEM, resellers and retail customers was primarily due a 52% decline in average selling prices partially offset by an 85% increase in production from transitions to higher density, advanced geometry devices.</w:t>
      </w:r>
    </w:p>
    <w:p>
      <w:pPr>
        <w:spacing w:after="0" w:line="178" w:lineRule="exact"/>
        <w:rPr>
          <w:sz w:val="20"/>
          <w:szCs w:val="20"/>
          <w:color w:val="auto"/>
        </w:rPr>
      </w:pPr>
    </w:p>
    <w:p>
      <w:pPr>
        <w:ind w:right="60"/>
        <w:spacing w:after="0" w:line="346" w:lineRule="auto"/>
        <w:rPr>
          <w:sz w:val="20"/>
          <w:szCs w:val="20"/>
          <w:color w:val="auto"/>
        </w:rPr>
      </w:pPr>
      <w:r>
        <w:rPr>
          <w:rFonts w:ascii="Arial" w:cs="Arial" w:eastAsia="Arial" w:hAnsi="Arial"/>
          <w:sz w:val="15"/>
          <w:szCs w:val="15"/>
          <w:color w:val="auto"/>
        </w:rPr>
        <w:t>We recognized $451 million of NOR Flash sales in 2010 due to the acquisition of Numonyx in May of 2010. Under business acquisition accounting, we are unable to recognize revenue on sales of Numonyx products that at the acquisition date were in the distribution channel and accounted for on a sell-through basis.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4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Our overall gross margin percentage improved to 32% for 2010 from negative 9% for 2009 primarily due to improvements in the gross margin for all reportable segments as a result of cost reductions and improved DRAM pricing. Our gross margin percentage was also impacted by our acquisition of Numonyx in May of 2010 as gross margins for Numonyx activities were 19% for the 2010 period after the acquisition. Our overall gross margin percentage declined from negative 1% for 2008 to negative 9% for 2009 due to declines in the gross margins for the DSG, WSG and ESG segments primarily as a result of severe pricing pressure mitigated by cost reductions.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9" w:name="page20"/>
    <w:bookmarkEnd w:id="19"/>
    <w:p>
      <w:pPr>
        <w:ind w:right="260"/>
        <w:spacing w:after="0" w:line="260" w:lineRule="auto"/>
        <w:rPr>
          <w:sz w:val="20"/>
          <w:szCs w:val="20"/>
          <w:color w:val="auto"/>
        </w:rPr>
      </w:pPr>
      <w:r>
        <w:rPr>
          <w:rFonts w:ascii="Arial" w:cs="Arial" w:eastAsia="Arial" w:hAnsi="Arial"/>
          <w:sz w:val="17"/>
          <w:szCs w:val="17"/>
          <w:color w:val="auto"/>
        </w:rPr>
        <w:t>Our gross margin for 2010 benefitted from reductions in costs per gigabit as compared to 2009 of 35% for DRAM products and 42% for NAND Flash products, primarily as a result of lower manufacturing costs from increased production of higher-density, advanced-geometry devices. Our gross margin for 2009 benefitted from reductions in costs per gigabit as compared to 2008 of 40% for DRAM products and 61% for NAND Flash products, primarily as a result of lower manufacturing costs and the effects of selling memory products that were subject to inventory write-downs in 2008.</w:t>
      </w:r>
    </w:p>
    <w:p>
      <w:pPr>
        <w:spacing w:after="0" w:line="204" w:lineRule="exact"/>
        <w:rPr>
          <w:sz w:val="20"/>
          <w:szCs w:val="20"/>
          <w:color w:val="auto"/>
        </w:rPr>
      </w:pPr>
    </w:p>
    <w:p>
      <w:pPr>
        <w:jc w:val="both"/>
        <w:ind w:right="120"/>
        <w:spacing w:after="0" w:line="305" w:lineRule="auto"/>
        <w:rPr>
          <w:sz w:val="20"/>
          <w:szCs w:val="20"/>
          <w:color w:val="auto"/>
        </w:rPr>
      </w:pPr>
      <w:r>
        <w:rPr>
          <w:rFonts w:ascii="Arial" w:cs="Arial" w:eastAsia="Arial" w:hAnsi="Arial"/>
          <w:sz w:val="15"/>
          <w:szCs w:val="15"/>
          <w:color w:val="auto"/>
        </w:rPr>
        <w:t>Our gross margins are impacted by charges to write down inventories to their estimated market values as a result of the significant decreases in average selling prices for both DRAM and NAND Flash products. As charges to write down inventories are recorded in advance of when inventories are sold, gross margins in subsequent reporting periods are higher than they otherwise would be. The impact of inventory write-downs on gross margins for all periods reflects inventory write-downs less the estimated net effect of prior period write-downs. The effects of inventory write-downs on gross margins for our reportable segments by period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Inventory write-downs</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w:t>
            </w:r>
          </w:p>
        </w:tc>
      </w:tr>
      <w:tr>
        <w:trPr>
          <w:trHeight w:val="211"/>
        </w:trPr>
        <w:tc>
          <w:tcPr>
            <w:tcW w:w="7320" w:type="dxa"/>
            <w:vAlign w:val="bottom"/>
          </w:tcPr>
          <w:p>
            <w:pPr>
              <w:spacing w:after="0"/>
              <w:rPr>
                <w:sz w:val="20"/>
                <w:szCs w:val="20"/>
                <w:color w:val="auto"/>
              </w:rPr>
            </w:pPr>
            <w:r>
              <w:rPr>
                <w:rFonts w:ascii="Arial" w:cs="Arial" w:eastAsia="Arial" w:hAnsi="Arial"/>
                <w:sz w:val="17"/>
                <w:szCs w:val="17"/>
                <w:color w:val="auto"/>
              </w:rPr>
              <w:t>Estimated effect of previous inventory write-downs</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r>
      <w:tr>
        <w:trPr>
          <w:trHeight w:val="22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effect of inventory write-downs</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In future periods, we will be required to record additional inventory write-downs if estimated average selling prices of products held in finished goods and work in process inventories at a quarter-end date are below the manufacturing cost of those products.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24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Selling, general and administrative ("SG&amp;A") expenses for 2010 increased 49% from 2009 primarily due to higher payroll expenses resulting from increased incentive-based compensation costs; increased costs associated with legal matters, including $64 million relating to accruals for estimated settlements in the indirect purchasers antitrust case and other matters; $20 million of Numonyx acquisition costs and $57 million of Numonyx SG&amp;A subsequent to the acquisition. The increase in SG&amp;A expenses for 2010 was partially offset by a reduction in expenses for imaging operations as a result of the sale of a 65% interest in Aptina Imaging Corporation ("Aptina") in the fourth quarter of 2009. We expect to incur increased SG&amp;A expenses from Numonyx operations for 2011 as compared to 2010, which only reflected Numonyx’s operations from the May 7, 2010 acquisition date. SG&amp;A expenses for 2009 decreased 22% from 2008, primarily due to lower payroll expenses and other costs related to our restructure initiatives and lower legal expenses. Lower payroll expenses reflected reductions in headcount, variable pay, salary levels and employee benefits. Future SG&amp;A expense is expected to vary, potentially significantly, depending on, among other things, the number of legal matters that are resolved relatively early in their life-cycle and the number of legal matters that progress to trial. We expect that SG&amp;A expenses will approximate $140 million to $150 million for the first quarter of 2011.</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4"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We deem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R&amp;D expenses for 2010 decreased 4% from 2009 primarily due to a DRAM cost-sharing arrangement with Nanya that commenced in 2010 and a reduction in R&amp;D costs for imaging products as a result of the sale of a 65% interest in Aptina in the fourth quarter of 2009, partially offset by higher payroll expenses resulting from the accrual of incentive-based compensation costs and additional $79 million of R&amp;D expenses in connection with the May 7, 2010 acquisition of Numonyx. R&amp;D expenses were reduced by $104 million in 2010, $107 million in 2009 and $148 million in 2008 for amounts reimbursable from Intel under a NAND Flash R&amp;D cost-sharing arrangement. R&amp;D expenses were reduced by $51 million in 2010 for amounts reimbursable from Nanya under a DRAM R&amp;D cost-sharing arrangement that commenced in the third quarter of 2010. We expect that reimbursements from Nanya under the DRAM R&amp;D cost sharing arrangement will increase in 2011 when the arrangement is outstanding for the entire year. We expect to incur increased R&amp;D expenses from Numonyx’s operations in 2011 as compared to 2010, which only reflected Numonyx’s operations from the May 7, 2010 acquisition date. We expect that R&amp;D expenses, net of amounts reimbursable from our R&amp;D partners, will approximate $195 million to $205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0" w:name="page21"/>
    <w:bookmarkEnd w:id="20"/>
    <w:p>
      <w:pPr>
        <w:ind w:right="140"/>
        <w:spacing w:after="0" w:line="248" w:lineRule="auto"/>
        <w:rPr>
          <w:sz w:val="20"/>
          <w:szCs w:val="20"/>
          <w:color w:val="auto"/>
        </w:rPr>
      </w:pPr>
      <w:r>
        <w:rPr>
          <w:rFonts w:ascii="Arial" w:cs="Arial" w:eastAsia="Arial" w:hAnsi="Arial"/>
          <w:sz w:val="21"/>
          <w:szCs w:val="21"/>
          <w:color w:val="auto"/>
        </w:rPr>
        <w:t>million for the first quarter of 2011. R&amp;D expenses for 2009 decreased 5% from 2008 primarily due to lower payroll costs and decreases in costs of development wafers processed.</w:t>
      </w:r>
    </w:p>
    <w:p>
      <w:pPr>
        <w:spacing w:after="0" w:line="202"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Our process technology R&amp;D efforts are focused primarily on development of successively smaller line-width process technologies which are designed to facilitate our transition to next generation memory products. Additional process technology R&amp;D efforts focus on the enablement of advanced computing and mobile memory architectures, the investigation of new opportunities that leverage our core semiconductor expertise and the development of new manufacturing materials. Product design and development efforts are concentrated on our high density DDR3 DRAM and LP-DDR2 mobile LPDRAM products as well as high density and mobile NAND Flash memory (including multi-level cell technology), NOR Flash memory, specialty memory, phase change memory and memory systems.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Restructure</w:t>
      </w:r>
    </w:p>
    <w:p>
      <w:pPr>
        <w:spacing w:after="0" w:line="24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response to a severe downturn in the semiconductor memory industry and global economic conditions, we initiated a restructure plan in 2009. In the first quarter of 2009, IM Flash, our joint venture and Intel, terminated an agreement to obtain NAND Flash memory supply from our Boise facility. In connection therewith, Intel paid us $208 million in 2009. In addition, we phased out all remaining 200mm DRAM wafer manufacturing operations in Boise, Idaho in the second half of 2009. As a result of these restructure plans, we reduced employment in 2009 by approximately 4,600 employees, or approximately 20%. We do not expect to incur any additional material restructure charges related to the plan initiated in 2009. The following table summarizes restructure charges (credits) resulting from the restructure activities: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loss from disposition of equipment</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Severance and other termination benefits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from termination of NAND Flash supply agreement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1"/>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r>
      <w:tr>
        <w:trPr>
          <w:trHeight w:val="225"/>
        </w:trPr>
        <w:tc>
          <w:tcPr>
            <w:tcW w:w="7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Impairment</w:t>
      </w:r>
    </w:p>
    <w:p>
      <w:pPr>
        <w:spacing w:after="0" w:line="244"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In the second quarter of 2009, our imaging operations (the primary component of All Other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our imaging operations experienced a significant decline in market</w:t>
      </w:r>
    </w:p>
    <w:p>
      <w:pPr>
        <w:spacing w:after="0" w:line="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value. Accordingly, in the second quarter of 2009, we performed an assessment of our imaging operations goodwill for impairment. Based on this assessment, we wrote off all of the $58 million of goodwill associated with our imaging operations as of March 5, 2009.</w:t>
      </w:r>
    </w:p>
    <w:p>
      <w:pPr>
        <w:spacing w:after="0" w:line="20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the first and second quarters of 2008, we experienced a sustained, significant decline in our stock price. As a result of the decline in stock prices, our market capitalization fell significantly below the recorded value of our consolidated net assets for most of the second quarter of 2008. The reduced market capitalization at that time reflected, in part, the lower average selling prices for the NSG segment (previously part of the Memory segment) and expected continued weakness in pricing for our memory products. Accordingly, in the second quarter of 2008, we performed an assessment of NSG segment goodwill for impairment. Based on this assessment, we wrote off all the $463 million of goodwill associated with our NSG segment as of February 28, 2008.</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20"/>
                <w:szCs w:val="20"/>
                <w:color w:val="auto"/>
              </w:rPr>
            </w:pPr>
            <w:r>
              <w:rPr>
                <w:rFonts w:ascii="Arial" w:cs="Arial" w:eastAsia="Arial" w:hAnsi="Arial"/>
                <w:sz w:val="17"/>
                <w:szCs w:val="17"/>
                <w:b w:val="1"/>
                <w:bCs w:val="1"/>
                <w:color w:val="auto"/>
              </w:rPr>
              <w:t>Other Operating (Income) Expense, Net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6"/>
        </w:trPr>
        <w:tc>
          <w:tcPr>
            <w:tcW w:w="7320" w:type="dxa"/>
            <w:vAlign w:val="bottom"/>
          </w:tcPr>
          <w:p>
            <w:pPr>
              <w:spacing w:after="0"/>
              <w:rPr>
                <w:sz w:val="20"/>
                <w:szCs w:val="20"/>
                <w:color w:val="auto"/>
              </w:rPr>
            </w:pPr>
            <w:r>
              <w:rPr>
                <w:rFonts w:ascii="Arial" w:cs="Arial" w:eastAsia="Arial" w:hAnsi="Arial"/>
                <w:sz w:val="17"/>
                <w:szCs w:val="17"/>
                <w:color w:val="auto"/>
              </w:rPr>
              <w:t>Other operating (income) expense consisted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73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Government grants in connection with operations in China</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Receipts from U.S. government for anti-dumping tariffs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82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disposition of property, plant and equipment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loss from changes in currency exchange rates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82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Income/Expense</w:t>
      </w:r>
    </w:p>
    <w:p>
      <w:pPr>
        <w:spacing w:after="0" w:line="24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Interest expense for 2010, 2009 and 2008, includes aggregate amounts of non-cash amortization of debt discount and issuance costs of $76 million, $71 million and $49 million, respectively. As a result of the retrospective adoption of a new accounting standard for certain convertible debt, we modified our accounting for our $1.3 billion 1.875% convertible notes. We retrospectively allocated the $1.3 billion aggregate proceeds at inception between a liability component (issued at a discount) and an equity component. The debt discount is being amortized from issuance through June 2014, the maturity date of the 1.875% convertible notes, with the amortization recorded as additional non-cash interest expense. Included in the noncash interest expense above is amortization on the 1.875% convertible notes of $56 million in 2010, $52 million in 2009 and $47 million in 2008. (See "Item 1. Financial Statements – Notes to Consolidated Financial Statements – Adjustments for Retrospective Application of New Accounting Standards" note.)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Non-Operating Income (Expense), net</w:t>
      </w:r>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On August 3, 2009, Inotera sold common shares in a public offering. As a result, our interest in Inotera decreased from 35.5% to 29.8% and we recognized a gain of $56 million in the first quarter of 2010. (See "Item 8. Financial Statements – Notes to Consolidated Financial Statements – Supplemental Balance Sheet Information – Equity Method Investments – Inotera and MeiYa DRAM joint ventures with Nanya – Inotera" note.)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Income taxes for 2010 include a benefit of $51 million from reduction of a portion of the deferred tax asset valuation allowance in connection with the sale of our equity interest in the Hynix JV that was acquired as part of the Numonyx acquisition. Except for this benefit, taxes for 2010 and 2009 primarily reflect taxes on our non-U.S. operations and U.S. alternative minimum tax. We have a valuation allowance against substantially all U.S. net deferred tax assets. Taxes attributable to U.S. operations for 2010, 2009 and 2008 were substantially offset by changes in the valuation allowance.</w:t>
      </w:r>
    </w:p>
    <w:p>
      <w:pPr>
        <w:spacing w:after="0" w:line="20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have a valuation allowance against substantially all U.S. net deferred tax assets. As of September 2, 2010, the federal, state and foreign net operating loss carryforwards were $2.4 billion, $2.0 billion and $290 million, respectively. If not utilized, substantially all of the federal and state net operating loss carryforwards will expire in 2022 to 2029 and the foreign net operating loss carryforwards will begin to expire in 2015. As of September 2, 2010, the federal and state tax credit carryforwards were $188 million and $204 million, respectively. If not utilized, substantially all of the federal and state tax credit carryforwards will expire in 2013 to 2030.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96" w:lineRule="exact"/>
        <w:rPr>
          <w:sz w:val="20"/>
          <w:szCs w:val="20"/>
          <w:color w:val="auto"/>
        </w:rPr>
      </w:pPr>
    </w:p>
    <w:p>
      <w:pPr>
        <w:ind w:right="940"/>
        <w:spacing w:after="0" w:line="309" w:lineRule="auto"/>
        <w:rPr>
          <w:sz w:val="20"/>
          <w:szCs w:val="20"/>
          <w:color w:val="auto"/>
        </w:rPr>
      </w:pPr>
      <w:r>
        <w:rPr>
          <w:rFonts w:ascii="Arial" w:cs="Arial" w:eastAsia="Arial" w:hAnsi="Arial"/>
          <w:sz w:val="16"/>
          <w:szCs w:val="16"/>
          <w:color w:val="auto"/>
        </w:rPr>
        <w:t>In connection with the acquisition of Numonyx, we accrued a $66 million liability related to uncertain tax positions on the tax years of Numonyx open to examination. We have recorded an indemnification asset for a significant portion of these accrued liabilities related to these tax positions.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Equity in Net Losses of Equity Method Investees</w:t>
      </w:r>
    </w:p>
    <w:p>
      <w:pPr>
        <w:spacing w:after="0" w:line="244" w:lineRule="exact"/>
        <w:rPr>
          <w:sz w:val="20"/>
          <w:szCs w:val="20"/>
          <w:color w:val="auto"/>
        </w:rPr>
      </w:pPr>
    </w:p>
    <w:p>
      <w:pPr>
        <w:ind w:right="180"/>
        <w:spacing w:after="0" w:line="315" w:lineRule="auto"/>
        <w:rPr>
          <w:sz w:val="20"/>
          <w:szCs w:val="20"/>
          <w:color w:val="auto"/>
        </w:rPr>
      </w:pPr>
      <w:r>
        <w:rPr>
          <w:rFonts w:ascii="Arial" w:cs="Arial" w:eastAsia="Arial" w:hAnsi="Arial"/>
          <w:sz w:val="15"/>
          <w:szCs w:val="15"/>
          <w:color w:val="auto"/>
        </w:rPr>
        <w:t>We have partnered with Nanya in two Taiwan DRAM memory companies accounted for as equity method investments: Inotera and MeiYa Technology Corporation ("MeiYa"). Inotera and MeiYa each have fiscal years that end on December 31. We recognize our share of Inotera’s and MeiYa’s quarterly earnings or losses on a two-month lag. From our interest in these equity method investments, we recognized a loss of $5 million for 2010 and a loss of $140 million for 2009.</w:t>
      </w:r>
    </w:p>
    <w:p>
      <w:pPr>
        <w:spacing w:after="0" w:line="16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As a result of our sale of a 65% interest in our Aptina subsidiary on July 10, 2009, we account for our remaining interest in Aptina under the equity method. Our shares in Aptina constitute 35% of Aptina’s total common and preferred stock and 64% of Aptina’s common stock. Under the equity method, we recognize our share of Aptina’s results of operations based on our 64% share of Aptina’s common stock on a two-month lag. We recognized losses of $24 million on our investment in Aptina for 2010.</w:t>
      </w:r>
    </w:p>
    <w:p>
      <w:pPr>
        <w:spacing w:after="0" w:line="20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On December 18, 2009, we acquired a 50% interest in Transform, a subsidiary of Origin Energy Limited ("Origin"), in exchange for our contribution to Transform of nonmonetary manufacturing assets with a fair value of $65 million. We recognize our 50% share of Transform’s results of operations on a two-month lag. Our results of operations for 2010 included a loss of $12 million for our share of Transform’s results of operations from the acquisition date through June 30, 2010.</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(See "Item 8. Financial Statements – Notes to Consolidated Financial Statements – Supplemental Balance Sheet Information – Equity Method Investments" note.)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 in Net (Income) Loss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interests for 2010, 2009 and 2008 primarily reflects the share of income or losses attributed to the noncontrolling interests in our TECH joint</w:t>
      </w:r>
    </w:p>
    <w:p>
      <w:pPr>
        <w:spacing w:after="0" w:line="3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venture. We made the following purchases of TECH shares: $99 million on February 27, 2009, $99 million on June 2, 2009, and $60 million on August 27, 2009. As a result, noncontrolling interests in TECH were reduced from approximately 27% as of August 28, 2008 to approximately 15% as of September 3, 2009. We purchased an additional $80 million of TECH shares on January 27, 2010 and further reduced noncontrolling interest in TECH to approximately 13% as of September 2, 2010. (See "Item 8. Financial Statements – Notes to Consolidated Financial Statements – TECH Semiconductor Singapore Pte. Ltd" note.)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4"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Total compensation cost for our equity plans for 2010, 2009 and 2008 was $93 million, $44 million and $48 million, respectively. Stock-based compensation expense was higher for 2010 than for 2009 primarily due to the accrual of performance-based stock compensation costs as a result of improved operating results. Stock compensation expenses fluctuate based on assessments of whether the achievement of performance conditions is probable for performance-based stock grants.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Operating Results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DRAM Solutions Group ("DSG")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4,638</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2,100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2,718</w:t>
            </w: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1,269</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(902)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(282)</w:t>
            </w:r>
          </w:p>
        </w:tc>
      </w:tr>
    </w:tbl>
    <w:p>
      <w:pPr>
        <w:spacing w:after="0" w:line="20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DSG sales for 2010 increased 121% from 2009 primarily due to increases in gigabits produced and average selling prices per gigabit. DRAM products acquired from our Inotera Memories, Inc. ("Inotera") joint venture accounted for 18% of our DSG net sales in 2010 as compared to less than 1% for 2009. We have rights and obligations to purchase 50% of Inotera’s wafer production capacity under a supply agreement with Inotera (the "Inotera Supply Agreement"). We expect that our DRAM supply from Inotera will increase significantly in 2011 due to Inotera’s transition of its manufacturing from trench DRAM process technology to our stack DRAM technology. The increase in average selling prices in 2010 for DSG products from improved market conditions was partially offset by a shift in product mix resulting from increases in sales of Inotera trench DRAM products that had significantly lower average selling prices per gigabit than our other DSG products. Sales of DDR2 and DDR3 DRAM, were 42% and 41%, respectively, of DSG sales for 2010 and 50% and 16%, respectively, of DSG sales for 2009.</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3" w:name="page24"/>
    <w:bookmarkEnd w:id="23"/>
    <w:p>
      <w:pPr>
        <w:ind w:right="20"/>
        <w:spacing w:after="0" w:line="273" w:lineRule="auto"/>
        <w:rPr>
          <w:sz w:val="20"/>
          <w:szCs w:val="20"/>
          <w:color w:val="auto"/>
        </w:rPr>
      </w:pPr>
      <w:r>
        <w:rPr>
          <w:rFonts w:ascii="Arial" w:cs="Arial" w:eastAsia="Arial" w:hAnsi="Arial"/>
          <w:sz w:val="16"/>
          <w:szCs w:val="16"/>
          <w:color w:val="auto"/>
        </w:rPr>
        <w:t>We have formed partnering arrangements which have sold or licensed technology to other parties. DSG recognized royalty and license revenue of $83 million in 2010, $120 million in 2009 and $40 million in 2008. We have a partnering arrangement with Nanya pursuant to which we and Nanya jointly develop process technology and designs to manufacture stack DRAM products. In addition, we have deployed and licensed certain intellectual property related to the manufacture of stack DRAM products to Nanya and licensed certain intellectual property from Nanya. We recognized $65 million, $105 million and $37 million, respectively, of license revenue in net sales from this arrangement during 2010, 2009 and 2008, respectively. Effective beginning in April, 2010, the license agreement was completed and we generally share DRAM development costs with Nanya equally. Our research and development costs for 2010 were reduced $51 million by this cost-sharing arrangement. In addition, in 2010, we received $6 million of royalties from Nanya for sales of stack DRAM products manufactured by or for Nanya on process nodes of 50nm or higher and will continue to receive royalties from Nanya associated with technology developed prior to April 2010.</w:t>
      </w:r>
    </w:p>
    <w:p>
      <w:pPr>
        <w:spacing w:after="0" w:line="19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DSG operating income improved for 2010 from 2009 primarily due to increases in average selling prices, reductions in manufacturing costs per gigabit, lower R&amp;D costs as a result of the R&amp;D cost-sharing arrangement with Nanya, lower restructure costs and reduced losses on the disposition of equipment. Manufacturing cost reductions were primarily due to improved production efficiencies. DRAM products acquired from our Inotera joint venture accounted for 18% of DSG net sales in 2010 and our cost of wafers purchased under the Inotera Supply Agreement is based on a margin-sharing formula among Nanya, Inotera, and ourselves. Under such formula, all parties’ manufacturing costs related to wafers supplied by Inotera, as well as our and Nanya’s selling prices for the resale of products from wafers supplied by Inotera, are considered in determining costs for wafers acquired from Inotera. For 2010, we realized significantly lower gross margins on sales of Inotera DRAM products than for sales of our other DSG products. DSG’s operating income for 2010 did not include any costs for Inotera’s underutilized capacity, whereas its 2009 operating income included $90 million of underutilized capacity costs. DSG recognized higher SG&amp;A costs in 2010 as compared to 2009 primarily due to increased incentive-based compensation costs and increased costs associated with legal matters.</w:t>
      </w:r>
    </w:p>
    <w:p>
      <w:pPr>
        <w:spacing w:after="0" w:line="200"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Sales of DSG products for 2009 decreased from 2008 primarily due to a decline in average selling prices mitigated by an increase in gigabits produced. DSG’s operating loss for 2009 increased from 2008 primarily due to the decline in average selling prices mitigated by a reduction in costs per gigabit. The reduction in DSG costs per gigabit for 2009 was primarily due to the effects of selling memory products that were subject to inventory write-downs in 2008 and lower production efficiencies. DSG production costs for 2009 were adversely impacted by $90 million of underutilized capacity costs from Inotera. DSG also recognized increased restructure costs in 2009.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NAND Solutions Group ("NSG")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2,113</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1,747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2,010</w:t>
            </w: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240</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(573)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(1,289)</w:t>
            </w:r>
          </w:p>
        </w:tc>
      </w:tr>
    </w:tbl>
    <w:p>
      <w:pPr>
        <w:spacing w:after="0" w:line="207" w:lineRule="exact"/>
        <w:rPr>
          <w:sz w:val="20"/>
          <w:szCs w:val="20"/>
          <w:color w:val="auto"/>
        </w:rPr>
      </w:pPr>
    </w:p>
    <w:p>
      <w:pPr>
        <w:ind w:right="100" w:firstLine="43"/>
        <w:spacing w:after="0" w:line="264" w:lineRule="auto"/>
        <w:rPr>
          <w:sz w:val="20"/>
          <w:szCs w:val="20"/>
          <w:color w:val="auto"/>
        </w:rPr>
      </w:pPr>
      <w:r>
        <w:rPr>
          <w:rFonts w:ascii="Arial" w:cs="Arial" w:eastAsia="Arial" w:hAnsi="Arial"/>
          <w:sz w:val="17"/>
          <w:szCs w:val="17"/>
          <w:color w:val="auto"/>
        </w:rPr>
        <w:t>NSG sales for 2010 increased 21% from 2009 primarily due to an increase in gigabits produced partially offset by a decline in average selling prices per gigabit. We sell NSG products in three principal channels: (1) to Intel Corporation ("Intel") through our IM Flash consolidated joint venture at long-term negotiated prices approximating cost, (2) to original equipment manufacturers ("OEMs") and other resellers and (3) to retailers.</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NSG sales through IM Flash to Intel were $764 million for 2010, $886 million for 2009 and $1,037 million for 2008. Gigabit sales to Intel were 71% higher in 2010 as compared to 2009 primarily due to the 68% increase in gigabit production of NAND Flash products over the same period. We expect that the ramp of production at IM Flash’s new wafer fabrication facility in Singapore will begin to increase our NAND Flash production in the second half of 2011. For 2010, average selling prices for IM Flash sales to Intel decreased as compared to 2009 due to reductions in costs per gigabit.</w:t>
      </w:r>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NSG sales of NAND Flash products to our OEM, reseller and retail customers were higher for 2010 as compared to 2009 primarily due to an increase in gigabit sales. Average selling prices to our NSG OEM and reseller customers for 2010 increased as compared to 2009, while average selling prices of our Lexar brand, which is directed primarily at the retail market, declined.</w:t>
      </w:r>
    </w:p>
    <w:p>
      <w:pPr>
        <w:spacing w:after="0" w:line="201"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Sales of NSG products for 2009 decreased 13% from 2008 due to a 15% decrease in sales to Intel primarily due to the shutdown of NAND Flash production at the our Boise wafer fabrication facility in 2009 and a decrease in sales to OEM, resellers and retail customers primarily due a decline in average selling prices, partially offset by an increase in gigabit sales.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4" w:name="page25"/>
    <w:bookmarkEnd w:id="24"/>
    <w:p>
      <w:pPr>
        <w:ind w:right="60"/>
        <w:spacing w:after="0" w:line="275" w:lineRule="auto"/>
        <w:rPr>
          <w:sz w:val="20"/>
          <w:szCs w:val="20"/>
          <w:color w:val="auto"/>
        </w:rPr>
      </w:pPr>
      <w:r>
        <w:rPr>
          <w:rFonts w:ascii="Arial" w:cs="Arial" w:eastAsia="Arial" w:hAnsi="Arial"/>
          <w:sz w:val="16"/>
          <w:szCs w:val="16"/>
          <w:color w:val="auto"/>
        </w:rPr>
        <w:t>NSG’s operating income improved for 2010 from 2009 primarily due to reductions in costs per gigabit as a result of lower manufacturing costs from increased production of higher-density, advanced-geometry devices. NSG operating margins reflect sales of approximately half of IM Flash’s output to Intel at long-term negotiated prices approximating cost. The reductions in manufacturing costs per gigabit for 2010 were partially offset by the declines in overall average selling prices per gigabit, which were were primarily attributable to a decline in average selling prices on NSG sales to Intel as a result of lower manufacturing costs. NSG cost of goods sold for 2010 and 2009 included $60 million and $60 million, respectively, of underutilized capacity costs from IM Flash’s wafer fabrication facility in Singapore. NSG’s operating income for 2009 included a $144 million gain from termination of a supply agreement with Intel.</w:t>
      </w:r>
    </w:p>
    <w:p>
      <w:pPr>
        <w:spacing w:after="0" w:line="19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NSG’s operating loss improved from 2008 to 2009 primarily as a result of a $463 million goodwill impairment charge that was recorded in 2008 as well as reductions in manufacturing costs per gigabit, reductions in SG&amp;A and R&amp;D expenses and gains from restructure activities, partially offset by the decline in average selling prices per gigabit. The reduction in NSG costs per gigabit was primarily due to the effects of selling memory products that were subject to inventory write-downs in 2008 and improved production efficiencies.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Wireless Solutions Group ("WSG")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2010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778</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w:t>
            </w: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bl>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WSG sales for 2010 increased 215% from 2009 primarily due to the acquisition of Numonyx in May of 2010. WSG sales for 2010 included sales of NAND Flash, NOR Flash and DRAM products. WSG for 2009 included sales of DRAM and NAND Flash products. Due to the acquisition of Numonyx, WSG sales of NOR Flash are expected to increase significantly for 2011. Under business acquisition accounting, we are unable to recognize revenue on sales of Numonyx products that at the acquisition date were in the distribution channel and accounted for on a sell-through basis.</w:t>
      </w:r>
    </w:p>
    <w:p>
      <w:pPr>
        <w:spacing w:after="0" w:line="204" w:lineRule="exact"/>
        <w:rPr>
          <w:sz w:val="20"/>
          <w:szCs w:val="20"/>
          <w:color w:val="auto"/>
        </w:rPr>
      </w:pPr>
    </w:p>
    <w:p>
      <w:pPr>
        <w:jc w:val="both"/>
        <w:ind w:right="300"/>
        <w:spacing w:after="0" w:line="258" w:lineRule="auto"/>
        <w:rPr>
          <w:sz w:val="20"/>
          <w:szCs w:val="20"/>
          <w:color w:val="auto"/>
        </w:rPr>
      </w:pPr>
      <w:r>
        <w:rPr>
          <w:rFonts w:ascii="Arial" w:cs="Arial" w:eastAsia="Arial" w:hAnsi="Arial"/>
          <w:sz w:val="17"/>
          <w:szCs w:val="17"/>
          <w:color w:val="auto"/>
        </w:rPr>
        <w:t>Operating loss for WSG improved for 2010 from 2009 primarily due to cost reductions and improvements in average selling prices partially offset by higher R&amp;D expenses. WSG’s operating results for 2010 reflect Numonyx operations subsequent to the May 7, 2010 acquisition date of Numonyx. In acquisition accounting, Numonyx’s inventory was recorded at fair value reflecting its estimated selling price at the time of the acquisition, which was significantly higher than the cost of inventory recorded by Numonyx at the acquisition date. As a result, WSG cost of goods sold for Numonyx products reflect these higher costs as the remainder of acquired products are sold.</w:t>
      </w:r>
    </w:p>
    <w:p>
      <w:pPr>
        <w:spacing w:after="0" w:line="206"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WSG sales for 2009 increased 9% from 2008 primarily due to significant increases in gigabit production of WSG NAND Flash products partially offset by declines in average selling prices for WSG DRAM products. WSG’s operating loss for 2010 increased from 2008 to 2009 primarily due to significant declines in average selling prices mitigated by cost reductions.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Solutions Group ("ESG")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2010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521</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w:t>
            </w: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152</w:t>
            </w:r>
          </w:p>
        </w:tc>
        <w:tc>
          <w:tcPr>
            <w:tcW w:w="8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ESG sales for 2010 increased 193% from 2009 primarily due to the acquisition of Numonyx in May of 2010 and significant increases in gigabit sales of existing ESG DRAM and NAND Flash products. ESG sales for 2010 included sales of DRAM, NOR Flash and NAND Flash products. ESG sales for 2009 included sales of DRAM and NAND Flash products. Due to the acquisition of Numonyx, ESG sales of NOR Flash are expected to increase significantly for 2011. Under business acquisition accounting, we are unable to recognize revenue on sales of Numonyx products that at the acquisition date were in the distribution channel and accounted for on a sell-through basis.</w:t>
      </w:r>
    </w:p>
    <w:p>
      <w:pPr>
        <w:spacing w:after="0" w:line="20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ESG’s operating income improved for 2010 from 2009 primarily due to cost reductions and improvements in average selling prices. ESG’s operating results for 2010 reflect Numonyx operations subsequent to the May 7, 2010 acquisition date of Numonyx. ESG cost of goods sold for Numonyx products reflect the higher costs as the remainder of acquired products are sold.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5" w:name="page26"/>
    <w:bookmarkEnd w:id="25"/>
    <w:p>
      <w:pPr>
        <w:ind w:right="100"/>
        <w:spacing w:after="0" w:line="277" w:lineRule="auto"/>
        <w:rPr>
          <w:sz w:val="20"/>
          <w:szCs w:val="20"/>
          <w:color w:val="auto"/>
        </w:rPr>
      </w:pPr>
      <w:r>
        <w:rPr>
          <w:rFonts w:ascii="Arial" w:cs="Arial" w:eastAsia="Arial" w:hAnsi="Arial"/>
          <w:sz w:val="17"/>
          <w:szCs w:val="17"/>
          <w:color w:val="auto"/>
        </w:rPr>
        <w:t>ESG sales for 2009 decreased 20% from 2008 primarily due to declines in average selling prices for ESG DRAM and NAND Flash products. ESG operating income declined from 2008 to 2009 primarily due to significant declines in average selling prices mitigated by cost reductions.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of September 2, 2010, we had cash and equivalents totaling $2,913 million compared to $1,485 million as of September 3, 2009. The balance as of September 2, 2010 included $355 million held at our TECH joint venture and $246 million held at our IM Flash joint ventures. Our ability to access funds held by the joint ventures to finance our other operations is subject to agreement by the joint venture partners, debt covenants and contractual limitations. Amounts held by TECH and IM Flash are not anticipated to be available to finance our other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20"/>
                <w:szCs w:val="20"/>
                <w:color w:val="auto"/>
              </w:rPr>
            </w:pPr>
            <w:r>
              <w:rPr>
                <w:rFonts w:ascii="Arial" w:cs="Arial" w:eastAsia="Arial" w:hAnsi="Arial"/>
                <w:sz w:val="17"/>
                <w:szCs w:val="17"/>
                <w:color w:val="auto"/>
              </w:rPr>
              <w:t>Our cash and equivalents were composed of the following as of September 2, 2010:</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10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Bank deposit accounts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7"/>
                <w:szCs w:val="17"/>
                <w:color w:val="auto"/>
              </w:rPr>
            </w:pPr>
          </w:p>
        </w:tc>
      </w:tr>
      <w:tr>
        <w:trPr>
          <w:trHeight w:val="205"/>
        </w:trPr>
        <w:tc>
          <w:tcPr>
            <w:tcW w:w="10180" w:type="dxa"/>
            <w:vAlign w:val="bottom"/>
          </w:tcPr>
          <w:p>
            <w:pPr>
              <w:spacing w:after="0"/>
              <w:rPr>
                <w:sz w:val="20"/>
                <w:szCs w:val="20"/>
                <w:color w:val="auto"/>
              </w:rPr>
            </w:pPr>
            <w:r>
              <w:rPr>
                <w:rFonts w:ascii="Arial" w:cs="Arial" w:eastAsia="Arial" w:hAnsi="Arial"/>
                <w:sz w:val="17"/>
                <w:szCs w:val="17"/>
                <w:color w:val="auto"/>
              </w:rPr>
              <w:t>Money market accounts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Pr>
          <w:p>
            <w:pPr>
              <w:spacing w:after="0"/>
              <w:rPr>
                <w:sz w:val="17"/>
                <w:szCs w:val="17"/>
                <w:color w:val="auto"/>
              </w:rPr>
            </w:pPr>
          </w:p>
        </w:tc>
      </w:tr>
      <w:tr>
        <w:trPr>
          <w:trHeight w:val="211"/>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Certificates of deposit</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10180" w:type="dxa"/>
            <w:vAlign w:val="bottom"/>
          </w:tcPr>
          <w:p>
            <w:pPr>
              <w:spacing w:after="0"/>
              <w:rPr>
                <w:sz w:val="17"/>
                <w:szCs w:val="17"/>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7"/>
                <w:szCs w:val="17"/>
                <w:color w:val="auto"/>
              </w:rPr>
            </w:pPr>
          </w:p>
        </w:tc>
      </w:tr>
      <w:tr>
        <w:trPr>
          <w:trHeight w:val="20"/>
        </w:trPr>
        <w:tc>
          <w:tcPr>
            <w:tcW w:w="10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To mitigate credit risk we invest through high-credit-quality financial institutions and, by policy, generally limit the concentration of credit exposure by restricting investments with any single obligor.</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Our liquidity is highly dependent on average selling prices for our products and the timing of capital expenditures, both of which can vary significantly from period to period. Depending on conditions in the semiconductor memory market, our cash flows from operations and current holdings of cash and investments may not be adequate to meet our needs for capital expenditures and operations. Historically, we have used external sources of financing to fund these needs. Due to conditions in the credit markets, it may be difficult to obtain financing on terms acceptable to us.</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$3,096 million for 2010, which reflected approximately $3,530 million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and sales of our products partially offset by a $516 million increase in accounts receivable due to a higher level of sales and in an increase in the proportion of sales to original equipment manufacturers who generally have longer payment terms than other customers.</w:t>
      </w:r>
    </w:p>
    <w:p>
      <w:pPr>
        <w:spacing w:after="0" w:line="201"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On October 1, 2010, we entered into a 10-year patent cross-license agreement with Samsung Electronics Co. Ltd. ("Samsung"). Under the agreement, Samsung will pay us $275 million, with $200 million paid in October 2010, $40 million due January 31, 2011 and $35 million due March 31, 2011. The license is a life-of-patents license for existing patents and applications and a 10-year term license for all other patents.</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for investing activities was $448 million for 2010, which included cash expenditures of $616 million for property, plant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and $138 million for the acquisition of additional shares in Inotera partially offset by net proceeds from the sale of our interest in the Hynix JV of $173 million (net of $250 million placed in a cash collateral account for a loan guarantee). A significant portion of the capital expenditures related to IM Flash and TECH operations. We believe that to develop new product and process technologies, support future growth, achieve operating efficiencies and maintain product quality, we must continue to invest in manufacturing technologies, facilities and capital equipment and research and development. We expect that capital spending will be approximately $2.4 billion to $2.9 billion for 2011. The actual amount in 2011 will vary depending on market conditions and funding participation by joint venture partners. As of September 2, 2010, we had commitments of approximately $1.2 billion for the acquisition of property, plant and equipment, most of which is expected to be paid within one year.</w:t>
      </w:r>
    </w:p>
    <w:p>
      <w:pPr>
        <w:spacing w:after="0" w:line="2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connection with the Numonyx acquisition, we acquired a 20.7% noncontrolling interest in the Hynix JV. Subsequent to the acquisition, Hynix exercised its option to purchase our equity interest in the Hynix JV for $423 million on August 31, 2010. Also in connection with the Numonyx acquisition, we entered into agreements with STMicroelectronics N.V. and DBS Bank Ltd. ("DBS") that require us to guarantee an outstanding $250 million loan, due in periodic installments from 2014 through 2016, made by DBS to the Hynix JV. Under the agreements, on August 31, 2010, we deposited $250 million of proceeds from the sale of our interest in the Hynix JV into a pledged account at DBS Bank Ltd. ("DBS") to collateralize the guarantee of the loan. The amount on deposit in the DBS account is accounted for as restricted cash. The amount on deposit and our guarantee decrease as payments are made by the Hynix JV against the loan.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6" w:name="page27"/>
    <w:bookmarkEnd w:id="26"/>
    <w:p>
      <w:pPr>
        <w:ind w:right="340"/>
        <w:spacing w:after="0" w:line="260"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used for financing activities was $1,220 million for 2010, which includes payments of debt, net of proceeds received, of $640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Debt payments included $213 million to repay a note with the Singapore Economic Development Board, $200 million to reduce the amount outstanding under the TECH credit facility and $70 million to repay the Lexar convertible notes. Cash used for financing activities also includes $330 million of payments on equipment purchase contracts and $229 million of net distributions to joint venture partners.</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TECH’s credit facility contains covenants that, among other requirements, establish certain liquidity, debt service coverage and leverage ratios, and restrict its ability to incur indebtedness, create liens and acquire or dispose of assets. In the first quarter of 2010, the covenants were modified and as of September, 2010, TECH was in compliance with the covenants. We guarantee 100% of the $348 million outstanding amount borrowed under the TECH credit facility as of September 2, 2010. Under the terms of the credit facility, TECH had $60 million in restricted cash as of September 2, 2010.</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(See "Item 8. Financial Statements and Supplementary Data – Notes to Consolidated Financial Statements – Supplemental Balance Sheet Information – Debt" note.)</w:t>
      </w:r>
    </w:p>
    <w:p>
      <w:pPr>
        <w:spacing w:after="0" w:line="26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In 2010, IM Flash distributed $267 million to Intel and we expect that it will make additional distributions to Intel in the future. Timing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and any future contributions, however, is subject to market conditions and approval of the partners. In the second quarter of 2010, IM Flash began moving forward with start-up activities including placing purchase orders and preparing the facility for tool installations at its new 300mm wafer fabrication facility in Singapore that commenced in 2011. In 2010, we contributed $128 million and Intel contributed $38 million to IM Flash. In the first quarter of 2011, we contributed $392 million to IM Flash and Intel did not make any contribution. We expect to make significant contributions to IM Flash in future periods in connection with these start-up activities. The level of our future capital contributions to IM Flash will depend on the extent to which Intel participates with us in future IM Flash capital calls.</w:t>
      </w:r>
    </w:p>
    <w:p>
      <w:pPr>
        <w:spacing w:after="0" w:line="207"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We made capital contributions to TECH of $80 million in 2010 and $258 million in 2009 increasing our equity interest in TECH to 87%. The shareholders’ agreement for the TECH joint venture expires in April 2011. In September 2009, TECH received a notice from Hewlett-Packard Company ("HP") that it does not intend to extend the TECH joint venture beyond April 2011. We are in discussions with HP and Canon Inc. ("Canon") to reach a resolution of the matter, which may include our purchase of their interests. The parties’ inability to reach a resolution prior to April 2011 could result in the sale of TECH’s assets and could require repayment of TECH’s credit facility ($348 million outstanding as of September 2, 2010). (See Item 1A. Risk Factors.)</w:t>
      </w:r>
    </w:p>
    <w:p>
      <w:pPr>
        <w:spacing w:after="0" w:line="191"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On December 15, 2009, Inotera’s Board of Directors approved the issuance of 640 million common shares. On February 6, 2010, we purchased approximately 196 million shares for $138 million, slightly increasing our equity interest in Inotera from 29.8% to 29.9%.</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summarizes our significant contractual obligations as of September 2, 2010, and the effect such obligations are expected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have on our liquidity and cash flows in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Less than 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More than 5</w:t>
            </w: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year</w:t>
            </w: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1-3 years</w:t>
            </w:r>
          </w:p>
        </w:tc>
        <w:tc>
          <w:tcPr>
            <w:tcW w:w="1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4"/>
              </w:rPr>
              <w:t>3-5 years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years</w:t>
            </w:r>
          </w:p>
        </w:tc>
      </w:tr>
      <w:tr>
        <w:trPr>
          <w:trHeight w:val="205"/>
        </w:trPr>
        <w:tc>
          <w:tcPr>
            <w:tcW w:w="4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 xml:space="preserve">Notes payable </w:t>
            </w:r>
            <w:r>
              <w:rPr>
                <w:rFonts w:ascii="Arial" w:cs="Arial" w:eastAsia="Arial" w:hAnsi="Arial"/>
                <w:sz w:val="23"/>
                <w:szCs w:val="23"/>
                <w:i w:val="1"/>
                <w:iCs w:val="1"/>
                <w:color w:val="auto"/>
                <w:vertAlign w:val="superscript"/>
              </w:rPr>
              <w:t>(1)</w:t>
            </w:r>
          </w:p>
        </w:tc>
        <w:tc>
          <w:tcPr>
            <w:tcW w:w="88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2,223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580" w:type="dxa"/>
            <w:vAlign w:val="bottom"/>
          </w:tcPr>
          <w:p>
            <w:pPr>
              <w:spacing w:after="0" w:line="205" w:lineRule="exact"/>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23"/>
                <w:szCs w:val="23"/>
                <w:i w:val="1"/>
                <w:iCs w:val="1"/>
                <w:color w:val="auto"/>
                <w:vertAlign w:val="superscript"/>
              </w:rPr>
              <w:t>(1)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347</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Purchase obligations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1,801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w:t>
            </w:r>
          </w:p>
        </w:tc>
      </w:tr>
      <w:tr>
        <w:trPr>
          <w:trHeight w:val="26"/>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Total</w:t>
            </w:r>
          </w:p>
        </w:tc>
        <w:tc>
          <w:tcPr>
            <w:tcW w:w="880" w:type="dxa"/>
            <w:vAlign w:val="bottom"/>
            <w:gridSpan w:val="2"/>
          </w:tcPr>
          <w:p>
            <w:pPr>
              <w:jc w:val="right"/>
              <w:ind w:right="595"/>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5,284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2,508</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672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1,794</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3605" cy="130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 xml:space="preserve"> Includes interest</w:t>
      </w:r>
    </w:p>
    <w:p>
      <w:pPr>
        <w:spacing w:after="0" w:line="173" w:lineRule="exact"/>
        <w:rPr>
          <w:sz w:val="20"/>
          <w:szCs w:val="20"/>
          <w:color w:val="auto"/>
        </w:rPr>
      </w:pPr>
    </w:p>
    <w:p>
      <w:pPr>
        <w:jc w:val="both"/>
        <w:ind w:right="180"/>
        <w:spacing w:after="0" w:line="315" w:lineRule="auto"/>
        <w:rPr>
          <w:sz w:val="20"/>
          <w:szCs w:val="20"/>
          <w:color w:val="auto"/>
        </w:rPr>
      </w:pPr>
      <w:r>
        <w:rPr>
          <w:rFonts w:ascii="Arial" w:cs="Arial" w:eastAsia="Arial" w:hAnsi="Arial"/>
          <w:sz w:val="15"/>
          <w:szCs w:val="15"/>
          <w:color w:val="auto"/>
        </w:rPr>
        <w:t>The obligations disclosed above do not include contractual obligations recorded on our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changes to agreed-upon amounts or timing of certain events for some obligations.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7" w:name="page28"/>
    <w:bookmarkEnd w:id="27"/>
    <w:p>
      <w:pPr>
        <w:ind w:right="20"/>
        <w:spacing w:after="0" w:line="289" w:lineRule="auto"/>
        <w:rPr>
          <w:sz w:val="20"/>
          <w:szCs w:val="20"/>
          <w:color w:val="auto"/>
        </w:rPr>
      </w:pPr>
      <w:r>
        <w:rPr>
          <w:rFonts w:ascii="Arial" w:cs="Arial" w:eastAsia="Arial" w:hAnsi="Arial"/>
          <w:sz w:val="15"/>
          <w:szCs w:val="15"/>
          <w:color w:val="auto"/>
        </w:rPr>
        <w:t>Purchase obligations include all commitments to purchase goods or services of either a fixed or minimum quantity that meet any of the following criteria: (1) they are noncancelable, (2) we would incur a penalty if the agreement was cancelled, or (3) we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we would incur a penalty if cancelled, the dollar amount of the penalty was included as a purchase</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obligation. Contracted minimum amounts specified in take-or-pay contracts are also included in the above table as they represent the portion of each contract that is a firm commitment.</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Pursuant to the Inotera Supply Agreement, we have an obligation to purchase 50% of Inotera’s output of semiconductor memory components subject to specific terms and conditions. As purchase quantities are based on qualified production output, the Inotera Supply Agreement does not contain a fixed or minimum purchase quantity and therefore we did not include our obligations under the Inotera Supply Agreement in the contractual obligations table above. Our obligation under the Inotera Supply Agreement also fluctuates due to pricing which is based on manufacturing costs and margins associated with the resale of DRAM products. Pursuant to our obligations under the Inotera Supply Agreement, we purchased $693 million of DRAM products from Inotera in 2010.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23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In connection with the acquisition of Numonyx, we entered into agreements with STMicroelectronics N.V. and DBS that require us to guarantee an outstanding $250 million loan, due in periodic installments from 2014 through 2016, made by DBS to the Hynix JV. Under the agreements, on August 31, 2010, we deposited $250 million of proceeds from the sale of our interest in the Hynix JV into a pledged account at DBS to collateralize our obligations under the guarantee of the loan. The amount on deposit in the DBS account is accounted for as restricted cash. The amount on deposit and our guarantee decrease as payments are made by the Hynix JV against the loan. As of September 2, 2010, other noncurrent liabilities included $15 million for the fair value of our obligations under our agreements with STMicroelectronics and DBS. (See "Item 8. Financial Statements and Supplementary Data – Notes to Consolidated Financial Statements – Supplemental Balance Sheet Information – Equity Method Investments – Hynix JV" note.)</w:t>
      </w:r>
    </w:p>
    <w:p>
      <w:pPr>
        <w:spacing w:after="0" w:line="19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Concurrent with the offering of the 1.875% Convertible Notes in May 2007, we paid approximately $151 million for three Capped Call transactions (the "Capped Calls"). The Capped Calls cover an aggregate of approximately 91.3 million shares of common stock. The Capped Calls are in three equal tranches with cap prices of $17.25, $20.13 and $23.00 per share, respectively, each with an initial strike price of approximately $14.23 per share, subject to certain adjustments. The Capped Calls expire on various dates between November 2011 and December 2012. The Capped Calls are intended to reduce potential dilution upon conversion of the Convertible Notes.</w:t>
      </w: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Concurrent with the offering of the 4.25% Senior Notes in April, 2009, we paid approximately $25 million for three capped call instruments that have an initial strike price of approximately $5.08 per share (the "2009 Capped Calls"). The 2009 Capped Calls have a cap price of $6.64 per share and cover an aggregate of approximately 45.2 million shares of common stock. The Capped Calls expire in October and November of 2012. The 2009 Capped Calls are intended to reduce potential dilution upon conversion of the 4.25% Senior Notes.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(See "Item 8. Financial Statements and Supplementary Data – Notes to Consolidated Financial Statements – Supplemental Balance Sheet Information – Shareholders’ Equity – Capped Call Transactions" note.)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Adopted Accounting Standards</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May 2008, the Financial Accounting Standards Board ("FASB") issued a new accounting standard for convertible debt instruments that may be settled in cash upon conversion, including partial cash settlement. This standard requires that issuers of these types of convertible debt instruments separately account for the liability and equity components of such instruments in a manner such that interest cost is recognized at the entity’s nonconvertible debt borrowing rate in subsequent periods. We adopted this standard as of the beginning of 2010 and retrospectively accounted for our $1.3 billion 1.875% convertible senior notes under the provisions of this guidance from the May 2007 issuance date of the notes. As a result, prior financial statement amounts were recast. (See "Adjustments for Retrospective Application of New Accounting Standards" note.)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7"/>
          <w:szCs w:val="17"/>
          <w:color w:val="auto"/>
        </w:rPr>
        <w:t>In December 2007, the FASB issued a new accounting standard on noncontrolling interests in consolidated financial statements. This standard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We adopted this standard as of the beginning of 2010. As a result, prior financial statement amounts were recast. (See "Adjustments for Retrospective Application of New Accounting Standards" note.)</w:t>
      </w:r>
    </w:p>
    <w:p>
      <w:pPr>
        <w:spacing w:after="0" w:line="21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December 2007, the FASB issued a new accounting standard on business combinations, which establishes the principles and requirements for how an acquirer (1) recognizes and measures in its financial statements identifiable assets acquired, liabilities assumed, and any noncontrolling interests in the acquiree, (2) recognizes and measures goodwill acquired in the business combination or a gain from a bargain purchase and (3) determines what information to disclose. We adopted this standard effective as of the beginning of 2010. The initial adoption did not have a significant impact on our financial statements. The acquisition of Numonyx was accounted for under the provisions of this new standard. (See "Numonyx Holdings B.V." note.)</w:t>
      </w:r>
    </w:p>
    <w:p>
      <w:pPr>
        <w:spacing w:after="0" w:line="19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September 2006, the FASB issued a new accounting standard on fair value measurements and disclosures, which defines fair value, establishes a framework for measuring fair value in generally accepted accounting principles and expands disclosures about fair value measurements. We adopted this standard effective as of the beginning of 2009 for financial assets and financial liabilities. We adopted this standard effective as of the beginning of 2010 for all other assets and liabilities. The adoptions did not have a significant impact on our financial statements.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Issued Accounting Standards</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June 2009, the FASB issued a new accounting standard on variable interest entities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We are required to adopt this standard as of the beginning of 2011. We do not expect the initial adoption of this standard to have a significant impact on our financial statements as of the adoption date. The impact on periods subsequent to the initial adoption will depend on the nature and extent of our variable interest entities after the beginning of 2011.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Estimates</w:t>
      </w:r>
    </w:p>
    <w:p>
      <w:pPr>
        <w:spacing w:after="0" w:line="23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requires management’s most difficult, subjective or complex judgments.</w:t>
      </w:r>
    </w:p>
    <w:p>
      <w:pPr>
        <w:spacing w:after="0" w:line="19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Accounting for acquisitions and consolidations requires us to estimate the fair value of consideration paid and the individual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as well as various forms of consideration given, which involves a number of judgments, assumptions and estimates that could materially affect the amount and timing of costs recognized. We typically obtain independent third party valuation studies to assist in determining fair values, including assistance in determining future cash flows, appropriate discount rates and comparable market values.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 xml:space="preserve">Consolidations: </w:t>
      </w:r>
      <w:r>
        <w:rPr>
          <w:rFonts w:ascii="Arial" w:cs="Arial" w:eastAsia="Arial" w:hAnsi="Arial"/>
          <w:sz w:val="15"/>
          <w:szCs w:val="15"/>
          <w:color w:val="auto"/>
        </w:rPr>
        <w:t>Determining whether to consolidate a variable interest entity may require judgment in assessing (1) whether an entity is a variable interest entity and</w:t>
      </w:r>
    </w:p>
    <w:p>
      <w:pPr>
        <w:spacing w:after="0" w:line="58" w:lineRule="exact"/>
        <w:rPr>
          <w:sz w:val="20"/>
          <w:szCs w:val="20"/>
          <w:color w:val="auto"/>
        </w:rPr>
      </w:pPr>
    </w:p>
    <w:p>
      <w:pPr>
        <w:ind w:right="20" w:firstLine="3"/>
        <w:spacing w:after="0" w:line="272" w:lineRule="auto"/>
        <w:tabs>
          <w:tab w:leader="none" w:pos="242"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the entity’s primary beneficiary. We are required to consolidate a variable interest entity if we have variable interests that will absorb a majority of `the entity’s expected losses, receive a majority of the entity’s expected residual returns, or both. Determining the primary beneficiary requires consideration of the rights and obligations conveyed by our variable interests and the relationship of our variable interests with variable interests held by other parties. If we hold variable interests in the same variable interest entity with another entity that is considered a related party, we are required to assess whether we are the primary beneficiary based on a determination of who is most closely associated with the variable interest entity. This assessment requires judgment and shall be based on an analysis of all relevant facts and circumstances, including (1) the relationship and significance of the activities of the variable interest entity to the various parties within the related party group, (2) each party’s exposure to the expected losses of the variable interest entity and (3) the design of the variable interest entity. In 2011, upon adoption of a new accounting standard, the determination of the primary beneficiary of a variable interest entity will require an assessment of whether we have the power to direct the activities of a variable interest entity that most significantly impact the entity’s economic performance.</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the possibility of losses from various contingencies. Considerable judgment is necessary to estimate the probability and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loss from such contingencies. An accrual is made when it is probable that a liability has been incurred or an asset has been impaired and the amount of loss can be reasonably estimated. We accrue a liability and charge operations for the estimated costs of adjudication or settlement of asserted and unasserted claims existing as of the balance sheet date.</w:t>
      </w:r>
    </w:p>
    <w:p>
      <w:pPr>
        <w:spacing w:after="0" w:line="20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are required to estimate our provision for income taxes and amounts ultimately payable or recoverable in numerous tax jurisdictions around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Estimates involve interpretations of regulations and are inherently complex. Resolution of income tax treatments in individual jurisdictions may not be known for many years after completion of any fiscal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and we recorded charges of $603 million in aggregate for 2009 and $282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aggregate for 2008 to write down the carrying value of inventories of memory products to their estimated market values.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we review recent sales volumes, existing customer orders, current contract prices, industry analysis of supply and demand, seasonal factors, general economic trends and other information. When these analyses reflect estimated market values below our manufacturing costs, we record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our DRAM and NAND Flash inventory by approximately $105 million at September 2, 2010.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Our inventories have been categorized as memory, imaging and microdisplay products. The major characteristics we consider in determining inventory categories are product type and markets.</w:t>
      </w: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ourselves are capitalized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periods currently ranging up to 10 years. We capitalize a portion of costs incurred based on our analysis of historical and projected patents issued as a percent of patents filed. Capitalized product and process technology costs are amortized over the shorter of (1) the estimated useful life of the technology, (2) the patent term or (3) the term of the technology agreement.</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30" w:name="page31"/>
    <w:bookmarkEnd w:id="30"/>
    <w:p>
      <w:pPr>
        <w:ind w:right="20"/>
        <w:spacing w:after="0" w:line="297" w:lineRule="auto"/>
        <w:rPr>
          <w:sz w:val="20"/>
          <w:szCs w:val="20"/>
          <w:color w:val="auto"/>
        </w:rPr>
      </w:pPr>
      <w:r>
        <w:rPr>
          <w:rFonts w:ascii="Arial" w:cs="Arial" w:eastAsia="Arial" w:hAnsi="Arial"/>
          <w:sz w:val="15"/>
          <w:szCs w:val="15"/>
          <w:b w:val="1"/>
          <w:bCs w:val="1"/>
          <w:i w:val="1"/>
          <w:iCs w:val="1"/>
          <w:color w:val="auto"/>
        </w:rPr>
        <w:t xml:space="preserve">Property, plant and equipment: </w:t>
      </w:r>
      <w:r>
        <w:rPr>
          <w:rFonts w:ascii="Arial" w:cs="Arial" w:eastAsia="Arial" w:hAnsi="Arial"/>
          <w:sz w:val="15"/>
          <w:szCs w:val="15"/>
          <w:color w:val="auto"/>
        </w:rPr>
        <w:t>We review the carrying value of property, plant and equipment for impairment when events and circumstances indicate that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us, include, but are not limited to, future use of the assets for our operations versus sale or disposal of the assets, future selling prices for our products and future production and sales volumes. In addition, judgment is required by us in determining the groups of assets for which impairment tests are separately performed.</w:t>
      </w:r>
    </w:p>
    <w:p>
      <w:pPr>
        <w:spacing w:after="0" w:line="181" w:lineRule="exact"/>
        <w:rPr>
          <w:sz w:val="20"/>
          <w:szCs w:val="20"/>
          <w:color w:val="auto"/>
        </w:rPr>
      </w:pPr>
    </w:p>
    <w:p>
      <w:pPr>
        <w:ind w:right="320"/>
        <w:spacing w:after="0" w:line="315"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Costs related to the conceptual formulation and design of products and processes are expensed as research and development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incurred. Determining when product development is complete requires judgment by us. We deem development of a product complete once the product has been thoroughly reviewed and tested for performance and reliability. Subsequent to product qualification, product costs are valued in inventory.</w:t>
      </w:r>
    </w:p>
    <w:p>
      <w:pPr>
        <w:spacing w:after="0" w:line="167" w:lineRule="exact"/>
        <w:rPr>
          <w:sz w:val="20"/>
          <w:szCs w:val="20"/>
          <w:color w:val="auto"/>
        </w:rPr>
      </w:pPr>
    </w:p>
    <w:p>
      <w:pPr>
        <w:spacing w:after="0" w:line="305" w:lineRule="auto"/>
        <w:rPr>
          <w:sz w:val="20"/>
          <w:szCs w:val="20"/>
          <w:color w:val="auto"/>
        </w:rPr>
      </w:pPr>
      <w:r>
        <w:rPr>
          <w:rFonts w:ascii="Arial" w:cs="Arial" w:eastAsia="Arial" w:hAnsi="Arial"/>
          <w:sz w:val="15"/>
          <w:szCs w:val="15"/>
          <w:b w:val="1"/>
          <w:bCs w:val="1"/>
          <w:i w:val="1"/>
          <w:iCs w:val="1"/>
          <w:color w:val="auto"/>
        </w:rPr>
        <w:t xml:space="preserve">Stock-based compensation: </w:t>
      </w:r>
      <w:r>
        <w:rPr>
          <w:rFonts w:ascii="Arial" w:cs="Arial" w:eastAsia="Arial" w:hAnsi="Arial"/>
          <w:sz w:val="15"/>
          <w:szCs w:val="15"/>
          <w:color w:val="auto"/>
        </w:rPr>
        <w:t>Compensation cost for stock-based compensation is estimated at the grant date based on the fair-value of the award and is recognized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 ratably over the requisite service period of the award. For stock-based compensation awards with graded vesting that were granted after 2005, we recognize compensation expense using the straight-line amortization method. For performance-based stock awards, the expense recognized is dependent on the probability of the performance measure being achieved. We utilize forecasts of future performance to assess these probabilities and this assessment requires considerable judgment.</w:t>
      </w:r>
    </w:p>
    <w:p>
      <w:pPr>
        <w:spacing w:after="0" w:line="17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We develop its estimates based on historical data and market information which can change significantly over time. A small change in the estimates used can result in a relatively large change in the estimated valuation. We use the Black-Scholes option valuation model to value employee stock awards. We estimate stock price volatility based on an average of its historical volatility and the implied volatility derived from traded options on our stock.</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7456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340"/>
          </w:cols>
          <w:pgMar w:left="240" w:top="499" w:right="319" w:bottom="1440" w:gutter="0" w:footer="0" w:header="0"/>
        </w:sectPr>
      </w:pPr>
    </w:p>
    <w:bookmarkStart w:id="31" w:name="page32"/>
    <w:bookmarkEnd w:id="31"/>
    <w:p>
      <w:pPr>
        <w:ind w:left="10140"/>
        <w:spacing w:after="0"/>
        <w:rPr>
          <w:sz w:val="20"/>
          <w:szCs w:val="20"/>
          <w:color w:val="auto"/>
        </w:rPr>
      </w:pPr>
      <w:r>
        <w:rPr>
          <w:rFonts w:ascii="Arial" w:cs="Arial" w:eastAsia="Arial" w:hAnsi="Arial"/>
          <w:sz w:val="19"/>
          <w:szCs w:val="19"/>
          <w:b w:val="1"/>
          <w:bCs w:val="1"/>
          <w:color w:val="auto"/>
        </w:rPr>
        <w:t>EXHIBIT 99.3</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520" w:type="dxa"/>
            <w:vAlign w:val="bottom"/>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900" w:type="dxa"/>
            <w:vAlign w:val="bottom"/>
          </w:tcPr>
          <w:p>
            <w:pPr>
              <w:spacing w:after="0"/>
              <w:rPr>
                <w:sz w:val="19"/>
                <w:szCs w:val="19"/>
                <w:color w:val="auto"/>
              </w:rPr>
            </w:pPr>
          </w:p>
        </w:tc>
      </w:tr>
      <w:tr>
        <w:trPr>
          <w:trHeight w:val="443"/>
        </w:trPr>
        <w:tc>
          <w:tcPr>
            <w:tcW w:w="1052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Page</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3"/>
        </w:trPr>
        <w:tc>
          <w:tcPr>
            <w:tcW w:w="10520" w:type="dxa"/>
            <w:vAlign w:val="bottom"/>
          </w:tcPr>
          <w:p>
            <w:pPr>
              <w:spacing w:after="0" w:line="193" w:lineRule="exact"/>
              <w:rPr>
                <w:sz w:val="20"/>
                <w:szCs w:val="20"/>
                <w:color w:val="auto"/>
              </w:rPr>
            </w:pPr>
            <w:r>
              <w:rPr>
                <w:rFonts w:ascii="Arial" w:cs="Arial" w:eastAsia="Arial" w:hAnsi="Arial"/>
                <w:sz w:val="17"/>
                <w:szCs w:val="17"/>
                <w:color w:val="auto"/>
                <w:w w:val="89"/>
              </w:rPr>
              <w:t>Consolidated Financial Statements as of September 2, 2010 and September 3, 2009 and for the fiscal years ended September 2, 2010, September 3, 2009</w:t>
            </w:r>
          </w:p>
        </w:tc>
        <w:tc>
          <w:tcPr>
            <w:tcW w:w="900" w:type="dxa"/>
            <w:vAlign w:val="bottom"/>
          </w:tcPr>
          <w:p>
            <w:pPr>
              <w:spacing w:after="0"/>
              <w:rPr>
                <w:sz w:val="16"/>
                <w:szCs w:val="16"/>
                <w:color w:val="auto"/>
              </w:rPr>
            </w:pPr>
          </w:p>
        </w:tc>
      </w:tr>
      <w:tr>
        <w:trPr>
          <w:trHeight w:val="217"/>
        </w:trPr>
        <w:tc>
          <w:tcPr>
            <w:tcW w:w="10520" w:type="dxa"/>
            <w:vAlign w:val="bottom"/>
          </w:tcPr>
          <w:p>
            <w:pPr>
              <w:ind w:left="320"/>
              <w:spacing w:after="0"/>
              <w:rPr>
                <w:sz w:val="20"/>
                <w:szCs w:val="20"/>
                <w:color w:val="auto"/>
              </w:rPr>
            </w:pPr>
            <w:r>
              <w:rPr>
                <w:rFonts w:ascii="Arial" w:cs="Arial" w:eastAsia="Arial" w:hAnsi="Arial"/>
                <w:sz w:val="17"/>
                <w:szCs w:val="17"/>
                <w:color w:val="auto"/>
              </w:rPr>
              <w:t>and August 28, 2008:</w:t>
            </w:r>
          </w:p>
        </w:tc>
        <w:tc>
          <w:tcPr>
            <w:tcW w:w="900" w:type="dxa"/>
            <w:vAlign w:val="bottom"/>
          </w:tcPr>
          <w:p>
            <w:pPr>
              <w:spacing w:after="0"/>
              <w:rPr>
                <w:sz w:val="18"/>
                <w:szCs w:val="18"/>
                <w:color w:val="auto"/>
              </w:rPr>
            </w:pPr>
          </w:p>
        </w:tc>
      </w:tr>
      <w:tr>
        <w:trPr>
          <w:trHeight w:val="206"/>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Consolidated Statements of Operations</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2</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Consolidated Balance Sheets</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Consolidated Statements of Shareholders’ Equity</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Consolidated Statements of Cash Flows</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6</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40</w:t>
            </w: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20"/>
                <w:szCs w:val="20"/>
                <w:color w:val="auto"/>
              </w:rPr>
            </w:pPr>
            <w:r>
              <w:rPr>
                <w:rFonts w:ascii="Arial" w:cs="Arial" w:eastAsia="Arial" w:hAnsi="Arial"/>
                <w:sz w:val="17"/>
                <w:szCs w:val="17"/>
                <w:color w:val="auto"/>
              </w:rPr>
              <w:t>Financial Statement Schedule:</w:t>
            </w: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10520" w:type="dxa"/>
            <w:vAlign w:val="bottom"/>
          </w:tcPr>
          <w:p>
            <w:pPr>
              <w:spacing w:after="0"/>
              <w:rPr>
                <w:sz w:val="20"/>
                <w:szCs w:val="20"/>
                <w:color w:val="auto"/>
              </w:rPr>
            </w:pPr>
            <w:r>
              <w:rPr>
                <w:rFonts w:ascii="Arial" w:cs="Arial" w:eastAsia="Arial" w:hAnsi="Arial"/>
                <w:sz w:val="17"/>
                <w:szCs w:val="17"/>
                <w:color w:val="auto"/>
              </w:rPr>
              <w:t>Schedule II – Valuation and Qualifying Accounts</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42</w:t>
            </w:r>
          </w:p>
        </w:tc>
      </w:tr>
      <w:tr>
        <w:trPr>
          <w:trHeight w:val="795"/>
        </w:trPr>
        <w:tc>
          <w:tcPr>
            <w:tcW w:w="10520" w:type="dxa"/>
            <w:vAlign w:val="bottom"/>
          </w:tcPr>
          <w:p>
            <w:pPr>
              <w:ind w:left="5680"/>
              <w:spacing w:after="0"/>
              <w:rPr>
                <w:sz w:val="20"/>
                <w:szCs w:val="20"/>
                <w:color w:val="auto"/>
              </w:rPr>
            </w:pPr>
            <w:r>
              <w:rPr>
                <w:rFonts w:ascii="Arial" w:cs="Arial" w:eastAsia="Arial" w:hAnsi="Arial"/>
                <w:sz w:val="17"/>
                <w:szCs w:val="17"/>
                <w:color w:val="auto"/>
              </w:rPr>
              <w:t>1</w:t>
            </w:r>
          </w:p>
        </w:tc>
        <w:tc>
          <w:tcPr>
            <w:tcW w:w="900" w:type="dxa"/>
            <w:vAlign w:val="bottom"/>
          </w:tcPr>
          <w:p>
            <w:pPr>
              <w:spacing w:after="0"/>
              <w:rPr>
                <w:sz w:val="24"/>
                <w:szCs w:val="24"/>
                <w:color w:val="auto"/>
              </w:rPr>
            </w:pPr>
          </w:p>
        </w:tc>
      </w:tr>
      <w:tr>
        <w:trPr>
          <w:trHeight w:val="113"/>
        </w:trPr>
        <w:tc>
          <w:tcPr>
            <w:tcW w:w="10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8"/>
              </w:rPr>
              <w:t>September 2,</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8"/>
              </w:rPr>
              <w:t>September 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August 28,</w:t>
            </w:r>
          </w:p>
        </w:tc>
      </w:tr>
      <w:tr>
        <w:trPr>
          <w:trHeight w:val="22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5,841</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Cost of goods sold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5,896</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647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680</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Goodwill impairment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463</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 expense,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Operating 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(1,676)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(1,595)</w:t>
            </w: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Gain from acquisition of Numonyx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(118)</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non-operating income (expense),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(1,852)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(1,647)</w:t>
            </w: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Equity in net income (loss) of equity method investees, net of tax</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Net (income) loss attributable to noncontrolling interests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Micron</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(1,882)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(1,655)</w:t>
            </w:r>
          </w:p>
        </w:tc>
      </w:tr>
      <w:tr>
        <w:trPr>
          <w:trHeight w:val="19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Basic</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(2.35)</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w:t>
            </w: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used in per share calculations: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887.5</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800.7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772.5</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1,050.7</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0"/>
        </w:trPr>
        <w:tc>
          <w:tcPr>
            <w:tcW w:w="8700" w:type="dxa"/>
            <w:vAlign w:val="bottom"/>
          </w:tcPr>
          <w:p>
            <w:pPr>
              <w:jc w:val="center"/>
              <w:ind w:left="2655"/>
              <w:spacing w:after="0"/>
              <w:rPr>
                <w:sz w:val="20"/>
                <w:szCs w:val="20"/>
                <w:color w:val="auto"/>
              </w:rPr>
            </w:pPr>
            <w:r>
              <w:rPr>
                <w:rFonts w:ascii="Arial" w:cs="Arial" w:eastAsia="Arial" w:hAnsi="Arial"/>
                <w:sz w:val="17"/>
                <w:szCs w:val="17"/>
                <w:b w:val="1"/>
                <w:bCs w:val="1"/>
                <w:color w:val="auto"/>
              </w:rPr>
              <w:t>MICRON TECHNOLOGY, INC.</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8700" w:type="dxa"/>
            <w:vAlign w:val="bottom"/>
          </w:tcPr>
          <w:p>
            <w:pPr>
              <w:jc w:val="center"/>
              <w:ind w:left="2655"/>
              <w:spacing w:after="0"/>
              <w:rPr>
                <w:sz w:val="20"/>
                <w:szCs w:val="20"/>
                <w:color w:val="auto"/>
              </w:rPr>
            </w:pPr>
            <w:r>
              <w:rPr>
                <w:rFonts w:ascii="Arial" w:cs="Arial" w:eastAsia="Arial" w:hAnsi="Arial"/>
                <w:sz w:val="17"/>
                <w:szCs w:val="17"/>
                <w:b w:val="1"/>
                <w:bCs w:val="1"/>
                <w:color w:val="auto"/>
                <w:w w:val="99"/>
              </w:rPr>
              <w:t>CONSOLIDATED BALANCE SHEETS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jc w:val="center"/>
              <w:ind w:left="2655"/>
              <w:spacing w:after="0"/>
              <w:rPr>
                <w:sz w:val="20"/>
                <w:szCs w:val="20"/>
                <w:color w:val="auto"/>
              </w:rPr>
            </w:pPr>
            <w:r>
              <w:rPr>
                <w:rFonts w:ascii="Arial" w:cs="Arial" w:eastAsia="Arial" w:hAnsi="Arial"/>
                <w:sz w:val="17"/>
                <w:szCs w:val="17"/>
                <w:color w:val="auto"/>
                <w:w w:val="92"/>
              </w:rPr>
              <w:t>(in millions except par value amounts)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September 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8"/>
              </w:rPr>
              <w:t>September 3,</w:t>
            </w:r>
          </w:p>
        </w:tc>
      </w:t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1,485</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Receivables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798</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987</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3,344</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344</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7,089</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Equity method investments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315</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311</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11,459</w:t>
            </w:r>
          </w:p>
        </w:tc>
      </w:tr>
      <w:tr>
        <w:trPr>
          <w:trHeight w:val="196"/>
        </w:trPr>
        <w:tc>
          <w:tcPr>
            <w:tcW w:w="8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1,509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1,037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Equipment purchase contracts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222</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2,702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1,892</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2,379</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249</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4,520</w:t>
            </w:r>
          </w:p>
        </w:tc>
      </w:tr>
      <w:tr>
        <w:trPr>
          <w:trHeight w:val="205"/>
        </w:trPr>
        <w:tc>
          <w:tcPr>
            <w:tcW w:w="8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Micron shareholders’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Common stock, $0.10 par value, 3,000 shares authorized, 994.5 shares issued and outstanding (848.7 in 2009)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Additional capital</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7,257</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(2,385)</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Total Micron shareholders’ 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8,020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4,953</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subsidiaries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1,986</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Total 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9,816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6,939</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4" w:name="page35"/>
    <w:bookmarkEnd w:id="34"/>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7"/>
                <w:szCs w:val="17"/>
                <w:b w:val="1"/>
                <w:bCs w:val="1"/>
                <w:color w:val="auto"/>
              </w:rPr>
              <w:t>Micron Shareholders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rPr>
              <w:t>Common Stock</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Retained</w:t>
            </w:r>
          </w:p>
        </w:tc>
        <w:tc>
          <w:tcPr>
            <w:tcW w:w="144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9"/>
              </w:rPr>
              <w:t>Accumulated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340"/>
              <w:spacing w:after="0" w:line="189" w:lineRule="exact"/>
              <w:rPr>
                <w:sz w:val="20"/>
                <w:szCs w:val="20"/>
                <w:color w:val="auto"/>
              </w:rPr>
            </w:pPr>
            <w:r>
              <w:rPr>
                <w:rFonts w:ascii="Arial" w:cs="Arial" w:eastAsia="Arial" w:hAnsi="Arial"/>
                <w:sz w:val="17"/>
                <w:szCs w:val="17"/>
                <w:b w:val="1"/>
                <w:bCs w:val="1"/>
                <w:color w:val="auto"/>
                <w:w w:val="90"/>
              </w:rPr>
              <w:t>Earnings</w:t>
            </w:r>
          </w:p>
        </w:tc>
        <w:tc>
          <w:tcPr>
            <w:tcW w:w="200" w:type="dxa"/>
            <w:vAlign w:val="bottom"/>
          </w:tcPr>
          <w:p>
            <w:pPr>
              <w:spacing w:after="0"/>
              <w:rPr>
                <w:sz w:val="4"/>
                <w:szCs w:val="4"/>
                <w:color w:val="auto"/>
              </w:rPr>
            </w:pPr>
          </w:p>
        </w:tc>
        <w:tc>
          <w:tcPr>
            <w:tcW w:w="1240" w:type="dxa"/>
            <w:vAlign w:val="bottom"/>
            <w:gridSpan w:val="2"/>
            <w:vMerge w:val="restart"/>
          </w:tcPr>
          <w:p>
            <w:pPr>
              <w:jc w:val="center"/>
              <w:ind w:right="520"/>
              <w:spacing w:after="0" w:line="189" w:lineRule="exact"/>
              <w:rPr>
                <w:sz w:val="20"/>
                <w:szCs w:val="20"/>
                <w:color w:val="auto"/>
              </w:rPr>
            </w:pPr>
            <w:r>
              <w:rPr>
                <w:rFonts w:ascii="Arial" w:cs="Arial" w:eastAsia="Arial" w:hAnsi="Arial"/>
                <w:sz w:val="17"/>
                <w:szCs w:val="17"/>
                <w:b w:val="1"/>
                <w:bCs w:val="1"/>
                <w:color w:val="auto"/>
                <w:w w:val="96"/>
              </w:rPr>
              <w:t>Other</w:t>
            </w:r>
          </w:p>
        </w:tc>
        <w:tc>
          <w:tcPr>
            <w:tcW w:w="1380" w:type="dxa"/>
            <w:vAlign w:val="bottom"/>
            <w:gridSpan w:val="3"/>
            <w:vMerge w:val="restart"/>
          </w:tcPr>
          <w:p>
            <w:pPr>
              <w:jc w:val="center"/>
              <w:ind w:right="300"/>
              <w:spacing w:after="0" w:line="189" w:lineRule="exact"/>
              <w:rPr>
                <w:sz w:val="20"/>
                <w:szCs w:val="20"/>
                <w:color w:val="auto"/>
              </w:rPr>
            </w:pPr>
            <w:r>
              <w:rPr>
                <w:rFonts w:ascii="Arial" w:cs="Arial" w:eastAsia="Arial" w:hAnsi="Arial"/>
                <w:sz w:val="17"/>
                <w:szCs w:val="17"/>
                <w:b w:val="1"/>
                <w:bCs w:val="1"/>
                <w:color w:val="auto"/>
                <w:w w:val="94"/>
              </w:rPr>
              <w:t>Total Micron</w:t>
            </w:r>
          </w:p>
        </w:tc>
        <w:tc>
          <w:tcPr>
            <w:tcW w:w="1280" w:type="dxa"/>
            <w:vAlign w:val="bottom"/>
            <w:gridSpan w:val="3"/>
            <w:vMerge w:val="restart"/>
          </w:tcPr>
          <w:p>
            <w:pPr>
              <w:spacing w:after="0" w:line="189" w:lineRule="exact"/>
              <w:rPr>
                <w:sz w:val="20"/>
                <w:szCs w:val="20"/>
                <w:color w:val="auto"/>
              </w:rPr>
            </w:pPr>
            <w:r>
              <w:rPr>
                <w:rFonts w:ascii="Arial" w:cs="Arial" w:eastAsia="Arial" w:hAnsi="Arial"/>
                <w:sz w:val="17"/>
                <w:szCs w:val="17"/>
                <w:b w:val="1"/>
                <w:bCs w:val="1"/>
                <w:color w:val="auto"/>
              </w:rPr>
              <w:t>Noncontrolling</w:t>
            </w: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6"/>
              </w:rPr>
              <w:t>Additional</w:t>
            </w:r>
          </w:p>
        </w:tc>
        <w:tc>
          <w:tcPr>
            <w:tcW w:w="1280" w:type="dxa"/>
            <w:vAlign w:val="bottom"/>
            <w:gridSpan w:val="3"/>
          </w:tcPr>
          <w:p>
            <w:pPr>
              <w:spacing w:after="0"/>
              <w:rPr>
                <w:sz w:val="20"/>
                <w:szCs w:val="20"/>
                <w:color w:val="auto"/>
              </w:rPr>
            </w:pPr>
            <w:r>
              <w:rPr>
                <w:rFonts w:ascii="Arial" w:cs="Arial" w:eastAsia="Arial" w:hAnsi="Arial"/>
                <w:sz w:val="17"/>
                <w:szCs w:val="17"/>
                <w:b w:val="1"/>
                <w:bCs w:val="1"/>
                <w:color w:val="auto"/>
              </w:rPr>
              <w:t>(Accumulated)</w:t>
            </w:r>
          </w:p>
        </w:tc>
        <w:tc>
          <w:tcPr>
            <w:tcW w:w="1440" w:type="dxa"/>
            <w:vAlign w:val="bottom"/>
            <w:gridSpan w:val="3"/>
          </w:tcPr>
          <w:p>
            <w:pPr>
              <w:spacing w:after="0"/>
              <w:rPr>
                <w:sz w:val="20"/>
                <w:szCs w:val="20"/>
                <w:color w:val="auto"/>
              </w:rPr>
            </w:pPr>
            <w:r>
              <w:rPr>
                <w:rFonts w:ascii="Arial" w:cs="Arial" w:eastAsia="Arial" w:hAnsi="Arial"/>
                <w:sz w:val="17"/>
                <w:szCs w:val="17"/>
                <w:b w:val="1"/>
                <w:bCs w:val="1"/>
                <w:color w:val="auto"/>
              </w:rPr>
              <w:t>Comprehensive</w:t>
            </w:r>
          </w:p>
        </w:tc>
        <w:tc>
          <w:tcPr>
            <w:tcW w:w="138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89"/>
              </w:rPr>
              <w:t>Shareholders’</w:t>
            </w: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2"/>
              </w:rPr>
              <w:t>Interests in</w:t>
            </w:r>
          </w:p>
        </w:tc>
        <w:tc>
          <w:tcPr>
            <w:tcW w:w="14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of Shares</w:t>
            </w: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0"/>
              </w:rPr>
              <w:t>Amount</w:t>
            </w: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8"/>
              </w:rPr>
              <w:t>Capital</w:t>
            </w:r>
          </w:p>
        </w:tc>
        <w:tc>
          <w:tcPr>
            <w:tcW w:w="16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Deficit</w:t>
            </w:r>
          </w:p>
        </w:tc>
        <w:tc>
          <w:tcPr>
            <w:tcW w:w="144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0"/>
              </w:rPr>
              <w:t>Income (Loss)</w:t>
            </w:r>
          </w:p>
        </w:tc>
        <w:tc>
          <w:tcPr>
            <w:tcW w:w="180" w:type="dxa"/>
            <w:vAlign w:val="bottom"/>
          </w:tcPr>
          <w:p>
            <w:pPr>
              <w:spacing w:after="0"/>
              <w:rPr>
                <w:sz w:val="19"/>
                <w:szCs w:val="19"/>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2"/>
              </w:rPr>
              <w:t>Equity</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6"/>
              </w:rPr>
              <w:t>Subsidiaries</w:t>
            </w: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9"/>
              </w:rPr>
              <w:t>Equity</w:t>
            </w:r>
          </w:p>
        </w:tc>
        <w:tc>
          <w:tcPr>
            <w:tcW w:w="0" w:type="dxa"/>
            <w:vAlign w:val="bottom"/>
          </w:tcPr>
          <w:p>
            <w:pPr>
              <w:spacing w:after="0"/>
              <w:rPr>
                <w:sz w:val="1"/>
                <w:szCs w:val="1"/>
                <w:color w:val="auto"/>
              </w:rPr>
            </w:pPr>
          </w:p>
        </w:tc>
      </w:tr>
      <w:tr>
        <w:trPr>
          <w:trHeight w:val="205"/>
        </w:trPr>
        <w:tc>
          <w:tcPr>
            <w:tcW w:w="2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Balance at August 30, 2007</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6,913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8,135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2,607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10,742</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Comprehensive income</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(loss):</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ind w:left="160"/>
              <w:spacing w:after="0"/>
              <w:rPr>
                <w:sz w:val="20"/>
                <w:szCs w:val="20"/>
                <w:color w:val="auto"/>
              </w:rPr>
            </w:pPr>
            <w:r>
              <w:rPr>
                <w:rFonts w:ascii="Arial" w:cs="Arial" w:eastAsia="Arial" w:hAnsi="Arial"/>
                <w:sz w:val="17"/>
                <w:szCs w:val="17"/>
                <w:color w:val="auto"/>
              </w:rPr>
              <w:t>Net loss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(1,655)</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(1,655)</w:t>
            </w: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Other comprehensive</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income (loss):</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w w:val="96"/>
              </w:rPr>
              <w:t>Net unrealized gain (loss) on</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investments, net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tax</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5"/>
              </w:rPr>
              <w:t>Total comprehensive income</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(loss)</w:t>
            </w:r>
          </w:p>
        </w:tc>
        <w:tc>
          <w:tcPr>
            <w:tcW w:w="8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(1,656)</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(1,666)</w:t>
            </w:r>
          </w:p>
        </w:tc>
        <w:tc>
          <w:tcPr>
            <w:tcW w:w="0" w:type="dxa"/>
            <w:vAlign w:val="bottom"/>
          </w:tcPr>
          <w:p>
            <w:pPr>
              <w:spacing w:after="0"/>
              <w:rPr>
                <w:sz w:val="1"/>
                <w:szCs w:val="1"/>
                <w:color w:val="auto"/>
              </w:rPr>
            </w:pPr>
          </w:p>
        </w:tc>
      </w:tr>
      <w:tr>
        <w:trPr>
          <w:trHeight w:val="205"/>
        </w:trPr>
        <w:tc>
          <w:tcPr>
            <w:tcW w:w="2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Contributions from</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noncontrolling interests</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Stock-based compensation</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expense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Stock issued under stock</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plans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Distributions to</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noncontrolling interests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2"/>
              </w:rPr>
              <w:t>Repurchase and retirement of</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common stock</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Adoption of uncertain tax</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position standard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Balance at August 28, 2008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6,960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6,525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2,865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9,390</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Comprehensive income</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(loss):</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(1,882)</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(1,882)</w:t>
            </w: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(1,993)</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Other comprehensive</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income (loss):</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w w:val="96"/>
              </w:rPr>
              <w:t>Net unrealized gain (loss) on</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investments, net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tax</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9"/>
              </w:rPr>
              <w:t>Pension liability adjustment,</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net of tax</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Net gain (loss) on foreign</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currency</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translation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adjustment, net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620"/>
              <w:spacing w:after="0"/>
              <w:rPr>
                <w:sz w:val="20"/>
                <w:szCs w:val="20"/>
                <w:color w:val="auto"/>
              </w:rPr>
            </w:pPr>
            <w:r>
              <w:rPr>
                <w:rFonts w:ascii="Arial" w:cs="Arial" w:eastAsia="Arial" w:hAnsi="Arial"/>
                <w:sz w:val="17"/>
                <w:szCs w:val="17"/>
                <w:color w:val="auto"/>
              </w:rPr>
              <w:t>tax</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5"/>
              </w:rPr>
              <w:t>Total comprehensive income</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(loss)</w:t>
            </w:r>
          </w:p>
        </w:tc>
        <w:tc>
          <w:tcPr>
            <w:tcW w:w="8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(1,878)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(1,989)</w:t>
            </w:r>
          </w:p>
        </w:tc>
        <w:tc>
          <w:tcPr>
            <w:tcW w:w="0" w:type="dxa"/>
            <w:vAlign w:val="bottom"/>
          </w:tcPr>
          <w:p>
            <w:pPr>
              <w:spacing w:after="0"/>
              <w:rPr>
                <w:sz w:val="1"/>
                <w:szCs w:val="1"/>
                <w:color w:val="auto"/>
              </w:rPr>
            </w:pPr>
          </w:p>
        </w:tc>
      </w:tr>
      <w:tr>
        <w:trPr>
          <w:trHeight w:val="205"/>
        </w:trPr>
        <w:tc>
          <w:tcPr>
            <w:tcW w:w="2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Issuance of common stock</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Stock-based compensation</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expense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Contributions from</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noncontrolling interests</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Stock issued for business</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acquisition</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Stock issued under stock</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plans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rPr>
              <w:t>Distributions to</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noncontrolling interests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(705)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Reduction in noncontrolling</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interest from share</w:t>
            </w: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purchase</w:t>
            </w: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5"/>
        </w:trPr>
        <w:tc>
          <w:tcPr>
            <w:tcW w:w="2100" w:type="dxa"/>
            <w:vAlign w:val="bottom"/>
            <w:gridSpan w:val="2"/>
          </w:tcPr>
          <w:p>
            <w:pPr>
              <w:spacing w:after="0"/>
              <w:rPr>
                <w:sz w:val="20"/>
                <w:szCs w:val="20"/>
                <w:color w:val="auto"/>
              </w:rPr>
            </w:pPr>
            <w:r>
              <w:rPr>
                <w:rFonts w:ascii="Arial" w:cs="Arial" w:eastAsia="Arial" w:hAnsi="Arial"/>
                <w:sz w:val="17"/>
                <w:szCs w:val="17"/>
                <w:color w:val="auto"/>
              </w:rPr>
              <w:t>Purchase of capped calls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2"/>
              </w:rPr>
              <w:t>Repurchase and retirement of</w:t>
            </w: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common stock</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line="193" w:lineRule="exact"/>
              <w:rPr>
                <w:sz w:val="20"/>
                <w:szCs w:val="20"/>
                <w:color w:val="auto"/>
              </w:rPr>
            </w:pPr>
            <w:r>
              <w:rPr>
                <w:rFonts w:ascii="Arial" w:cs="Arial" w:eastAsia="Arial" w:hAnsi="Arial"/>
                <w:sz w:val="17"/>
                <w:szCs w:val="17"/>
                <w:color w:val="auto"/>
                <w:w w:val="98"/>
              </w:rPr>
              <w:t>Exercise of stock rights held</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320"/>
              <w:spacing w:after="0"/>
              <w:rPr>
                <w:sz w:val="20"/>
                <w:szCs w:val="20"/>
                <w:color w:val="auto"/>
              </w:rPr>
            </w:pPr>
            <w:r>
              <w:rPr>
                <w:rFonts w:ascii="Arial" w:cs="Arial" w:eastAsia="Arial" w:hAnsi="Arial"/>
                <w:sz w:val="17"/>
                <w:szCs w:val="17"/>
                <w:color w:val="auto"/>
              </w:rPr>
              <w:t>by Intel</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at September 3,</w:t>
            </w: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2009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848.7</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7,257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4,953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1,986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6,939</w:t>
            </w:r>
          </w:p>
        </w:tc>
        <w:tc>
          <w:tcPr>
            <w:tcW w:w="0" w:type="dxa"/>
            <w:vAlign w:val="bottom"/>
          </w:tcPr>
          <w:p>
            <w:pPr>
              <w:spacing w:after="0"/>
              <w:rPr>
                <w:sz w:val="1"/>
                <w:szCs w:val="1"/>
                <w:color w:val="auto"/>
              </w:rPr>
            </w:pPr>
          </w:p>
        </w:tc>
      </w:tr>
      <w:tr>
        <w:trPr>
          <w:trHeight w:val="35"/>
        </w:trPr>
        <w:tc>
          <w:tcPr>
            <w:tcW w:w="2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495"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2100" w:type="dxa"/>
            <w:vAlign w:val="bottom"/>
          </w:tcPr>
          <w:p>
            <w:pPr>
              <w:spacing w:after="0"/>
              <w:rPr>
                <w:sz w:val="20"/>
                <w:szCs w:val="20"/>
                <w:color w:val="auto"/>
              </w:rPr>
            </w:pPr>
            <w:r>
              <w:rPr>
                <w:rFonts w:ascii="Arial" w:cs="Arial" w:eastAsia="Arial" w:hAnsi="Arial"/>
                <w:sz w:val="17"/>
                <w:szCs w:val="17"/>
                <w:color w:val="auto"/>
              </w:rPr>
              <w:t>Net income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1,850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1,850</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1,900</w:t>
            </w:r>
          </w:p>
        </w:tc>
      </w:tr>
      <w:tr>
        <w:trPr>
          <w:trHeight w:val="193"/>
        </w:trPr>
        <w:tc>
          <w:tcPr>
            <w:tcW w:w="21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Other comprehensive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3"/>
        </w:trPr>
        <w:tc>
          <w:tcPr>
            <w:tcW w:w="2100" w:type="dxa"/>
            <w:vAlign w:val="bottom"/>
          </w:tcPr>
          <w:p>
            <w:pPr>
              <w:spacing w:after="0" w:line="193" w:lineRule="exact"/>
              <w:rPr>
                <w:sz w:val="20"/>
                <w:szCs w:val="20"/>
                <w:color w:val="auto"/>
              </w:rPr>
            </w:pPr>
            <w:r>
              <w:rPr>
                <w:rFonts w:ascii="Arial" w:cs="Arial" w:eastAsia="Arial" w:hAnsi="Arial"/>
                <w:sz w:val="17"/>
                <w:szCs w:val="17"/>
                <w:color w:val="auto"/>
              </w:rPr>
              <w:t>Net gain (loss) on foreign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100" w:type="dxa"/>
            <w:vAlign w:val="bottom"/>
          </w:tcPr>
          <w:p>
            <w:pPr>
              <w:ind w:left="620"/>
              <w:spacing w:after="0"/>
              <w:rPr>
                <w:sz w:val="20"/>
                <w:szCs w:val="20"/>
                <w:color w:val="auto"/>
              </w:rPr>
            </w:pPr>
            <w:r>
              <w:rPr>
                <w:rFonts w:ascii="Arial" w:cs="Arial" w:eastAsia="Arial" w:hAnsi="Arial"/>
                <w:sz w:val="17"/>
                <w:szCs w:val="17"/>
                <w:color w:val="auto"/>
              </w:rPr>
              <w:t>currency</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100" w:type="dxa"/>
            <w:vAlign w:val="bottom"/>
          </w:tcPr>
          <w:p>
            <w:pPr>
              <w:ind w:left="620"/>
              <w:spacing w:after="0"/>
              <w:rPr>
                <w:sz w:val="20"/>
                <w:szCs w:val="20"/>
                <w:color w:val="auto"/>
              </w:rPr>
            </w:pPr>
            <w:r>
              <w:rPr>
                <w:rFonts w:ascii="Arial" w:cs="Arial" w:eastAsia="Arial" w:hAnsi="Arial"/>
                <w:sz w:val="17"/>
                <w:szCs w:val="17"/>
                <w:color w:val="auto"/>
              </w:rPr>
              <w:t>translation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100" w:type="dxa"/>
            <w:vAlign w:val="bottom"/>
          </w:tcPr>
          <w:p>
            <w:pPr>
              <w:ind w:left="620"/>
              <w:spacing w:after="0"/>
              <w:rPr>
                <w:sz w:val="20"/>
                <w:szCs w:val="20"/>
                <w:color w:val="auto"/>
              </w:rPr>
            </w:pPr>
            <w:r>
              <w:rPr>
                <w:rFonts w:ascii="Arial" w:cs="Arial" w:eastAsia="Arial" w:hAnsi="Arial"/>
                <w:sz w:val="17"/>
                <w:szCs w:val="17"/>
                <w:color w:val="auto"/>
              </w:rPr>
              <w:t>adjustment, net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2100" w:type="dxa"/>
            <w:vAlign w:val="bottom"/>
          </w:tcPr>
          <w:p>
            <w:pPr>
              <w:ind w:left="620"/>
              <w:spacing w:after="0"/>
              <w:rPr>
                <w:sz w:val="20"/>
                <w:szCs w:val="20"/>
                <w:color w:val="auto"/>
              </w:rPr>
            </w:pPr>
            <w:r>
              <w:rPr>
                <w:rFonts w:ascii="Arial" w:cs="Arial" w:eastAsia="Arial" w:hAnsi="Arial"/>
                <w:sz w:val="17"/>
                <w:szCs w:val="17"/>
                <w:color w:val="auto"/>
              </w:rPr>
              <w:t>tax</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11</w:t>
            </w:r>
          </w:p>
        </w:tc>
        <w:tc>
          <w:tcPr>
            <w:tcW w:w="4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11</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193"/>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6"/>
              </w:rPr>
              <w:t>Net unrealized gain (loss) on</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21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investments, net of</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21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tax</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193"/>
        </w:trPr>
        <w:tc>
          <w:tcPr>
            <w:tcW w:w="2100" w:type="dxa"/>
            <w:vAlign w:val="bottom"/>
          </w:tcPr>
          <w:p>
            <w:pPr>
              <w:spacing w:after="0" w:line="193" w:lineRule="exact"/>
              <w:rPr>
                <w:sz w:val="20"/>
                <w:szCs w:val="20"/>
                <w:color w:val="auto"/>
              </w:rPr>
            </w:pPr>
            <w:r>
              <w:rPr>
                <w:rFonts w:ascii="Arial" w:cs="Arial" w:eastAsia="Arial" w:hAnsi="Arial"/>
                <w:sz w:val="17"/>
                <w:szCs w:val="17"/>
                <w:color w:val="auto"/>
              </w:rPr>
              <w:t>Net gain (loss) 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100" w:type="dxa"/>
            <w:vAlign w:val="bottom"/>
          </w:tcPr>
          <w:p>
            <w:pPr>
              <w:ind w:left="620"/>
              <w:spacing w:after="0"/>
              <w:rPr>
                <w:sz w:val="20"/>
                <w:szCs w:val="20"/>
                <w:color w:val="auto"/>
              </w:rPr>
            </w:pPr>
            <w:r>
              <w:rPr>
                <w:rFonts w:ascii="Arial" w:cs="Arial" w:eastAsia="Arial" w:hAnsi="Arial"/>
                <w:sz w:val="17"/>
                <w:szCs w:val="17"/>
                <w:color w:val="auto"/>
              </w:rPr>
              <w:t>derivatives, net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2100" w:type="dxa"/>
            <w:vAlign w:val="bottom"/>
          </w:tcPr>
          <w:p>
            <w:pPr>
              <w:ind w:left="620"/>
              <w:spacing w:after="0"/>
              <w:rPr>
                <w:sz w:val="20"/>
                <w:szCs w:val="20"/>
                <w:color w:val="auto"/>
              </w:rPr>
            </w:pPr>
            <w:r>
              <w:rPr>
                <w:rFonts w:ascii="Arial" w:cs="Arial" w:eastAsia="Arial" w:hAnsi="Arial"/>
                <w:sz w:val="17"/>
                <w:szCs w:val="17"/>
                <w:color w:val="auto"/>
              </w:rPr>
              <w:t>tax</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Pension liability adjustment,</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21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of tax</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193"/>
        </w:trPr>
        <w:tc>
          <w:tcPr>
            <w:tcW w:w="2100" w:type="dxa"/>
            <w:vAlign w:val="bottom"/>
            <w:tcBorders>
              <w:top w:val="single" w:sz="8" w:color="CCEEFF"/>
            </w:tcBorders>
          </w:tcPr>
          <w:p>
            <w:pPr>
              <w:spacing w:after="0" w:line="193" w:lineRule="exact"/>
              <w:rPr>
                <w:sz w:val="20"/>
                <w:szCs w:val="20"/>
                <w:color w:val="auto"/>
              </w:rPr>
            </w:pPr>
            <w:r>
              <w:rPr>
                <w:rFonts w:ascii="Arial" w:cs="Arial" w:eastAsia="Arial" w:hAnsi="Arial"/>
                <w:sz w:val="17"/>
                <w:szCs w:val="17"/>
                <w:color w:val="auto"/>
                <w:w w:val="95"/>
              </w:rPr>
              <w:t>Total comprehensive income</w:t>
            </w:r>
          </w:p>
        </w:tc>
        <w:tc>
          <w:tcPr>
            <w:tcW w:w="8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3"/>
        </w:trPr>
        <w:tc>
          <w:tcPr>
            <w:tcW w:w="2100" w:type="dxa"/>
            <w:vAlign w:val="bottom"/>
          </w:tcPr>
          <w:p>
            <w:pPr>
              <w:ind w:left="320"/>
              <w:spacing w:after="0"/>
              <w:rPr>
                <w:sz w:val="20"/>
                <w:szCs w:val="20"/>
                <w:color w:val="auto"/>
              </w:rPr>
            </w:pPr>
            <w:r>
              <w:rPr>
                <w:rFonts w:ascii="Arial" w:cs="Arial" w:eastAsia="Arial" w:hAnsi="Arial"/>
                <w:sz w:val="17"/>
                <w:szCs w:val="17"/>
                <w:color w:val="auto"/>
              </w:rPr>
              <w:t>(loss)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1,865</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1,914</w:t>
            </w:r>
          </w:p>
        </w:tc>
      </w:tr>
      <w:tr>
        <w:trPr>
          <w:trHeight w:val="205"/>
        </w:trPr>
        <w:tc>
          <w:tcPr>
            <w:tcW w:w="2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2100" w:type="dxa"/>
            <w:vAlign w:val="bottom"/>
          </w:tcPr>
          <w:p>
            <w:pPr>
              <w:spacing w:after="0" w:line="193" w:lineRule="exact"/>
              <w:rPr>
                <w:sz w:val="20"/>
                <w:szCs w:val="20"/>
                <w:color w:val="auto"/>
              </w:rPr>
            </w:pPr>
            <w:r>
              <w:rPr>
                <w:rFonts w:ascii="Arial" w:cs="Arial" w:eastAsia="Arial" w:hAnsi="Arial"/>
                <w:sz w:val="17"/>
                <w:szCs w:val="17"/>
                <w:color w:val="auto"/>
              </w:rPr>
              <w:t>Stock issued in acquisition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100" w:type="dxa"/>
            <w:vAlign w:val="bottom"/>
          </w:tcPr>
          <w:p>
            <w:pPr>
              <w:ind w:left="320"/>
              <w:spacing w:after="0"/>
              <w:rPr>
                <w:sz w:val="20"/>
                <w:szCs w:val="20"/>
                <w:color w:val="auto"/>
              </w:rPr>
            </w:pPr>
            <w:r>
              <w:rPr>
                <w:rFonts w:ascii="Arial" w:cs="Arial" w:eastAsia="Arial" w:hAnsi="Arial"/>
                <w:sz w:val="17"/>
                <w:szCs w:val="17"/>
                <w:color w:val="auto"/>
              </w:rPr>
              <w:t>of Numonyx</w:t>
            </w:r>
          </w:p>
        </w:tc>
        <w:tc>
          <w:tcPr>
            <w:tcW w:w="800" w:type="dxa"/>
            <w:vAlign w:val="bottom"/>
          </w:tcPr>
          <w:p>
            <w:pPr>
              <w:jc w:val="right"/>
              <w:spacing w:after="0"/>
              <w:rPr>
                <w:sz w:val="20"/>
                <w:szCs w:val="20"/>
                <w:color w:val="auto"/>
              </w:rPr>
            </w:pPr>
            <w:r>
              <w:rPr>
                <w:rFonts w:ascii="Arial" w:cs="Arial" w:eastAsia="Arial" w:hAnsi="Arial"/>
                <w:sz w:val="17"/>
                <w:szCs w:val="17"/>
                <w:color w:val="auto"/>
              </w:rPr>
              <w:t>137.7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1,098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1,112</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1,112</w:t>
            </w:r>
          </w:p>
        </w:tc>
      </w:tr>
      <w:tr>
        <w:trPr>
          <w:trHeight w:val="193"/>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Stock-based compensation</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r>
      <w:tr>
        <w:trPr>
          <w:trHeight w:val="193"/>
        </w:trPr>
        <w:tc>
          <w:tcPr>
            <w:tcW w:w="2100" w:type="dxa"/>
            <w:vAlign w:val="bottom"/>
          </w:tcPr>
          <w:p>
            <w:pPr>
              <w:spacing w:after="0" w:line="193" w:lineRule="exact"/>
              <w:rPr>
                <w:sz w:val="20"/>
                <w:szCs w:val="20"/>
                <w:color w:val="auto"/>
              </w:rPr>
            </w:pPr>
            <w:r>
              <w:rPr>
                <w:rFonts w:ascii="Arial" w:cs="Arial" w:eastAsia="Arial" w:hAnsi="Arial"/>
                <w:sz w:val="17"/>
                <w:szCs w:val="17"/>
                <w:color w:val="auto"/>
              </w:rPr>
              <w:t>Contributions from</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100" w:type="dxa"/>
            <w:vAlign w:val="bottom"/>
          </w:tcPr>
          <w:p>
            <w:pPr>
              <w:ind w:left="320"/>
              <w:spacing w:after="0"/>
              <w:rPr>
                <w:sz w:val="20"/>
                <w:szCs w:val="20"/>
                <w:color w:val="auto"/>
              </w:rPr>
            </w:pPr>
            <w:r>
              <w:rPr>
                <w:rFonts w:ascii="Arial" w:cs="Arial" w:eastAsia="Arial" w:hAnsi="Arial"/>
                <w:sz w:val="17"/>
                <w:szCs w:val="17"/>
                <w:color w:val="auto"/>
              </w:rPr>
              <w:t>noncontrolling interests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r>
      <w:tr>
        <w:trPr>
          <w:trHeight w:val="193"/>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 issued under stock</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plans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193"/>
        </w:trPr>
        <w:tc>
          <w:tcPr>
            <w:tcW w:w="2100" w:type="dxa"/>
            <w:vAlign w:val="bottom"/>
          </w:tcPr>
          <w:p>
            <w:pPr>
              <w:spacing w:after="0" w:line="193" w:lineRule="exact"/>
              <w:rPr>
                <w:sz w:val="20"/>
                <w:szCs w:val="20"/>
                <w:color w:val="auto"/>
              </w:rPr>
            </w:pPr>
            <w:r>
              <w:rPr>
                <w:rFonts w:ascii="Arial" w:cs="Arial" w:eastAsia="Arial" w:hAnsi="Arial"/>
                <w:sz w:val="17"/>
                <w:szCs w:val="17"/>
                <w:color w:val="auto"/>
              </w:rPr>
              <w:t>Distributions to</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100" w:type="dxa"/>
            <w:vAlign w:val="bottom"/>
          </w:tcPr>
          <w:p>
            <w:pPr>
              <w:ind w:left="320"/>
              <w:spacing w:after="0"/>
              <w:rPr>
                <w:sz w:val="20"/>
                <w:szCs w:val="20"/>
                <w:color w:val="auto"/>
              </w:rPr>
            </w:pPr>
            <w:r>
              <w:rPr>
                <w:rFonts w:ascii="Arial" w:cs="Arial" w:eastAsia="Arial" w:hAnsi="Arial"/>
                <w:sz w:val="17"/>
                <w:szCs w:val="17"/>
                <w:color w:val="auto"/>
              </w:rPr>
              <w:t>noncontrolling interests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(267)</w:t>
            </w: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(267)</w:t>
            </w:r>
          </w:p>
        </w:tc>
      </w:tr>
      <w:tr>
        <w:trPr>
          <w:trHeight w:val="193"/>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2"/>
              </w:rPr>
              <w:t>Repurchase and retirement of</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common stock</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r>
      <w:tr>
        <w:trPr>
          <w:trHeight w:val="193"/>
        </w:trPr>
        <w:tc>
          <w:tcPr>
            <w:tcW w:w="2100" w:type="dxa"/>
            <w:vAlign w:val="bottom"/>
          </w:tcPr>
          <w:p>
            <w:pPr>
              <w:spacing w:after="0" w:line="193" w:lineRule="exact"/>
              <w:rPr>
                <w:sz w:val="20"/>
                <w:szCs w:val="20"/>
                <w:color w:val="auto"/>
              </w:rPr>
            </w:pPr>
            <w:r>
              <w:rPr>
                <w:rFonts w:ascii="Arial" w:cs="Arial" w:eastAsia="Arial" w:hAnsi="Arial"/>
                <w:sz w:val="17"/>
                <w:szCs w:val="17"/>
                <w:color w:val="auto"/>
                <w:w w:val="98"/>
              </w:rPr>
              <w:t>Exercise of stock rights held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100" w:type="dxa"/>
            <w:vAlign w:val="bottom"/>
          </w:tcPr>
          <w:p>
            <w:pPr>
              <w:ind w:left="320"/>
              <w:spacing w:after="0"/>
              <w:rPr>
                <w:sz w:val="20"/>
                <w:szCs w:val="20"/>
                <w:color w:val="auto"/>
              </w:rPr>
            </w:pPr>
            <w:r>
              <w:rPr>
                <w:rFonts w:ascii="Arial" w:cs="Arial" w:eastAsia="Arial" w:hAnsi="Arial"/>
                <w:sz w:val="17"/>
                <w:szCs w:val="17"/>
                <w:color w:val="auto"/>
              </w:rPr>
              <w:t>by Intel</w:t>
            </w: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Increase in noncontrolling</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from share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210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b w:val="1"/>
                <w:bCs w:val="1"/>
                <w:color w:val="auto"/>
              </w:rPr>
              <w:t>Balance at September 2,</w:t>
            </w: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1"/>
        </w:trPr>
        <w:tc>
          <w:tcPr>
            <w:tcW w:w="2100" w:type="dxa"/>
            <w:vAlign w:val="bottom"/>
          </w:tcPr>
          <w:p>
            <w:pPr>
              <w:ind w:left="320"/>
              <w:spacing w:after="0"/>
              <w:rPr>
                <w:sz w:val="20"/>
                <w:szCs w:val="20"/>
                <w:color w:val="auto"/>
              </w:rPr>
            </w:pPr>
            <w:r>
              <w:rPr>
                <w:rFonts w:ascii="Arial" w:cs="Arial" w:eastAsia="Arial" w:hAnsi="Arial"/>
                <w:sz w:val="17"/>
                <w:szCs w:val="17"/>
                <w:b w:val="1"/>
                <w:bCs w:val="1"/>
                <w:color w:val="auto"/>
              </w:rPr>
              <w:t>2010</w:t>
            </w:r>
          </w:p>
        </w:tc>
        <w:tc>
          <w:tcPr>
            <w:tcW w:w="800" w:type="dxa"/>
            <w:vAlign w:val="bottom"/>
          </w:tcPr>
          <w:p>
            <w:pPr>
              <w:jc w:val="right"/>
              <w:spacing w:after="0"/>
              <w:rPr>
                <w:sz w:val="20"/>
                <w:szCs w:val="20"/>
                <w:color w:val="auto"/>
              </w:rPr>
            </w:pPr>
            <w:r>
              <w:rPr>
                <w:rFonts w:ascii="Arial" w:cs="Arial" w:eastAsia="Arial" w:hAnsi="Arial"/>
                <w:sz w:val="17"/>
                <w:szCs w:val="17"/>
                <w:color w:val="auto"/>
              </w:rPr>
              <w:t>994.5</w:t>
            </w:r>
          </w:p>
        </w:tc>
        <w:tc>
          <w:tcPr>
            <w:tcW w:w="120" w:type="dxa"/>
            <w:vAlign w:val="bottom"/>
          </w:tcPr>
          <w:p>
            <w:pPr>
              <w:spacing w:after="0"/>
              <w:rPr>
                <w:sz w:val="19"/>
                <w:szCs w:val="19"/>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99</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8,446</w:t>
            </w:r>
          </w:p>
        </w:tc>
        <w:tc>
          <w:tcPr>
            <w:tcW w:w="4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(536)</w:t>
            </w:r>
          </w:p>
        </w:tc>
        <w:tc>
          <w:tcPr>
            <w:tcW w:w="6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8,020</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1,796</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9,816</w:t>
            </w:r>
          </w:p>
        </w:tc>
      </w:tr>
      <w:tr>
        <w:trPr>
          <w:trHeight w:val="20"/>
        </w:trPr>
        <w:tc>
          <w:tcPr>
            <w:tcW w:w="2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September 2,</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8"/>
              </w:rPr>
              <w:t>September 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410"/>
        </w:trPr>
        <w:tc>
          <w:tcPr>
            <w:tcW w:w="732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2,005</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2,096</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Equity in net income (loss) of equity method investees, net of tax</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Provision to write-down inventories to estimated market values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603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from acquisition of Numonyx</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Gain from Inotera and Hynix JV stock issuances,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Noncash restructure charges (credits)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(Gain) loss from disposition of property, plant and equipment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463</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Change in operating assets and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receivables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Increase in inventories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accounts payable and accrued expenses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Increase in deferred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73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3,096</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1,018</w:t>
            </w: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Expenditures for property, plant and equipment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(2,529)</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Increase in restricted cash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equity method investments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Purchases of available-for-sale 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the Hynix JV</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Cash acquired from acquisition of Numonyx</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property, plant and equipment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Proceeds from maturities of available-for-sale 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547</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from equity method investments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7"/>
                <w:szCs w:val="17"/>
                <w:color w:val="auto"/>
              </w:rPr>
            </w:pP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(2,092)</w:t>
            </w:r>
          </w:p>
        </w:tc>
      </w:tr>
      <w:tr>
        <w:trPr>
          <w:trHeight w:val="205"/>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Proceeds from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837</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received from noncontrolling interests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Proceeds from issuance of common stock, net of costs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equipment sale-leaseback transactions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Repayments of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(840)</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(429)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(698)</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Payments on equipment purchase contracts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(387)</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320" w:type="dxa"/>
            <w:vAlign w:val="bottom"/>
          </w:tcPr>
          <w:p>
            <w:pPr>
              <w:spacing w:after="0"/>
              <w:rPr>
                <w:sz w:val="20"/>
                <w:szCs w:val="20"/>
                <w:color w:val="auto"/>
              </w:rPr>
            </w:pPr>
            <w:r>
              <w:rPr>
                <w:rFonts w:ascii="Arial" w:cs="Arial" w:eastAsia="Arial" w:hAnsi="Arial"/>
                <w:sz w:val="17"/>
                <w:szCs w:val="17"/>
                <w:color w:val="auto"/>
              </w:rPr>
              <w:t>Net cash provided by (used for) financing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Net increase (decrease) in cash and equivalents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1,428</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(949)</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 at beginning of year</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2,192</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Cash and equivalents at end of year</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2,913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1,485</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1,243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b w:val="1"/>
                <w:bCs w:val="1"/>
                <w:color w:val="auto"/>
              </w:rPr>
              <w:t>Supplemental disclosures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Income taxes refunded (paid), net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Interest paid, net of amounts capitalized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(84)</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Stock and restricted stock units issued in acquisition of Numonyx</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1,112</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Equipment acquisitions on contracts payable and capital leases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501</w:t>
            </w: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Noncash assets contributed for interest in Transform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 tabular amounts in millions except per share amounts)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Significant Accounting Policies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We are a global manufacturer and marketer of semiconductor devices, principally DRAM, NAND Flash and NOR Flash memory, as well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innovative memory technologies, packaging solutions and semiconductor systems for use in leading-edge computing, consumer, networking, embedded and mobile products. In addition, we manufacture CMOS image sensors and other semiconductor products. The accompanying consolidated financial statements include the accounts of Micron Technology, Inc. and its consolidated subsidiaries and have been prepared in accordance with accounting principles generally accepted in the United States of America.</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In the second quarter of 2011, we reorganized our business to better align with our markets. All prior period amounts have been retrospectively adjusted to reflect this reorganization. After the reorganization, we have the following four reportable segments:</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 xml:space="preserve">DRAM Solutions Group ("DSG"): </w:t>
      </w:r>
      <w:r>
        <w:rPr>
          <w:rFonts w:ascii="Arial" w:cs="Arial" w:eastAsia="Arial" w:hAnsi="Arial"/>
          <w:sz w:val="16"/>
          <w:szCs w:val="16"/>
          <w:color w:val="auto"/>
        </w:rPr>
        <w:t>Includes high-volume DRAM products sold to the PC, consumer electronics, networking and server markets.</w:t>
      </w:r>
    </w:p>
    <w:p>
      <w:pPr>
        <w:spacing w:after="0" w:line="32" w:lineRule="exact"/>
        <w:rPr>
          <w:sz w:val="20"/>
          <w:szCs w:val="20"/>
          <w:color w:val="auto"/>
        </w:rPr>
      </w:pPr>
    </w:p>
    <w:p>
      <w:pPr>
        <w:ind w:left="960" w:right="740" w:hanging="153"/>
        <w:spacing w:after="0" w:line="251" w:lineRule="auto"/>
        <w:rPr>
          <w:sz w:val="20"/>
          <w:szCs w:val="20"/>
          <w:color w:val="auto"/>
        </w:rPr>
      </w:pPr>
      <w:r>
        <w:rPr>
          <w:rFonts w:ascii="Arial" w:cs="Arial" w:eastAsia="Arial" w:hAnsi="Arial"/>
          <w:sz w:val="17"/>
          <w:szCs w:val="17"/>
          <w:b w:val="1"/>
          <w:bCs w:val="1"/>
          <w:i w:val="1"/>
          <w:iCs w:val="1"/>
          <w:color w:val="auto"/>
        </w:rPr>
        <w:t xml:space="preserve">NAND Solutions Group ("NSG"): </w:t>
      </w:r>
      <w:r>
        <w:rPr>
          <w:rFonts w:ascii="Arial" w:cs="Arial" w:eastAsia="Arial" w:hAnsi="Arial"/>
          <w:sz w:val="17"/>
          <w:szCs w:val="17"/>
          <w:color w:val="auto"/>
        </w:rPr>
        <w:t>Includes high-volume NAND Flash products sold into data storage, personal music players, and portions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computing markets, as well as NAND Flash products sold to Intel through our consolidated IM Flash joint ventures.</w:t>
      </w:r>
    </w:p>
    <w:p>
      <w:pPr>
        <w:spacing w:after="0" w:line="1" w:lineRule="exact"/>
        <w:rPr>
          <w:sz w:val="20"/>
          <w:szCs w:val="20"/>
          <w:color w:val="auto"/>
        </w:rPr>
      </w:pPr>
    </w:p>
    <w:p>
      <w:pPr>
        <w:ind w:left="960" w:right="180" w:hanging="153"/>
        <w:spacing w:after="0" w:line="251" w:lineRule="auto"/>
        <w:rPr>
          <w:sz w:val="20"/>
          <w:szCs w:val="20"/>
          <w:color w:val="auto"/>
        </w:rPr>
      </w:pPr>
      <w:r>
        <w:rPr>
          <w:rFonts w:ascii="Arial" w:cs="Arial" w:eastAsia="Arial" w:hAnsi="Arial"/>
          <w:sz w:val="17"/>
          <w:szCs w:val="17"/>
          <w:b w:val="1"/>
          <w:bCs w:val="1"/>
          <w:i w:val="1"/>
          <w:iCs w:val="1"/>
          <w:color w:val="auto"/>
        </w:rPr>
        <w:t xml:space="preserve">Wireless Solutions Group ("WSG"): </w:t>
      </w:r>
      <w:r>
        <w:rPr>
          <w:rFonts w:ascii="Arial" w:cs="Arial" w:eastAsia="Arial" w:hAnsi="Arial"/>
          <w:sz w:val="17"/>
          <w:szCs w:val="17"/>
          <w:color w:val="auto"/>
        </w:rPr>
        <w:t>Includes DRAM, NAND Flash and NOR Flash products, including multi-chip packages, sold to the mobile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w:t>
      </w:r>
    </w:p>
    <w:p>
      <w:pPr>
        <w:spacing w:after="0" w:line="1" w:lineRule="exact"/>
        <w:rPr>
          <w:sz w:val="20"/>
          <w:szCs w:val="20"/>
          <w:color w:val="auto"/>
        </w:rPr>
      </w:pPr>
    </w:p>
    <w:p>
      <w:pPr>
        <w:ind w:left="960" w:right="120" w:hanging="153"/>
        <w:spacing w:after="0" w:line="263" w:lineRule="auto"/>
        <w:rPr>
          <w:sz w:val="20"/>
          <w:szCs w:val="20"/>
          <w:color w:val="auto"/>
        </w:rPr>
      </w:pPr>
      <w:r>
        <w:rPr>
          <w:rFonts w:ascii="Arial" w:cs="Arial" w:eastAsia="Arial" w:hAnsi="Arial"/>
          <w:sz w:val="17"/>
          <w:szCs w:val="17"/>
          <w:b w:val="1"/>
          <w:bCs w:val="1"/>
          <w:i w:val="1"/>
          <w:iCs w:val="1"/>
          <w:color w:val="auto"/>
        </w:rPr>
        <w:t xml:space="preserve">Embedded Solutions Group ("ESG"): </w:t>
      </w:r>
      <w:r>
        <w:rPr>
          <w:rFonts w:ascii="Arial" w:cs="Arial" w:eastAsia="Arial" w:hAnsi="Arial"/>
          <w:sz w:val="17"/>
          <w:szCs w:val="17"/>
          <w:color w:val="auto"/>
        </w:rPr>
        <w:t>Includes DRAM, NAND Flash and NOR Flash products sold into automotive and industrial applications,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NOR and NAND flash sold to consumer electronics, networking, PC and server markets.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Our fiscal 2010, 2009 and 2008 contained 52, 53 and 52 fiscal weeks, respectively. All period references are to our fiscal periods unless otherwise indicated.</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and related disclosures in conformity with accounting principles generally accepted in the United States of</w:t>
      </w:r>
      <w:r>
        <w:rPr>
          <w:rFonts w:ascii="Arial" w:cs="Arial" w:eastAsia="Arial" w:hAnsi="Arial"/>
          <w:sz w:val="17"/>
          <w:szCs w:val="17"/>
          <w:b w:val="1"/>
          <w:bCs w:val="1"/>
          <w:color w:val="auto"/>
        </w:rPr>
        <w:t xml:space="preserve"> </w:t>
      </w:r>
      <w:r>
        <w:rPr>
          <w:rFonts w:ascii="Arial" w:cs="Arial" w:eastAsia="Arial" w:hAnsi="Arial"/>
          <w:sz w:val="17"/>
          <w:szCs w:val="17"/>
          <w:color w:val="auto"/>
        </w:rPr>
        <w:t>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2"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We generally provide a limited warranty that our products are in compliance with our specifications existing at the time of delivery. Under our</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general terms and conditions. Our warranty obligations are not material.</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We recognize product or license revenue when persuasive evidence that a sales arrangement exists, delivery has occurred, the price is fixed or</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determinable and collectability is reasonably assured. Since we are unable to estimate returns and changes in market price, and therefore the price is not fixed or determinable, sales made under agreements allowing pricing protection or rights of return (other than for product warranty) are deferred until customers have resold the product.</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 as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Determining when product development is complete requires judgment. Development of a product is deemed complete once the product has been thoroughly reviewed and tested for performance and reliability. Subsequent to product qualification, product costs are valued in inventory. Product design and other research and development costs for NAND Flash and DRAM are shared with our joint venture partners. Amounts receivable from these cost-sharing arrangements are reflected as a reduction of research and development expense. (See "Equity Method Investments" and "Consolidated Variable Interest Entities – NAND Flash joint ventures with Intel" notes.)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8" w:name="page39"/>
    <w:bookmarkEnd w:id="38"/>
    <w:p>
      <w:pPr>
        <w:jc w:val="both"/>
        <w:ind w:right="180"/>
        <w:spacing w:after="0" w:line="26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Stock-based compensation is measured at the grant date, based on the fair value of the award, and is recognized as expense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straight-line attribution method over the requisite service period. We issue new shares upon the exercise of stock options or conversion of share units. (See "Equity Plans" note.)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Functional currency: </w:t>
      </w:r>
      <w:r>
        <w:rPr>
          <w:rFonts w:ascii="Arial" w:cs="Arial" w:eastAsia="Arial" w:hAnsi="Arial"/>
          <w:sz w:val="17"/>
          <w:szCs w:val="17"/>
          <w:color w:val="auto"/>
        </w:rPr>
        <w:t>The U.S. dollar is the functional currency for all of our consolidated operations.</w:t>
      </w:r>
    </w:p>
    <w:p>
      <w:pPr>
        <w:spacing w:after="0" w:line="24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computed based on the weighted-average number of common shares and stock rights outstanding. Diluted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is computed based on the weighted-average number of common shares and stock rights outstanding plus the dilutive effects of stock options, convertible notes and restricted shares. Potential common shares that would increase earnings per share amounts or decrease loss per share amounts are antidilutive and are, therefore, excluded from diluted earnings per share calculations.</w:t>
      </w:r>
    </w:p>
    <w:p>
      <w:pPr>
        <w:spacing w:after="0" w:line="20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Cash equivalents include highly liquid short-term investments with original maturities to us of three months or less, readily convertible to</w:t>
      </w:r>
      <w:r>
        <w:rPr>
          <w:rFonts w:ascii="Arial" w:cs="Arial" w:eastAsia="Arial" w:hAnsi="Arial"/>
          <w:sz w:val="16"/>
          <w:szCs w:val="16"/>
          <w:b w:val="1"/>
          <w:bCs w:val="1"/>
          <w:color w:val="auto"/>
        </w:rPr>
        <w:t xml:space="preserve"> </w:t>
      </w:r>
      <w:r>
        <w:rPr>
          <w:rFonts w:ascii="Arial" w:cs="Arial" w:eastAsia="Arial" w:hAnsi="Arial"/>
          <w:sz w:val="16"/>
          <w:szCs w:val="16"/>
          <w:color w:val="auto"/>
        </w:rPr>
        <w:t>known amounts of cash. Investments with original maturities greater than three months and remaining maturities less than one year are included in short-term investments. Investments with remaining maturities greater than one year are included in other noncurrent assets. Securities classified as available-for-sale are stated at market value. The carrying value of investment securities sold is determined using the specific identification method.</w:t>
      </w:r>
    </w:p>
    <w:p>
      <w:pPr>
        <w:spacing w:after="0" w:line="18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Derivative and hedging instruments: </w:t>
      </w:r>
      <w:r>
        <w:rPr>
          <w:rFonts w:ascii="Arial" w:cs="Arial" w:eastAsia="Arial" w:hAnsi="Arial"/>
          <w:sz w:val="16"/>
          <w:szCs w:val="16"/>
          <w:color w:val="auto"/>
        </w:rPr>
        <w:t>We use derivative financial instruments, primarily forward contracts, to manage exposures to foreign currency. We do not use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for trading or speculative purposes. Derivative instruments are measured at fair value and recognized as either assets or liabilities.</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We use forward contracts not designated as hedging instruments to hedge our balance sheet exposures to foreign currencies. The gain or loss associated with these contracts is recognized in other income (expense).</w:t>
      </w:r>
    </w:p>
    <w:p>
      <w:pPr>
        <w:spacing w:after="0" w:line="19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use forward contracts designated as cash flow hedges to hedge certain forecasted capital expenditures. The effective portion of the gain or loss on the derivatives is included as a component of other comprehensive income (loss) in shareholders’ equity. The amount in accumulated other comprehensive income (loss) for these cash flow hedges are reclassified into earnings in the same line items of the consolidated statements of operation and in the same periods in which the underlying transaction affects earnings. Changes in the time value are excluded from the assessment of hedge effectiveness. The ineffective or excluded portion of the gain or loss is included in other operating income (expense).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costs. Determining fair market values of inventories involves numerous judgments, including projecting average selling prices and sales volumes for future periods and costs to complete products in work in process inventories. When fair market values are below costs, we record a charge to cost of goods sold to write down inventories to their estimated market value in advance of when the inventories are actually sold. Inventories are categorized as memory (primarily DRAM and NAND Flash and NOR Flash), imaging and microdisplay products for purposes of determining average cost and fair market value. The major characteristics considered in determining inventory categories are product type and markets.</w:t>
      </w:r>
    </w:p>
    <w:p>
      <w:pPr>
        <w:spacing w:after="0" w:line="187"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b w:val="1"/>
          <w:bCs w:val="1"/>
          <w:color w:val="auto"/>
        </w:rPr>
        <w:t xml:space="preserve">Product and process technology: </w:t>
      </w:r>
      <w:r>
        <w:rPr>
          <w:rFonts w:ascii="Arial" w:cs="Arial" w:eastAsia="Arial" w:hAnsi="Arial"/>
          <w:sz w:val="15"/>
          <w:szCs w:val="15"/>
          <w:color w:val="auto"/>
        </w:rPr>
        <w:t>Costs incurred to acquire product and process technology or to patent technology are capitalized and amortized on a straight-line</w:t>
      </w:r>
      <w:r>
        <w:rPr>
          <w:rFonts w:ascii="Arial" w:cs="Arial" w:eastAsia="Arial" w:hAnsi="Arial"/>
          <w:sz w:val="15"/>
          <w:szCs w:val="15"/>
          <w:b w:val="1"/>
          <w:bCs w:val="1"/>
          <w:color w:val="auto"/>
        </w:rPr>
        <w:t xml:space="preserve"> </w:t>
      </w:r>
      <w:r>
        <w:rPr>
          <w:rFonts w:ascii="Arial" w:cs="Arial" w:eastAsia="Arial" w:hAnsi="Arial"/>
          <w:sz w:val="15"/>
          <w:szCs w:val="15"/>
          <w:color w:val="auto"/>
        </w:rPr>
        <w:t>basis over periods ranging up to 10 years. We capitalize a portion of costs incurred based on the historical and projected patents issued as a percent of patents we filed. Capitalized product and process technology costs are amortized over the shorter of (i) the estimated useful life of the technology, (ii) the patent term or (iii) the term of the technology agreement. Fully-amortized assets are removed from product and process technology and accumulated amortization.</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stated at cost and depreciated using the straight-line method over estimated useful lives of 5 to 30</w:t>
      </w:r>
      <w:r>
        <w:rPr>
          <w:rFonts w:ascii="Arial" w:cs="Arial" w:eastAsia="Arial" w:hAnsi="Arial"/>
          <w:sz w:val="17"/>
          <w:szCs w:val="17"/>
          <w:b w:val="1"/>
          <w:bCs w:val="1"/>
          <w:color w:val="auto"/>
        </w:rPr>
        <w:t xml:space="preserve"> </w:t>
      </w:r>
      <w:r>
        <w:rPr>
          <w:rFonts w:ascii="Arial" w:cs="Arial" w:eastAsia="Arial" w:hAnsi="Arial"/>
          <w:sz w:val="17"/>
          <w:szCs w:val="17"/>
          <w:color w:val="auto"/>
        </w:rPr>
        <w:t>years for buildings, 2 to 20 years for equipment and 3 to 5 years for software. Assets held for sale are carried at the lower of cost or estimated fair value and are included in other noncurrent assets. When property or equipment is retired or otherwise disposed of, the net book value of the asset is removed and we recognize any gain or loss in our results of operations.</w:t>
      </w:r>
    </w:p>
    <w:p>
      <w:pPr>
        <w:spacing w:after="0" w:line="205" w:lineRule="exact"/>
        <w:rPr>
          <w:sz w:val="20"/>
          <w:szCs w:val="20"/>
          <w:color w:val="auto"/>
        </w:rPr>
      </w:pPr>
    </w:p>
    <w:p>
      <w:pPr>
        <w:ind w:right="160"/>
        <w:spacing w:after="0" w:line="346" w:lineRule="auto"/>
        <w:rPr>
          <w:sz w:val="20"/>
          <w:szCs w:val="20"/>
          <w:color w:val="auto"/>
        </w:rPr>
      </w:pPr>
      <w:r>
        <w:rPr>
          <w:rFonts w:ascii="Arial" w:cs="Arial" w:eastAsia="Arial" w:hAnsi="Arial"/>
          <w:sz w:val="15"/>
          <w:szCs w:val="15"/>
          <w:color w:val="auto"/>
        </w:rPr>
        <w:t>We capitalize interest on borrowings during the active construction period of major capital projects. Capitalized interest is added to the cost of the underlying assets and is amortized over the useful lives of the assets. We capitalized interest costs of $5 million, $5 million and $21 million in 2010, 2009 and 2008, respectively.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39" w:name="page40"/>
    <w:bookmarkEnd w:id="39"/>
    <w:p>
      <w:pPr>
        <w:ind w:right="100"/>
        <w:spacing w:after="0" w:line="290" w:lineRule="auto"/>
        <w:rPr>
          <w:sz w:val="20"/>
          <w:szCs w:val="20"/>
          <w:color w:val="auto"/>
        </w:rPr>
      </w:pPr>
      <w:r>
        <w:rPr>
          <w:rFonts w:ascii="Arial" w:cs="Arial" w:eastAsia="Arial" w:hAnsi="Arial"/>
          <w:sz w:val="15"/>
          <w:szCs w:val="15"/>
          <w:b w:val="1"/>
          <w:bCs w:val="1"/>
          <w:color w:val="auto"/>
        </w:rPr>
        <w:t xml:space="preserve">Recently adopted accounting standards: </w:t>
      </w:r>
      <w:r>
        <w:rPr>
          <w:rFonts w:ascii="Arial" w:cs="Arial" w:eastAsia="Arial" w:hAnsi="Arial"/>
          <w:sz w:val="15"/>
          <w:szCs w:val="15"/>
          <w:color w:val="auto"/>
        </w:rPr>
        <w:t>In May 2008, the Financial Accounting Standards Board ("FASB") issued a new accounting standard for convertible debt</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instruments that may be settled in cash upon conversion, including partial cash settlement. This standard requires that issuers of these types of convertible debt instruments separately account for the liability and equity components of such instruments in a manner such that interest cost is recognized at the entity’s nonconvertible debt borrowing rate in subsequent periods. We adopted this standard as of the beginning of 2010 and retrospectively accounted for our $1.3 billion</w:t>
      </w:r>
    </w:p>
    <w:p>
      <w:pPr>
        <w:spacing w:after="0" w:line="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1.875% convertible senior notes under the provisions of this guidance from the May 2007 issuance date of the notes. As a result, prior financial statement amounts were recast. (See "Adjustments for Retrospective Application of New Accounting Standards" note.)</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December 2007, the FASB issued a new accounting standard on noncontrolling interests in consolidated financial statements. This standard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We adopted this standard as of the beginning of 2010. As a result, prior financial statement amounts were recast. (See "Adjustments for Retrospective Application of New Accounting Standards" note.)</w:t>
      </w:r>
    </w:p>
    <w:p>
      <w:pPr>
        <w:spacing w:after="0" w:line="21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December 2007, the FASB issued a new accounting standard on business combinations, which establishes the principles and requirements for how an acquirer (1) recognizes and measures in its financial statements identifiable assets acquired, liabilities assumed, and any noncontrolling interests in the acquiree, (2) recognizes and measures goodwill acquired in the business combination or a gain from a bargain purchase and (3) determines what information to disclose. We adopted this standard effective as of the beginning of 2010. The initial adoption did not have a significant impact on our financial statements. The acquisition of Numonyx was accounted for under the provisions of this new standard. (See "Numonyx Holdings B.V." note.)</w:t>
      </w:r>
    </w:p>
    <w:p>
      <w:pPr>
        <w:spacing w:after="0" w:line="19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September 2006, the FASB issued a new accounting standard on fair value measurements and disclosures, which defines fair value, establishes a framework for measuring fair value in generally accepted accounting principles and expands disclosures about fair value measurements. We adopted this standard effective as of the beginning of 2009 for financial assets and financial liabilities. We adopted this standard effective as of the beginning of 2010 for all other assets and liabilities. The adoptions did not have a significant impact on our financial statements.</w:t>
      </w:r>
    </w:p>
    <w:p>
      <w:pPr>
        <w:spacing w:after="0" w:line="20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June 2009, the FASB issued a new accounting standard on variable interest entities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We are required to adopt this standard as of the beginning of 2011. We do not expect the initial adoption of this standard to have a significant impact on our financial statements as of the adoption date. The impact on periods subsequent to the initial adoption will depend on the nature and extent of our variable interest entities after the beginning of 2011.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Numonyx Holdings B.V.</w:t>
      </w:r>
    </w:p>
    <w:p>
      <w:pPr>
        <w:spacing w:after="0" w:line="23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May 7, 2010, we completed our acquisition of Numonyx, which manufactures and sells NOR Flash, NAND Flash, DRAM and Phase Change memory technologies and products. We acquired Numonyx to further strengthen our portfolio of memory products, increase manufacturing and revenue scale, access Numonyx’s customer base and provide opportunities to increase multi-chip offerings in the embedded and mobile markets. In connection therewith, we issued 137.7 million shares of our common stock in exchange for all of the outstanding Numonyx capital stock and issued 4.8 million restricted stock units to employees of Numonyx in exchange for all of their outstanding restricted stock units. The total fair value of the consideration paid for Numonyx was $1,112 million and consisted of $1,091 million for the shares issued to the Numonyx shareholders and $21 million for the restricted stock units issued to employees of Numonyx. The fair value of the consideration was determined based on the trading price of our common shares on the acquisition date discounted for the resale restrictions on the shares. Of the shares issued to the Numonyx shareholders, 21.0 million were placed in escrow as partial security for the Numonyx shareholders’ indemnity obligations resulting from the acquisition. The shares in escrow may be sold after November 6, 2010, but the proceeds from any sale remain in escrow until May 7, 2011, at which time the escrow assets are payable to the Numonyx shareholders, net of any of our indemnification claims. Included in the selling, general and administrative expenses in the results of operations for 2010 are transaction costs of $20 million incurred in connection with this acquisition.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0" w:name="page41"/>
    <w:bookmarkEnd w:id="40"/>
    <w:p>
      <w:pPr>
        <w:ind w:left="100" w:right="60"/>
        <w:spacing w:after="0" w:line="297" w:lineRule="auto"/>
        <w:rPr>
          <w:sz w:val="20"/>
          <w:szCs w:val="20"/>
          <w:color w:val="auto"/>
        </w:rPr>
      </w:pPr>
      <w:r>
        <w:rPr>
          <w:rFonts w:ascii="Arial" w:cs="Arial" w:eastAsia="Arial" w:hAnsi="Arial"/>
          <w:sz w:val="15"/>
          <w:szCs w:val="15"/>
          <w:color w:val="auto"/>
        </w:rPr>
        <w:t>We determined the fair value of the assets and liabilities of Numonyx as of May 7, 2010 utilizing an in-exchange model. Because the purchase price was less than the fair value of net assets of Numonyx, we recognized a gain on the acquisition of $437 million. We believe the gain realized in acquisition accounting was the result of a number of factors, including the following: significant losses recognized by Numonyx during the recent downturn in the semiconductor memory industry; substantial volatility in Numonyx’s primary markets; market perceptions that future opportunities for Numonyx products in certain markets are limited; the liquidity afforded to the sellers as a result of the limited opportunities to realize the value of their investment in Numonyx; and potential gains to the sellers through their investment in our equity from synergies we realize with Numonyx. The consideration and valuation of assets acquired and liabilities assumed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7"/>
                <w:szCs w:val="17"/>
                <w:b w:val="1"/>
                <w:bCs w:val="1"/>
                <w:color w:val="auto"/>
              </w:rPr>
              <w:t>Consideration: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stock issued</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Fair value of restricted stock units issued</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0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Recognized amounts of identifiable assets acquired and liabilities assumed:</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Cash and equivalents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Inventories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Intangible assets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Equity method investment</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vMerge w:val="restart"/>
          </w:tcPr>
          <w:p>
            <w:pPr>
              <w:spacing w:after="0"/>
              <w:rPr>
                <w:sz w:val="17"/>
                <w:szCs w:val="17"/>
                <w:color w:val="auto"/>
              </w:rPr>
            </w:pPr>
          </w:p>
        </w:tc>
        <w:tc>
          <w:tcPr>
            <w:tcW w:w="10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vMerge w:val="continue"/>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4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net assets acquired</w:t>
            </w: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Gain on acquisition</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018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00" w:right="40"/>
        <w:spacing w:after="0" w:line="258" w:lineRule="auto"/>
        <w:rPr>
          <w:sz w:val="20"/>
          <w:szCs w:val="20"/>
          <w:color w:val="auto"/>
        </w:rPr>
      </w:pPr>
      <w:r>
        <w:rPr>
          <w:rFonts w:ascii="Arial" w:cs="Arial" w:eastAsia="Arial" w:hAnsi="Arial"/>
          <w:sz w:val="17"/>
          <w:szCs w:val="17"/>
          <w:color w:val="auto"/>
        </w:rPr>
        <w:t>Other noncurrent liabilities in the table above include contingent liabilities of $66 million for uncertain tax positions (a significant portion for which we have recorded an indemnification asset in other noncurrent assets in the table above) and $15 million for our obligation, subject to certain conditions, to guarantee certain debt of Hynix-Numonyx Semiconductor Ltd., an acquired equity method investment. These amounts were estimated based on the present value of probability-weighted cash flows. The results of operations for 2010 include $635 million of net sales and $13 million of operating losses from the Numonyx operations after the May 7, 2010 acquisition date. (See "Equity Method Investments – Hynix JV" note.)</w:t>
      </w:r>
    </w:p>
    <w:p>
      <w:pPr>
        <w:spacing w:after="0" w:line="206" w:lineRule="exact"/>
        <w:rPr>
          <w:sz w:val="20"/>
          <w:szCs w:val="20"/>
          <w:color w:val="auto"/>
        </w:rPr>
      </w:pPr>
    </w:p>
    <w:p>
      <w:pPr>
        <w:ind w:left="100" w:right="20"/>
        <w:spacing w:after="0" w:line="258" w:lineRule="auto"/>
        <w:rPr>
          <w:sz w:val="20"/>
          <w:szCs w:val="20"/>
          <w:color w:val="auto"/>
        </w:rPr>
      </w:pPr>
      <w:r>
        <w:rPr>
          <w:rFonts w:ascii="Arial" w:cs="Arial" w:eastAsia="Arial" w:hAnsi="Arial"/>
          <w:sz w:val="17"/>
          <w:szCs w:val="17"/>
          <w:color w:val="auto"/>
        </w:rPr>
        <w:t>The following unaudited pro forma financial information presents the combined results of operations as if Numonyx had been combined with us as of the beginning of 2009. The pro forma financial information includes the accounting effects of the business combination, including the adjustment of amortization of intangible assets, depreciation of property, plant and equipment, interest expense and elimination of intercompany sales, as if Numonyx were actually combined with us as of the beginning of 2009. The unaudited pro forma financial information below is not necessarily indicative of either future results of operations or results that might have been achieved had Numonyx been combined with us as of the beginning of 2009.</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7"/>
        </w:trPr>
        <w:tc>
          <w:tcPr>
            <w:tcW w:w="87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9,895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6,464</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1,923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(2,230)</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Micron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1,873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(2,119)</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Earnings (loss) per share: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(2.31)</w:t>
            </w:r>
          </w:p>
        </w:tc>
      </w:t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(2.31)</w:t>
            </w:r>
          </w:p>
        </w:tc>
      </w:tr>
    </w:tbl>
    <w:p>
      <w:pPr>
        <w:spacing w:after="0" w:line="207" w:lineRule="exact"/>
        <w:rPr>
          <w:sz w:val="20"/>
          <w:szCs w:val="20"/>
          <w:color w:val="auto"/>
        </w:rPr>
      </w:pPr>
    </w:p>
    <w:p>
      <w:pPr>
        <w:ind w:left="100" w:right="260"/>
        <w:spacing w:after="0" w:line="288" w:lineRule="auto"/>
        <w:rPr>
          <w:sz w:val="20"/>
          <w:szCs w:val="20"/>
          <w:color w:val="auto"/>
        </w:rPr>
      </w:pPr>
      <w:r>
        <w:rPr>
          <w:rFonts w:ascii="Arial" w:cs="Arial" w:eastAsia="Arial" w:hAnsi="Arial"/>
          <w:sz w:val="16"/>
          <w:szCs w:val="16"/>
          <w:color w:val="auto"/>
        </w:rPr>
        <w:t>The unaudited pro forma financial information for 2010 includes the results for the year ended September 2, 2010 and the results of Numonyx, including the adjustments described above, for the approximate fiscal year ended September 2, 2010. The pro forma information for 2009 includes our results for the year ended September 3, 2009 and the results of Numonyx, including the adjustments described above, for the year ended September 27, 2009.</w:t>
      </w: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76835</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520"/>
          </w:cols>
          <w:pgMar w:left="140" w:top="49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b w:val="1"/>
          <w:bCs w:val="1"/>
          <w:color w:val="auto"/>
        </w:rPr>
        <w:t>Supplemental Balance Sheet Information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Receivables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 (net of allowance for doubtful accounts of $4 million and $5 million, respectively)</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591</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Income and other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Related party receivables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7"/>
                <w:szCs w:val="17"/>
                <w:color w:val="auto"/>
              </w:rPr>
            </w:pP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1,531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As of September 2, 2010 and September 3, 2009, related party receivables included $57 million and $69 million, respectively, due from Aptina Imaging Corporation ("Aptina") under a wafer supply agreement for image sensor products.</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of September 2, 2010 and September 3, 2009, other receivables included $30 million and $29 million, respectively, due from Intel Corporation ("Intel") for amounts related to NAND Flash product design and process development activities. As of September 2, 2010, other receivables also included $17 million from Nanya Technology Corporation ("Nanya") for amounts related to DRAM development costs under a cost sharing agreement. Other receivables as of September 3, 2009 also included $40 million due from settlement of litigation.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Work in process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649</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supplies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1,770</w:t>
            </w:r>
          </w:p>
        </w:tc>
        <w:tc>
          <w:tcPr>
            <w:tcW w:w="1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987</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The results of operations for the fourth, second and first quarters of 2008, include charges of $205 million, $15 million and $62 million, respectively, to write down the carrying value of work in process and finished goods inventories.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882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2010</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7"/>
                <w:szCs w:val="17"/>
                <w:b w:val="1"/>
                <w:bCs w:val="1"/>
                <w:color w:val="auto"/>
              </w:rPr>
              <w:t>2009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6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line="189" w:lineRule="exact"/>
              <w:rPr>
                <w:sz w:val="20"/>
                <w:szCs w:val="20"/>
                <w:color w:val="auto"/>
              </w:rPr>
            </w:pPr>
            <w:r>
              <w:rPr>
                <w:rFonts w:ascii="Arial" w:cs="Arial" w:eastAsia="Arial" w:hAnsi="Arial"/>
                <w:sz w:val="17"/>
                <w:szCs w:val="17"/>
                <w:b w:val="1"/>
                <w:bCs w:val="1"/>
                <w:color w:val="auto"/>
                <w:w w:val="97"/>
              </w:rPr>
              <w:t>Accumulated</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0"/>
              <w:spacing w:after="0" w:line="189" w:lineRule="exact"/>
              <w:rPr>
                <w:sz w:val="20"/>
                <w:szCs w:val="20"/>
                <w:color w:val="auto"/>
              </w:rPr>
            </w:pPr>
            <w:r>
              <w:rPr>
                <w:rFonts w:ascii="Arial" w:cs="Arial" w:eastAsia="Arial" w:hAnsi="Arial"/>
                <w:sz w:val="17"/>
                <w:szCs w:val="17"/>
                <w:b w:val="1"/>
                <w:bCs w:val="1"/>
                <w:color w:val="auto"/>
                <w:w w:val="95"/>
              </w:rPr>
              <w:t>Accumulated</w:t>
            </w:r>
          </w:p>
        </w:tc>
        <w:tc>
          <w:tcPr>
            <w:tcW w:w="100" w:type="dxa"/>
            <w:vAlign w:val="bottom"/>
          </w:tcPr>
          <w:p>
            <w:pPr>
              <w:spacing w:after="0"/>
              <w:rPr>
                <w:sz w:val="16"/>
                <w:szCs w:val="16"/>
                <w:color w:val="auto"/>
              </w:rPr>
            </w:pPr>
          </w:p>
        </w:tc>
      </w:tr>
      <w:tr>
        <w:trPr>
          <w:trHeight w:val="227"/>
        </w:trPr>
        <w:tc>
          <w:tcPr>
            <w:tcW w:w="6060" w:type="dxa"/>
            <w:vAlign w:val="bottom"/>
          </w:tcPr>
          <w:p>
            <w:pPr>
              <w:spacing w:after="0"/>
              <w:rPr>
                <w:sz w:val="19"/>
                <w:szCs w:val="19"/>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3"/>
              </w:rPr>
              <w:t>Gross Amount</w:t>
            </w: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7"/>
                <w:szCs w:val="17"/>
                <w:b w:val="1"/>
                <w:bCs w:val="1"/>
                <w:color w:val="auto"/>
              </w:rPr>
              <w:t>Amortization</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1"/>
              </w:rPr>
              <w:t>Gross Amount</w:t>
            </w:r>
          </w:p>
        </w:tc>
        <w:tc>
          <w:tcPr>
            <w:tcW w:w="10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7"/>
                <w:szCs w:val="17"/>
                <w:b w:val="1"/>
                <w:bCs w:val="1"/>
                <w:color w:val="auto"/>
              </w:rPr>
              <w:t>Amortization</w:t>
            </w:r>
          </w:p>
        </w:tc>
      </w:tr>
      <w:tr>
        <w:trPr>
          <w:trHeight w:val="205"/>
        </w:trPr>
        <w:tc>
          <w:tcPr>
            <w:tcW w:w="60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Product and process technology</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(181)</w:t>
            </w:r>
          </w:p>
        </w:tc>
        <w:tc>
          <w:tcPr>
            <w:tcW w:w="480" w:type="dxa"/>
            <w:vAlign w:val="bottom"/>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439</w:t>
            </w:r>
          </w:p>
        </w:tc>
        <w:tc>
          <w:tcPr>
            <w:tcW w:w="54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(181)</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(66)</w:t>
            </w:r>
          </w:p>
        </w:tc>
        <w:tc>
          <w:tcPr>
            <w:tcW w:w="4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r>
      <w:tr>
        <w:trPr>
          <w:trHeight w:val="26"/>
        </w:trPr>
        <w:tc>
          <w:tcPr>
            <w:tcW w:w="60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spacing w:after="0"/>
              <w:rPr>
                <w:sz w:val="17"/>
                <w:szCs w:val="17"/>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589</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(266)</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594</w:t>
            </w:r>
          </w:p>
        </w:tc>
        <w:tc>
          <w:tcPr>
            <w:tcW w:w="540" w:type="dxa"/>
            <w:vAlign w:val="bottom"/>
            <w:gridSpan w:val="2"/>
          </w:tcPr>
          <w:p>
            <w:pPr>
              <w:jc w:val="right"/>
              <w:ind w:right="275"/>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(250)</w:t>
            </w: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During 2010 and 2009, we capitalized $48 million and $88 million, respectively, for product and process technology with weighted-average useful lives of 7 years and 9 years, respectively. In addition, in connection with the acquisition of Numonyx in the third quarter of 2010, we recorded other intangible assets of $29 million for to a supply agreement, which was amortized through August 2010 when the agreement ended. (See "Numonyx Holdings B.V." note.)</w:t>
      </w:r>
    </w:p>
    <w:p>
      <w:pPr>
        <w:spacing w:after="0" w:line="184" w:lineRule="exact"/>
        <w:rPr>
          <w:sz w:val="20"/>
          <w:szCs w:val="20"/>
          <w:color w:val="auto"/>
        </w:rPr>
      </w:pPr>
    </w:p>
    <w:p>
      <w:pPr>
        <w:ind w:right="360"/>
        <w:spacing w:after="0" w:line="309" w:lineRule="auto"/>
        <w:rPr>
          <w:sz w:val="20"/>
          <w:szCs w:val="20"/>
          <w:color w:val="auto"/>
        </w:rPr>
      </w:pPr>
      <w:r>
        <w:rPr>
          <w:rFonts w:ascii="Arial" w:cs="Arial" w:eastAsia="Arial" w:hAnsi="Arial"/>
          <w:sz w:val="16"/>
          <w:szCs w:val="16"/>
          <w:color w:val="auto"/>
        </w:rPr>
        <w:t>Amortization expense for intangible assets was $96 million, $75 million and $80 million for 2010, 2009 and 2008, respectively. Annual amortization expense for intangible assets is estimated to be $68 million for 2011, $59 million for 2012, $53 million for 2013, $45 million for 2014 and $29 million for 2015.</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Plant and Equipment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Buildings (includes $184 million and $184 million, respectively, for capital leases)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4,473</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Equipment (includes $745 million and $630 million, respectively, for capital leases)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11,834</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17,813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16,718</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 (includes $478 million and $331 million, respectively, for capital leases)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(9,629)</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6,601</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7,089</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$1,826 million, $2,039 million and $1,976 million for 2010, 2009 and 2008, respectively.</w:t>
      </w:r>
    </w:p>
    <w:p>
      <w:pPr>
        <w:spacing w:after="0" w:line="240"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As of September 2, 2010, property, plant and equipment with a carrying value of $1,079 million was collateral under the TECH credit facility and $31 million of property, plant and equipment was collateral under other liabilities. (See "Debt" and "TECH Semiconductor Singapore Pte. Ltd." notes.)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Other noncurrent assets included buildings and equipment classified as held for sale of $56 million as of September 2, 2010 and $81 million as of September 3, 2009.</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2536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50"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In the second quarter of 2009, our imaging operations (the primary component of All Other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our imaging operations experienced a significant decline in market</w:t>
      </w:r>
    </w:p>
    <w:p>
      <w:pPr>
        <w:spacing w:after="0" w:line="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value. Accordingly, in the second quarter of 2009, we performed an assessment of our imaging operations goodwill for impairment. Based on this assessment, we wrote off all of the $58 million of goodwill associated with our imaging operations as of March 5, 2009.</w:t>
      </w:r>
    </w:p>
    <w:p>
      <w:pPr>
        <w:spacing w:after="0" w:line="20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the first and second quarters of 2008, we experienced a sustained, significant decline in our stock price. As a result of the decline in stock prices, our market capitalization fell significantly below the recorded value of our consolidated net assets for most of the second quarter of 2008. The reduced market capitalization at that time reflected, in part, the lower average selling prices for the NSG segment (previously part of the Memory segment) and expected continued weakness in pricing for our memory products. Accordingly, in the second quarter of 2008, we performed an assessment of NSG segment goodwill for impairment. Based on this assessment, we wrote off all the $463 million of goodwill associated with our NSG segment as of February 28, 2008.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5581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tcPr>
          <w:p>
            <w:pPr>
              <w:jc w:val="right"/>
              <w:ind w:right="920"/>
              <w:spacing w:after="0"/>
              <w:rPr>
                <w:sz w:val="20"/>
                <w:szCs w:val="20"/>
                <w:color w:val="auto"/>
              </w:rPr>
            </w:pPr>
            <w:r>
              <w:rPr>
                <w:rFonts w:ascii="Arial" w:cs="Arial" w:eastAsia="Arial" w:hAnsi="Arial"/>
                <w:sz w:val="17"/>
                <w:szCs w:val="17"/>
                <w:b w:val="1"/>
                <w:bCs w:val="1"/>
                <w:color w:val="auto"/>
              </w:rPr>
              <w:t>September 2, 2010</w:t>
            </w:r>
          </w:p>
        </w:tc>
        <w:tc>
          <w:tcPr>
            <w:tcW w:w="320" w:type="dxa"/>
            <w:vAlign w:val="bottom"/>
          </w:tcPr>
          <w:p>
            <w:pPr>
              <w:spacing w:after="0"/>
              <w:rPr>
                <w:sz w:val="19"/>
                <w:szCs w:val="19"/>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7"/>
                <w:szCs w:val="17"/>
                <w:b w:val="1"/>
                <w:bCs w:val="1"/>
                <w:color w:val="auto"/>
              </w:rPr>
              <w:t>September 3, 2009</w:t>
            </w:r>
          </w:p>
        </w:tc>
      </w:tr>
      <w:tr>
        <w:trPr>
          <w:trHeight w:val="189"/>
        </w:trPr>
        <w:tc>
          <w:tcPr>
            <w:tcW w:w="60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160"/>
              <w:spacing w:after="0" w:line="189" w:lineRule="exact"/>
              <w:rPr>
                <w:sz w:val="20"/>
                <w:szCs w:val="20"/>
                <w:color w:val="auto"/>
              </w:rPr>
            </w:pPr>
            <w:r>
              <w:rPr>
                <w:rFonts w:ascii="Arial" w:cs="Arial" w:eastAsia="Arial" w:hAnsi="Arial"/>
                <w:sz w:val="17"/>
                <w:szCs w:val="17"/>
                <w:b w:val="1"/>
                <w:bCs w:val="1"/>
                <w:color w:val="auto"/>
              </w:rPr>
              <w:t>Ownership</w:t>
            </w:r>
          </w:p>
        </w:tc>
        <w:tc>
          <w:tcPr>
            <w:tcW w:w="2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Ownership</w:t>
            </w:r>
          </w:p>
        </w:tc>
        <w:tc>
          <w:tcPr>
            <w:tcW w:w="140" w:type="dxa"/>
            <w:vAlign w:val="bottom"/>
          </w:tcPr>
          <w:p>
            <w:pPr>
              <w:spacing w:after="0"/>
              <w:rPr>
                <w:sz w:val="16"/>
                <w:szCs w:val="16"/>
                <w:color w:val="auto"/>
              </w:rPr>
            </w:pPr>
          </w:p>
        </w:tc>
      </w:tr>
      <w:tr>
        <w:trPr>
          <w:trHeight w:val="227"/>
        </w:trPr>
        <w:tc>
          <w:tcPr>
            <w:tcW w:w="606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b w:val="1"/>
                <w:bCs w:val="1"/>
                <w:color w:val="auto"/>
              </w:rPr>
              <w:t>Carrying Value</w:t>
            </w:r>
          </w:p>
        </w:tc>
        <w:tc>
          <w:tcPr>
            <w:tcW w:w="1400" w:type="dxa"/>
            <w:vAlign w:val="bottom"/>
            <w:gridSpan w:val="2"/>
          </w:tcPr>
          <w:p>
            <w:pPr>
              <w:ind w:left="160"/>
              <w:spacing w:after="0"/>
              <w:rPr>
                <w:sz w:val="20"/>
                <w:szCs w:val="20"/>
                <w:color w:val="auto"/>
              </w:rPr>
            </w:pPr>
            <w:r>
              <w:rPr>
                <w:rFonts w:ascii="Arial" w:cs="Arial" w:eastAsia="Arial" w:hAnsi="Arial"/>
                <w:sz w:val="17"/>
                <w:szCs w:val="17"/>
                <w:b w:val="1"/>
                <w:bCs w:val="1"/>
                <w:color w:val="auto"/>
              </w:rPr>
              <w:t>Percentage</w:t>
            </w:r>
          </w:p>
        </w:tc>
        <w:tc>
          <w:tcPr>
            <w:tcW w:w="1320" w:type="dxa"/>
            <w:vAlign w:val="bottom"/>
            <w:gridSpan w:val="3"/>
          </w:tcPr>
          <w:p>
            <w:pPr>
              <w:spacing w:after="0"/>
              <w:rPr>
                <w:sz w:val="20"/>
                <w:szCs w:val="20"/>
                <w:color w:val="auto"/>
              </w:rPr>
            </w:pPr>
            <w:r>
              <w:rPr>
                <w:rFonts w:ascii="Arial" w:cs="Arial" w:eastAsia="Arial" w:hAnsi="Arial"/>
                <w:sz w:val="17"/>
                <w:szCs w:val="17"/>
                <w:b w:val="1"/>
                <w:bCs w:val="1"/>
                <w:color w:val="auto"/>
              </w:rPr>
              <w:t>Carrying Value</w:t>
            </w: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Percentage</w:t>
            </w:r>
          </w:p>
        </w:tc>
      </w:tr>
      <w:tr>
        <w:trPr>
          <w:trHeight w:val="205"/>
        </w:trPr>
        <w:tc>
          <w:tcPr>
            <w:tcW w:w="60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Inotera</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434</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MeiYa</w:t>
            </w:r>
          </w:p>
        </w:tc>
        <w:tc>
          <w:tcPr>
            <w:tcW w:w="3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44</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50.0%</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Transform</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Aptina</w:t>
            </w:r>
          </w:p>
        </w:tc>
        <w:tc>
          <w:tcPr>
            <w:tcW w:w="3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35.0%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35.0%</w:t>
            </w:r>
          </w:p>
        </w:tc>
      </w:tr>
      <w:tr>
        <w:trPr>
          <w:trHeight w:val="26"/>
        </w:trPr>
        <w:tc>
          <w:tcPr>
            <w:tcW w:w="6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6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582</w:t>
            </w:r>
          </w:p>
        </w:tc>
        <w:tc>
          <w:tcPr>
            <w:tcW w:w="1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315</w:t>
            </w: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Equity in net income (loss) of equity method investees, net of tax, included: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24"/>
                <w:szCs w:val="24"/>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color w:val="auto"/>
              </w:rPr>
              <w:t>Inotera:</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Equity method losses, net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w:t>
            </w:r>
          </w:p>
        </w:tc>
        <w:tc>
          <w:tcPr>
            <w:tcW w:w="3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Inotera Amortization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6"/>
        </w:trPr>
        <w:tc>
          <w:tcPr>
            <w:tcW w:w="87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(130)</w:t>
            </w:r>
          </w:p>
        </w:tc>
      </w:tr>
      <w:tr>
        <w:trPr>
          <w:trHeight w:val="205"/>
        </w:trPr>
        <w:tc>
          <w:tcPr>
            <w:tcW w:w="8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MeiYa</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Transform</w:t>
            </w: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Aptina</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Hynix JV</w:t>
            </w: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7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c>
          <w:tcPr>
            <w:tcW w:w="3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r>
      <w:tr>
        <w:trPr>
          <w:trHeight w:val="20"/>
        </w:trPr>
        <w:tc>
          <w:tcPr>
            <w:tcW w:w="88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060" w:type="dxa"/>
            <w:vAlign w:val="bottom"/>
            <w:gridSpan w:val="5"/>
          </w:tcPr>
          <w:p>
            <w:pPr>
              <w:spacing w:after="0"/>
              <w:rPr>
                <w:sz w:val="20"/>
                <w:szCs w:val="20"/>
                <w:color w:val="auto"/>
              </w:rPr>
            </w:pPr>
            <w:r>
              <w:rPr>
                <w:rFonts w:ascii="Arial" w:cs="Arial" w:eastAsia="Arial" w:hAnsi="Arial"/>
                <w:sz w:val="17"/>
                <w:szCs w:val="17"/>
                <w:color w:val="auto"/>
                <w:w w:val="97"/>
              </w:rPr>
              <w:t>Our maximum exposure to loss from our involvement with our equity method investments that are variable interest entities was as follows: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5"/>
              </w:rPr>
              <w:t>September 2,</w:t>
            </w:r>
          </w:p>
        </w:tc>
      </w:t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Inotera</w:t>
            </w: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428</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Transform</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MeiYa</w:t>
            </w:r>
          </w:p>
        </w:tc>
        <w:tc>
          <w:tcPr>
            <w:tcW w:w="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ind w:right="300"/>
        <w:spacing w:after="0" w:line="315" w:lineRule="auto"/>
        <w:rPr>
          <w:sz w:val="20"/>
          <w:szCs w:val="20"/>
          <w:color w:val="auto"/>
        </w:rPr>
      </w:pPr>
      <w:r>
        <w:rPr>
          <w:rFonts w:ascii="Arial" w:cs="Arial" w:eastAsia="Arial" w:hAnsi="Arial"/>
          <w:sz w:val="15"/>
          <w:szCs w:val="15"/>
          <w:color w:val="auto"/>
        </w:rPr>
        <w:t>The maximum exposure to loss is determined based on the amounts recorded in the accompanying consolidated balance sheets and primarily includes the carrying value of our investment as well as related translation adjustments in accumulated other comprehensive income and receivables. We may also incur losses in connection with our obligations under the Inotera Supply Agreement to purchase 50% of Inotera’s wafer production under a long-term pricing arrangement.</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b w:val="1"/>
          <w:bCs w:val="1"/>
          <w:i w:val="1"/>
          <w:iCs w:val="1"/>
          <w:color w:val="auto"/>
        </w:rPr>
        <w:t xml:space="preserve">Inotera and MeiYa DRAM joint ventures with Nanya: </w:t>
      </w:r>
      <w:r>
        <w:rPr>
          <w:rFonts w:ascii="Arial" w:cs="Arial" w:eastAsia="Arial" w:hAnsi="Arial"/>
          <w:sz w:val="15"/>
          <w:szCs w:val="15"/>
          <w:color w:val="auto"/>
        </w:rPr>
        <w:t>We have partnered with Nanya in two Taiwan DRAM memory companies, Inotera Memories, Inc. ("Inotera")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MeiYa Technology Corporation ("MeiYa"). We have concluded that both Inotera and MeiYa are variable interest entities because of the terms of their supply agreements with us and Nanya. Nanya is considered to be a related party under the accounting standards for consolidating variable interest entities. We reviewed several factors to determine whether we are the primary beneficiary of Inotera and MeiYa, including the size and nature of the entities’ operations relative to us and Nanya, the nature of day-to-day operations and certain other factors. Based on those factors, we determined that Nanya is more closely associated with, and therefore the primary beneficiary of, Inotera and MeiYa. We recognize our share of earnings or losses from these entities under the equity method on a two-month lag.</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also partner with Nanya to jointly develop process technology and designs to manufacture stack DRAM products. In addition, we have deployed and licensed certain intellectual property related to the manufacture of stack DRAM products to Nanya and licensed certain intellectual property from Nanya. Under this licensing arrangement, we recognized $65 million, $105 million and $37 million during 2010, 2009 and 2008, respectively, of license revenue in net sales from this arrangement. Under a cost sharing arrangement effective beginning in April 2010, we generally share DRAM development costs equally with Nanya and, as a result, our research and development costs were reduced by $51 million in 2010. We also received $6 million of royalty revenue in 2010 from Nanya for sales of stack DRAM products manufactured by or for Nanya on process nodes of 50nm or higher and will continue to receive royalties from Nanya associated with technology developed prior to the joint development arrangement.</w:t>
      </w: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u w:val="single" w:color="auto"/>
          <w:color w:val="auto"/>
        </w:rPr>
        <w:t>Inotera</w:t>
      </w:r>
      <w:r>
        <w:rPr>
          <w:rFonts w:ascii="Arial" w:cs="Arial" w:eastAsia="Arial" w:hAnsi="Arial"/>
          <w:sz w:val="17"/>
          <w:szCs w:val="17"/>
          <w:color w:val="auto"/>
        </w:rPr>
        <w:t>: In the first quarter of 2009, we acquired a 35.5% ownership interest in Inotera, a publicly-traded entity in Taiwan, from Qimonda AG ("Qimonda"). In August 2009, Inotera sold 640 million common shares in a public offering. As a result, our equity ownership interest decreased from 35.5% to 29.8% and we recognized a gain of $56 million in the first quarter of 2010. On February 6, 2010, as part of another offering of 640 million common shares, we and Nanya each paid $138 million to purchase approximately 196 million shares, slightly increasing our equity ownership interest from 29.8% to 29.9%. As of September 2, 2010, we held a 29.9% ownership interest in Inotera, Nanya held 30.0% and the balance was publicly held.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4" w:name="page45"/>
    <w:bookmarkEnd w:id="44"/>
    <w:p>
      <w:pPr>
        <w:ind w:right="300"/>
        <w:spacing w:after="0" w:line="260" w:lineRule="auto"/>
        <w:rPr>
          <w:sz w:val="20"/>
          <w:szCs w:val="20"/>
          <w:color w:val="auto"/>
        </w:rPr>
      </w:pPr>
      <w:r>
        <w:rPr>
          <w:rFonts w:ascii="Arial" w:cs="Arial" w:eastAsia="Arial" w:hAnsi="Arial"/>
          <w:sz w:val="17"/>
          <w:szCs w:val="17"/>
          <w:color w:val="auto"/>
        </w:rPr>
        <w:t>The carrying value of our initial investment in Inotera was less than our proportionate share of its equity. That difference is being amortized as a credit to earnings through equity in net income (losses) of equity method investees (the "Inotera Amortization"). As of September 2, 2010, $121 million of Inotera Amortization remained to be recognized over a weighted-average period of 4 years. The $56 million gain recognized in the first quarter of 2010 on Inotera’s issuance of shares included $33 million of accelerated Inotera Amortization.</w:t>
      </w:r>
    </w:p>
    <w:p>
      <w:pPr>
        <w:spacing w:after="0" w:line="204"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In connection with the initial acquisition of our shares in Inotera, we and Nanya entered into a supply agreement with Inotera (the "Inotera Supply Agreement") for rights and obligations to purchase 50% of Inotera’s wafer production capacity of trench and stack DRAM products. Our cost for the Inotera wafers is based on a margin sharing formula that considers all parties’ manufacturing costs related to wafers purchased from Inotera, as well as the selling prices of our and Nanya’s products from the wafers. In 2010, we purchased $693 million of DRAM products (primarily trench technology) under the Inotera Supply Agreement.</w:t>
      </w:r>
    </w:p>
    <w:p>
      <w:pPr>
        <w:spacing w:after="0" w:line="190"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In the second quarter of 2009, Qimonda filed for bankruptcy and defaulted on its obligations to purchase trench DRAM products from Inotera under a separate supply agreement between Inotera and Qimonda ("the Qimonda Supply Agreement"). Pursuant to our obligation under the Inotera Supply Agreement to purchase up to 50% of Inotera’s trench DRAM capacity, less any trench DRAM products sold to Qimonda pursuant to the Qimonda Supply Agreement, we recorded $95 million in cost of goods sold in 2009 for underutilized capacity as a result of Qimonda’s default.</w:t>
      </w:r>
    </w:p>
    <w:p>
      <w:pPr>
        <w:spacing w:after="0" w:line="20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In the third quarter of 2009, we received $50 million from Inotera pursuant to the terms of a technology transfer agreement and, in connection therewith, recognized $13 million of revenue in 2010. Inotera’s functional currency is the New Taiwan Dollar ("NTD") and as of September 2, 2010 and September 3, 2009, there was a gain of $7 million and a loss of $(3) million, respectively, in accumulated other comprehensive income (loss) for cumulative translation adjustments from our investment in Inotera. Based on the closing trading price of Inotera’s shares in an active market on September 2, 2010, the market value of our equity interest in Inotera was $674 million.</w:t>
      </w:r>
    </w:p>
    <w:p>
      <w:pPr>
        <w:spacing w:after="0" w:line="20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Summarized financial information for Inotera is as follows (the summarized results of operations of Inotera in the table below for the period ended June 30, 2009 are from the period we acquired our ownership interest on October 20, 2008 through June 30, 2009):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spacing w:after="0"/>
              <w:rPr>
                <w:sz w:val="20"/>
                <w:szCs w:val="20"/>
                <w:color w:val="auto"/>
              </w:rPr>
            </w:pPr>
            <w:r>
              <w:rPr>
                <w:rFonts w:ascii="Arial" w:cs="Arial" w:eastAsia="Arial" w:hAnsi="Arial"/>
                <w:sz w:val="17"/>
                <w:szCs w:val="17"/>
                <w:b w:val="1"/>
                <w:bCs w:val="1"/>
                <w:color w:val="auto"/>
              </w:rPr>
              <w:t>As of</w:t>
            </w:r>
          </w:p>
        </w:tc>
        <w:tc>
          <w:tcPr>
            <w:tcW w:w="1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4"/>
              </w:rPr>
              <w:t>June 30, 2010</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4"/>
              </w:rPr>
              <w:t>June 30, 2009</w:t>
            </w:r>
          </w:p>
        </w:tc>
      </w:t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54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600</w:t>
            </w:r>
          </w:p>
        </w:tc>
        <w:tc>
          <w:tcPr>
            <w:tcW w:w="52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Noncurrent assets (primarily property, plant and equipment)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3,506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3,315</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1,789</w:t>
            </w:r>
          </w:p>
        </w:tc>
      </w:t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Noncurrent liabilities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740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spacing w:after="0"/>
              <w:rPr>
                <w:sz w:val="20"/>
                <w:szCs w:val="20"/>
                <w:color w:val="auto"/>
              </w:rPr>
            </w:pPr>
            <w:r>
              <w:rPr>
                <w:rFonts w:ascii="Arial" w:cs="Arial" w:eastAsia="Arial" w:hAnsi="Arial"/>
                <w:sz w:val="17"/>
                <w:szCs w:val="17"/>
                <w:b w:val="1"/>
                <w:bCs w:val="1"/>
                <w:color w:val="auto"/>
              </w:rPr>
              <w:t>For the Year and Period Ended, Respectively</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4"/>
              </w:rPr>
              <w:t>June 30, 2010</w:t>
            </w:r>
          </w:p>
        </w:tc>
        <w:tc>
          <w:tcPr>
            <w:tcW w:w="1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4"/>
              </w:rPr>
              <w:t>June 30, 2009</w:t>
            </w:r>
          </w:p>
        </w:tc>
      </w:t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54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1,399</w:t>
            </w:r>
          </w:p>
        </w:tc>
        <w:tc>
          <w:tcPr>
            <w:tcW w:w="54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670</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Gross margin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(370)</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(534)</w:t>
            </w:r>
          </w:p>
        </w:tc>
      </w:tr>
    </w:tbl>
    <w:p>
      <w:pPr>
        <w:spacing w:after="0" w:line="207"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u w:val="single" w:color="auto"/>
          <w:color w:val="auto"/>
        </w:rPr>
        <w:t>MeiYa</w:t>
      </w:r>
      <w:r>
        <w:rPr>
          <w:rFonts w:ascii="Arial" w:cs="Arial" w:eastAsia="Arial" w:hAnsi="Arial"/>
          <w:sz w:val="16"/>
          <w:szCs w:val="16"/>
          <w:color w:val="auto"/>
        </w:rPr>
        <w:t>: We formed MeiYa with Nanya in the fourth quarter of 2008. In connection with the acquisition of our equity interest in Inotera, we entered into a series of agreements with Nanya pursuant to which both parties ceased future funding of, and resource commitments to, MeiYa. MeiYa sold substantially all of its assets to Inotera and in the fourth quarter of 2009 we received a $27 million distribution. As of September 2, 2010, we and Nanya each held 50% ownership interest in MeiYa. MeiYa’s functional currency is the NTD and as of September 2, 2010 and September 3, 2009, there were cumulative translation losses of $5 million and $6 million, respectively, included in our consolidated balance sheet in the caption accumulated other comprehensive income (loss).</w:t>
      </w:r>
    </w:p>
    <w:p>
      <w:pPr>
        <w:spacing w:after="0" w:line="191" w:lineRule="exact"/>
        <w:rPr>
          <w:sz w:val="20"/>
          <w:szCs w:val="20"/>
          <w:color w:val="auto"/>
        </w:rPr>
      </w:pPr>
    </w:p>
    <w:p>
      <w:pPr>
        <w:ind w:right="280"/>
        <w:spacing w:after="0" w:line="346" w:lineRule="auto"/>
        <w:rPr>
          <w:sz w:val="20"/>
          <w:szCs w:val="20"/>
          <w:color w:val="auto"/>
        </w:rPr>
      </w:pPr>
      <w:r>
        <w:rPr>
          <w:rFonts w:ascii="Arial" w:cs="Arial" w:eastAsia="Arial" w:hAnsi="Arial"/>
          <w:sz w:val="15"/>
          <w:szCs w:val="15"/>
          <w:color w:val="auto"/>
        </w:rPr>
        <w:t>Pursuant to a technology transfer agreement, we received $50 million from MeiYa in the first quarter of 2009. Our technology transfer agreement with MeiYa was supplanted by our technology transfer agreement with Inotera and we returned the $50 million with accrued interest to MeiYa in the fourth quarter of 2009.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5" w:name="page46"/>
    <w:bookmarkEnd w:id="45"/>
    <w:p>
      <w:pPr>
        <w:ind w:right="60"/>
        <w:spacing w:after="0" w:line="256" w:lineRule="auto"/>
        <w:rPr>
          <w:sz w:val="20"/>
          <w:szCs w:val="20"/>
          <w:color w:val="auto"/>
        </w:rPr>
      </w:pPr>
      <w:r>
        <w:rPr>
          <w:rFonts w:ascii="Arial" w:cs="Arial" w:eastAsia="Arial" w:hAnsi="Arial"/>
          <w:sz w:val="17"/>
          <w:szCs w:val="17"/>
          <w:b w:val="1"/>
          <w:bCs w:val="1"/>
          <w:i w:val="1"/>
          <w:iCs w:val="1"/>
          <w:color w:val="auto"/>
        </w:rPr>
        <w:t xml:space="preserve">Transform: </w:t>
      </w:r>
      <w:r>
        <w:rPr>
          <w:rFonts w:ascii="Arial" w:cs="Arial" w:eastAsia="Arial" w:hAnsi="Arial"/>
          <w:sz w:val="17"/>
          <w:szCs w:val="17"/>
          <w:color w:val="auto"/>
        </w:rPr>
        <w:t>On December 18, 2009, we acquired a 50% interest in Transform, a subsidiary of Origin Energy Limited ("Origin"), which is a public company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Australia. Transform is a developer, manufacturer and marketer of photovoltaic technology and solar panels. In exchange for the equity interest in Transform, we contributed assets with a fair value of $65 million, consisting of manufacturing facilities, equipment, intellectual property and a fully-paid lease to a portion of our Boise, Idaho manufacturing facilities. The carrying value of the nonmonetary assets was approximately equal to the fair value of the equity interest in Transform and, as a result, no gain or loss was recognized on the contribution. As of September 2, 2010, we and Origin each held a 50% ownership interest in Transform. During 2010, we and Origin each contributed $26 million of cash to Transform. Our results of operations for 2010 include $15 million of net sales, which approximates our cost, for transition services provided to Transform.</w:t>
      </w:r>
    </w:p>
    <w:p>
      <w:pPr>
        <w:spacing w:after="0" w:line="207"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As of September 2, 2010, our other noncurrent assets included $33 million for the manufacturing facilities leased to Transform and liabilities included $33 million for deferred rent revenue on the fully-paid lease. Additionally, as of September 2, 2010, other noncurrent assets and liabilities included $5 million for the value of certain equipment and intangible assets, which we were obligated to contribute to Transform.</w:t>
      </w:r>
    </w:p>
    <w:p>
      <w:pPr>
        <w:spacing w:after="0" w:line="201"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color w:val="auto"/>
        </w:rPr>
        <w:t>We have concluded that Transform is a variable interest entity because its equity is not sufficient to permit Transform to finance its activities without additional subordinated financial support from its investors. Origin is considered to be a related party under the accounting standards for consolidating variable interest entities. We reviewed several factors to determine whether we are the primary beneficiary of Transform, including the relationships and significance of Transform’s activities and operations relative to us and Origin and certain other factors. Based on those factors, we determined that Origin is more closely associated with, and therefore the primary beneficiary of, Transform. We recognize our share of earnings or losses from Transform under the equity method on a two-month lag.</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Aptina: </w:t>
      </w:r>
      <w:r>
        <w:rPr>
          <w:rFonts w:ascii="Arial" w:cs="Arial" w:eastAsia="Arial" w:hAnsi="Arial"/>
          <w:sz w:val="17"/>
          <w:szCs w:val="17"/>
          <w:color w:val="auto"/>
        </w:rPr>
        <w:t>In the fourth quarter of 2009, we sold a 65% interest in Aptina, previously a wholly-owned subsidiary, to Acquisition L.P. (owned primarily by Riverwood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LLC and TPG Partners VI, L.P.). Aptina is a CMOS imaging technology company. In connection with the transaction, we received approximately $35 million in cash, retained a 35% ownership interest and recorded a loss of $41 million. A portion of the 65% interest held by Acquisition L.P. is in the form of convertible preferred shares that have a liquidation preference over the common shares. As a result, as of September 2, 2010, our remaining interest represented 64% of Aptina’s common stock, and Acquisition L.P. held 36% of Aptina’s common stock. We recognize our share of earnings or losses from Aptina under the equity method (based on our 64% ownership of its common stock) on a two-month lag.</w:t>
      </w:r>
    </w:p>
    <w:p>
      <w:pPr>
        <w:spacing w:after="0" w:line="210"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We manufacture imaging products for Aptina under a wafer supply agreement. In 2010 and 2009, we recognized sales of $372 million and $70 million, respectively, and cost of goods sold of $385 million and $60 million, respectively, from products sold to Aptina.</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Hynix JV: </w:t>
      </w:r>
      <w:r>
        <w:rPr>
          <w:rFonts w:ascii="Arial" w:cs="Arial" w:eastAsia="Arial" w:hAnsi="Arial"/>
          <w:sz w:val="17"/>
          <w:szCs w:val="17"/>
          <w:color w:val="auto"/>
        </w:rPr>
        <w:t>In connection with our purchase of Numonyx on May 7, 2010, we acquired a 20.7% noncontrolling equity interest in Hynix-Numonyx Semiconductor Ltd.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"Hynix JV"), a joint venture with Hynix Semiconductor, Inc. ("Hynix") and Hynix Semiconductor (WUXI) Limited. The change in control of Numonyx gave Hynix the right to purchase all of our equity interest in the Hynix JV. Hynix exercised its right to purchase our interest in the Hynix JV and consummated the equity transfer on August 31, 2010 for $423 million. (See "Numonyx Holdings B.V." note.)</w:t>
      </w:r>
    </w:p>
    <w:p>
      <w:pPr>
        <w:spacing w:after="0" w:line="20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u w:val="single" w:color="auto"/>
          <w:color w:val="auto"/>
        </w:rPr>
        <w:t>Hynix JV Supply Agreement</w:t>
      </w:r>
      <w:r>
        <w:rPr>
          <w:rFonts w:ascii="Arial" w:cs="Arial" w:eastAsia="Arial" w:hAnsi="Arial"/>
          <w:sz w:val="17"/>
          <w:szCs w:val="17"/>
          <w:color w:val="auto"/>
        </w:rPr>
        <w:t>: Pursuant to the terms of a supply agreement with the Hynix JV, we purchased $122 million of memory products from the Hynix JV in 2010. The Hynix JV was permitted to terminate the existing supply agreement with Numonyx concurrent with the consummation of Hynix’s acquisition of our ownership interest in the Hynix JV. On July 29, 2010, we entered into a new supply agreement with Hynix, which provides for the continued supply of products through September 30, 2011 at market rates.</w:t>
      </w:r>
    </w:p>
    <w:p>
      <w:pPr>
        <w:spacing w:after="0" w:line="204"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u w:val="single" w:color="auto"/>
          <w:color w:val="auto"/>
        </w:rPr>
        <w:t>Hynix JV Loan Guarantee</w:t>
      </w:r>
      <w:r>
        <w:rPr>
          <w:rFonts w:ascii="Arial" w:cs="Arial" w:eastAsia="Arial" w:hAnsi="Arial"/>
          <w:sz w:val="15"/>
          <w:szCs w:val="15"/>
          <w:color w:val="auto"/>
        </w:rPr>
        <w:t>: Concurrent with the Numonyx acquisition, we entered into agreements with STMicroelectronics N.V. and DBS Bank Ltd. ("DBS") that require us to guarantee, under certain conditions, an outstanding loan, made by DBS to the Hynix JV and as a result, we recorded a $15 million liability as of the acquisition date representing the estimated fair value of the guarantee. The outstanding balance of the Hynix JV loan was $250 million as of the acquisition date and is due in periodic installments from 2014 through 2016. Under the agreements, on August 31, 2010 the conditions for the guarantee were satisfied and we deposited $250 million of proceeds from the sale of our interest in the Hynix JV into a pledged account at DBS to collateralize the guarantee of the loan. The amount on deposit in the DBS account is accounted for as restricted cash. The amount on deposit and our guarantee decrease as payments are made by the Hynix JV against the loan.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Accounts Payable and Accrued Expenses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526</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Salaries, wages and benefits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Related party payables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Income and other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Customer advances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1,037</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Related party payables primarily consisted of amounts due to Inotera under the Inotera Supply Agreement of $105 million and $51 million as of September 2, 2010 and September 3, 2009, respectively, for the purchase of DRAM products and $32 million as of September 3, 2009 for underutilized capacity. As of September 2, 2010, related party payables also included $86 million for amounts due for the purchase of memory products under the Hynix JV supply agreement. (See "Equity Method Investments" note.)</w:t>
      </w: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As of September 2, 2010 and September 3, 2009, other accounts payable and accrued expenses included $16 million and $24 million, respectively, for amounts due to Intel for NAND Flash product design and process development and licensing fees pursuant to a product designs development agreement. As of September 3, 2009, customer advances included $142 million to provide certain memory products to Apple Computer, Inc. ("Apple") pursuant to a prepaid NAND Flash supply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Debt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Convertible senior notes, stated interest rate of 1.875%, effective interest rate of 7.9%, net of discount of $242 million and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$295 million, respectively, due June 2014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1,005</w:t>
            </w:r>
          </w:p>
        </w:tc>
      </w:tr>
      <w:tr>
        <w:trPr>
          <w:trHeight w:val="193"/>
        </w:trPr>
        <w:tc>
          <w:tcPr>
            <w:tcW w:w="8700" w:type="dxa"/>
            <w:vAlign w:val="bottom"/>
          </w:tcPr>
          <w:p>
            <w:pPr>
              <w:spacing w:after="0" w:line="193" w:lineRule="exact"/>
              <w:rPr>
                <w:sz w:val="20"/>
                <w:szCs w:val="20"/>
                <w:color w:val="auto"/>
              </w:rPr>
            </w:pPr>
            <w:r>
              <w:rPr>
                <w:rFonts w:ascii="Arial" w:cs="Arial" w:eastAsia="Arial" w:hAnsi="Arial"/>
                <w:sz w:val="17"/>
                <w:szCs w:val="17"/>
                <w:color w:val="auto"/>
                <w:w w:val="92"/>
              </w:rPr>
              <w:t>Capital lease obligations, weighted-average imputed interest rate of 7.2% and 6.7%, respectively, due in monthly installments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700" w:type="dxa"/>
            <w:vAlign w:val="bottom"/>
          </w:tcPr>
          <w:p>
            <w:pPr>
              <w:ind w:left="320"/>
              <w:spacing w:after="0"/>
              <w:rPr>
                <w:sz w:val="20"/>
                <w:szCs w:val="20"/>
                <w:color w:val="auto"/>
              </w:rPr>
            </w:pPr>
            <w:r>
              <w:rPr>
                <w:rFonts w:ascii="Arial" w:cs="Arial" w:eastAsia="Arial" w:hAnsi="Arial"/>
                <w:sz w:val="17"/>
                <w:szCs w:val="17"/>
                <w:color w:val="auto"/>
              </w:rPr>
              <w:t>through February 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559</w:t>
            </w:r>
          </w:p>
        </w:tc>
      </w:tr>
      <w:tr>
        <w:trPr>
          <w:trHeight w:val="193"/>
        </w:trPr>
        <w:tc>
          <w:tcPr>
            <w:tcW w:w="87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TECH credit facility, effective interest rates of 3.9% and 3.6%, respectively, net of discount of $2 million and $2 million,</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respectively, due in periodic installments through May 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548</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Convertible senior notes, interest rate of 4.25%, due October 2013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230</w:t>
            </w:r>
          </w:p>
        </w:tc>
      </w:tr>
      <w:tr>
        <w:trPr>
          <w:trHeight w:val="193"/>
        </w:trPr>
        <w:tc>
          <w:tcPr>
            <w:tcW w:w="8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1"/>
              </w:rPr>
              <w:t>Mai-Liao Power note, stated interest rate of 2.3% and 2.4%, respectively, effective interest rate of 12.1%, net of discount of $4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million and $18 million, respectively, due November 2010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EDB note, denominated in Singapore dollars, interest rate of 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208</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Convertible subordinated notes, interest rate of 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 notes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2,803</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Less current portion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(424)</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7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2,379</w:t>
            </w:r>
          </w:p>
        </w:tc>
      </w:tr>
      <w:tr>
        <w:trPr>
          <w:trHeight w:val="798"/>
        </w:trPr>
        <w:tc>
          <w:tcPr>
            <w:tcW w:w="8700" w:type="dxa"/>
            <w:vAlign w:val="bottom"/>
            <w:tcBorders>
              <w:top w:val="single" w:sz="8" w:color="CCEEFF"/>
            </w:tcBorders>
          </w:tcPr>
          <w:p>
            <w:pPr>
              <w:ind w:left="5620"/>
              <w:spacing w:after="0"/>
              <w:rPr>
                <w:sz w:val="20"/>
                <w:szCs w:val="20"/>
                <w:color w:val="auto"/>
              </w:rPr>
            </w:pPr>
            <w:r>
              <w:rPr>
                <w:rFonts w:ascii="Arial" w:cs="Arial" w:eastAsia="Arial" w:hAnsi="Arial"/>
                <w:sz w:val="17"/>
                <w:szCs w:val="17"/>
                <w:color w:val="auto"/>
              </w:rPr>
              <w:t>15</w:t>
            </w: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8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7" w:name="page48"/>
    <w:bookmarkEnd w:id="47"/>
    <w:p>
      <w:pPr>
        <w:spacing w:after="0" w:line="288" w:lineRule="auto"/>
        <w:rPr>
          <w:sz w:val="20"/>
          <w:szCs w:val="20"/>
          <w:color w:val="auto"/>
        </w:rPr>
      </w:pPr>
      <w:r>
        <w:rPr>
          <w:rFonts w:ascii="Arial" w:cs="Arial" w:eastAsia="Arial" w:hAnsi="Arial"/>
          <w:sz w:val="15"/>
          <w:szCs w:val="15"/>
          <w:color w:val="auto"/>
        </w:rPr>
        <w:t>In May 2007, we issued $1.3 billion of 1.875% Convertible Senior Notes due June 1, 2014 (the "Convertible Notes"). The issuance costs totaled $26 million and the net proceeds were $1,274 million. The initial conversion rate is 70.2679 shares of common stock per $1,000 principal amount of Convertible Notes, equivalent to an initial conversion price of approximately $14.23 per share of common stock. Holders may convert the notes prior to the close of business on the business day immediately preceding the maturity date of the Convertible Notes only under the following circumstances: (1) during any calendar quarter beginning after August 30, 2007 (and only during such calendar quarter), if the closing price of our common stock for at least 20 trading days in the 30 consecutive trading days ending on the last trading day of the immediately preceding calendar quarter is more than 130% of the then applicable conversion price per share of the Convertible Notes (approximately $18.50); (2) if the Convertible Notes have been called for redemption; (3) if specified distributions to holders of our common stock are made, or specified corporate events occur, as specified in the indenture for the Convertible Notes; (4) during the five business days after any five consecutive trading-day period in which the trading price per $1,000 principal amount for each day of that period was less than 98% of the product of the closing price of our common stock and the then applicable conversion rate of the Convertible Notes; or (5) at any time on or after March 1, 2014. Upon conversion, we will have the right to deliver, in lieu of shares of our common stock, cash or a combination of cash and shares of common stock. If a holder elects to convert its Convertible Notes in connection with a make-whole change in control, as defined in the indenture, we will, in certain circumstances, pay a make-whole premium by increasing the conversion rate of the converted notes. On or after June 6, 2011, we may redeem for cash all or part of the Convertible Notes if the last reported sale price of our common stock has been at least 130% of the conversion price then in effect for at least 20 trading days during any 30 consecutive trading-day period ending within five trading days prior to the date on which we provide notice of redemption. The redemption price is 100% of the principal amount to be redeemed, plus accrued and unpaid interest. Upon a change in control or a termination of trading, as defined in the indenture, the holders may require us to repurchase for cash all or a portion of their Convertible Notes at a repurchase price equal to 100% of the principal amount, plus accrued and unpaid interest, if any. In the first quarter of 2010, we adopted a new accounting standard for certain convertible debt. The new standard was applicable to the Convertible Notes and requires the liability and equity components to be stated separately. (See "Adjustment for Retrospective Application of New Accounting Standards" note.)</w:t>
      </w:r>
    </w:p>
    <w:p>
      <w:pPr>
        <w:spacing w:after="0" w:line="200" w:lineRule="exact"/>
        <w:rPr>
          <w:sz w:val="20"/>
          <w:szCs w:val="20"/>
          <w:color w:val="auto"/>
        </w:rPr>
      </w:pPr>
    </w:p>
    <w:p>
      <w:pPr>
        <w:spacing w:after="0" w:line="20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2010, we recorded $121 million in capital lease obligations with a weighted-average imputed interest rate of 9.5%, payable in periodic installments through December 2020. As of September 2, 2010, we had $30 million of capital lease obligations with covenants that require minimum levels of tangible net worth, cash and investments. In the second quarter of 2009, we modified the covenants associated with this lease agreement and deposited $27 million of collateral into a restricted cash account. On May 13, 2010, the remaining collateral in the restricted cash account was released. We were in compliance with our covenants related to capital lease obligations as of September 2, 2010.</w:t>
      </w:r>
    </w:p>
    <w:p>
      <w:pPr>
        <w:spacing w:after="0" w:line="20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2008, our joint venture subsidiary, TECH Semiconductor Singapore Pte. Ltd. ("TECH"), drew $600 million under a credit facility at SIBOR plus 2.5%. Payments are due in $50 million quarterly installments through May 2012. The credit facility is collateralized by substantially all of the assets of TECH (approximately $1,778 million as of September 2, 2010) and contains covenants that, among other requirements, establish certain liquidity, debt service coverage and leverage ratios, and restrict TECH’s ability to incur indebtedness, create liens and acquire or dispose of assets. In the first quarter of 2010, the covenants were modified and as of September 2, 2010, TECH was in compliance with the covenants. We have guaranteed 100% of the outstanding amount of the TECH credit facility. Under the terms of the credit facility, TECH had $60 million in restricted cash as of September 2, 2010.</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April 15, 2009, we issued $230 million of 4.25% Convertible Senior Notes due October 15, 2013 (the "4.25% Senior Notes"). Issuance costs for the 4.25% Senior Notes totaled $7 million. The initial conversion rate is 196.7052 shares of common stock per $1,000 principal amount, equivalent to approximately $5.08 per share of common stock, and is subject to adjustment upon the occurrence of certain events specified in the indenture. Holders of the 4.25% Senior Notes may convert them at any time prior to October 15, 2013. If there is a change in control, as defined in the indenture, we may, in certain circumstances, pay a make-whole premium by increasing the conversion rate of the converted notes. We may not redeem the 4.25% Senior Notes prior to April 20, 2012. On or after April 20, 2012, we may redeem for cash all or part of the 4.25% Senior Notes if the closing price of our common stock has been at least 135% of the conversion price (approximately $6.86) for at least 20 trading days during a 30 consecutive trading-day period. The redemption price will equal 100% of the principal amount plus a make-whole premium equal to the present value of the remaining interest payments from the redemption date to the date of maturity. Upon a change in control or a termination of trading, as defined in the indenture, we may be required to repurchase for cash all or a portion of the 4.25% Senior Notes at a repurchase price equal to 100% of the principal plus any accrued and unpaid interest to, but excluding, the repurchase date.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8" w:name="page49"/>
    <w:bookmarkEnd w:id="48"/>
    <w:p>
      <w:pPr>
        <w:spacing w:after="0" w:line="294" w:lineRule="auto"/>
        <w:rPr>
          <w:sz w:val="20"/>
          <w:szCs w:val="20"/>
          <w:color w:val="auto"/>
        </w:rPr>
      </w:pPr>
      <w:r>
        <w:rPr>
          <w:rFonts w:ascii="Arial" w:cs="Arial" w:eastAsia="Arial" w:hAnsi="Arial"/>
          <w:sz w:val="15"/>
          <w:szCs w:val="15"/>
          <w:color w:val="auto"/>
        </w:rPr>
        <w:t>In the first quarter of 2009, in connection with the purchase of our equity interest in Inotera, we entered into a two-year, variable-rate term loan with Nan Ya Plastics, an affiliate of Nanya, and received loan proceeds of $200 million. Under the terms of the loan agreement, interest is payable quarterly at LIBOR plus 2%. The interest rate resets quarterly and was 2.3% per annum as of September 2, 2010. Based on imputed interest rate of 12.1%, we recorded the Nan Ya Plastics loan net of a discount of $28 million, which is recognized as interest expense over the life of the loan. In the first quarter of 2010, the note payable to Nan Ya Plastics was replaced with a note payable to Mai-Liao Power Corporation ("Mai-Liao"), an affiliate of Nan Ya Plastics. Nan Ya Plastics and Mai-Liao Power Corporation are subsidiaries of Formosa Plastics Corporation. The note to Mai-Liao has the same terms and remaining maturity as the previous note to Nan Ya Plastics. The note to Mai-Liao is collateralized by a first-priority security interest in certain of our Inotera shares aggregating a maximum market value of $250 million. As of September 2, 2010, the carrying value of the collateral was $161 million. (See "Equity Method Investments – Inotera and MeiYa DRAM joint ventures with Nanya – Inotera" note.)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 June 1, 2010, we repaid the outstanding balance of $213 million to the Singapore Economic Development Board that was due February 2012.</w:t>
      </w:r>
    </w:p>
    <w:p>
      <w:pPr>
        <w:spacing w:after="0" w:line="24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On April 1, 2010, we repaid the outstanding balance of $70 million and accrued interest on the 5.6% convertible subordinated notes. The conversion option of these notes expired unexercised.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2, 2010, maturities of notes payable and future minimum lease payments under capital lease obligations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4"/>
              </w:rPr>
              <w:t>Capital Lease</w:t>
            </w:r>
          </w:p>
        </w:tc>
      </w:tr>
      <w:tr>
        <w:trPr>
          <w:trHeight w:val="227"/>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1"/>
              </w:rPr>
              <w:t>Notes Payable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1"/>
              </w:rPr>
              <w:t>Obligations</w:t>
            </w:r>
          </w:p>
        </w:tc>
      </w:t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4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2016 and thereafter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Discount and interest, respectively</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17"/>
                <w:szCs w:val="17"/>
                <w:color w:val="auto"/>
              </w:rPr>
            </w:pPr>
          </w:p>
        </w:tc>
        <w:tc>
          <w:tcPr>
            <w:tcW w:w="54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1,832</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527</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4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As of September 2, 2010, we had commitments of approximately $1.2 billion for the acquisition of property, plant and equipment. We lease certain facilities and equipment under operating leases. Total rental expense was $41 million, $28 million and $39 million for 2010, 2009 and 2008, respectively. We also sublease certain facilities and buildings under operating leases to Aptina and recognized $6 million of rental income in 2010. Minimum future rental commitments and minimum future sublease rentals to be received from Aptina under noncancelable subleases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Operating</w:t>
            </w:r>
          </w:p>
        </w:tc>
      </w:tr>
      <w:tr>
        <w:trPr>
          <w:trHeight w:val="205"/>
        </w:trPr>
        <w:tc>
          <w:tcPr>
            <w:tcW w:w="3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7"/>
                <w:szCs w:val="17"/>
                <w:b w:val="1"/>
                <w:bCs w:val="1"/>
                <w:color w:val="auto"/>
                <w:w w:val="96"/>
              </w:rPr>
              <w:t>Operating Lease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Sublease</w:t>
            </w:r>
          </w:p>
        </w:tc>
      </w:tr>
      <w:tr>
        <w:trPr>
          <w:trHeight w:val="227"/>
        </w:trPr>
        <w:tc>
          <w:tcPr>
            <w:tcW w:w="34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9"/>
              </w:rPr>
              <w:t>Commitments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Rentals</w:t>
            </w:r>
          </w:p>
        </w:tc>
      </w:tr>
      <w:tr>
        <w:trPr>
          <w:trHeight w:val="205"/>
        </w:trPr>
        <w:tc>
          <w:tcPr>
            <w:tcW w:w="3480" w:type="dxa"/>
            <w:vAlign w:val="bottom"/>
            <w:tcBorders>
              <w:top w:val="single" w:sz="8" w:color="auto"/>
            </w:tcBorders>
          </w:tcPr>
          <w:p>
            <w:pPr>
              <w:spacing w:after="0"/>
              <w:rPr>
                <w:sz w:val="17"/>
                <w:szCs w:val="17"/>
                <w:color w:val="auto"/>
              </w:rPr>
            </w:pPr>
          </w:p>
        </w:tc>
        <w:tc>
          <w:tcPr>
            <w:tcW w:w="5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420" w:type="dxa"/>
            <w:vAlign w:val="bottom"/>
            <w:gridSpan w:val="3"/>
            <w:shd w:val="clear" w:color="auto" w:fill="CCEEFF"/>
          </w:tcPr>
          <w:p>
            <w:pPr>
              <w:ind w:left="53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3480" w:type="dxa"/>
            <w:vAlign w:val="bottom"/>
          </w:tcPr>
          <w:p>
            <w:pPr>
              <w:spacing w:after="0"/>
              <w:rPr>
                <w:sz w:val="20"/>
                <w:szCs w:val="20"/>
                <w:color w:val="auto"/>
              </w:rPr>
            </w:pPr>
            <w:r>
              <w:rPr>
                <w:rFonts w:ascii="Arial" w:cs="Arial" w:eastAsia="Arial" w:hAnsi="Arial"/>
                <w:sz w:val="17"/>
                <w:szCs w:val="17"/>
                <w:color w:val="auto"/>
              </w:rPr>
              <w:t>2012</w:t>
            </w: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3480" w:type="dxa"/>
            <w:vAlign w:val="bottom"/>
          </w:tcPr>
          <w:p>
            <w:pPr>
              <w:spacing w:after="0"/>
              <w:rPr>
                <w:sz w:val="20"/>
                <w:szCs w:val="20"/>
                <w:color w:val="auto"/>
              </w:rPr>
            </w:pPr>
            <w:r>
              <w:rPr>
                <w:rFonts w:ascii="Arial" w:cs="Arial" w:eastAsia="Arial" w:hAnsi="Arial"/>
                <w:sz w:val="17"/>
                <w:szCs w:val="17"/>
                <w:color w:val="auto"/>
              </w:rPr>
              <w:t>2014</w:t>
            </w: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3480" w:type="dxa"/>
            <w:vAlign w:val="bottom"/>
          </w:tcPr>
          <w:p>
            <w:pPr>
              <w:spacing w:after="0"/>
              <w:rPr>
                <w:sz w:val="20"/>
                <w:szCs w:val="20"/>
                <w:color w:val="auto"/>
              </w:rPr>
            </w:pPr>
            <w:r>
              <w:rPr>
                <w:rFonts w:ascii="Arial" w:cs="Arial" w:eastAsia="Arial" w:hAnsi="Arial"/>
                <w:sz w:val="17"/>
                <w:szCs w:val="17"/>
                <w:color w:val="auto"/>
              </w:rPr>
              <w:t>2016 and thereafter</w:t>
            </w: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34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480" w:type="dxa"/>
            <w:vAlign w:val="bottom"/>
            <w:shd w:val="clear" w:color="auto" w:fill="CCEEFF"/>
          </w:tcPr>
          <w:p>
            <w:pPr>
              <w:spacing w:after="0"/>
              <w:rPr>
                <w:sz w:val="21"/>
                <w:szCs w:val="21"/>
                <w:color w:val="auto"/>
              </w:rPr>
            </w:pPr>
          </w:p>
        </w:tc>
        <w:tc>
          <w:tcPr>
            <w:tcW w:w="5420" w:type="dxa"/>
            <w:vAlign w:val="bottom"/>
            <w:gridSpan w:val="3"/>
            <w:shd w:val="clear" w:color="auto" w:fill="CCEEFF"/>
          </w:tcPr>
          <w:p>
            <w:pPr>
              <w:ind w:left="53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798"/>
        </w:trPr>
        <w:tc>
          <w:tcPr>
            <w:tcW w:w="3480" w:type="dxa"/>
            <w:vAlign w:val="bottom"/>
            <w:tcBorders>
              <w:top w:val="single" w:sz="8" w:color="CCEEFF"/>
            </w:tcBorders>
          </w:tcPr>
          <w:p>
            <w:pPr>
              <w:spacing w:after="0"/>
              <w:rPr>
                <w:sz w:val="24"/>
                <w:szCs w:val="24"/>
                <w:color w:val="auto"/>
              </w:rPr>
            </w:pPr>
          </w:p>
        </w:tc>
        <w:tc>
          <w:tcPr>
            <w:tcW w:w="5220" w:type="dxa"/>
            <w:vAlign w:val="bottom"/>
            <w:tcBorders>
              <w:top w:val="single" w:sz="8" w:color="CCEEFF"/>
            </w:tcBorders>
          </w:tcPr>
          <w:p>
            <w:pPr>
              <w:jc w:val="right"/>
              <w:ind w:right="2822"/>
              <w:spacing w:after="0"/>
              <w:rPr>
                <w:sz w:val="20"/>
                <w:szCs w:val="20"/>
                <w:color w:val="auto"/>
              </w:rPr>
            </w:pPr>
            <w:r>
              <w:rPr>
                <w:rFonts w:ascii="Arial" w:cs="Arial" w:eastAsia="Arial" w:hAnsi="Arial"/>
                <w:sz w:val="17"/>
                <w:szCs w:val="17"/>
                <w:color w:val="auto"/>
              </w:rPr>
              <w:t>17</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480" w:type="dxa"/>
            <w:vAlign w:val="bottom"/>
            <w:tcBorders>
              <w:bottom w:val="single" w:sz="8" w:color="808080"/>
            </w:tcBorders>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Contingencies</w:t>
      </w:r>
    </w:p>
    <w:p>
      <w:pPr>
        <w:spacing w:after="0" w:line="244" w:lineRule="exact"/>
        <w:rPr>
          <w:sz w:val="20"/>
          <w:szCs w:val="20"/>
          <w:color w:val="auto"/>
        </w:rPr>
      </w:pPr>
    </w:p>
    <w:p>
      <w:pPr>
        <w:jc w:val="both"/>
        <w:ind w:right="280"/>
        <w:spacing w:after="0" w:line="264"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out of the normal course of business, none of which are expected to have a material adverse effect on our business, results of operations or financial condition.</w:t>
      </w:r>
    </w:p>
    <w:p>
      <w:pPr>
        <w:spacing w:after="0" w:line="201"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We are involved in the following antitrust, patent and securities matters.</w:t>
      </w: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Antitrust matters: </w:t>
      </w:r>
      <w:r>
        <w:rPr>
          <w:rFonts w:ascii="Arial" w:cs="Arial" w:eastAsia="Arial" w:hAnsi="Arial"/>
          <w:sz w:val="17"/>
          <w:szCs w:val="17"/>
          <w:color w:val="auto"/>
        </w:rPr>
        <w:t>On May 5, 2004, Rambus, Inc. ("Rambus") filed a complaint in the Superior Court of the State of California (San Francisco County) against 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DRAM suppliers alleging that the defendants harmed Rambus by engaging in concerted and unlawful efforts affecting Rambus DRAM ("RDRAM") by eliminating competition and stifling innovation in the market for computer memory technology and computer memory chips. Rambus’ complaint alleges various causes of action under California state law including, among other things, a conspiracy to restrict output and fix prices, a conspiracy to monopolize, intentional interference with prospective economic advantage, and unfair competition. Rambus alleges that it is entitled to actual damages of more than a billion dollars and seeks joint and several liability, treble damages, punitive damages, a permanent injunction enjoining the defendants from the conduct alleged in the complaint, interest, and attorneys’ fees and costs. A trial date has not been scheduled.</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At least sixty-eight purported class action price-fixing lawsuits have been filed against us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In July, 2006, the Attorneys General for approximately forty U.S. states and territories filed suit in the U.S. District Court for the Northern District of California. The complaints allege, among other things, violations of the Sherman Act, Cartwright Act, and certain other states’ consumer protection and antitrust laws and seek joint and several damages, trebled, as well as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On June 23, 2010, we executed a settlement agreement resolving these purported class-action indirect purchaser cases and the pending cases of the Attorneys General relating to alleged DRAM price-fixing in the United States. Subject to certain conditions, including final court approval of the class settlements, we agreed to pay a total of approximately $67 million in three equal installments over a two-year period.</w:t>
      </w:r>
    </w:p>
    <w:p>
      <w:pPr>
        <w:spacing w:after="0" w:line="19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Three purported class action lawsuits alleging price-fixing of DRAM products also have been filed against us in Quebec, Ontario, and British Columbia, Canada, on behalf of direct and indirect purchasers, asserting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On November 12, 2009, the British Columbia Court of Appeal reversed the denial of class certification and remanded the case for further proceedings. The appeal of the Quebec case is still pending.</w:t>
      </w:r>
    </w:p>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us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0" w:name="page51"/>
    <w:bookmarkEnd w:id="50"/>
    <w:p>
      <w:pPr>
        <w:ind w:right="160"/>
        <w:spacing w:after="0" w:line="264" w:lineRule="auto"/>
        <w:rPr>
          <w:sz w:val="20"/>
          <w:szCs w:val="20"/>
          <w:color w:val="auto"/>
        </w:rPr>
      </w:pPr>
      <w:r>
        <w:rPr>
          <w:rFonts w:ascii="Arial" w:cs="Arial" w:eastAsia="Arial" w:hAnsi="Arial"/>
          <w:sz w:val="17"/>
          <w:szCs w:val="17"/>
          <w:color w:val="auto"/>
        </w:rPr>
        <w:t>On June 21, 2010, the Brazil Secretariat of Economic Law of the Ministry of Justice ("SDE") announced that it had initiated an investigation relating to alleged anticompetitive activities within the DRAM industry. The SDE’s Notice of Investigation names various DRAM manufacturers and certain executives, including us, and focuses on the period from July 1998 to June 2002.</w:t>
      </w:r>
    </w:p>
    <w:p>
      <w:pPr>
        <w:spacing w:after="0" w:line="20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On September 24, 2010, Oracle America Inc. ("Oracle"), successor to Sun Microsystems, a DRAM purchaser that opted-out of a direct purchaser class action suit that was settled, filed suit against us in U.S. District Court for the Northern District of California. The complaint alleges DRAM price-fixing and other violations of federal and state antitrust and unfair competition laws based on purported conduct for the period from August 1, 1998 through at least June 15, 2002. Oracle is seeking joint and several damages, trebled, as well as restitution, disgorgement, attorneys’ fees, costs and injunctive relief.</w:t>
      </w:r>
    </w:p>
    <w:p>
      <w:pPr>
        <w:spacing w:after="0" w:line="190"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Three purported class action lawsuits alleging price-fixing of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144"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1" w:lineRule="exact"/>
        <w:rPr>
          <w:sz w:val="20"/>
          <w:szCs w:val="20"/>
          <w:color w:val="auto"/>
        </w:rPr>
      </w:pPr>
    </w:p>
    <w:p>
      <w:pPr>
        <w:ind w:right="340"/>
        <w:spacing w:after="0" w:line="346" w:lineRule="auto"/>
        <w:rPr>
          <w:sz w:val="20"/>
          <w:szCs w:val="20"/>
          <w:color w:val="auto"/>
        </w:rPr>
      </w:pPr>
      <w:r>
        <w:rPr>
          <w:rFonts w:ascii="Arial" w:cs="Arial" w:eastAsia="Arial" w:hAnsi="Arial"/>
          <w:sz w:val="15"/>
          <w:szCs w:val="15"/>
          <w:color w:val="auto"/>
        </w:rPr>
        <w:t>We are unable to predict the outcome of these lawsuits and therefore cannot estimate the range of possible loss. The final resolution of these alleged violations of antitrust laws could result in significant liability and could have a material adverse effect on our business, results of operations or financial condition.</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Patent matters: </w:t>
      </w:r>
      <w:r>
        <w:rPr>
          <w:rFonts w:ascii="Arial" w:cs="Arial" w:eastAsia="Arial" w:hAnsi="Arial"/>
          <w:sz w:val="17"/>
          <w:szCs w:val="17"/>
          <w:color w:val="auto"/>
        </w:rPr>
        <w:t>As is typical in the semiconductor and other high technology industries, from time to time, others have asserted, and may in the future assert,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or manufacturing processes infringe their intellectual property rights. In this regard, we are engaged in litigation with Rambus relating to certain of Rambus’ patents and certain of our claims and defenses. Our lawsuits with Rambus are pending in the U.S. District Court for the District of Delaware, U.S. District Court for the Northern District of California, Germany, France, and Italy.</w:t>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August 28, 2000, we filed a complaint against Rambus in the U.S. District Court for the District of Delaware seeking monetary damages and declaratory and injunctive relief. The complaint alleges, among other things, various anticompetitive activities and also seeks a declaratory judgment that certain Rambus patents are invalid or unenforceable. Rambus subsequently filed an answer and counterclaim in Delaware alleging, among other things, infringement of twelve Rambus patents and seeking monetary damages and injunctive relief. We subsequently added claims and defenses based on Rambus’ alleged spoliation of evidence and litigation misconduct. The spoliation and litigation misconduct claims and defenses were heard in a bench trial before Judge Robinson in October 2007. On January 9, 2009, Judge Robinson entered an opinion in our favor holding that Rambus had engaged in spoliation and that the twelve Rambus patents in the suit were unenforceable against us. Rambus subsequently appealed the decision to the U.S. Court of Appeals for the Federal Circuit. That appeal is pending. In the U.S. District Court for the Northern District of California, Rambus’ complaint alleges that certain of our DDR2, DDR3, RLDRAM, and RLDRAM II products infringe as many as fourteen Rambus patents and seeks monetary damages, treble damages, and injunctive relief. The trial on the patent phase of that case has been stayed pending resolution of Rambus’ appeal of the Delaware spoliation decision or further order of the California Federal Court.</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On March 6, 2009, Panavision Imaging, LLC filed suit against us and Aptina Imaging Corporation, then a wholly-owned subsidiary ("Aptina"), in the U.S. District Court for the Central District of California. The complaint alleges that certain of our and Aptina’s image sensor products infringe four Panavision Imaging U.S. patents and seeks injunctive relief, damages, attorneys’ fees, and costs.</w:t>
      </w:r>
    </w:p>
    <w:p>
      <w:pPr>
        <w:spacing w:after="0" w:line="20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On December 11, 2009, Ring Technology Enterprises of Texas LLC ("Ring") filed suit against us in the U.S. District Court for the Eastern District of Texas alleging that certain of our memory products infringe one Ring U.S. patent. On June 26, 2010, we executed a settlement agreement with Ring resolving the dispute for an immaterial amount.</w:t>
      </w:r>
    </w:p>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Among other things, the above lawsuits pertain to certain of our SDRAM, DDR SDRAM, DDR2 SDRAM, DDR3 SDRAM, RLDRAM and image sensor products, which account for a significant portion of net sales.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51" w:name="page52"/>
    <w:bookmarkEnd w:id="51"/>
    <w:p>
      <w:pPr>
        <w:ind w:right="120"/>
        <w:spacing w:after="0" w:line="260" w:lineRule="auto"/>
        <w:rPr>
          <w:sz w:val="20"/>
          <w:szCs w:val="20"/>
          <w:color w:val="auto"/>
        </w:rPr>
      </w:pPr>
      <w:r>
        <w:rPr>
          <w:rFonts w:ascii="Arial" w:cs="Arial" w:eastAsia="Arial" w:hAnsi="Arial"/>
          <w:sz w:val="17"/>
          <w:szCs w:val="17"/>
          <w:color w:val="auto"/>
        </w:rPr>
        <w:t>We are unable to predict the outcome of assertions of infringement made against us and therefore cannot estimate the range of possible loss. A court determination that our products or manufacturing processes infringe the intellectual property rights of others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204"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i w:val="1"/>
          <w:iCs w:val="1"/>
          <w:color w:val="auto"/>
        </w:rPr>
        <w:t xml:space="preserve">Securities matters: </w:t>
      </w:r>
      <w:r>
        <w:rPr>
          <w:rFonts w:ascii="Arial" w:cs="Arial" w:eastAsia="Arial" w:hAnsi="Arial"/>
          <w:sz w:val="15"/>
          <w:szCs w:val="15"/>
          <w:color w:val="auto"/>
        </w:rPr>
        <w:t>On February 24, 2006, a putative class action complaint was filed against us and certain of our officers in the U.S. District Court for the District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On August 24, 2010, we executed a settlement agreement resolving these purported class-action cases. Subject to certain conditions, including final court approval of the class settlement, we and our insurers agreed to pay $42 million with our contribution to the settlement comprising approximately $6 million.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Equity</w:t>
      </w:r>
    </w:p>
    <w:p>
      <w:pPr>
        <w:spacing w:after="0" w:line="24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 xml:space="preserve">Issuance of restricted shares for acquisition of Numonyx: </w:t>
      </w:r>
      <w:r>
        <w:rPr>
          <w:rFonts w:ascii="Arial" w:cs="Arial" w:eastAsia="Arial" w:hAnsi="Arial"/>
          <w:sz w:val="16"/>
          <w:szCs w:val="16"/>
          <w:color w:val="auto"/>
        </w:rPr>
        <w:t>On May 7, 2010 in connection with the acquisition of Numonyx, we issued 137.7 million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to Intel, STMicroelectronics N.V. ("ST") and Redwood Blocker S.a.r.l. ("Redwood") and issued 4.8 million restricted stock units. The shares of common stock issued are restricted from sale until November 6, 2010. In addition, 21.0 million of the shares of stock issued were placed in escrow as partial security for Numonyx shareholders’ indemnity obligations. The shares in escrow may be sold after November 6, 2010, but the proceeds from any sale remain in escrow until May 7, 2011, at which time the escrow assets are payable to the Numonyx shareholders, net of any of our indemnification claims. Of the restricted stock units issued, 1.6 million were vested as of the time of issuance. (See "Numonyx Holdings B.V." note.)</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i w:val="1"/>
          <w:iCs w:val="1"/>
          <w:color w:val="auto"/>
        </w:rPr>
        <w:t xml:space="preserve">Issuance of common stock: </w:t>
      </w:r>
      <w:r>
        <w:rPr>
          <w:rFonts w:ascii="Arial" w:cs="Arial" w:eastAsia="Arial" w:hAnsi="Arial"/>
          <w:sz w:val="17"/>
          <w:szCs w:val="17"/>
          <w:color w:val="auto"/>
        </w:rPr>
        <w:t>On April 15, 2009, we issued 69.3 million shares of common stock for $4.15 per share in a public offering. We received net proceeds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$276 million, net of underwriting fees and other offering costs of $12 million.</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b w:val="1"/>
          <w:bCs w:val="1"/>
          <w:i w:val="1"/>
          <w:iCs w:val="1"/>
          <w:color w:val="auto"/>
        </w:rPr>
        <w:t xml:space="preserve">Capped call transactions: </w:t>
      </w:r>
      <w:r>
        <w:rPr>
          <w:rFonts w:ascii="Arial" w:cs="Arial" w:eastAsia="Arial" w:hAnsi="Arial"/>
          <w:sz w:val="16"/>
          <w:szCs w:val="16"/>
          <w:color w:val="auto"/>
        </w:rPr>
        <w:t>Concurrent with the offering of the Convertible Notes in May 2007, we entered into three capped call transactions (the "Capped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Calls"). The Capped Calls each have an initial strike price of approximately $14.23 per share, subject to certain adjustments, which matches the initial conversion price of the Convertible Notes. The Capped Calls are in three equal tranches, have cap prices of $17.25, $20.13 and $23.00 per share, and cover, subject to anti-dilution adjustments similar to those contained in the Convertible Notes, an approximate combined total of 91.3 million shares of common stock. The Capped Calls expire on various dates between November 2011 and December 2012. The Capped Calls are intended to reduce the potential dilution upon conversion of the Convertible Notes. Settlement of the Capped Calls in cash on their respective expiration dates would result in us receiving an amount ranging from zero if the market price per share of our common stock is at or below $14.23 to a maximum of $538 million. We paid $151 million to purchase the Capped Calls. The Capped Calls are considered capital transactions and the related cost was recorded as a charge to additional capital.</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Concurrent with the offering of the 4.25% Senior Notes on April 15, 2009, we entered into capped call transactions (the "2009 Capped Calls") that have an initial strike price of approximately $5.08 per share, subject to certain adjustments, which was set to equal initial conversion price of the 4.25% Senior Notes. The 2009 Capped Calls have a cap price of $6.64 per share and cover, subject to anti-dilution adjustments similar to those contained in the 4.25% Senior Notes, an approximate combined total of 45.2 million shares of common stock, and are subject to standard adjustments for instruments of this type. The 2009 Capped Calls expire in October and November of 2012. The 2009 Capped Calls are intended to reduce the potential dilution upon conversion of the 4.25% Senior Notes. Settlement of the Capped Calls in cash on their respective expiration dates would result in us receiving an amount ranging from zero if the market price per share of our common stock is at or below $5.08 to a maximum of $70 million if the market price of our common stock exceeds $6.64 per share. We paid $25 million to purchase the 2009 Capped Calls. The 2009 Capped Calls are considered capital transactions and the related cost was recorded as a charge to additional capital.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2" w:name="page53"/>
    <w:bookmarkEnd w:id="52"/>
    <w:p>
      <w:pPr>
        <w:ind w:right="20"/>
        <w:spacing w:after="0" w:line="277" w:lineRule="auto"/>
        <w:rPr>
          <w:sz w:val="20"/>
          <w:szCs w:val="20"/>
          <w:color w:val="auto"/>
        </w:rPr>
      </w:pPr>
      <w:r>
        <w:rPr>
          <w:rFonts w:ascii="Arial" w:cs="Arial" w:eastAsia="Arial" w:hAnsi="Arial"/>
          <w:sz w:val="17"/>
          <w:szCs w:val="17"/>
          <w:b w:val="1"/>
          <w:bCs w:val="1"/>
          <w:i w:val="1"/>
          <w:iCs w:val="1"/>
          <w:color w:val="auto"/>
        </w:rPr>
        <w:t xml:space="preserve">Accumulated other comprehensive income (loss): </w:t>
      </w:r>
      <w:r>
        <w:rPr>
          <w:rFonts w:ascii="Arial" w:cs="Arial" w:eastAsia="Arial" w:hAnsi="Arial"/>
          <w:sz w:val="17"/>
          <w:szCs w:val="17"/>
          <w:color w:val="auto"/>
        </w:rPr>
        <w:t>Accumulated other comprehensive income (loss), net of tax, consisted of the following as of the end of the periods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Accumulated translation adjustment, net</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Unrealized gain (loss) on investments, net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Gain (loss) on derivatives, net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Unrecognized pension liability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(loss)</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Adjustment for Retrospective Application of New Accounting Standards</w:t>
      </w:r>
    </w:p>
    <w:p>
      <w:pPr>
        <w:spacing w:after="0" w:line="23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Effective at the beginning of 2010, we adopted new accounting standards for noncontrolling interests and certain convertible debt instruments. These new accounting standards required retrospective application and our financial statements contained herein have been adjusted to reflect the impact of adopting these new accounting standards. The impact of the retrospective adoption is summarized below.</w:t>
      </w:r>
    </w:p>
    <w:p>
      <w:pPr>
        <w:spacing w:after="0" w:line="201"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i w:val="1"/>
          <w:iCs w:val="1"/>
          <w:color w:val="auto"/>
        </w:rPr>
        <w:t xml:space="preserve">Noncontrolling interests in subsidiaries: </w:t>
      </w:r>
      <w:r>
        <w:rPr>
          <w:rFonts w:ascii="Arial" w:cs="Arial" w:eastAsia="Arial" w:hAnsi="Arial"/>
          <w:sz w:val="17"/>
          <w:szCs w:val="17"/>
          <w:color w:val="auto"/>
        </w:rPr>
        <w:t>Under the new standard, noncontrolling interests in subsidiaries is (1) reported as a separate component of equity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balance sheets and (2) included in net income in the statement of operations.</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5"/>
          <w:szCs w:val="15"/>
          <w:b w:val="1"/>
          <w:bCs w:val="1"/>
          <w:i w:val="1"/>
          <w:iCs w:val="1"/>
          <w:color w:val="auto"/>
        </w:rPr>
        <w:t xml:space="preserve">Convertible debt instruments: </w:t>
      </w:r>
      <w:r>
        <w:rPr>
          <w:rFonts w:ascii="Arial" w:cs="Arial" w:eastAsia="Arial" w:hAnsi="Arial"/>
          <w:sz w:val="15"/>
          <w:szCs w:val="15"/>
          <w:color w:val="auto"/>
        </w:rPr>
        <w:t>The new standard applies to convertible debt instruments that may be fully or partially settled in cash upon conversion and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applicable to our 1.875% convertible senior notes with an aggregate principal amount of $1.3 billion issued in May 2007 (the "Convertible Notes"). The standard requires the liability and equity components of the Convertible Notes to be stated separately. The liability component recognized at the issuance of the Convertible Notes equals the estimated fair value of a similar liability without a conversion option and the remainder of the proceeds received at issuance was allocated to equity. In connection therewith, at the May 2007 issuance of the Convertible Notes there was a $402 million decrease in debt, a $394 million increase in additional capital, and an $8 million decrease in deferred debt issuance costs (included in other noncurrent assets). The fair value of the liability was determined using an interest rate for similar nonconvertible debt issued as of the original May 2007 issuance date by entities with credit ratings comparable to our credit rating at the time of issuance. In subsequent periods, the liability component recognized at issuance is increased to the principal amount of the Convertible Notes through the amortization of interest costs. Through 2010, $160 million of interest was amortized. Information related to equity and debt components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September 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September 3,</w:t>
            </w:r>
          </w:p>
        </w:tc>
      </w:t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Principal amount of the Convertible Notes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Unamortized discount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(295)</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Net carrying amount of the Convertible Notes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1,005</w:t>
            </w:r>
          </w:p>
        </w:tc>
      </w:tr>
      <w:tr>
        <w:trPr>
          <w:trHeight w:val="196"/>
        </w:trPr>
        <w:tc>
          <w:tcPr>
            <w:tcW w:w="8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Carrying amount of the equity component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The unamortized discount as of September 2, 2010, will be recognized as interest expense over approximately 3.7 years through June 2014, the maturity date of the Convertible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Information related to interest rates and expenses is as follows: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43"/>
        </w:trPr>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Ended</w:t>
            </w:r>
          </w:p>
        </w:tc>
        <w:tc>
          <w:tcPr>
            <w:tcW w:w="2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24"/>
                <w:szCs w:val="24"/>
                <w:color w:val="auto"/>
              </w:rPr>
            </w:pPr>
          </w:p>
        </w:tc>
      </w:tr>
      <w:tr>
        <w:trPr>
          <w:trHeight w:val="205"/>
        </w:trPr>
        <w:tc>
          <w:tcPr>
            <w:tcW w:w="5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Effective interest rate</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5"/>
        </w:trPr>
        <w:tc>
          <w:tcPr>
            <w:tcW w:w="5100" w:type="dxa"/>
            <w:vAlign w:val="bottom"/>
          </w:tcPr>
          <w:p>
            <w:pPr>
              <w:spacing w:after="0"/>
              <w:rPr>
                <w:sz w:val="20"/>
                <w:szCs w:val="20"/>
                <w:color w:val="auto"/>
              </w:rPr>
            </w:pPr>
            <w:r>
              <w:rPr>
                <w:rFonts w:ascii="Arial" w:cs="Arial" w:eastAsia="Arial" w:hAnsi="Arial"/>
                <w:sz w:val="17"/>
                <w:szCs w:val="17"/>
                <w:color w:val="auto"/>
              </w:rPr>
              <w:t>Interest costs related to contractual interest coupon</w:t>
            </w:r>
          </w:p>
        </w:tc>
        <w:tc>
          <w:tcPr>
            <w:tcW w:w="2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r>
      <w:tr>
        <w:trPr>
          <w:trHeight w:val="20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w w:val="99"/>
              </w:rPr>
              <w:t>Interest costs related to amortization of discount and issuance costs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r>
      <w:tr>
        <w:trPr>
          <w:trHeight w:val="576"/>
        </w:trPr>
        <w:tc>
          <w:tcPr>
            <w:tcW w:w="5100" w:type="dxa"/>
            <w:vAlign w:val="bottom"/>
          </w:tcPr>
          <w:p>
            <w:pPr>
              <w:spacing w:after="0"/>
              <w:rPr>
                <w:sz w:val="24"/>
                <w:szCs w:val="24"/>
                <w:color w:val="auto"/>
              </w:rPr>
            </w:pPr>
          </w:p>
        </w:tc>
        <w:tc>
          <w:tcPr>
            <w:tcW w:w="2180" w:type="dxa"/>
            <w:vAlign w:val="bottom"/>
          </w:tcPr>
          <w:p>
            <w:pPr>
              <w:jc w:val="right"/>
              <w:ind w:right="139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3"/>
        </w:trPr>
        <w:tc>
          <w:tcPr>
            <w:tcW w:w="51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3" w:name="page54"/>
    <w:bookmarkEnd w:id="53"/>
    <w:p>
      <w:pPr>
        <w:spacing w:after="0" w:line="346" w:lineRule="auto"/>
        <w:rPr>
          <w:sz w:val="20"/>
          <w:szCs w:val="20"/>
          <w:color w:val="auto"/>
        </w:rPr>
      </w:pPr>
      <w:r>
        <w:rPr>
          <w:rFonts w:ascii="Arial" w:cs="Arial" w:eastAsia="Arial" w:hAnsi="Arial"/>
          <w:sz w:val="15"/>
          <w:szCs w:val="15"/>
          <w:b w:val="1"/>
          <w:bCs w:val="1"/>
          <w:i w:val="1"/>
          <w:iCs w:val="1"/>
          <w:color w:val="auto"/>
        </w:rPr>
        <w:t xml:space="preserve">Effect of adjustment for retrospective application of new accounting standards on financial statements: </w:t>
      </w:r>
      <w:r>
        <w:rPr>
          <w:rFonts w:ascii="Arial" w:cs="Arial" w:eastAsia="Arial" w:hAnsi="Arial"/>
          <w:sz w:val="15"/>
          <w:szCs w:val="15"/>
          <w:color w:val="auto"/>
        </w:rPr>
        <w:t>The following tables set forth the financial statement 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items affected by retrospective application of the new accounting standards for noncontrolling interests and certain convertible debt as of and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7"/>
                <w:szCs w:val="17"/>
                <w:b w:val="1"/>
                <w:bCs w:val="1"/>
                <w:color w:val="auto"/>
                <w:w w:val="89"/>
              </w:rPr>
              <w:t>Consolidated Statement of Operations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7"/>
                <w:szCs w:val="17"/>
                <w:b w:val="1"/>
                <w:bCs w:val="1"/>
                <w:color w:val="auto"/>
              </w:rPr>
              <w:t>Effect of Adoption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As</w:t>
            </w:r>
          </w:p>
        </w:tc>
      </w:tr>
      <w:tr>
        <w:trPr>
          <w:trHeight w:val="189"/>
        </w:trPr>
        <w:tc>
          <w:tcPr>
            <w:tcW w:w="4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60"/>
              <w:spacing w:after="0" w:line="189" w:lineRule="exact"/>
              <w:rPr>
                <w:sz w:val="20"/>
                <w:szCs w:val="20"/>
                <w:color w:val="auto"/>
              </w:rPr>
            </w:pPr>
            <w:r>
              <w:rPr>
                <w:rFonts w:ascii="Arial" w:cs="Arial" w:eastAsia="Arial" w:hAnsi="Arial"/>
                <w:sz w:val="17"/>
                <w:szCs w:val="17"/>
                <w:b w:val="1"/>
                <w:bCs w:val="1"/>
                <w:color w:val="auto"/>
                <w:w w:val="88"/>
              </w:rPr>
              <w:t>As Previously</w:t>
            </w:r>
          </w:p>
        </w:tc>
        <w:tc>
          <w:tcPr>
            <w:tcW w:w="1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89" w:lineRule="exact"/>
              <w:rPr>
                <w:sz w:val="20"/>
                <w:szCs w:val="20"/>
                <w:color w:val="auto"/>
              </w:rPr>
            </w:pPr>
            <w:r>
              <w:rPr>
                <w:rFonts w:ascii="Arial" w:cs="Arial" w:eastAsia="Arial" w:hAnsi="Arial"/>
                <w:sz w:val="17"/>
                <w:szCs w:val="17"/>
                <w:b w:val="1"/>
                <w:bCs w:val="1"/>
                <w:color w:val="auto"/>
                <w:w w:val="90"/>
              </w:rPr>
              <w:t>Noncontrolling</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4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Reported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7"/>
              </w:rPr>
              <w:t>Interests</w:t>
            </w: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Debt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Adjusted</w:t>
            </w:r>
          </w:p>
        </w:tc>
      </w:tr>
      <w:tr>
        <w:trPr>
          <w:trHeight w:val="410"/>
        </w:trPr>
        <w:tc>
          <w:tcPr>
            <w:tcW w:w="42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Year Ended September 3, 2009:</w:t>
            </w: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5,243</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Interest expense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(182)</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Net loss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(1,835)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(1,993)</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(1,882)</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Net loss per share: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w:t>
            </w:r>
          </w:p>
        </w:tc>
      </w:tr>
      <w:tr>
        <w:trPr>
          <w:trHeight w:val="205"/>
        </w:trPr>
        <w:tc>
          <w:tcPr>
            <w:tcW w:w="4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August 28, 2008:</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Interest expense</w:t>
            </w: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(118)</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Net loss attributable to Micron</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(1,619)</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(1,655)</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7"/>
                <w:szCs w:val="17"/>
                <w:color w:val="auto"/>
              </w:rPr>
              <w:t>Basic and diluted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(0.04)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r>
      <w:tr>
        <w:trPr>
          <w:trHeight w:val="430"/>
        </w:trPr>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7"/>
                <w:szCs w:val="17"/>
                <w:b w:val="1"/>
                <w:bCs w:val="1"/>
                <w:color w:val="auto"/>
                <w:w w:val="90"/>
              </w:rPr>
              <w:t>Consolidated Balance Sheet</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7"/>
                <w:szCs w:val="17"/>
                <w:b w:val="1"/>
                <w:bCs w:val="1"/>
                <w:color w:val="auto"/>
              </w:rPr>
              <w:t>Effect of Adoption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As</w:t>
            </w:r>
          </w:p>
        </w:tc>
      </w:tr>
      <w:tr>
        <w:trPr>
          <w:trHeight w:val="189"/>
        </w:trPr>
        <w:tc>
          <w:tcPr>
            <w:tcW w:w="4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60"/>
              <w:spacing w:after="0" w:line="189" w:lineRule="exact"/>
              <w:rPr>
                <w:sz w:val="20"/>
                <w:szCs w:val="20"/>
                <w:color w:val="auto"/>
              </w:rPr>
            </w:pPr>
            <w:r>
              <w:rPr>
                <w:rFonts w:ascii="Arial" w:cs="Arial" w:eastAsia="Arial" w:hAnsi="Arial"/>
                <w:sz w:val="17"/>
                <w:szCs w:val="17"/>
                <w:b w:val="1"/>
                <w:bCs w:val="1"/>
                <w:color w:val="auto"/>
                <w:w w:val="88"/>
              </w:rPr>
              <w:t>As Previously</w:t>
            </w:r>
          </w:p>
        </w:tc>
        <w:tc>
          <w:tcPr>
            <w:tcW w:w="1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89" w:lineRule="exact"/>
              <w:rPr>
                <w:sz w:val="20"/>
                <w:szCs w:val="20"/>
                <w:color w:val="auto"/>
              </w:rPr>
            </w:pPr>
            <w:r>
              <w:rPr>
                <w:rFonts w:ascii="Arial" w:cs="Arial" w:eastAsia="Arial" w:hAnsi="Arial"/>
                <w:sz w:val="17"/>
                <w:szCs w:val="17"/>
                <w:b w:val="1"/>
                <w:bCs w:val="1"/>
                <w:color w:val="auto"/>
                <w:w w:val="90"/>
              </w:rPr>
              <w:t>Noncontrolling</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4220" w:type="dxa"/>
            <w:vAlign w:val="bottom"/>
          </w:tcPr>
          <w:p>
            <w:pPr>
              <w:spacing w:after="0"/>
              <w:rPr>
                <w:sz w:val="20"/>
                <w:szCs w:val="20"/>
                <w:color w:val="auto"/>
              </w:rPr>
            </w:pPr>
            <w:r>
              <w:rPr>
                <w:rFonts w:ascii="Arial" w:cs="Arial" w:eastAsia="Arial" w:hAnsi="Arial"/>
                <w:sz w:val="17"/>
                <w:szCs w:val="17"/>
                <w:b w:val="1"/>
                <w:bCs w:val="1"/>
                <w:color w:val="auto"/>
              </w:rPr>
              <w:t>As of September 3, 2009</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Reported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7"/>
              </w:rPr>
              <w:t>Interests</w:t>
            </w: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Debt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Adjusted</w:t>
            </w:r>
          </w:p>
        </w:tc>
      </w:tr>
      <w:tr>
        <w:trPr>
          <w:trHeight w:val="410"/>
        </w:trPr>
        <w:tc>
          <w:tcPr>
            <w:tcW w:w="42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7,089</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Other assets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371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367</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11,459</w:t>
            </w:r>
          </w:p>
        </w:tc>
      </w:tr>
      <w:tr>
        <w:trPr>
          <w:trHeight w:val="205"/>
        </w:trPr>
        <w:tc>
          <w:tcPr>
            <w:tcW w:w="4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Long-term debt</w:t>
            </w:r>
          </w:p>
        </w:tc>
        <w:tc>
          <w:tcPr>
            <w:tcW w:w="20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2,674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(295)</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2,379</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4,520</w:t>
            </w:r>
          </w:p>
        </w:tc>
      </w:tr>
      <w:tr>
        <w:trPr>
          <w:trHeight w:val="205"/>
        </w:trPr>
        <w:tc>
          <w:tcPr>
            <w:tcW w:w="4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Micron shareholders’ equity</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Additional capital</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6,863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7,257</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(2,385)</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equity of Micron shareholders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4,654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4,953</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Total equity</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4,654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1,986</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6,939</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11,459</w:t>
            </w:r>
          </w:p>
        </w:tc>
      </w:tr>
      <w:tr>
        <w:trPr>
          <w:trHeight w:val="806"/>
        </w:trPr>
        <w:tc>
          <w:tcPr>
            <w:tcW w:w="4220" w:type="dxa"/>
            <w:vAlign w:val="bottom"/>
          </w:tcPr>
          <w:p>
            <w:pPr>
              <w:spacing w:after="0"/>
              <w:rPr>
                <w:sz w:val="24"/>
                <w:szCs w:val="24"/>
                <w:color w:val="auto"/>
              </w:rPr>
            </w:pPr>
          </w:p>
        </w:tc>
        <w:tc>
          <w:tcPr>
            <w:tcW w:w="1740" w:type="dxa"/>
            <w:vAlign w:val="bottom"/>
          </w:tcPr>
          <w:p>
            <w:pPr>
              <w:jc w:val="right"/>
              <w:ind w:right="7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gridSpan w:val="12"/>
          </w:tcPr>
          <w:p>
            <w:pPr>
              <w:ind w:left="780"/>
              <w:spacing w:after="0"/>
              <w:rPr>
                <w:sz w:val="20"/>
                <w:szCs w:val="20"/>
                <w:color w:val="auto"/>
              </w:rPr>
            </w:pPr>
            <w:r>
              <w:rPr>
                <w:rFonts w:ascii="Arial" w:cs="Arial" w:eastAsia="Arial" w:hAnsi="Arial"/>
                <w:sz w:val="17"/>
                <w:szCs w:val="17"/>
                <w:b w:val="1"/>
                <w:bCs w:val="1"/>
                <w:color w:val="auto"/>
              </w:rPr>
              <w:t>Consolidated Statements of Changes in Equity</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00"/>
              <w:spacing w:after="0" w:line="189" w:lineRule="exact"/>
              <w:rPr>
                <w:sz w:val="20"/>
                <w:szCs w:val="20"/>
                <w:color w:val="auto"/>
              </w:rPr>
            </w:pPr>
            <w:r>
              <w:rPr>
                <w:rFonts w:ascii="Arial" w:cs="Arial" w:eastAsia="Arial" w:hAnsi="Arial"/>
                <w:sz w:val="17"/>
                <w:szCs w:val="17"/>
                <w:b w:val="1"/>
                <w:bCs w:val="1"/>
                <w:color w:val="auto"/>
                <w:w w:val="89"/>
              </w:rPr>
              <w:t>Retained</w:t>
            </w:r>
          </w:p>
        </w:tc>
        <w:tc>
          <w:tcPr>
            <w:tcW w:w="80" w:type="dxa"/>
            <w:vAlign w:val="bottom"/>
          </w:tcPr>
          <w:p>
            <w:pPr>
              <w:spacing w:after="0"/>
              <w:rPr>
                <w:sz w:val="16"/>
                <w:szCs w:val="16"/>
                <w:color w:val="auto"/>
              </w:rPr>
            </w:pPr>
          </w:p>
        </w:tc>
        <w:tc>
          <w:tcPr>
            <w:tcW w:w="124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3"/>
              </w:rPr>
              <w:t>Earnings</w:t>
            </w:r>
          </w:p>
        </w:tc>
        <w:tc>
          <w:tcPr>
            <w:tcW w:w="8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Total Micron</w:t>
            </w:r>
          </w:p>
        </w:tc>
        <w:tc>
          <w:tcPr>
            <w:tcW w:w="1260" w:type="dxa"/>
            <w:vAlign w:val="bottom"/>
            <w:gridSpan w:val="3"/>
          </w:tcPr>
          <w:p>
            <w:pPr>
              <w:ind w:left="20"/>
              <w:spacing w:after="0"/>
              <w:rPr>
                <w:sz w:val="20"/>
                <w:szCs w:val="20"/>
                <w:color w:val="auto"/>
              </w:rPr>
            </w:pPr>
            <w:r>
              <w:rPr>
                <w:rFonts w:ascii="Arial" w:cs="Arial" w:eastAsia="Arial" w:hAnsi="Arial"/>
                <w:sz w:val="17"/>
                <w:szCs w:val="17"/>
                <w:b w:val="1"/>
                <w:bCs w:val="1"/>
                <w:color w:val="auto"/>
              </w:rPr>
              <w:t>Noncontrolling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Additional</w:t>
            </w:r>
          </w:p>
        </w:tc>
        <w:tc>
          <w:tcPr>
            <w:tcW w:w="100" w:type="dxa"/>
            <w:vAlign w:val="bottom"/>
          </w:tcPr>
          <w:p>
            <w:pPr>
              <w:spacing w:after="0"/>
              <w:rPr>
                <w:sz w:val="17"/>
                <w:szCs w:val="17"/>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(Accumulated</w:t>
            </w:r>
          </w:p>
        </w:tc>
        <w:tc>
          <w:tcPr>
            <w:tcW w:w="1320" w:type="dxa"/>
            <w:vAlign w:val="bottom"/>
            <w:gridSpan w:val="3"/>
          </w:tcPr>
          <w:p>
            <w:pPr>
              <w:spacing w:after="0"/>
              <w:rPr>
                <w:sz w:val="20"/>
                <w:szCs w:val="20"/>
                <w:color w:val="auto"/>
              </w:rPr>
            </w:pPr>
            <w:r>
              <w:rPr>
                <w:rFonts w:ascii="Arial" w:cs="Arial" w:eastAsia="Arial" w:hAnsi="Arial"/>
                <w:sz w:val="17"/>
                <w:szCs w:val="17"/>
                <w:b w:val="1"/>
                <w:bCs w:val="1"/>
                <w:color w:val="auto"/>
              </w:rPr>
              <w:t>Comprehensive</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9"/>
              </w:rPr>
              <w:t>Shareholders’</w:t>
            </w:r>
          </w:p>
        </w:tc>
        <w:tc>
          <w:tcPr>
            <w:tcW w:w="10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2"/>
              </w:rPr>
              <w:t>Interests 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5"/>
              </w:rPr>
              <w:t>Capital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3"/>
              </w:rPr>
              <w:t>Deficit)</w:t>
            </w:r>
          </w:p>
        </w:tc>
        <w:tc>
          <w:tcPr>
            <w:tcW w:w="132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0"/>
              </w:rPr>
              <w:t>Income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Equity</w:t>
            </w: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6"/>
              </w:rPr>
              <w:t>Subsidiaries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Total Equity</w:t>
            </w:r>
          </w:p>
        </w:tc>
      </w:tr>
      <w:tr>
        <w:trPr>
          <w:trHeight w:val="409"/>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 Previously Reported:</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30, 2007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7,752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(1,620)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w w:val="99"/>
              </w:rPr>
              <w:t>Contributions from noncontrolling interests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28,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6,178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3200" w:type="dxa"/>
            <w:vAlign w:val="bottom"/>
          </w:tcPr>
          <w:p>
            <w:pPr>
              <w:spacing w:after="0" w:line="193" w:lineRule="exact"/>
              <w:rPr>
                <w:sz w:val="20"/>
                <w:szCs w:val="20"/>
                <w:color w:val="auto"/>
              </w:rPr>
            </w:pPr>
            <w:r>
              <w:rPr>
                <w:rFonts w:ascii="Arial" w:cs="Arial" w:eastAsia="Arial" w:hAnsi="Arial"/>
                <w:sz w:val="17"/>
                <w:szCs w:val="17"/>
                <w:color w:val="auto"/>
                <w:w w:val="91"/>
              </w:rPr>
              <w:t>Net change in unrealized gain on investments,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00" w:type="dxa"/>
            <w:vAlign w:val="bottom"/>
          </w:tcPr>
          <w:p>
            <w:pPr>
              <w:ind w:left="320"/>
              <w:spacing w:after="0"/>
              <w:rPr>
                <w:sz w:val="20"/>
                <w:szCs w:val="20"/>
                <w:color w:val="auto"/>
              </w:rPr>
            </w:pPr>
            <w:r>
              <w:rPr>
                <w:rFonts w:ascii="Arial" w:cs="Arial" w:eastAsia="Arial" w:hAnsi="Arial"/>
                <w:sz w:val="17"/>
                <w:szCs w:val="17"/>
                <w:color w:val="auto"/>
              </w:rPr>
              <w:t>net of tax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Contributions from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3200" w:type="dxa"/>
            <w:vAlign w:val="bottom"/>
          </w:tcPr>
          <w:p>
            <w:pPr>
              <w:spacing w:after="0" w:line="193" w:lineRule="exact"/>
              <w:rPr>
                <w:sz w:val="20"/>
                <w:szCs w:val="20"/>
                <w:color w:val="auto"/>
              </w:rPr>
            </w:pPr>
            <w:r>
              <w:rPr>
                <w:rFonts w:ascii="Arial" w:cs="Arial" w:eastAsia="Arial" w:hAnsi="Arial"/>
                <w:sz w:val="17"/>
                <w:szCs w:val="17"/>
                <w:color w:val="auto"/>
              </w:rPr>
              <w:t>Reduction in noncontrolling interests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00" w:type="dxa"/>
            <w:vAlign w:val="bottom"/>
          </w:tcPr>
          <w:p>
            <w:pPr>
              <w:ind w:left="160"/>
              <w:spacing w:after="0"/>
              <w:rPr>
                <w:sz w:val="20"/>
                <w:szCs w:val="20"/>
                <w:color w:val="auto"/>
              </w:rPr>
            </w:pPr>
            <w:r>
              <w:rPr>
                <w:rFonts w:ascii="Arial" w:cs="Arial" w:eastAsia="Arial" w:hAnsi="Arial"/>
                <w:sz w:val="17"/>
                <w:szCs w:val="17"/>
                <w:color w:val="auto"/>
              </w:rPr>
              <w:t>share purchase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September 3,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(2,291)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4,654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3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Effect of Adoption of Noncontrolling</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2"/>
        </w:trPr>
        <w:tc>
          <w:tcPr>
            <w:tcW w:w="3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Interests and Convertible Debt: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30, 2007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10,742</w:t>
            </w:r>
          </w:p>
        </w:tc>
      </w:tr>
      <w:tr>
        <w:trPr>
          <w:trHeight w:val="196"/>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(1,666)</w:t>
            </w: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w w:val="99"/>
              </w:rPr>
              <w:t>Contributions from noncontrolling interests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400</w:t>
            </w:r>
          </w:p>
        </w:tc>
      </w:tr>
      <w:tr>
        <w:trPr>
          <w:trHeight w:val="24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28,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9,390</w:t>
            </w:r>
          </w:p>
        </w:tc>
      </w:tr>
      <w:tr>
        <w:trPr>
          <w:trHeight w:val="196"/>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(1,993)</w:t>
            </w:r>
          </w:p>
        </w:tc>
      </w:tr>
      <w:tr>
        <w:trPr>
          <w:trHeight w:val="193"/>
        </w:trPr>
        <w:tc>
          <w:tcPr>
            <w:tcW w:w="3200" w:type="dxa"/>
            <w:vAlign w:val="bottom"/>
          </w:tcPr>
          <w:p>
            <w:pPr>
              <w:spacing w:after="0" w:line="193" w:lineRule="exact"/>
              <w:rPr>
                <w:sz w:val="20"/>
                <w:szCs w:val="20"/>
                <w:color w:val="auto"/>
              </w:rPr>
            </w:pPr>
            <w:r>
              <w:rPr>
                <w:rFonts w:ascii="Arial" w:cs="Arial" w:eastAsia="Arial" w:hAnsi="Arial"/>
                <w:sz w:val="17"/>
                <w:szCs w:val="17"/>
                <w:color w:val="auto"/>
                <w:w w:val="91"/>
              </w:rPr>
              <w:t>Net change in unrealized gain on investments,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00" w:type="dxa"/>
            <w:vAlign w:val="bottom"/>
          </w:tcPr>
          <w:p>
            <w:pPr>
              <w:ind w:left="320"/>
              <w:spacing w:after="0"/>
              <w:rPr>
                <w:sz w:val="20"/>
                <w:szCs w:val="20"/>
                <w:color w:val="auto"/>
              </w:rPr>
            </w:pPr>
            <w:r>
              <w:rPr>
                <w:rFonts w:ascii="Arial" w:cs="Arial" w:eastAsia="Arial" w:hAnsi="Arial"/>
                <w:sz w:val="17"/>
                <w:szCs w:val="17"/>
                <w:color w:val="auto"/>
              </w:rPr>
              <w:t>net of tax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0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(1,989)</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(705)</w:t>
            </w: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Contributions from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r>
      <w:tr>
        <w:trPr>
          <w:trHeight w:val="193"/>
        </w:trPr>
        <w:tc>
          <w:tcPr>
            <w:tcW w:w="3200" w:type="dxa"/>
            <w:vAlign w:val="bottom"/>
          </w:tcPr>
          <w:p>
            <w:pPr>
              <w:spacing w:after="0" w:line="193" w:lineRule="exact"/>
              <w:rPr>
                <w:sz w:val="20"/>
                <w:szCs w:val="20"/>
                <w:color w:val="auto"/>
              </w:rPr>
            </w:pPr>
            <w:r>
              <w:rPr>
                <w:rFonts w:ascii="Arial" w:cs="Arial" w:eastAsia="Arial" w:hAnsi="Arial"/>
                <w:sz w:val="17"/>
                <w:szCs w:val="17"/>
                <w:color w:val="auto"/>
              </w:rPr>
              <w:t>Reduction in noncontrolling interests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00" w:type="dxa"/>
            <w:vAlign w:val="bottom"/>
          </w:tcPr>
          <w:p>
            <w:pPr>
              <w:ind w:left="160"/>
              <w:spacing w:after="0"/>
              <w:rPr>
                <w:sz w:val="20"/>
                <w:szCs w:val="20"/>
                <w:color w:val="auto"/>
              </w:rPr>
            </w:pPr>
            <w:r>
              <w:rPr>
                <w:rFonts w:ascii="Arial" w:cs="Arial" w:eastAsia="Arial" w:hAnsi="Arial"/>
                <w:sz w:val="17"/>
                <w:szCs w:val="17"/>
                <w:color w:val="auto"/>
              </w:rPr>
              <w:t>share purchase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r>
      <w:tr>
        <w:trPr>
          <w:trHeight w:val="24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September 3,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6,939</w:t>
            </w:r>
          </w:p>
        </w:tc>
      </w:tr>
      <w:tr>
        <w:trPr>
          <w:trHeight w:val="196"/>
        </w:trPr>
        <w:tc>
          <w:tcPr>
            <w:tcW w:w="3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Retrospectively Adjusted: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30, 2007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8,135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10,742</w:t>
            </w:r>
          </w:p>
        </w:tc>
      </w:tr>
      <w:tr>
        <w:trPr>
          <w:trHeight w:val="196"/>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(1,656)</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(1,666)</w:t>
            </w: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w w:val="99"/>
              </w:rPr>
              <w:t>Contributions from noncontrolling interests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400</w:t>
            </w:r>
          </w:p>
        </w:tc>
      </w:tr>
      <w:tr>
        <w:trPr>
          <w:trHeight w:val="24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August 28,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6,525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9,390</w:t>
            </w:r>
          </w:p>
        </w:tc>
      </w:tr>
      <w:tr>
        <w:trPr>
          <w:trHeight w:val="196"/>
        </w:trPr>
        <w:tc>
          <w:tcPr>
            <w:tcW w:w="3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(1,993)</w:t>
            </w:r>
          </w:p>
        </w:tc>
      </w:tr>
      <w:tr>
        <w:trPr>
          <w:trHeight w:val="193"/>
        </w:trPr>
        <w:tc>
          <w:tcPr>
            <w:tcW w:w="3200" w:type="dxa"/>
            <w:vAlign w:val="bottom"/>
          </w:tcPr>
          <w:p>
            <w:pPr>
              <w:spacing w:after="0" w:line="193" w:lineRule="exact"/>
              <w:rPr>
                <w:sz w:val="20"/>
                <w:szCs w:val="20"/>
                <w:color w:val="auto"/>
              </w:rPr>
            </w:pPr>
            <w:r>
              <w:rPr>
                <w:rFonts w:ascii="Arial" w:cs="Arial" w:eastAsia="Arial" w:hAnsi="Arial"/>
                <w:sz w:val="17"/>
                <w:szCs w:val="17"/>
                <w:color w:val="auto"/>
                <w:w w:val="91"/>
              </w:rPr>
              <w:t>Net change in unrealized gain on investments,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00" w:type="dxa"/>
            <w:vAlign w:val="bottom"/>
          </w:tcPr>
          <w:p>
            <w:pPr>
              <w:ind w:left="320"/>
              <w:spacing w:after="0"/>
              <w:rPr>
                <w:sz w:val="20"/>
                <w:szCs w:val="20"/>
                <w:color w:val="auto"/>
              </w:rPr>
            </w:pPr>
            <w:r>
              <w:rPr>
                <w:rFonts w:ascii="Arial" w:cs="Arial" w:eastAsia="Arial" w:hAnsi="Arial"/>
                <w:sz w:val="17"/>
                <w:szCs w:val="17"/>
                <w:color w:val="auto"/>
              </w:rPr>
              <w:t>net of tax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0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(1,989)</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Distributions to noncontrolling interests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(705)</w:t>
            </w:r>
          </w:p>
        </w:tc>
      </w:tr>
      <w:tr>
        <w:trPr>
          <w:trHeight w:val="205"/>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Contributions from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r>
      <w:tr>
        <w:trPr>
          <w:trHeight w:val="193"/>
        </w:trPr>
        <w:tc>
          <w:tcPr>
            <w:tcW w:w="3200" w:type="dxa"/>
            <w:vAlign w:val="bottom"/>
          </w:tcPr>
          <w:p>
            <w:pPr>
              <w:spacing w:after="0" w:line="193" w:lineRule="exact"/>
              <w:rPr>
                <w:sz w:val="20"/>
                <w:szCs w:val="20"/>
                <w:color w:val="auto"/>
              </w:rPr>
            </w:pPr>
            <w:r>
              <w:rPr>
                <w:rFonts w:ascii="Arial" w:cs="Arial" w:eastAsia="Arial" w:hAnsi="Arial"/>
                <w:sz w:val="17"/>
                <w:szCs w:val="17"/>
                <w:color w:val="auto"/>
              </w:rPr>
              <w:t>Reduction in noncontrolling interests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00" w:type="dxa"/>
            <w:vAlign w:val="bottom"/>
          </w:tcPr>
          <w:p>
            <w:pPr>
              <w:ind w:left="160"/>
              <w:spacing w:after="0"/>
              <w:rPr>
                <w:sz w:val="20"/>
                <w:szCs w:val="20"/>
                <w:color w:val="auto"/>
              </w:rPr>
            </w:pPr>
            <w:r>
              <w:rPr>
                <w:rFonts w:ascii="Arial" w:cs="Arial" w:eastAsia="Arial" w:hAnsi="Arial"/>
                <w:sz w:val="17"/>
                <w:szCs w:val="17"/>
                <w:color w:val="auto"/>
              </w:rPr>
              <w:t>share purchase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r>
      <w:tr>
        <w:trPr>
          <w:trHeight w:val="24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Balance at September 3,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4,953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6,939</w:t>
            </w:r>
          </w:p>
        </w:tc>
      </w:tr>
      <w:tr>
        <w:trPr>
          <w:trHeight w:val="798"/>
        </w:trPr>
        <w:tc>
          <w:tcPr>
            <w:tcW w:w="32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23</w:t>
            </w: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6" w:right="239" w:bottom="541"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7"/>
                <w:szCs w:val="17"/>
                <w:b w:val="1"/>
                <w:bCs w:val="1"/>
                <w:color w:val="auto"/>
                <w:w w:val="88"/>
              </w:rPr>
              <w:t>Consolidated Statement of Cash Flows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7"/>
                <w:szCs w:val="17"/>
                <w:b w:val="1"/>
                <w:bCs w:val="1"/>
                <w:color w:val="auto"/>
              </w:rPr>
              <w:t>Effect of Adoption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As</w:t>
            </w:r>
          </w:p>
        </w:tc>
      </w:tr>
      <w:tr>
        <w:trPr>
          <w:trHeight w:val="189"/>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60"/>
              <w:spacing w:after="0" w:line="189" w:lineRule="exact"/>
              <w:rPr>
                <w:sz w:val="20"/>
                <w:szCs w:val="20"/>
                <w:color w:val="auto"/>
              </w:rPr>
            </w:pPr>
            <w:r>
              <w:rPr>
                <w:rFonts w:ascii="Arial" w:cs="Arial" w:eastAsia="Arial" w:hAnsi="Arial"/>
                <w:sz w:val="17"/>
                <w:szCs w:val="17"/>
                <w:b w:val="1"/>
                <w:bCs w:val="1"/>
                <w:color w:val="auto"/>
                <w:w w:val="88"/>
              </w:rPr>
              <w:t>As Previously</w:t>
            </w:r>
          </w:p>
        </w:tc>
        <w:tc>
          <w:tcPr>
            <w:tcW w:w="1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40"/>
              <w:spacing w:after="0" w:line="189" w:lineRule="exact"/>
              <w:rPr>
                <w:sz w:val="20"/>
                <w:szCs w:val="20"/>
                <w:color w:val="auto"/>
              </w:rPr>
            </w:pPr>
            <w:r>
              <w:rPr>
                <w:rFonts w:ascii="Arial" w:cs="Arial" w:eastAsia="Arial" w:hAnsi="Arial"/>
                <w:sz w:val="17"/>
                <w:szCs w:val="17"/>
                <w:b w:val="1"/>
                <w:bCs w:val="1"/>
                <w:color w:val="auto"/>
                <w:w w:val="90"/>
              </w:rPr>
              <w:t>Noncontrolling</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5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1"/>
              </w:rPr>
              <w:t>Reported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7"/>
              </w:rPr>
              <w:t>Interests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Debt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3"/>
              </w:rPr>
              <w:t>Adjusted</w:t>
            </w:r>
          </w:p>
        </w:tc>
        <w:tc>
          <w:tcPr>
            <w:tcW w:w="100" w:type="dxa"/>
            <w:vAlign w:val="bottom"/>
          </w:tcPr>
          <w:p>
            <w:pPr>
              <w:spacing w:after="0"/>
              <w:rPr>
                <w:sz w:val="19"/>
                <w:szCs w:val="19"/>
                <w:color w:val="auto"/>
              </w:rPr>
            </w:pPr>
          </w:p>
        </w:tc>
      </w:tr>
      <w:tr>
        <w:trPr>
          <w:trHeight w:val="398"/>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Year Ended September 3, 2009: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(1,993)</w:t>
            </w:r>
          </w:p>
        </w:tc>
      </w:tr>
      <w:tr>
        <w:trPr>
          <w:trHeight w:val="205"/>
        </w:trPr>
        <w:tc>
          <w:tcPr>
            <w:tcW w:w="60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2,139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2,186</w:t>
            </w: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August 28, 2008: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60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2,096</w:t>
            </w: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Derivative Financial Instruments</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are exposed to currency exchange rate risk for monetary assets and liabilities held or denominated in foreign currencies, primarily the Singapore dollar, euro and yen. We are also exposed to currency exchange rate risk for capital expenditures denominated in foreign currency, primarily the euro and yen. We use derivative instruments to manage our exposures to foreign currency. For exposures associated with our monetary assets and liabilities, our primary objective in entering into currency derivatives is to reduce the volatility changes in foreign currency exchange rates have on earnings attributable to our shareholders. For exposures associated with capital expenditures, our primary objective in entering into currency derivatives is to reduce the volatility changes in foreign currency exchange rates have on future cash flows.</w:t>
      </w:r>
    </w:p>
    <w:p>
      <w:pPr>
        <w:spacing w:after="0" w:line="21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derivatives consist primarily of currency forward contracts. The derivatives expose us to credit risk to the extent the counterparties may be unable to meet the terms of the derivative instrument. Our maximum exposure to loss due to credit risk that we would incur if parties to the forward contracts failed completely to perform according to the terms of the contracts was equal to our carrying value as of September 2, 2010. We seek to mitigate such risk by limiting its counterparties to major financial institutions and by spreading risk across multiple major financial institutions. In addition, the potential risk of loss with any one counterparty resulting from this type of credit risk is monitored on an ongoing basis. We have the following currency risk management programs:</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i w:val="1"/>
          <w:iCs w:val="1"/>
          <w:color w:val="auto"/>
        </w:rPr>
        <w:t>Currency derivatives without hedge accounting designation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utilize a rolling hedge strategy with currency forward contracts that generally mature within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to hedge our foreign currency exposure in monetary assets and liabilities. At the end of each reporting period, monetary assets and liabilities held or denominated in foreign currencies are remeasured in U.S. dollars and the associated outstanding forward contracts are marked-to-market. Foreign currency forward contracts are valued at fair values based on bid prices of dealer or exchange quotations (referred to as Level 2). Realized and unrealized foreign currency gains and losses on derivative instruments and the underlying monetary assets are included in other operating income (expense). As of September 2, 2010, total gross notional amounts and fair values for currency derivatives without hedge accounting designation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Notional</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Arial" w:cs="Arial" w:eastAsia="Arial" w:hAnsi="Arial"/>
                <w:sz w:val="17"/>
                <w:szCs w:val="17"/>
                <w:b w:val="1"/>
                <w:bCs w:val="1"/>
                <w:color w:val="auto"/>
                <w:w w:val="91"/>
              </w:rPr>
              <w:t>Outstanding</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b w:val="1"/>
                <w:bCs w:val="1"/>
                <w:color w:val="auto"/>
                <w:w w:val="92"/>
              </w:rPr>
              <w:t>(in U.S.</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of Asset</w:t>
            </w:r>
          </w:p>
        </w:tc>
      </w:tr>
      <w:tr>
        <w:trPr>
          <w:trHeight w:val="227"/>
        </w:trPr>
        <w:tc>
          <w:tcPr>
            <w:tcW w:w="4000" w:type="dxa"/>
            <w:vAlign w:val="bottom"/>
          </w:tcPr>
          <w:p>
            <w:pPr>
              <w:spacing w:after="0"/>
              <w:rPr>
                <w:sz w:val="20"/>
                <w:szCs w:val="20"/>
                <w:color w:val="auto"/>
              </w:rPr>
            </w:pPr>
            <w:r>
              <w:rPr>
                <w:rFonts w:ascii="Arial" w:cs="Arial" w:eastAsia="Arial" w:hAnsi="Arial"/>
                <w:sz w:val="17"/>
                <w:szCs w:val="17"/>
                <w:b w:val="1"/>
                <w:bCs w:val="1"/>
                <w:color w:val="auto"/>
              </w:rPr>
              <w:t>Currency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Dollars)</w:t>
            </w:r>
          </w:p>
        </w:tc>
        <w:tc>
          <w:tcPr>
            <w:tcW w:w="48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Sheet Line Item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(Liability)</w:t>
            </w:r>
          </w:p>
        </w:tc>
      </w:tr>
      <w:tr>
        <w:trPr>
          <w:trHeight w:val="205"/>
        </w:trPr>
        <w:tc>
          <w:tcPr>
            <w:tcW w:w="4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Euro</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60" w:type="dxa"/>
            <w:vAlign w:val="bottom"/>
            <w:gridSpan w:val="3"/>
            <w:shd w:val="clear" w:color="auto" w:fill="CCEEFF"/>
          </w:tcPr>
          <w:p>
            <w:pPr>
              <w:ind w:left="800"/>
              <w:spacing w:after="0"/>
              <w:rPr>
                <w:sz w:val="20"/>
                <w:szCs w:val="20"/>
                <w:color w:val="auto"/>
              </w:rPr>
            </w:pPr>
            <w:r>
              <w:rPr>
                <w:rFonts w:ascii="Arial" w:cs="Arial" w:eastAsia="Arial" w:hAnsi="Arial"/>
                <w:sz w:val="17"/>
                <w:szCs w:val="17"/>
                <w:color w:val="auto"/>
              </w:rPr>
              <w:t>260  Accounts payable and accrued expenses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Singapore dollar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800"/>
              <w:spacing w:after="0"/>
              <w:rPr>
                <w:sz w:val="20"/>
                <w:szCs w:val="20"/>
                <w:color w:val="auto"/>
              </w:rPr>
            </w:pPr>
            <w:r>
              <w:rPr>
                <w:rFonts w:ascii="Arial" w:cs="Arial" w:eastAsia="Arial" w:hAnsi="Arial"/>
                <w:sz w:val="17"/>
                <w:szCs w:val="17"/>
                <w:color w:val="auto"/>
                <w:w w:val="84"/>
              </w:rPr>
              <w:t>157</w:t>
            </w:r>
          </w:p>
        </w:tc>
        <w:tc>
          <w:tcPr>
            <w:tcW w:w="4800" w:type="dxa"/>
            <w:vAlign w:val="bottom"/>
            <w:gridSpan w:val="2"/>
          </w:tcPr>
          <w:p>
            <w:pPr>
              <w:ind w:left="100"/>
              <w:spacing w:after="0"/>
              <w:rPr>
                <w:sz w:val="20"/>
                <w:szCs w:val="20"/>
                <w:color w:val="auto"/>
              </w:rPr>
            </w:pPr>
            <w:r>
              <w:rPr>
                <w:rFonts w:ascii="Arial" w:cs="Arial" w:eastAsia="Arial" w:hAnsi="Arial"/>
                <w:sz w:val="17"/>
                <w:szCs w:val="17"/>
                <w:color w:val="auto"/>
              </w:rPr>
              <w:t>Receivables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Yen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84"/>
              </w:rPr>
              <w:t>104</w:t>
            </w: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Receivables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0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ind w:left="800"/>
              <w:spacing w:after="0"/>
              <w:rPr>
                <w:sz w:val="20"/>
                <w:szCs w:val="20"/>
                <w:color w:val="auto"/>
              </w:rPr>
            </w:pPr>
            <w:r>
              <w:rPr>
                <w:rFonts w:ascii="Arial" w:cs="Arial" w:eastAsia="Arial" w:hAnsi="Arial"/>
                <w:sz w:val="17"/>
                <w:szCs w:val="17"/>
                <w:color w:val="auto"/>
                <w:w w:val="84"/>
              </w:rPr>
              <w:t>521</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For currency forward contracts not designated as hedging instruments, we recognized losses of $29 million in 2010, which was included in other operating income (expense).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6" w:name="page57"/>
    <w:bookmarkEnd w:id="56"/>
    <w:p>
      <w:pPr>
        <w:ind w:right="40"/>
        <w:spacing w:after="0" w:line="273" w:lineRule="auto"/>
        <w:rPr>
          <w:sz w:val="20"/>
          <w:szCs w:val="20"/>
          <w:color w:val="auto"/>
        </w:rPr>
      </w:pPr>
      <w:r>
        <w:rPr>
          <w:rFonts w:ascii="Arial" w:cs="Arial" w:eastAsia="Arial" w:hAnsi="Arial"/>
          <w:sz w:val="16"/>
          <w:szCs w:val="16"/>
          <w:b w:val="1"/>
          <w:bCs w:val="1"/>
          <w:i w:val="1"/>
          <w:iCs w:val="1"/>
          <w:color w:val="auto"/>
        </w:rPr>
        <w:t xml:space="preserve">Currency derivatives with cash flow hedge accounting designation: </w:t>
      </w:r>
      <w:r>
        <w:rPr>
          <w:rFonts w:ascii="Arial" w:cs="Arial" w:eastAsia="Arial" w:hAnsi="Arial"/>
          <w:sz w:val="16"/>
          <w:szCs w:val="16"/>
          <w:color w:val="auto"/>
        </w:rPr>
        <w:t>We utilize currency forward contracts that mature within 12 months to hedge the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exposures of cash flow for some forecasted capital expenditures. Foreign currency forward contracts are valued at fair values based on market-based observable inputs including foreign exchange spot and forward rates, interest rate and credit risk spread (referred to as Level 2). For those derivatives designated as cash flow hedges, the effective portion of the realized and unrealized gain or loss on the derivatives was included as a component of other comprehensive income (loss) in shareholders’ equity. The amount in the accumulated other comprehensive income (loss) for those cash flow hedges are reclassified into earnings in the same line items of consolidated statements of operations and in the same periods in which the underlying transaction affects earnings. The ineffective or excluded portion of the realized and unrealized gain or loss was included in other operating income (expense). As of September 2, 2010, total gross notional amounts and fair values for currency derivatives with cash flow hedge accounting designation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Notional</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Arial" w:cs="Arial" w:eastAsia="Arial" w:hAnsi="Arial"/>
                <w:sz w:val="17"/>
                <w:szCs w:val="17"/>
                <w:b w:val="1"/>
                <w:bCs w:val="1"/>
                <w:color w:val="auto"/>
                <w:w w:val="91"/>
              </w:rPr>
              <w:t>Outstanding</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b w:val="1"/>
                <w:bCs w:val="1"/>
                <w:color w:val="auto"/>
                <w:w w:val="92"/>
              </w:rPr>
              <w:t>(in U.S.</w:t>
            </w: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of Asset</w:t>
            </w:r>
          </w:p>
        </w:tc>
      </w:tr>
      <w:tr>
        <w:trPr>
          <w:trHeight w:val="227"/>
        </w:trPr>
        <w:tc>
          <w:tcPr>
            <w:tcW w:w="4000" w:type="dxa"/>
            <w:vAlign w:val="bottom"/>
          </w:tcPr>
          <w:p>
            <w:pPr>
              <w:spacing w:after="0"/>
              <w:rPr>
                <w:sz w:val="20"/>
                <w:szCs w:val="20"/>
                <w:color w:val="auto"/>
              </w:rPr>
            </w:pPr>
            <w:r>
              <w:rPr>
                <w:rFonts w:ascii="Arial" w:cs="Arial" w:eastAsia="Arial" w:hAnsi="Arial"/>
                <w:sz w:val="17"/>
                <w:szCs w:val="17"/>
                <w:b w:val="1"/>
                <w:bCs w:val="1"/>
                <w:color w:val="auto"/>
              </w:rPr>
              <w:t>Currency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Dollars)</w:t>
            </w:r>
          </w:p>
        </w:tc>
        <w:tc>
          <w:tcPr>
            <w:tcW w:w="480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 Sheet Line Item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(Liability)</w:t>
            </w:r>
          </w:p>
        </w:tc>
      </w:tr>
      <w:tr>
        <w:trPr>
          <w:trHeight w:val="205"/>
        </w:trPr>
        <w:tc>
          <w:tcPr>
            <w:tcW w:w="4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Euro</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8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Receivables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Yen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w:t>
            </w:r>
          </w:p>
        </w:tc>
        <w:tc>
          <w:tcPr>
            <w:tcW w:w="4800" w:type="dxa"/>
            <w:vAlign w:val="bottom"/>
            <w:gridSpan w:val="2"/>
          </w:tcPr>
          <w:p>
            <w:pPr>
              <w:ind w:left="100"/>
              <w:spacing w:after="0"/>
              <w:rPr>
                <w:sz w:val="20"/>
                <w:szCs w:val="20"/>
                <w:color w:val="auto"/>
              </w:rPr>
            </w:pPr>
            <w:r>
              <w:rPr>
                <w:rFonts w:ascii="Arial" w:cs="Arial" w:eastAsia="Arial" w:hAnsi="Arial"/>
                <w:sz w:val="17"/>
                <w:szCs w:val="17"/>
                <w:color w:val="auto"/>
              </w:rPr>
              <w:t>Receivables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0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left w:val="single" w:sz="8" w:color="CCEEFF"/>
            </w:tcBorders>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40"/>
        <w:spacing w:after="0" w:line="315" w:lineRule="auto"/>
        <w:rPr>
          <w:sz w:val="20"/>
          <w:szCs w:val="20"/>
          <w:color w:val="auto"/>
        </w:rPr>
      </w:pPr>
      <w:r>
        <w:rPr>
          <w:rFonts w:ascii="Arial" w:cs="Arial" w:eastAsia="Arial" w:hAnsi="Arial"/>
          <w:sz w:val="15"/>
          <w:szCs w:val="15"/>
          <w:color w:val="auto"/>
        </w:rPr>
        <w:t>For 2010, amounts recognized in other comprehensive income from the effective portion of cash flow hedge and in other operating income (expense) from the ineffective and excluded portions of cash flow hedge were not material. No amounts were reclassified from other comprehensive income (loss) to earnings in 2010 and we expect only de minimis amount included in other accumulated comprehensive income (loss) to be reclassified into earnings within the next 12 months.</w:t>
      </w: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 Measurements</w:t>
      </w:r>
    </w:p>
    <w:p>
      <w:pPr>
        <w:spacing w:after="0" w:line="23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Accounting standards establish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Fair value measurements on a recurring basis: </w:t>
      </w:r>
      <w:r>
        <w:rPr>
          <w:rFonts w:ascii="Arial" w:cs="Arial" w:eastAsia="Arial" w:hAnsi="Arial"/>
          <w:sz w:val="17"/>
          <w:szCs w:val="17"/>
          <w:color w:val="auto"/>
        </w:rPr>
        <w:t>Assets measured at fair value on a recurring basis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7"/>
                <w:szCs w:val="17"/>
                <w:b w:val="1"/>
                <w:bCs w:val="1"/>
                <w:color w:val="auto"/>
              </w:rPr>
              <w:t>September 2, 2010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7"/>
                <w:szCs w:val="17"/>
                <w:b w:val="1"/>
                <w:bCs w:val="1"/>
                <w:color w:val="auto"/>
              </w:rPr>
              <w:t>September 3, 2009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b w:val="1"/>
                <w:bCs w:val="1"/>
                <w:color w:val="auto"/>
                <w:w w:val="97"/>
              </w:rPr>
              <w:t>Level 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7"/>
              </w:rPr>
              <w:t>Level 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Level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7"/>
                <w:szCs w:val="17"/>
                <w:b w:val="1"/>
                <w:bCs w:val="1"/>
                <w:color w:val="auto"/>
              </w:rPr>
              <w:t>Level 1</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7"/>
              </w:rPr>
              <w:t>Level 2</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Level 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5"/>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r>
      <w:tr>
        <w:trPr>
          <w:trHeight w:val="205"/>
        </w:trPr>
        <w:tc>
          <w:tcPr>
            <w:tcW w:w="2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Money market</w:t>
            </w:r>
            <w:r>
              <w:rPr>
                <w:rFonts w:ascii="Arial" w:cs="Arial" w:eastAsia="Arial" w:hAnsi="Arial"/>
                <w:sz w:val="23"/>
                <w:szCs w:val="23"/>
                <w:i w:val="1"/>
                <w:i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1,184</w:t>
            </w:r>
          </w:p>
        </w:tc>
      </w:tr>
      <w:tr>
        <w:trPr>
          <w:trHeight w:val="205"/>
        </w:trPr>
        <w:tc>
          <w:tcPr>
            <w:tcW w:w="2420" w:type="dxa"/>
            <w:vAlign w:val="bottom"/>
            <w:gridSpan w:val="2"/>
          </w:tcPr>
          <w:p>
            <w:pPr>
              <w:spacing w:after="0" w:line="205" w:lineRule="exact"/>
              <w:rPr>
                <w:sz w:val="20"/>
                <w:szCs w:val="20"/>
                <w:color w:val="auto"/>
              </w:rPr>
            </w:pPr>
            <w:r>
              <w:rPr>
                <w:rFonts w:ascii="Arial" w:cs="Arial" w:eastAsia="Arial" w:hAnsi="Arial"/>
                <w:sz w:val="17"/>
                <w:szCs w:val="17"/>
                <w:color w:val="auto"/>
              </w:rPr>
              <w:t>Certificates of deposit</w:t>
            </w:r>
            <w:r>
              <w:rPr>
                <w:rFonts w:ascii="Arial" w:cs="Arial" w:eastAsia="Arial" w:hAnsi="Arial"/>
                <w:sz w:val="23"/>
                <w:szCs w:val="23"/>
                <w:i w:val="1"/>
                <w:iCs w:val="1"/>
                <w:color w:val="auto"/>
                <w:vertAlign w:val="superscript"/>
              </w:rPr>
              <w:t>(2)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705</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217</w:t>
            </w:r>
          </w:p>
        </w:tc>
        <w:tc>
          <w:tcPr>
            <w:tcW w:w="7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217</w:t>
            </w:r>
          </w:p>
        </w:tc>
      </w:tr>
      <w:tr>
        <w:trPr>
          <w:trHeight w:val="205"/>
        </w:trPr>
        <w:tc>
          <w:tcPr>
            <w:tcW w:w="24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w w:val="96"/>
              </w:rPr>
              <w:t>Marketable equity investments</w:t>
            </w:r>
            <w:r>
              <w:rPr>
                <w:rFonts w:ascii="Arial" w:cs="Arial" w:eastAsia="Arial" w:hAnsi="Arial"/>
                <w:sz w:val="23"/>
                <w:szCs w:val="23"/>
                <w:i w:val="1"/>
                <w:iCs w:val="1"/>
                <w:color w:val="auto"/>
                <w:w w:val="96"/>
                <w:vertAlign w:val="superscript"/>
              </w:rPr>
              <w:t>(3)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05"/>
        </w:trPr>
        <w:tc>
          <w:tcPr>
            <w:tcW w:w="2420" w:type="dxa"/>
            <w:vAlign w:val="bottom"/>
            <w:gridSpan w:val="2"/>
          </w:tcPr>
          <w:p>
            <w:pPr>
              <w:spacing w:after="0" w:line="205" w:lineRule="exact"/>
              <w:rPr>
                <w:sz w:val="20"/>
                <w:szCs w:val="20"/>
                <w:color w:val="auto"/>
              </w:rPr>
            </w:pPr>
            <w:r>
              <w:rPr>
                <w:rFonts w:ascii="Arial" w:cs="Arial" w:eastAsia="Arial" w:hAnsi="Arial"/>
                <w:sz w:val="17"/>
                <w:szCs w:val="17"/>
                <w:color w:val="auto"/>
              </w:rPr>
              <w:t>Assets held for sale</w:t>
            </w:r>
            <w:r>
              <w:rPr>
                <w:rFonts w:ascii="Arial" w:cs="Arial" w:eastAsia="Arial" w:hAnsi="Arial"/>
                <w:sz w:val="23"/>
                <w:szCs w:val="23"/>
                <w:i w:val="1"/>
                <w:iCs w:val="1"/>
                <w:color w:val="auto"/>
                <w:vertAlign w:val="superscript"/>
              </w:rPr>
              <w:t>(3)(4)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w:t>
            </w:r>
          </w:p>
        </w:tc>
        <w:tc>
          <w:tcPr>
            <w:tcW w:w="86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56</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217</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1,416</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Included in 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3605" cy="130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ind w:left="320" w:right="700" w:hanging="317"/>
        <w:spacing w:after="0" w:line="237" w:lineRule="auto"/>
        <w:tabs>
          <w:tab w:leader="none" w:pos="182"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Cash and equivalents and restricted cash included $371 million and $334 million, respectively, as of September 2, 2010 and $187 million and $30 million, respectively, as of September 3, 2009.</w:t>
      </w:r>
    </w:p>
    <w:p>
      <w:pPr>
        <w:spacing w:after="0" w:line="187" w:lineRule="auto"/>
        <w:rPr>
          <w:sz w:val="20"/>
          <w:szCs w:val="20"/>
          <w:color w:val="auto"/>
        </w:rPr>
      </w:pPr>
      <w:r>
        <w:rPr>
          <w:rFonts w:ascii="Arial" w:cs="Arial" w:eastAsia="Arial" w:hAnsi="Arial"/>
          <w:sz w:val="23"/>
          <w:szCs w:val="23"/>
          <w:i w:val="1"/>
          <w:iCs w:val="1"/>
          <w:color w:val="auto"/>
          <w:vertAlign w:val="superscript"/>
        </w:rPr>
        <w:t>(3)</w:t>
      </w:r>
      <w:r>
        <w:rPr>
          <w:rFonts w:ascii="Arial" w:cs="Arial" w:eastAsia="Arial" w:hAnsi="Arial"/>
          <w:sz w:val="17"/>
          <w:szCs w:val="17"/>
          <w:i w:val="1"/>
          <w:iCs w:val="1"/>
          <w:color w:val="auto"/>
        </w:rPr>
        <w:t>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3605" cy="130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ind w:left="180" w:hanging="177"/>
        <w:spacing w:after="0" w:line="207" w:lineRule="auto"/>
        <w:tabs>
          <w:tab w:leader="none" w:pos="180"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We adopted the accounting standard for fair value measurements of nonfinancial assets and nonfinancial liabilities as of the beginning of 2010.</w:t>
      </w:r>
    </w:p>
    <w:p>
      <w:pPr>
        <w:spacing w:after="0" w:line="220"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Certificates of deposit assets are valued using observable inputs in active markets for similar assets or alternative pricing sources and models utilizing observable market inputs (Level 2).</w:t>
      </w:r>
    </w:p>
    <w:p>
      <w:pPr>
        <w:spacing w:after="0" w:line="190"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Assets held for sale primarily included semiconductor equipment and buildings. Fair value for the semiconductor equipment is based on quotations obtained from equipment dealers, which consider the remaining useful life and configuration of the equipment and fair value of the real estate is determined based on sales of similar facilities and/or properties in comparable markets (Level 3). Losses recognized in 2010 due to fair value measurements using Level 3 inputs were de minimis.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7" w:name="page58"/>
    <w:bookmarkEnd w:id="57"/>
    <w:p>
      <w:pPr>
        <w:ind w:right="400"/>
        <w:spacing w:after="0" w:line="277" w:lineRule="auto"/>
        <w:rPr>
          <w:sz w:val="20"/>
          <w:szCs w:val="20"/>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The estimated fair value and carrying value of debt instruments (carrying value excludes the equity component of the 1.875% convertible notes which is classified in equity)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7"/>
                <w:szCs w:val="17"/>
                <w:b w:val="1"/>
                <w:bCs w:val="1"/>
                <w:color w:val="auto"/>
                <w:w w:val="96"/>
              </w:rPr>
              <w:t>September 2, 2010</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September 3, 2009</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660"/>
              <w:spacing w:after="0" w:line="189" w:lineRule="exact"/>
              <w:rPr>
                <w:sz w:val="20"/>
                <w:szCs w:val="20"/>
                <w:color w:val="auto"/>
              </w:rPr>
            </w:pPr>
            <w:r>
              <w:rPr>
                <w:rFonts w:ascii="Arial" w:cs="Arial" w:eastAsia="Arial" w:hAnsi="Arial"/>
                <w:sz w:val="17"/>
                <w:szCs w:val="17"/>
                <w:b w:val="1"/>
                <w:bCs w:val="1"/>
                <w:color w:val="auto"/>
              </w:rPr>
              <w:t>Fair</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540"/>
              <w:spacing w:after="0" w:line="189"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Value</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Carrying Value</w:t>
            </w:r>
          </w:p>
        </w:tc>
        <w:tc>
          <w:tcPr>
            <w:tcW w:w="2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Value</w:t>
            </w:r>
          </w:p>
        </w:tc>
        <w:tc>
          <w:tcPr>
            <w:tcW w:w="132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9"/>
              </w:rPr>
              <w:t>Carrying Value</w:t>
            </w:r>
          </w:p>
        </w:tc>
      </w:tr>
      <w:tr>
        <w:trPr>
          <w:trHeight w:val="205"/>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Convertible debt instruments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1,494</w:t>
            </w: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1,410</w:t>
            </w:r>
          </w:p>
        </w:tc>
        <w:tc>
          <w:tcPr>
            <w:tcW w:w="7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1,305</w:t>
            </w: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Other debt instruments</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1,071</w:t>
            </w:r>
          </w:p>
        </w:tc>
        <w:tc>
          <w:tcPr>
            <w:tcW w:w="6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1,072</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1,458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1,498</w:t>
            </w:r>
          </w:p>
        </w:tc>
      </w:tr>
    </w:tbl>
    <w:p>
      <w:pPr>
        <w:spacing w:after="0" w:line="20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fair value of our convertible debt instruments is based on quoted market prices in active markets (Level 1). The fair value of our other debt instruments was estimated based on discounted cash flows using inputs that are observable in the market or that could be derived from or corroborated with observable market data, including interest rates based on yield curves of similar debt issued by parties with credit ratings similar to ours (Level 2). Amounts reported as cash and equivalents, short-term investments, receivables, accounts payable and accrued expenses approximate fair value.</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Fair value measurements on a nonrecurring basis: </w:t>
      </w:r>
      <w:r>
        <w:rPr>
          <w:rFonts w:ascii="Arial" w:cs="Arial" w:eastAsia="Arial" w:hAnsi="Arial"/>
          <w:sz w:val="17"/>
          <w:szCs w:val="17"/>
          <w:color w:val="auto"/>
        </w:rPr>
        <w:t>In connection with the implementation of the new accounting standard for certain convertible debt instruments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quarter of 2010, we determined the $898 million fair value for the liability component of our Convertible Notes as of their May 2007 issuance date using a market interest rate for similar nonconvertible debt issued at that time by entities with credit ratings comparable to ours (Level 2). (See "Adjustments for Retrospective Application of New Accounting Standards" note.)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Plans</w:t>
      </w:r>
    </w:p>
    <w:p>
      <w:pPr>
        <w:spacing w:after="0" w:line="233"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As of September 2, 2010, an aggregate of 182.8 million shares of common stock were reserved for issuance of stock options and restricted stock awards, of which 124.9 million shares were subject to outstanding awards and 57.9 million shares were available for future awards. Awards are subject to terms and conditions as determined by our Board of Directors.</w:t>
      </w:r>
    </w:p>
    <w:p>
      <w:pPr>
        <w:spacing w:after="0" w:line="201"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Our stock options are generally exercisable in increments of either one-fourth or one-third per year beginning one year from the date of grant.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issued after September, 2004 generally expire six years from the date of grant. All other options expire ten years from the grant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7"/>
                <w:szCs w:val="17"/>
                <w:color w:val="auto"/>
              </w:rPr>
              <w:t>Option activity for 2010 is summarized as follows: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4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Weighted-</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Remaining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Average</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Contractual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Number of</w:t>
            </w: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7"/>
              </w:rPr>
              <w:t>Exercise Price</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Life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Aggregate</w:t>
            </w:r>
          </w:p>
        </w:tc>
      </w:tr>
      <w:tr>
        <w:trPr>
          <w:trHeight w:val="227"/>
        </w:trPr>
        <w:tc>
          <w:tcPr>
            <w:tcW w:w="4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0"/>
              </w:rPr>
              <w:t>Per Share</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(In Years)</w:t>
            </w:r>
          </w:p>
        </w:tc>
        <w:tc>
          <w:tcPr>
            <w:tcW w:w="10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Intrinsic Value</w:t>
            </w:r>
          </w:p>
        </w:tc>
      </w:tr>
      <w:tr>
        <w:trPr>
          <w:trHeight w:val="205"/>
        </w:trPr>
        <w:tc>
          <w:tcPr>
            <w:tcW w:w="45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September 3, 2009</w:t>
            </w:r>
          </w:p>
        </w:tc>
        <w:tc>
          <w:tcPr>
            <w:tcW w:w="29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116.5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16.25</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60" w:type="dxa"/>
            <w:vAlign w:val="bottom"/>
          </w:tcPr>
          <w:p>
            <w:pPr>
              <w:spacing w:after="0"/>
              <w:rPr>
                <w:sz w:val="20"/>
                <w:szCs w:val="20"/>
                <w:color w:val="auto"/>
              </w:rPr>
            </w:pPr>
            <w:r>
              <w:rPr>
                <w:rFonts w:ascii="Arial" w:cs="Arial" w:eastAsia="Arial" w:hAnsi="Arial"/>
                <w:sz w:val="17"/>
                <w:szCs w:val="17"/>
                <w:color w:val="auto"/>
              </w:rPr>
              <w:t>Granted</w:t>
            </w:r>
          </w:p>
        </w:tc>
        <w:tc>
          <w:tcPr>
            <w:tcW w:w="2900" w:type="dxa"/>
            <w:vAlign w:val="bottom"/>
            <w:gridSpan w:val="4"/>
          </w:tcPr>
          <w:p>
            <w:pPr>
              <w:jc w:val="right"/>
              <w:ind w:right="240"/>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7.79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9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3.82</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60" w:type="dxa"/>
            <w:vAlign w:val="bottom"/>
          </w:tcPr>
          <w:p>
            <w:pPr>
              <w:spacing w:after="0"/>
              <w:rPr>
                <w:sz w:val="20"/>
                <w:szCs w:val="20"/>
                <w:color w:val="auto"/>
              </w:rPr>
            </w:pPr>
            <w:r>
              <w:rPr>
                <w:rFonts w:ascii="Arial" w:cs="Arial" w:eastAsia="Arial" w:hAnsi="Arial"/>
                <w:sz w:val="17"/>
                <w:szCs w:val="17"/>
                <w:color w:val="auto"/>
              </w:rPr>
              <w:t>Cancelled or expired</w:t>
            </w:r>
          </w:p>
        </w:tc>
        <w:tc>
          <w:tcPr>
            <w:tcW w:w="1500" w:type="dxa"/>
            <w:vAlign w:val="bottom"/>
            <w:gridSpan w:val="2"/>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(14.8)</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35.66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45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at September 2, 2010</w:t>
            </w:r>
          </w:p>
        </w:tc>
        <w:tc>
          <w:tcPr>
            <w:tcW w:w="1500" w:type="dxa"/>
            <w:vAlign w:val="bottom"/>
            <w:gridSpan w:val="2"/>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116.3</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12.79</w:t>
            </w:r>
          </w:p>
        </w:tc>
        <w:tc>
          <w:tcPr>
            <w:tcW w:w="1260" w:type="dxa"/>
            <w:vAlign w:val="bottom"/>
            <w:gridSpan w:val="2"/>
            <w:shd w:val="clear" w:color="auto" w:fill="CCEEFF"/>
          </w:tcPr>
          <w:p>
            <w:pPr>
              <w:jc w:val="right"/>
              <w:ind w:right="120"/>
              <w:spacing w:after="0" w:line="185" w:lineRule="exact"/>
              <w:rPr>
                <w:sz w:val="20"/>
                <w:szCs w:val="20"/>
                <w:color w:val="auto"/>
              </w:rPr>
            </w:pPr>
            <w:r>
              <w:rPr>
                <w:rFonts w:ascii="Arial" w:cs="Arial" w:eastAsia="Arial" w:hAnsi="Arial"/>
                <w:sz w:val="17"/>
                <w:szCs w:val="17"/>
                <w:color w:val="auto"/>
              </w:rPr>
              <w:t>2.6</w:t>
            </w:r>
          </w:p>
        </w:tc>
        <w:tc>
          <w:tcPr>
            <w:tcW w:w="24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21"/>
                <w:szCs w:val="21"/>
                <w:color w:val="auto"/>
              </w:rPr>
            </w:pPr>
          </w:p>
        </w:tc>
      </w:tr>
      <w:tr>
        <w:trPr>
          <w:trHeight w:val="196"/>
        </w:trPr>
        <w:tc>
          <w:tcPr>
            <w:tcW w:w="45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September 2, 2010</w:t>
            </w:r>
          </w:p>
        </w:tc>
        <w:tc>
          <w:tcPr>
            <w:tcW w:w="29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7"/>
                <w:szCs w:val="17"/>
                <w:color w:val="auto"/>
              </w:rPr>
              <w:t>Expected to vest after September 2, 2010</w:t>
            </w:r>
          </w:p>
        </w:tc>
        <w:tc>
          <w:tcPr>
            <w:tcW w:w="2900" w:type="dxa"/>
            <w:vAlign w:val="bottom"/>
            <w:gridSpan w:val="4"/>
          </w:tcPr>
          <w:p>
            <w:pPr>
              <w:jc w:val="right"/>
              <w:ind w:right="240"/>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5.78</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r>
      <w:tr>
        <w:trPr>
          <w:trHeight w:val="795"/>
        </w:trPr>
        <w:tc>
          <w:tcPr>
            <w:tcW w:w="4560" w:type="dxa"/>
            <w:vAlign w:val="bottom"/>
          </w:tcPr>
          <w:p>
            <w:pPr>
              <w:spacing w:after="0"/>
              <w:rPr>
                <w:sz w:val="24"/>
                <w:szCs w:val="24"/>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The following table summarizes information about options outstanding as of September 2, 2010: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4"/>
              </w:rPr>
              <w:t>Outstanding Options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gridSpan w:val="5"/>
          </w:tcPr>
          <w:p>
            <w:pPr>
              <w:ind w:left="1080"/>
              <w:spacing w:after="0"/>
              <w:rPr>
                <w:sz w:val="20"/>
                <w:szCs w:val="20"/>
                <w:color w:val="auto"/>
              </w:rPr>
            </w:pPr>
            <w:r>
              <w:rPr>
                <w:rFonts w:ascii="Arial" w:cs="Arial" w:eastAsia="Arial" w:hAnsi="Arial"/>
                <w:sz w:val="17"/>
                <w:szCs w:val="17"/>
                <w:b w:val="1"/>
                <w:bCs w:val="1"/>
                <w:color w:val="auto"/>
              </w:rPr>
              <w:t>Exercisable options</w:t>
            </w:r>
          </w:p>
        </w:tc>
      </w:tr>
      <w:tr>
        <w:trPr>
          <w:trHeight w:val="189"/>
        </w:trPr>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center"/>
              <w:ind w:right="140"/>
              <w:spacing w:after="0" w:line="189" w:lineRule="exact"/>
              <w:rPr>
                <w:sz w:val="20"/>
                <w:szCs w:val="20"/>
                <w:color w:val="auto"/>
              </w:rPr>
            </w:pPr>
            <w:r>
              <w:rPr>
                <w:rFonts w:ascii="Arial" w:cs="Arial" w:eastAsia="Arial" w:hAnsi="Arial"/>
                <w:sz w:val="17"/>
                <w:szCs w:val="17"/>
                <w:b w:val="1"/>
                <w:bCs w:val="1"/>
                <w:color w:val="auto"/>
                <w:w w:val="89"/>
              </w:rPr>
              <w:t>Weighted-Average</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Remaining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Weighted-Average</w:t>
            </w: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Weighted-Average</w:t>
            </w:r>
          </w:p>
        </w:tc>
      </w:tr>
      <w:tr>
        <w:trPr>
          <w:trHeight w:val="205"/>
        </w:trPr>
        <w:tc>
          <w:tcPr>
            <w:tcW w:w="1880" w:type="dxa"/>
            <w:vAlign w:val="bottom"/>
            <w:gridSpan w:val="3"/>
          </w:tcPr>
          <w:p>
            <w:pPr>
              <w:spacing w:after="0"/>
              <w:rPr>
                <w:sz w:val="20"/>
                <w:szCs w:val="20"/>
                <w:color w:val="auto"/>
              </w:rPr>
            </w:pPr>
            <w:r>
              <w:rPr>
                <w:rFonts w:ascii="Arial" w:cs="Arial" w:eastAsia="Arial" w:hAnsi="Arial"/>
                <w:sz w:val="17"/>
                <w:szCs w:val="17"/>
                <w:b w:val="1"/>
                <w:bCs w:val="1"/>
                <w:color w:val="auto"/>
              </w:rPr>
              <w:t>Range of Exercise</w:t>
            </w:r>
          </w:p>
        </w:tc>
        <w:tc>
          <w:tcPr>
            <w:tcW w:w="19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Number</w:t>
            </w:r>
          </w:p>
        </w:tc>
        <w:tc>
          <w:tcPr>
            <w:tcW w:w="18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5"/>
              </w:rPr>
              <w:t>Contractual Life (In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0"/>
              </w:rPr>
              <w:t>Exercise Price Per</w:t>
            </w:r>
          </w:p>
        </w:tc>
        <w:tc>
          <w:tcPr>
            <w:tcW w:w="1960" w:type="dxa"/>
            <w:vAlign w:val="bottom"/>
            <w:gridSpan w:val="2"/>
          </w:tcPr>
          <w:p>
            <w:pPr>
              <w:jc w:val="right"/>
              <w:ind w:right="84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Exercise Price Per</w:t>
            </w:r>
          </w:p>
        </w:tc>
      </w:tr>
      <w:tr>
        <w:trPr>
          <w:trHeight w:val="227"/>
        </w:trPr>
        <w:tc>
          <w:tcPr>
            <w:tcW w:w="580" w:type="dxa"/>
            <w:vAlign w:val="bottom"/>
          </w:tcPr>
          <w:p>
            <w:pPr>
              <w:spacing w:after="0"/>
              <w:rPr>
                <w:sz w:val="20"/>
                <w:szCs w:val="20"/>
                <w:color w:val="auto"/>
              </w:rPr>
            </w:pPr>
            <w:r>
              <w:rPr>
                <w:rFonts w:ascii="Arial" w:cs="Arial" w:eastAsia="Arial" w:hAnsi="Arial"/>
                <w:sz w:val="17"/>
                <w:szCs w:val="17"/>
                <w:b w:val="1"/>
                <w:bCs w:val="1"/>
                <w:color w:val="auto"/>
              </w:rPr>
              <w:t>Prices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of Shares</w:t>
            </w: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Years)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8"/>
              </w:rPr>
              <w:t>Share</w:t>
            </w:r>
          </w:p>
        </w:tc>
        <w:tc>
          <w:tcPr>
            <w:tcW w:w="1960" w:type="dxa"/>
            <w:vAlign w:val="bottom"/>
            <w:gridSpan w:val="2"/>
          </w:tcPr>
          <w:p>
            <w:pPr>
              <w:jc w:val="right"/>
              <w:ind w:right="800"/>
              <w:spacing w:after="0"/>
              <w:rPr>
                <w:sz w:val="20"/>
                <w:szCs w:val="20"/>
                <w:color w:val="auto"/>
              </w:rPr>
            </w:pPr>
            <w:r>
              <w:rPr>
                <w:rFonts w:ascii="Arial" w:cs="Arial" w:eastAsia="Arial" w:hAnsi="Arial"/>
                <w:sz w:val="17"/>
                <w:szCs w:val="17"/>
                <w:b w:val="1"/>
                <w:bCs w:val="1"/>
                <w:color w:val="auto"/>
              </w:rPr>
              <w:t>of Shares</w:t>
            </w:r>
          </w:p>
        </w:tc>
        <w:tc>
          <w:tcPr>
            <w:tcW w:w="10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Share</w:t>
            </w:r>
          </w:p>
        </w:tc>
      </w:tr>
      <w:tr>
        <w:trPr>
          <w:trHeight w:val="205"/>
        </w:trPr>
        <w:tc>
          <w:tcPr>
            <w:tcW w:w="5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1.56 - $6.86</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3.70</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w:t>
            </w:r>
          </w:p>
        </w:tc>
      </w:tr>
      <w:tr>
        <w:trPr>
          <w:trHeight w:val="205"/>
        </w:trPr>
        <w:tc>
          <w:tcPr>
            <w:tcW w:w="5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7.01 - 9.97</w:t>
            </w:r>
          </w:p>
        </w:tc>
        <w:tc>
          <w:tcPr>
            <w:tcW w:w="1620" w:type="dxa"/>
            <w:vAlign w:val="bottom"/>
          </w:tcPr>
          <w:p>
            <w:pPr>
              <w:jc w:val="right"/>
              <w:spacing w:after="0"/>
              <w:rPr>
                <w:sz w:val="20"/>
                <w:szCs w:val="20"/>
                <w:color w:val="auto"/>
              </w:rPr>
            </w:pPr>
            <w:r>
              <w:rPr>
                <w:rFonts w:ascii="Arial" w:cs="Arial" w:eastAsia="Arial" w:hAnsi="Arial"/>
                <w:sz w:val="17"/>
                <w:szCs w:val="17"/>
                <w:color w:val="auto"/>
              </w:rPr>
              <w:t>16.4</w:t>
            </w:r>
          </w:p>
        </w:tc>
        <w:tc>
          <w:tcPr>
            <w:tcW w:w="28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7"/>
                <w:szCs w:val="17"/>
                <w:color w:val="auto"/>
              </w:rPr>
              <w:t>7.68</w:t>
            </w:r>
          </w:p>
        </w:tc>
        <w:tc>
          <w:tcPr>
            <w:tcW w:w="1960" w:type="dxa"/>
            <w:vAlign w:val="bottom"/>
            <w:gridSpan w:val="2"/>
          </w:tcPr>
          <w:p>
            <w:pPr>
              <w:jc w:val="right"/>
              <w:ind w:right="3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8.98</w:t>
            </w:r>
          </w:p>
        </w:tc>
      </w:tr>
      <w:tr>
        <w:trPr>
          <w:trHeight w:val="205"/>
        </w:trPr>
        <w:tc>
          <w:tcPr>
            <w:tcW w:w="5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9"/>
              </w:rPr>
              <w:t>10.00 - 14.01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2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12.51</w:t>
            </w:r>
          </w:p>
        </w:tc>
      </w:tr>
      <w:tr>
        <w:trPr>
          <w:trHeight w:val="205"/>
        </w:trPr>
        <w:tc>
          <w:tcPr>
            <w:tcW w:w="5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w w:val="99"/>
              </w:rPr>
              <w:t>14.06 - 22.83</w:t>
            </w:r>
          </w:p>
        </w:tc>
        <w:tc>
          <w:tcPr>
            <w:tcW w:w="1620" w:type="dxa"/>
            <w:vAlign w:val="bottom"/>
          </w:tcPr>
          <w:p>
            <w:pPr>
              <w:jc w:val="right"/>
              <w:spacing w:after="0"/>
              <w:rPr>
                <w:sz w:val="20"/>
                <w:szCs w:val="20"/>
                <w:color w:val="auto"/>
              </w:rPr>
            </w:pPr>
            <w:r>
              <w:rPr>
                <w:rFonts w:ascii="Arial" w:cs="Arial" w:eastAsia="Arial" w:hAnsi="Arial"/>
                <w:sz w:val="17"/>
                <w:szCs w:val="17"/>
                <w:color w:val="auto"/>
              </w:rPr>
              <w:t>20.9</w:t>
            </w:r>
          </w:p>
        </w:tc>
        <w:tc>
          <w:tcPr>
            <w:tcW w:w="28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19.10</w:t>
            </w:r>
          </w:p>
        </w:tc>
        <w:tc>
          <w:tcPr>
            <w:tcW w:w="300" w:type="dxa"/>
            <w:vAlign w:val="bottom"/>
          </w:tcPr>
          <w:p>
            <w:pPr>
              <w:spacing w:after="0"/>
              <w:rPr>
                <w:sz w:val="17"/>
                <w:szCs w:val="17"/>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19.13</w:t>
            </w:r>
          </w:p>
        </w:tc>
      </w:tr>
      <w:tr>
        <w:trPr>
          <w:trHeight w:val="205"/>
        </w:trPr>
        <w:tc>
          <w:tcPr>
            <w:tcW w:w="5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9"/>
              </w:rPr>
              <w:t>23.25 - 44.90</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30.37</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30.37</w:t>
            </w:r>
          </w:p>
        </w:tc>
      </w:tr>
      <w:tr>
        <w:trPr>
          <w:trHeight w:val="26"/>
        </w:trPr>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116.3</w:t>
            </w:r>
          </w:p>
        </w:tc>
        <w:tc>
          <w:tcPr>
            <w:tcW w:w="28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12.79</w:t>
            </w:r>
          </w:p>
        </w:tc>
        <w:tc>
          <w:tcPr>
            <w:tcW w:w="300" w:type="dxa"/>
            <w:vAlign w:val="bottom"/>
          </w:tcPr>
          <w:p>
            <w:pPr>
              <w:spacing w:after="0"/>
              <w:rPr>
                <w:sz w:val="17"/>
                <w:szCs w:val="17"/>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15.93</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The weighted-average grant-date fair value per share was $4.13, $1.71 and $2.52 for options granted during 2010, 2009 and 2008, respectively. The total intrinsic value was $13 million for options exercised during 2010, and de minimis for 2009 and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Changes in nonvested options for 2010 are summarized as follows: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Weighted-</w:t>
            </w: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Average Grant</w:t>
            </w: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Date Fair</w:t>
            </w: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Value</w:t>
            </w:r>
          </w:p>
        </w:tc>
      </w:tr>
      <w:tr>
        <w:trPr>
          <w:trHeight w:val="227"/>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of 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Per Share</w:t>
            </w:r>
          </w:p>
        </w:tc>
      </w:t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Nonvested at September 3, 2009</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Granted</w:t>
            </w:r>
          </w:p>
        </w:tc>
        <w:tc>
          <w:tcPr>
            <w:tcW w:w="1400" w:type="dxa"/>
            <w:vAlign w:val="bottom"/>
            <w:gridSpan w:val="3"/>
          </w:tcPr>
          <w:p>
            <w:pPr>
              <w:jc w:val="right"/>
              <w:ind w:right="140"/>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4.13</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3.01</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Cancelled</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2.67</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Nonvested at September 2, 2010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As of September 2, 2010, $76 million of total unrecognized compensation cost related to nonvested awards was expected to be recognized through the fourth quarter of 2014, resulting in a weighted-average period of 1.3 years. As of September 2, 2010, nonvested options had a weighted-average exercise price of $5.80, a weighted-average remaining contractual life of 4.6 years and an aggregate intrinsic value of $61 million.</w:t>
      </w: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fair values of option awards were estimated as of the date of grant using the Black-Scholes option valuation model. The Black-Scholes model requires the input of assumptions, including the expected stock price volatility and estimated option life. The expected volatilities utilized were based on implied volatilities from traded options on our stock and on historical volatility. The expected lives of options granted subsequent to 2008 were based, in part, on historical experience and on the terms and conditions of the options. The expected lives of options granted prior to 2009 were based on the simplified method provided by the Securities and Exchange Commission. The risk-free interest rates utilized were based on the U.S. Treasury yield in effect at the time of the grant. No dividends were assumed in estimated option values. Assumptions used in the Black-Scholes model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95"/>
              <w:spacing w:after="0"/>
              <w:rPr>
                <w:sz w:val="20"/>
                <w:szCs w:val="20"/>
                <w:color w:val="auto"/>
              </w:rPr>
            </w:pPr>
            <w:r>
              <w:rPr>
                <w:rFonts w:ascii="Arial" w:cs="Arial" w:eastAsia="Arial" w:hAnsi="Arial"/>
                <w:sz w:val="17"/>
                <w:szCs w:val="17"/>
                <w:b w:val="1"/>
                <w:bCs w:val="1"/>
                <w:color w:val="auto"/>
              </w:rPr>
              <w:t>2009</w:t>
            </w:r>
          </w:p>
        </w:tc>
        <w:tc>
          <w:tcPr>
            <w:tcW w:w="260" w:type="dxa"/>
            <w:vAlign w:val="bottom"/>
          </w:tcPr>
          <w:p>
            <w:pPr>
              <w:spacing w:after="0"/>
              <w:rPr>
                <w:sz w:val="19"/>
                <w:szCs w:val="19"/>
                <w:color w:val="auto"/>
              </w:rPr>
            </w:pPr>
          </w:p>
        </w:tc>
        <w:tc>
          <w:tcPr>
            <w:tcW w:w="114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9"/>
                <w:szCs w:val="19"/>
                <w:color w:val="auto"/>
              </w:rPr>
            </w:pPr>
          </w:p>
        </w:tc>
      </w:tr>
      <w:tr>
        <w:trPr>
          <w:trHeight w:val="205"/>
        </w:trPr>
        <w:tc>
          <w:tcPr>
            <w:tcW w:w="7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8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Average expected life in years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w:t>
            </w:r>
          </w:p>
        </w:tc>
      </w:tr>
      <w:tr>
        <w:trPr>
          <w:trHeight w:val="205"/>
        </w:trPr>
        <w:tc>
          <w:tcPr>
            <w:tcW w:w="8200" w:type="dxa"/>
            <w:vAlign w:val="bottom"/>
            <w:gridSpan w:val="3"/>
          </w:tcPr>
          <w:p>
            <w:pPr>
              <w:spacing w:after="0"/>
              <w:rPr>
                <w:sz w:val="20"/>
                <w:szCs w:val="20"/>
                <w:color w:val="auto"/>
              </w:rPr>
            </w:pPr>
            <w:r>
              <w:rPr>
                <w:rFonts w:ascii="Arial" w:cs="Arial" w:eastAsia="Arial" w:hAnsi="Arial"/>
                <w:sz w:val="17"/>
                <w:szCs w:val="17"/>
                <w:color w:val="auto"/>
              </w:rPr>
              <w:t>Weighted-average volatility</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60%</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47%</w:t>
            </w:r>
          </w:p>
        </w:tc>
      </w:tr>
      <w:tr>
        <w:trPr>
          <w:trHeight w:val="205"/>
        </w:trPr>
        <w:tc>
          <w:tcPr>
            <w:tcW w:w="8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risk-free interest rate</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576"/>
        </w:trPr>
        <w:tc>
          <w:tcPr>
            <w:tcW w:w="7280" w:type="dxa"/>
            <w:vAlign w:val="bottom"/>
          </w:tcPr>
          <w:p>
            <w:pPr>
              <w:jc w:val="right"/>
              <w:ind w:right="139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3"/>
        </w:trPr>
        <w:tc>
          <w:tcPr>
            <w:tcW w:w="7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30" w:right="239" w:bottom="1440" w:gutter="0" w:footer="0" w:header="0"/>
        </w:sectPr>
      </w:pPr>
    </w:p>
    <w:bookmarkStart w:id="59" w:name="page60"/>
    <w:bookmarkEnd w:id="59"/>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Restricted stock and restricted stock units ("Restricted Stock Awards"): </w:t>
      </w:r>
      <w:r>
        <w:rPr>
          <w:rFonts w:ascii="Arial" w:cs="Arial" w:eastAsia="Arial" w:hAnsi="Arial"/>
          <w:sz w:val="17"/>
          <w:szCs w:val="17"/>
          <w:color w:val="auto"/>
        </w:rPr>
        <w:t>As of September 2, 2010, 8.6 million shares of Restricted Stock Awards were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1.4 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performance goals. Restricted Stock Awards activity for 2010 is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4"/>
              </w:rPr>
              <w:t>Number of</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Life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Aggregate</w:t>
            </w:r>
          </w:p>
        </w:tc>
      </w:tr>
      <w:tr>
        <w:trPr>
          <w:trHeight w:val="227"/>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195"/>
              <w:spacing w:after="0"/>
              <w:rPr>
                <w:sz w:val="20"/>
                <w:szCs w:val="20"/>
                <w:color w:val="auto"/>
              </w:rPr>
            </w:pPr>
            <w:r>
              <w:rPr>
                <w:rFonts w:ascii="Arial" w:cs="Arial" w:eastAsia="Arial" w:hAnsi="Arial"/>
                <w:sz w:val="17"/>
                <w:szCs w:val="17"/>
                <w:b w:val="1"/>
                <w:bCs w:val="1"/>
                <w:color w:val="auto"/>
                <w:w w:val="88"/>
              </w:rPr>
              <w:t>Shares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(In Years)</w:t>
            </w:r>
          </w:p>
        </w:tc>
        <w:tc>
          <w:tcPr>
            <w:tcW w:w="1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Intrinsic Value</w:t>
            </w: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Outstanding at September 3, 2009</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300" w:type="dxa"/>
            <w:vAlign w:val="bottom"/>
            <w:gridSpan w:val="3"/>
          </w:tcPr>
          <w:p>
            <w:pPr>
              <w:spacing w:after="0"/>
              <w:rPr>
                <w:sz w:val="20"/>
                <w:szCs w:val="20"/>
                <w:color w:val="auto"/>
              </w:rPr>
            </w:pPr>
            <w:r>
              <w:rPr>
                <w:rFonts w:ascii="Arial" w:cs="Arial" w:eastAsia="Arial" w:hAnsi="Arial"/>
                <w:sz w:val="17"/>
                <w:szCs w:val="17"/>
                <w:color w:val="auto"/>
              </w:rPr>
              <w:t>Granted</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7.7</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Restrictions lapsed</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(7.4)</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7440" w:type="dxa"/>
            <w:vAlign w:val="bottom"/>
            <w:gridSpan w:val="2"/>
          </w:tcPr>
          <w:p>
            <w:pPr>
              <w:spacing w:after="0"/>
              <w:rPr>
                <w:sz w:val="20"/>
                <w:szCs w:val="20"/>
                <w:color w:val="auto"/>
              </w:rPr>
            </w:pPr>
            <w:r>
              <w:rPr>
                <w:rFonts w:ascii="Arial" w:cs="Arial" w:eastAsia="Arial" w:hAnsi="Arial"/>
                <w:sz w:val="17"/>
                <w:szCs w:val="17"/>
                <w:color w:val="auto"/>
              </w:rPr>
              <w:t>Cancelled</w:t>
            </w:r>
          </w:p>
        </w:tc>
        <w:tc>
          <w:tcPr>
            <w:tcW w:w="8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(1.1)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40" w:type="dxa"/>
            <w:vAlign w:val="bottom"/>
            <w:tcBorders>
              <w:bottom w:val="single" w:sz="8" w:color="CCEEFF"/>
            </w:tcBorders>
            <w:gridSpan w:val="2"/>
            <w:shd w:val="clear" w:color="auto" w:fill="CCEEFF"/>
          </w:tcPr>
          <w:p>
            <w:pPr>
              <w:spacing w:after="0" w:line="185" w:lineRule="exact"/>
              <w:rPr>
                <w:sz w:val="20"/>
                <w:szCs w:val="20"/>
                <w:color w:val="auto"/>
              </w:rPr>
            </w:pPr>
            <w:r>
              <w:rPr>
                <w:rFonts w:ascii="Arial" w:cs="Arial" w:eastAsia="Arial" w:hAnsi="Arial"/>
                <w:sz w:val="17"/>
                <w:szCs w:val="17"/>
                <w:color w:val="auto"/>
              </w:rPr>
              <w:t>Outstanding at September 2, 2010</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8.6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1.5</w:t>
            </w:r>
          </w:p>
        </w:tc>
        <w:tc>
          <w:tcPr>
            <w:tcW w:w="260" w:type="dxa"/>
            <w:vAlign w:val="bottom"/>
            <w:tcBorders>
              <w:bottom w:val="single" w:sz="8" w:color="CCEEFF"/>
            </w:tcBorders>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Expected to vest after September 2, 2010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weighted-average grant-date fair value for restricted stock awards granted during 2010, 2009 and 2008 was $8.29, $4.40 and $8.41 per share, respectively. The aggregate value at the lapse date of awards for which restrictions lapsed during 2010, 2009 and 2008 was $65 million, $8 million and $12 million, respectively. As of September 2, 2010, there was $36 million of total unrecognized compensation cost, net of estimated forfeitures, related to nonvested restricted stock awards, which is expected to be recognized through the third quarter of 2014, resulting in a weighted-average period of 0.9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7"/>
                <w:szCs w:val="17"/>
                <w:b w:val="1"/>
                <w:bCs w:val="1"/>
                <w:i w:val="1"/>
                <w:iCs w:val="1"/>
                <w:color w:val="auto"/>
                <w:w w:val="94"/>
              </w:rPr>
              <w:t xml:space="preserve">Stock-based compensation expense: </w:t>
            </w:r>
            <w:r>
              <w:rPr>
                <w:rFonts w:ascii="Arial" w:cs="Arial" w:eastAsia="Arial" w:hAnsi="Arial"/>
                <w:sz w:val="17"/>
                <w:szCs w:val="17"/>
                <w:color w:val="auto"/>
                <w:w w:val="94"/>
              </w:rPr>
              <w:t>Total compensation costs for our equity plans were as follows: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3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7"/>
                <w:szCs w:val="17"/>
                <w:b w:val="1"/>
                <w:bCs w:val="1"/>
                <w:color w:val="auto"/>
              </w:rPr>
              <w:t>2009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410"/>
        </w:trPr>
        <w:tc>
          <w:tcPr>
            <w:tcW w:w="7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Stock-based compensation expense by caption:</w:t>
            </w: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 operating (income) expense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3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21"/>
                <w:szCs w:val="21"/>
                <w:color w:val="auto"/>
              </w:rPr>
            </w:pPr>
          </w:p>
        </w:tc>
      </w:tr>
      <w:tr>
        <w:trPr>
          <w:trHeight w:val="19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 by type of award: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Stock options</w:t>
            </w:r>
          </w:p>
        </w:tc>
        <w:tc>
          <w:tcPr>
            <w:tcW w:w="98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stock awards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320" w:type="dxa"/>
            <w:vAlign w:val="bottom"/>
          </w:tcPr>
          <w:p>
            <w:pPr>
              <w:spacing w:after="0"/>
              <w:rPr>
                <w:sz w:val="17"/>
                <w:szCs w:val="17"/>
                <w:color w:val="auto"/>
              </w:rPr>
            </w:pPr>
          </w:p>
        </w:tc>
        <w:tc>
          <w:tcPr>
            <w:tcW w:w="98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of $4 million and $3 million was capitalized and remained in inventory as of September 2, 2010 and September 3,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As of September 2, 2010, $112 million of total unrecognized compensation costs, net of estimated forfeitures, related to non-vested awards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recognized through the fourth quarter of 2014, resulting in a weighted-average period of 1.2 years. During 2010, we determined that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restricted stock that previously had not been expensed met the probability threshold for expense recognition due to improved operating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results. Stock-based compensation expense in the above presentation does not reflect any significant income tax benefits, which is consistent with our treatment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income or loss from our U.S. operations. (See "Income Taxes" note.)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0" w:name="page61"/>
    <w:bookmarkEnd w:id="60"/>
    <w:p>
      <w:pPr>
        <w:spacing w:after="0"/>
        <w:rPr>
          <w:sz w:val="20"/>
          <w:szCs w:val="20"/>
          <w:color w:val="auto"/>
        </w:rPr>
      </w:pPr>
      <w:r>
        <w:rPr>
          <w:rFonts w:ascii="Arial" w:cs="Arial" w:eastAsia="Arial" w:hAnsi="Arial"/>
          <w:sz w:val="21"/>
          <w:szCs w:val="21"/>
          <w:b w:val="1"/>
          <w:bCs w:val="1"/>
          <w:color w:val="auto"/>
        </w:rPr>
        <w:t>Employee Benefit Plans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We have employee retirement plans at our U.S. and international sites. Details of the more significant plans are discussed as follows:</w:t>
      </w:r>
    </w:p>
    <w:p>
      <w:pPr>
        <w:spacing w:after="0" w:line="24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 xml:space="preserve">Employee savings plan for U.S. employees: </w:t>
      </w:r>
      <w:r>
        <w:rPr>
          <w:rFonts w:ascii="Arial" w:cs="Arial" w:eastAsia="Arial" w:hAnsi="Arial"/>
          <w:sz w:val="17"/>
          <w:szCs w:val="17"/>
          <w:color w:val="auto"/>
        </w:rPr>
        <w:t>We have a 401(k) retirement plan ("RAM Plan") under which U.S. employees may contribute up to 45% of their eligible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 (subject to IRS annual contribution limits) to various savings alternatives, none of which include direct investment in our common stock. Under the RAM plan, we matched in cash eligible contributions from employees up to 4% of the employee’s annual eligible earnings or $2,000, whichever was greater. In 2009, we suspended our match under in the RAM plan. Contribution expense for the RAM Plan was $16 million and $32 million in 2009 and 2008, respectively. We anticipate reinstating our match under the RAM plan in 2011.</w:t>
      </w:r>
    </w:p>
    <w:p>
      <w:pPr>
        <w:spacing w:after="0" w:line="202"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b w:val="1"/>
          <w:bCs w:val="1"/>
          <w:i w:val="1"/>
          <w:iCs w:val="1"/>
          <w:color w:val="auto"/>
        </w:rPr>
        <w:t>Retirement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pension plans in various countries worldwide. The pension plans are only available to local employees and are generally government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mandated. We have determined that these pension plans are not material for separate disclosure purposes.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Restructure</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response to a severe downturn in the semiconductor memory industry and global economic conditions, we initiated a restructure plan in 2009. In the first quarter of 2009, IM Flash, our joint venture and Intel, terminated an agreement to obtain NAND Flash memory supply from our Boise facility. In connection therewith, Intel paid us $208 million in 2009. In addition, we phased out all remaining 200mm DRAM wafer manufacturing operations in Boise, Idaho in the second half of 2009. As a result of these restructure plans, we reduced employment in 2009 by approximately 4,600 employees, or approximately 20%. The following table summarizes restructure charges (credits) resulting from the restructure activities: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loss from disposition of equipment</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Severance and other termination benefits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from termination of NAND Flash supply agreement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1"/>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r>
      <w:tr>
        <w:trPr>
          <w:trHeight w:val="225"/>
        </w:trPr>
        <w:tc>
          <w:tcPr>
            <w:tcW w:w="7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During 2010, we made cash payments of $7 million, for severance and related termination benefits and costs to decommission production facilities. As of September 2, 2010, all amounts related to the restructure plan initiated in 2009 had been paid and as of September 3, 2009, $5 million of restructure costs, primarily related to severance and other termination benefits, were unpaid. We do not expect to incur any additional material restructure charges related to the plan initiated in 2009.</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Operating (Income) Expense, Net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(income) expense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Government grants in connection with operations in China</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Receipts from U.S. government for anti-dumping tariffs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82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disposition of property, plant and equipment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(Gain) loss from changes in currency exchange rates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w:t>
            </w:r>
          </w:p>
        </w:tc>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82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17" w:right="239" w:bottom="1440" w:gutter="0" w:footer="0" w:header="0"/>
        </w:sectPr>
      </w:pPr>
    </w:p>
    <w:bookmarkStart w:id="61" w:name="page62"/>
    <w:bookmarkEnd w:id="61"/>
    <w:p>
      <w:pPr>
        <w:spacing w:after="0"/>
        <w:rPr>
          <w:sz w:val="20"/>
          <w:szCs w:val="20"/>
          <w:color w:val="auto"/>
        </w:rPr>
      </w:pPr>
      <w:r>
        <w:rPr>
          <w:rFonts w:ascii="Arial" w:cs="Arial" w:eastAsia="Arial" w:hAnsi="Arial"/>
          <w:sz w:val="21"/>
          <w:szCs w:val="21"/>
          <w:b w:val="1"/>
          <w:bCs w:val="1"/>
          <w:color w:val="auto"/>
        </w:rPr>
        <w:t>Income Taxes</w:t>
      </w:r>
    </w:p>
    <w:p>
      <w:pPr>
        <w:spacing w:after="0" w:line="235" w:lineRule="exact"/>
        <w:rPr>
          <w:sz w:val="20"/>
          <w:szCs w:val="20"/>
          <w:color w:val="auto"/>
        </w:rPr>
      </w:pPr>
    </w:p>
    <w:p>
      <w:pPr>
        <w:ind w:right="540"/>
        <w:spacing w:after="0" w:line="277" w:lineRule="auto"/>
        <w:rPr>
          <w:sz w:val="20"/>
          <w:szCs w:val="20"/>
          <w:color w:val="auto"/>
        </w:rPr>
      </w:pPr>
      <w:r>
        <w:rPr>
          <w:rFonts w:ascii="Arial" w:cs="Arial" w:eastAsia="Arial" w:hAnsi="Arial"/>
          <w:sz w:val="17"/>
          <w:szCs w:val="17"/>
          <w:color w:val="auto"/>
        </w:rPr>
        <w:t>Income (loss) before taxes, net (income) loss attributable to noncontrolling interests and equity in net income (loss) of equity method investees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398"/>
        </w:trPr>
        <w:tc>
          <w:tcPr>
            <w:tcW w:w="7320" w:type="dxa"/>
            <w:vAlign w:val="bottom"/>
          </w:tcPr>
          <w:p>
            <w:pPr>
              <w:spacing w:after="0"/>
              <w:rPr>
                <w:sz w:val="20"/>
                <w:szCs w:val="20"/>
                <w:color w:val="auto"/>
              </w:rPr>
            </w:pPr>
            <w:r>
              <w:rPr>
                <w:rFonts w:ascii="Arial" w:cs="Arial" w:eastAsia="Arial" w:hAnsi="Arial"/>
                <w:sz w:val="17"/>
                <w:szCs w:val="17"/>
                <w:color w:val="auto"/>
                <w:w w:val="96"/>
              </w:rPr>
              <w:t>Income (loss) before taxes, net (income) loss attributable to noncontrolling interests and equity in net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320" w:type="dxa"/>
            <w:vAlign w:val="bottom"/>
          </w:tcPr>
          <w:p>
            <w:pPr>
              <w:ind w:left="320"/>
              <w:spacing w:after="0"/>
              <w:rPr>
                <w:sz w:val="20"/>
                <w:szCs w:val="20"/>
                <w:color w:val="auto"/>
              </w:rPr>
            </w:pPr>
            <w:r>
              <w:rPr>
                <w:rFonts w:ascii="Arial" w:cs="Arial" w:eastAsia="Arial" w:hAnsi="Arial"/>
                <w:sz w:val="17"/>
                <w:szCs w:val="17"/>
                <w:color w:val="auto"/>
              </w:rPr>
              <w:t>income (loss) of equity method investees: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(1,749)</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Foreign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(1,647)</w:t>
            </w:r>
          </w:p>
        </w:tc>
      </w:tr>
      <w:tr>
        <w:trPr>
          <w:trHeight w:val="19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Current: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U.S. federal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State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U.S. federal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Foreign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benefit computed using the U.S. federal statutory rate reconciled to income tax (provision) benefit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2010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U.S. federal income tax (provision) benefit at statutory rate</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(672)</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577</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424</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(460)</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Gain on acquisition of Numonyx</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153</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Foreign operations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135</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Tax credits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State taxes reflect investment tax credits of $6 million, $7 million and $12 million for 2010, 2009 and 2008,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2" w:name="page63"/>
    <w:bookmarkEnd w:id="62"/>
    <w:p>
      <w:pPr>
        <w:ind w:right="900"/>
        <w:spacing w:after="0" w:line="277" w:lineRule="auto"/>
        <w:rPr>
          <w:sz w:val="20"/>
          <w:szCs w:val="20"/>
          <w:color w:val="auto"/>
        </w:rPr>
      </w:pPr>
      <w:r>
        <w:rPr>
          <w:rFonts w:ascii="Arial" w:cs="Arial" w:eastAsia="Arial" w:hAnsi="Arial"/>
          <w:sz w:val="17"/>
          <w:szCs w:val="17"/>
          <w:color w:val="auto"/>
        </w:rPr>
        <w:t>Deferred income taxes reflect the net tax effects of temporary differences between the bases of assets and liabilities for financial reporting and income tax purposes. Deferred tax assets and liabilities consist of the following as of the end of the periods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 and credit carryforwards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1,965</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wages and benefits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Deferred 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Basis differences in investments in joint ventures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1"/>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2,447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(2,006)</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7"/>
                <w:szCs w:val="17"/>
                <w:color w:val="auto"/>
              </w:rPr>
              <w:t>Deferred tax assets, net of valuation allowance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441</w:t>
            </w:r>
          </w:p>
        </w:tc>
      </w:tr>
      <w:tr>
        <w:trPr>
          <w:trHeight w:val="205"/>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Unremitted earnings on certain subsidiaries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Debt discount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(112)</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Product and process technology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(320)</w:t>
            </w:r>
          </w:p>
        </w:tc>
      </w:tr>
      <w:tr>
        <w:trPr>
          <w:trHeight w:val="205"/>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Reported as: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Current deferred tax assets (included in other current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Noncurrent deferred tax assets (included in other noncurrent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liabilities (included in other noncurrent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have a valuation allowance against substantially all U.S. net deferred tax assets. As of September 2, 2010, our federal, state and foreign net operating loss carryforwards were $2.4 billion, $2.0 billion and $290 million, respectively. If not utilized, substantially all of our federal and state net operating loss carryforwards will expire in 2022 to 2029 and the foreign net operating loss carryforwards will begin to expire in 2015. As of September 2, 2010, our federal and state tax credit carryforwards were $188 million and $204 million, respectively. If not utilized, substantially all of our federal and state tax credit carryforwards will expire in 2013 to 2030.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changes in valuation allowance of $(379) million and $566 million in 2010 and 2009, respectively, are primarily due to utilization of U.S. net operating losses and certain tax credit carryforwards. The decrease in the valuation allowance in 2010 was offset with an increase in the valuation allowance of $64 million related to deferred tax assets of Numonyx consisting primarily of net operating losses in foreign jurisdictions.</w:t>
      </w:r>
    </w:p>
    <w:p>
      <w:pPr>
        <w:spacing w:after="0" w:line="201"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Provision has been made for deferred taxes on undistributed earnings of non-U.S. subsidiaries to the extent that dividend payments from such companies are expected to result in additional tax liability. During 2008 a decision was made to not be indefinitely reinvested in certain foreign jurisdictions. For the year ended August 28, 2008, $322 million of earnings that in prior years had been considered indefinitely reinvested in foreign operations were determined to no longer be indefinitely reinvested. This decision resulted in no impact to the consolidated statement of operations as we have a full valuation allowance against our net U.S. deferred tax assets. Remaining undistributed earnings of $886 million as of September 2, 2010 have been indefinitely reinvested; therefore, no provision has been made for taxes due upon remittance of these earnings. Determination of the amount of unrecognized deferred tax liability on these unremitted earnings is not practicable.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Below is a reconciliation of the beginning and ending amount of unrecognized tax benefits: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3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2"/>
              <w:spacing w:after="0"/>
              <w:rPr>
                <w:sz w:val="20"/>
                <w:szCs w:val="20"/>
                <w:color w:val="auto"/>
              </w:rPr>
            </w:pPr>
            <w:r>
              <w:rPr>
                <w:rFonts w:ascii="Arial" w:cs="Arial" w:eastAsia="Arial" w:hAnsi="Arial"/>
                <w:sz w:val="17"/>
                <w:szCs w:val="17"/>
                <w:b w:val="1"/>
                <w:bCs w:val="1"/>
                <w:color w:val="auto"/>
              </w:rPr>
              <w:t>2009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Beginning unrecognized tax benefits</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Unrecognized tax benefits acquired in current year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Increases related to tax positions from prior years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Increases related to tax positions taken during current year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Expiration of foreign statutes of limitations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Settlements with tax authorities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88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Ending unrecognized tax benefits</w:t>
            </w:r>
          </w:p>
        </w:tc>
        <w:tc>
          <w:tcPr>
            <w:tcW w:w="98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88</w:t>
            </w:r>
          </w:p>
        </w:tc>
        <w:tc>
          <w:tcPr>
            <w:tcW w:w="220" w:type="dxa"/>
            <w:vAlign w:val="bottom"/>
          </w:tcPr>
          <w:p>
            <w:pPr>
              <w:spacing w:after="0"/>
              <w:rPr>
                <w:sz w:val="17"/>
                <w:szCs w:val="17"/>
                <w:color w:val="auto"/>
              </w:rPr>
            </w:pP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balance as of September 2, 2010 and September 3, 2009 represents unrecognized income tax benefits, which if recognized, would affect our effective tax rate. As of September 2, 2010, accrued interest and penalties related to uncertain tax positions was $6 million. In connection with the acquisition of Numonyx, we accrued a $66 million liability related to uncertain tax positions on the tax years of Numonyx open to examination. We have recorded an indemnification asset for a significant portion of these unrecognized income tax benefits related to uncertain tax positions.</w:t>
      </w:r>
    </w:p>
    <w:p>
      <w:pPr>
        <w:spacing w:after="0" w:line="204"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We are unable to reasonably estimate any possible increase or decrease in uncertain tax positions that may occur within the next 12 months. However, we do not anticipate any such change will result in a material change to our financial condition or results of operations.</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currently operate in several tax jurisdictions where we have arrangements that allow us to compute our tax provision at rates below the local statutory rates that expire in whole or in part at various dates through 2022. These arrangements benefitted our tax provision in fiscal 2010 by approximately $69 million (approximately $0.07 per diluted share).</w:t>
      </w:r>
    </w:p>
    <w:p>
      <w:pPr>
        <w:spacing w:after="0" w:line="20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We and our subsidiaries file income tax returns with the United States federal government, various U.S. states and various foreign jurisdictions throughout the world. Our U.S. federal and state tax returns remain open to examination for 2005 through 2010 and 2004 through 2010, respectively. In addition, tax years open to examination in multiple foreign taxing jurisdictions range from 2003 to 2010. We are currently not under audit in foreign jurisdictions. We are currently under audit in New York.</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Micron’s shareholders – Basic</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(1,882)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Net effect of assumed conversion of debt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Micron’s shareholders – Diluted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(1,882)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(1,655)</w:t>
            </w:r>
          </w:p>
        </w:tc>
      </w:tr>
      <w:tr>
        <w:trPr>
          <w:trHeight w:val="19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 Basic</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887.5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772.5</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Net effect of dilutive equity awards, escrow shares and assumed conversion of debt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 Diluted</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772.5</w:t>
            </w:r>
          </w:p>
        </w:tc>
      </w:tr>
      <w:tr>
        <w:trPr>
          <w:trHeight w:val="19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Basic</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(2.35)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On May 7, 2010, in connection with the acquisition of Numonyx, we issued 137.7 million shares of our common stock and issued 4.8 million restricted stock</w:t>
      </w:r>
    </w:p>
    <w:p>
      <w:pPr>
        <w:spacing w:after="0" w:line="3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units. Of the restricted stock units issued, 1.6 million were vested as of the time of issuance. In connection with the Numonyx acquisition, as of September 2, 2010, there were 21.0 million shares of stock in escrow as partial security for Numonyx shareholders’ indemnity obligations. The shares held in escrow were included in diluted earnings per share but were excluded from basic earnings per share. (See "Numonyx Holdings B.V." note.)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7"/>
          <w:szCs w:val="17"/>
          <w:color w:val="auto"/>
        </w:rPr>
        <w:t>Listed below are the potential common shares, as of the end of the periods shown, that could dilute basic earnings per share in the future that were not included in the computation of diluted earnings per share because to do so would have been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4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2010</w:t>
            </w:r>
          </w:p>
        </w:tc>
        <w:tc>
          <w:tcPr>
            <w:tcW w:w="13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stock plans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92.2</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126.0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122.1</w:t>
            </w:r>
          </w:p>
        </w:tc>
      </w:tr>
      <w:tr>
        <w:trPr>
          <w:trHeight w:val="216"/>
        </w:trPr>
        <w:tc>
          <w:tcPr>
            <w:tcW w:w="8240" w:type="dxa"/>
            <w:vAlign w:val="bottom"/>
            <w:gridSpan w:val="3"/>
          </w:tcPr>
          <w:p>
            <w:pPr>
              <w:spacing w:after="0"/>
              <w:rPr>
                <w:sz w:val="20"/>
                <w:szCs w:val="20"/>
                <w:color w:val="auto"/>
              </w:rPr>
            </w:pPr>
            <w:r>
              <w:rPr>
                <w:rFonts w:ascii="Arial" w:cs="Arial" w:eastAsia="Arial" w:hAnsi="Arial"/>
                <w:sz w:val="17"/>
                <w:szCs w:val="17"/>
                <w:color w:val="auto"/>
              </w:rPr>
              <w:t>Convertible notes</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142.8</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97.6</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Variable Interest Entities</w:t>
      </w:r>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i w:val="1"/>
          <w:iCs w:val="1"/>
          <w:color w:val="auto"/>
        </w:rPr>
        <w:t xml:space="preserve">NAND Flash joint ventures with Intel ("IM Flash"): </w:t>
      </w:r>
      <w:r>
        <w:rPr>
          <w:rFonts w:ascii="Arial" w:cs="Arial" w:eastAsia="Arial" w:hAnsi="Arial"/>
          <w:sz w:val="16"/>
          <w:szCs w:val="16"/>
          <w:color w:val="auto"/>
        </w:rPr>
        <w:t>We have two joint ventures with Intel: IM Flash Technologies, LLC ("IMFT") formed in January, 2006 and 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Flash Singapore LLP ("IMFS") formed in February, 2007, to manufacture NAND Flash memory products for the exclusive benefit of the partners. IMFT and IMFS are each governed by a Board of Managers, the number of which adjusts depending on the parties’ ownership interest. We and Intel initially appointed an equal number of managers to each of the boards. These ventures will operate until 2016 but are subject to prior termination under certain terms and conditions. IMFT and IMFS are aggregated as IM Flash in the following disclosure due to the similarity of their ownership structure, function, operations and the way our management reviews the results of their operations. The partner’s ownership percentages are based on contributions to the partnership. As of September 2, 2010, we owned 51% and Intel owned 49% of IMFT and we owned 57% and Intel owned 43% of IMFS. Our ownership interest in IMFS increased to 71% on October 5, 2010, at which time we obtained a majority of the seats of the board of managers of IMFS.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IM Flash is a variable interest entity because all of its costs are passed to us and Intel through product purchase agreements and it is dependent upon us and Intel for any additional cash requirements. Intel is considered to be a related party under the accounting standards for consolidating variable interest entities due to restrictions on transfers of ownership interests. As a result, the primary beneficiary of IM Flash is the entity that is most closely associated with it. We considered several factors to determine whether we or Intel are more closely associated with IM Flash, including the size and nature of IM Flash’s operations relative to us and Intel and which entity had the majority of economic exposure under the purchase agreements. Based on those factors, we determined that we are more closely associated with IM Flash and are therefore the primary beneficiary. Accordingly, the financial results of IM Flash are included in our consolidated financial statements and all amounts pertaining to Intel’s interests in IM Flash are reported as noncontrolling interests in subsidiaries. (See "Significant Accounting Policies - Recently issued accounting standards" note.)</w:t>
      </w:r>
    </w:p>
    <w:p>
      <w:pPr>
        <w:spacing w:after="0" w:line="210"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color w:val="auto"/>
        </w:rPr>
        <w:t>IM Flash manufactures NAND Flash memory products using designs we developed with Intel. We generally share product design and other research and development ("R&amp;D") costs equally with Intel. As a result, R&amp;D expenses were reduced by reimbursements from Intel of $104 million, $107 million and $148 million in 2010, 2009 and 2008, respectively.</w:t>
      </w:r>
    </w:p>
    <w:p>
      <w:pPr>
        <w:spacing w:after="0" w:line="201" w:lineRule="exact"/>
        <w:rPr>
          <w:sz w:val="20"/>
          <w:szCs w:val="20"/>
          <w:color w:val="auto"/>
        </w:rPr>
      </w:pPr>
    </w:p>
    <w:p>
      <w:pPr>
        <w:jc w:val="both"/>
        <w:ind w:right="180"/>
        <w:spacing w:after="0" w:line="264" w:lineRule="auto"/>
        <w:rPr>
          <w:sz w:val="20"/>
          <w:szCs w:val="20"/>
          <w:color w:val="auto"/>
        </w:rPr>
      </w:pPr>
      <w:r>
        <w:rPr>
          <w:rFonts w:ascii="Arial" w:cs="Arial" w:eastAsia="Arial" w:hAnsi="Arial"/>
          <w:sz w:val="17"/>
          <w:szCs w:val="17"/>
          <w:color w:val="auto"/>
        </w:rPr>
        <w:t>IM Flash sells products to the joint venture partners generally in proportion to their ownership interests at long-term negotiated prices approximating cost. IM Flash sales to Intel were $764 million, $886 million and $1,037 million for 2010, 2009 and 2008, respectively. IM Flash receivables and payables related to Intel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September 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8"/>
              </w:rPr>
              <w:t>September 3,</w:t>
            </w:r>
          </w:p>
        </w:tc>
      </w:tr>
      <w:tr>
        <w:trPr>
          <w:trHeight w:val="227"/>
        </w:trPr>
        <w:tc>
          <w:tcPr>
            <w:tcW w:w="4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4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410"/>
        </w:trPr>
        <w:tc>
          <w:tcPr>
            <w:tcW w:w="4540" w:type="dxa"/>
            <w:vAlign w:val="bottom"/>
          </w:tcPr>
          <w:p>
            <w:pPr>
              <w:spacing w:after="0"/>
              <w:rPr>
                <w:sz w:val="20"/>
                <w:szCs w:val="20"/>
                <w:color w:val="auto"/>
              </w:rPr>
            </w:pPr>
            <w:r>
              <w:rPr>
                <w:rFonts w:ascii="Arial" w:cs="Arial" w:eastAsia="Arial" w:hAnsi="Arial"/>
                <w:sz w:val="17"/>
                <w:szCs w:val="17"/>
                <w:color w:val="auto"/>
              </w:rPr>
              <w:t>Receivables from Intel:</w:t>
            </w: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7"/>
                <w:szCs w:val="17"/>
                <w:color w:val="auto"/>
              </w:rPr>
            </w:pPr>
          </w:p>
        </w:tc>
      </w:tr>
      <w:tr>
        <w:trPr>
          <w:trHeight w:val="205"/>
        </w:trPr>
        <w:tc>
          <w:tcPr>
            <w:tcW w:w="4540" w:type="dxa"/>
            <w:vAlign w:val="bottom"/>
          </w:tcPr>
          <w:p>
            <w:pPr>
              <w:spacing w:after="0"/>
              <w:rPr>
                <w:sz w:val="20"/>
                <w:szCs w:val="20"/>
                <w:color w:val="auto"/>
              </w:rPr>
            </w:pPr>
            <w:r>
              <w:rPr>
                <w:rFonts w:ascii="Arial" w:cs="Arial" w:eastAsia="Arial" w:hAnsi="Arial"/>
                <w:sz w:val="17"/>
                <w:szCs w:val="17"/>
                <w:color w:val="auto"/>
              </w:rPr>
              <w:t>Product design and process development activities</w:t>
            </w: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r>
      <w:tr>
        <w:trPr>
          <w:trHeight w:val="205"/>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Payables to Intel for various services</w:t>
            </w:r>
          </w:p>
        </w:tc>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576"/>
        </w:trPr>
        <w:tc>
          <w:tcPr>
            <w:tcW w:w="4540" w:type="dxa"/>
            <w:vAlign w:val="bottom"/>
          </w:tcPr>
          <w:p>
            <w:pPr>
              <w:spacing w:after="0"/>
              <w:rPr>
                <w:sz w:val="24"/>
                <w:szCs w:val="24"/>
                <w:color w:val="auto"/>
              </w:rPr>
            </w:pPr>
          </w:p>
        </w:tc>
        <w:tc>
          <w:tcPr>
            <w:tcW w:w="4160" w:type="dxa"/>
            <w:vAlign w:val="bottom"/>
          </w:tcPr>
          <w:p>
            <w:pPr>
              <w:jc w:val="right"/>
              <w:ind w:right="2815"/>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4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The following table presents IM Flash’s distributions to, and contributions from, shareholders: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3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2010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IM Flash distributions to us</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278</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w:t>
            </w: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IM Flash distributions to Intel</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267</w:t>
            </w:r>
          </w:p>
        </w:tc>
        <w:tc>
          <w:tcPr>
            <w:tcW w:w="82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695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r>
      <w:tr>
        <w:trPr>
          <w:trHeight w:val="205"/>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Our contributions to IM Flash</w:t>
            </w:r>
          </w:p>
        </w:tc>
        <w:tc>
          <w:tcPr>
            <w:tcW w:w="9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128</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409</w:t>
            </w: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Intel contributions to IM Flash</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w:t>
            </w:r>
          </w:p>
        </w:tc>
        <w:tc>
          <w:tcPr>
            <w:tcW w:w="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w:t>
            </w:r>
          </w:p>
        </w:tc>
      </w:tr>
    </w:tbl>
    <w:p>
      <w:pPr>
        <w:spacing w:after="0" w:line="21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the first quarter of 2009, IM Flash substantially completed construction of a new 300mm wafer fabrication facility structure in Singapore. Shortly afterwards, and we and Intel agreed to suspend tooling and the ramp of production at this facility due to industry conditions. In the second quarter of 2010, IM Flash began moving forward with start-up activities in the Singapore wafer fabrication facility, including placing purchase orders and tool installations that commenced in the first quarter of 2011. The level of our future capital contributions to IM Flash will depend on the extent to which Intel participates in future IM Flash capital calls. In the first quarter of 2011, we contributed $392 million to IMFS and Intel did not make any contribution, increasing our ownership interest in IMFS to 71%. Although our ownership interest in IMFS changes at the time we make such contributions, the corresponding change in our right to receive output from IMFS is delayed by up to 12 months from the date of the contribution. Changes in IMFS ownership interests do not affect our NAND Flash R&amp;D cost-sharing agreement with Intel.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Total IM Flash assets and liabilities included in our consolidated balance sheets are as follows: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September 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8"/>
              </w:rPr>
              <w:t>September 3,</w:t>
            </w:r>
          </w:p>
        </w:tc>
      </w:t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Receivables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2,894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3,377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7"/>
                <w:szCs w:val="17"/>
                <w:color w:val="auto"/>
              </w:rPr>
            </w:pP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3,519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3,834</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Deferred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Equipment purchase contracts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Total liabilities</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348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307</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7"/>
          <w:szCs w:val="17"/>
          <w:i w:val="1"/>
          <w:iCs w:val="1"/>
          <w:color w:val="auto"/>
        </w:rPr>
        <w:t>Amounts exclude intercompany balances that are eliminated in our consolidated balance sheets.</w:t>
      </w:r>
    </w:p>
    <w:p>
      <w:pPr>
        <w:spacing w:after="0" w:line="228"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Our ability to access IM Flash’s cash and marketable investment securities to finance our other operations is subject to agreement by the joint venture partners. The creditors of IM Flash have recourse only to the assets of IM Flash and do not have recourse to any of our other assets.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6" w:name="page67"/>
    <w:bookmarkEnd w:id="66"/>
    <w:p>
      <w:pPr>
        <w:ind w:right="40"/>
        <w:spacing w:after="0" w:line="275" w:lineRule="auto"/>
        <w:rPr>
          <w:sz w:val="20"/>
          <w:szCs w:val="20"/>
          <w:color w:val="auto"/>
        </w:rPr>
      </w:pPr>
      <w:r>
        <w:rPr>
          <w:rFonts w:ascii="Arial" w:cs="Arial" w:eastAsia="Arial" w:hAnsi="Arial"/>
          <w:sz w:val="16"/>
          <w:szCs w:val="16"/>
          <w:b w:val="1"/>
          <w:bCs w:val="1"/>
          <w:i w:val="1"/>
          <w:iCs w:val="1"/>
          <w:color w:val="auto"/>
        </w:rPr>
        <w:t xml:space="preserve">MP Mask Technology Center, LLC ("MP Mask"): </w:t>
      </w:r>
      <w:r>
        <w:rPr>
          <w:rFonts w:ascii="Arial" w:cs="Arial" w:eastAsia="Arial" w:hAnsi="Arial"/>
          <w:sz w:val="16"/>
          <w:szCs w:val="16"/>
          <w:color w:val="auto"/>
        </w:rPr>
        <w:t>In 2006, we formed a joint venture, MP Mask, with Photronics, Inc. ("Photronics") to produce photomasks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leading-edge and advanced next generation semiconductors. At inception and through September 2, 2010, we owned 50.01% and Photronics owned 49.99% of MP Mask. We purchase a substantial majority of the reticles produced by MP Mask pursuant to a supply arrangement. In connection with the formation of the joint venture, we received $72 million in 2006 in exchange for entering into a license agreement with Photronics, which is being recognized over the term of the 10-year agreement. As of September 2, 2010, deferred income and other noncurrent liabilities included an aggregate of $34 million related to this agreement. MP Mask made distributions to both us and Photronics of $10 million each in 2009 and Photronics contributed $8 million to MP Mask in 2008.</w:t>
      </w:r>
    </w:p>
    <w:p>
      <w:pPr>
        <w:spacing w:after="0" w:line="19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MP Mask is a variable interest entity because all of its costs are passed on to us and Photronics through product purchase agreements and it is dependent upon us and Photronics for any additional cash requirements. Photronics is considered to be a related party under the accounting standards for consolidating variable interest entities due to restrictions on transfers of ownership interests. As a result, the primary beneficiary of MP Mask is the entity that is more closely associated with it. We considered several factors to determine whether we or Photronics are more closely associated with the joint venture. The most important factor was the nature of MP Mask’s operations relative to us and Photronics. Based on those factors, we determined that we are more closely associated with MP Mask and are therefore the primary beneficiary. Accordingly, the financial results of MP Mask are included in our consolidated financial statements and all amounts pertaining to Photonics’ interest in MP Mask are reported as noncontrolling interests in subsidiaries.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Arial" w:cs="Arial" w:eastAsia="Arial" w:hAnsi="Arial"/>
                <w:sz w:val="17"/>
                <w:szCs w:val="17"/>
                <w:color w:val="auto"/>
              </w:rPr>
              <w:t>Total MP Mask assets and liabilities included in our consolidated balance sheets are as follows: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September 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8"/>
              </w:rPr>
              <w:t>September 3,</w:t>
            </w:r>
          </w:p>
        </w:tc>
      </w:tr>
      <w:tr>
        <w:trPr>
          <w:trHeight w:val="227"/>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Noncurrent assets (primarily property, plant and equipment)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7"/>
                <w:szCs w:val="17"/>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Amounts exclude intercompany balances that are eliminated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3605" cy="130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creditors of MP Mask have recourse only to the assets of MP Mask and do not have recourse to any of our other assets.</w:t>
      </w:r>
    </w:p>
    <w:p>
      <w:pPr>
        <w:spacing w:after="0" w:line="240"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2008, we completed the construction of a facility to produce photomasks and sold the facility to Photronics under a build to suit lease agreement, with quarterly payments through January 2013. In May 2009, we entered into an agreement with Photronics whereby we repurchased the facility for $50 million and leased the facility to Photronics under an operating lease providing for quarterly lease payments aggregating $41 million through October 2014. During 2010, we received $7 million in lease payments from Photronics. As of September 2, 2010, the carrying value of this facility was $47 million.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TECH Semiconductor Singapore Pte. Ltd.</w:t>
      </w:r>
    </w:p>
    <w:p>
      <w:pPr>
        <w:spacing w:after="0" w:line="23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Since 1998, we have participated in TECH Semiconductor Singapore Pte. Ltd. ("TECH"), a semiconductor memory manufacturing joint venture in Singapore with Canon Inc. ("Cannon") and Hewlett-Packard Company ("HP"). The financial results of TECH are included in our consolidated financial statements and all amounts pertaining to Canon and HP are reported as noncontrolling interests in subsidiaries. On January 27, 2010, we purchased shares of TECH for $80 million, which increased our ownership from approximately 85% to approximately 87% and increased additional capital of Micron shareholders by $10 million. As of September 2, 2010, we held an approximate 87% interest in TECH. TECH’s cash and marketable investment securities ($355 million as of September 2, 2010) are not anticipated to be available to pay dividends or finance our other operations.</w:t>
      </w:r>
    </w:p>
    <w:p>
      <w:pPr>
        <w:spacing w:after="0" w:line="210"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The shareholders’ agreement for the TECH joint venture expires in April 2011, but automatically extends for 10 years unless one or more of the shareholders provides a non-extension notification. In September 2009, TECH received a notice from HP that it does not intend to extend the TECH joint venture beyond April 2011. We are in discussions with HP and Canon to reach a resolution of this matter. The parties’ inability to reach a resolution prior to April 2011 could result in the sale of TECH’s assets and could require repayment of TECH’s credit facility ($348 million outstanding as of September 2, 2010). As of September 2, 2010, the carrying value of TECH’s net assets was $1.1 billion. TECH accounted for 45% of our total DRAM wafer production in 2010, including 48% in the fourth quarter of 2010.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7" w:name="page68"/>
    <w:bookmarkEnd w:id="67"/>
    <w:p>
      <w:pPr>
        <w:ind w:right="100"/>
        <w:spacing w:after="0" w:line="309" w:lineRule="auto"/>
        <w:rPr>
          <w:sz w:val="20"/>
          <w:szCs w:val="20"/>
          <w:color w:val="auto"/>
        </w:rPr>
      </w:pPr>
      <w:r>
        <w:rPr>
          <w:rFonts w:ascii="Arial" w:cs="Arial" w:eastAsia="Arial" w:hAnsi="Arial"/>
          <w:sz w:val="16"/>
          <w:szCs w:val="16"/>
          <w:color w:val="auto"/>
        </w:rPr>
        <w:t>In the second quarter of 2009, we entered into a term loan agreement with the Singapore EDB that enabled us to borrow up to $300 million Singapore dollars at 5.4% per annum. On June 1, 2010, we repaid the outstanding balance of $213 million to the Singapore EDB that was due February 2012. (See "Debt" note.)</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33"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In the second quarter of 2011, we reorganized our business to better align with our markets. All prior period amounts have been retrospectively adjusted to reflect this reorganization. Factors used to identify our segments include, among others, products, technologies and customers. Segment information reported herein is consistent with how it is reviewed and evaluated by our chief operating decision makers. After the reorganization, we have the following four reportable segments: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 xml:space="preserve">DRAM Solutions Group ("DSG"): </w:t>
      </w:r>
      <w:r>
        <w:rPr>
          <w:rFonts w:ascii="Arial" w:cs="Arial" w:eastAsia="Arial" w:hAnsi="Arial"/>
          <w:sz w:val="16"/>
          <w:szCs w:val="16"/>
          <w:color w:val="auto"/>
        </w:rPr>
        <w:t>Includes high-volume DRAM products sold to the PC, consumer electronics, networking and server markets.</w:t>
      </w:r>
    </w:p>
    <w:p>
      <w:pPr>
        <w:spacing w:after="0" w:line="32" w:lineRule="exact"/>
        <w:rPr>
          <w:sz w:val="20"/>
          <w:szCs w:val="20"/>
          <w:color w:val="auto"/>
        </w:rPr>
      </w:pPr>
    </w:p>
    <w:p>
      <w:pPr>
        <w:ind w:left="960" w:right="740" w:hanging="153"/>
        <w:spacing w:after="0" w:line="251" w:lineRule="auto"/>
        <w:rPr>
          <w:sz w:val="20"/>
          <w:szCs w:val="20"/>
          <w:color w:val="auto"/>
        </w:rPr>
      </w:pPr>
      <w:r>
        <w:rPr>
          <w:rFonts w:ascii="Arial" w:cs="Arial" w:eastAsia="Arial" w:hAnsi="Arial"/>
          <w:sz w:val="17"/>
          <w:szCs w:val="17"/>
          <w:b w:val="1"/>
          <w:bCs w:val="1"/>
          <w:i w:val="1"/>
          <w:iCs w:val="1"/>
          <w:color w:val="auto"/>
        </w:rPr>
        <w:t xml:space="preserve">NAND Solutions Group ("NSG"): </w:t>
      </w:r>
      <w:r>
        <w:rPr>
          <w:rFonts w:ascii="Arial" w:cs="Arial" w:eastAsia="Arial" w:hAnsi="Arial"/>
          <w:sz w:val="17"/>
          <w:szCs w:val="17"/>
          <w:color w:val="auto"/>
        </w:rPr>
        <w:t>Includes high-volume NAND Flash products sold into data storage, personal music players, and portions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computing markets, as well as NAND Flash products sold to Intel through our consolidated IM Flash joint ventures.</w:t>
      </w:r>
    </w:p>
    <w:p>
      <w:pPr>
        <w:spacing w:after="0" w:line="1" w:lineRule="exact"/>
        <w:rPr>
          <w:sz w:val="20"/>
          <w:szCs w:val="20"/>
          <w:color w:val="auto"/>
        </w:rPr>
      </w:pPr>
    </w:p>
    <w:p>
      <w:pPr>
        <w:ind w:left="960" w:right="140" w:hanging="153"/>
        <w:spacing w:after="0" w:line="251" w:lineRule="auto"/>
        <w:rPr>
          <w:sz w:val="20"/>
          <w:szCs w:val="20"/>
          <w:color w:val="auto"/>
        </w:rPr>
      </w:pPr>
      <w:r>
        <w:rPr>
          <w:rFonts w:ascii="Arial" w:cs="Arial" w:eastAsia="Arial" w:hAnsi="Arial"/>
          <w:sz w:val="17"/>
          <w:szCs w:val="17"/>
          <w:b w:val="1"/>
          <w:bCs w:val="1"/>
          <w:i w:val="1"/>
          <w:iCs w:val="1"/>
          <w:color w:val="auto"/>
        </w:rPr>
        <w:t xml:space="preserve">Wireless Solutions Group ("WSG"): </w:t>
      </w:r>
      <w:r>
        <w:rPr>
          <w:rFonts w:ascii="Arial" w:cs="Arial" w:eastAsia="Arial" w:hAnsi="Arial"/>
          <w:sz w:val="17"/>
          <w:szCs w:val="17"/>
          <w:color w:val="auto"/>
        </w:rPr>
        <w:t>Includes DRAM, NAND Flash and NOR Flash products, including multi-chip packages, sold to the mobile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w:t>
      </w:r>
    </w:p>
    <w:p>
      <w:pPr>
        <w:spacing w:after="0" w:line="1" w:lineRule="exact"/>
        <w:rPr>
          <w:sz w:val="20"/>
          <w:szCs w:val="20"/>
          <w:color w:val="auto"/>
        </w:rPr>
      </w:pPr>
    </w:p>
    <w:p>
      <w:pPr>
        <w:ind w:left="960" w:right="120" w:hanging="153"/>
        <w:spacing w:after="0" w:line="263" w:lineRule="auto"/>
        <w:rPr>
          <w:sz w:val="20"/>
          <w:szCs w:val="20"/>
          <w:color w:val="auto"/>
        </w:rPr>
      </w:pPr>
      <w:r>
        <w:rPr>
          <w:rFonts w:ascii="Arial" w:cs="Arial" w:eastAsia="Arial" w:hAnsi="Arial"/>
          <w:sz w:val="17"/>
          <w:szCs w:val="17"/>
          <w:b w:val="1"/>
          <w:bCs w:val="1"/>
          <w:i w:val="1"/>
          <w:iCs w:val="1"/>
          <w:color w:val="auto"/>
        </w:rPr>
        <w:t xml:space="preserve">Embedded Solutions Group ("ESG"): </w:t>
      </w:r>
      <w:r>
        <w:rPr>
          <w:rFonts w:ascii="Arial" w:cs="Arial" w:eastAsia="Arial" w:hAnsi="Arial"/>
          <w:sz w:val="17"/>
          <w:szCs w:val="17"/>
          <w:color w:val="auto"/>
        </w:rPr>
        <w:t>Includes DRAM, NAND Flash and NOR Flash products sold into automotive and industrial applications,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NOR and NAND flash sold to consumer electronics, networking, PC and server markets.</w:t>
      </w: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Our other operations do not meet the quantitative thresholds of a reportable segment and are reported under All Other. All Other includes our CMOS image sensor, microdisplay and solar operations.</w:t>
      </w:r>
    </w:p>
    <w:p>
      <w:pPr>
        <w:spacing w:after="0" w:line="190"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We do not identify or report internally asset or capital expenditures by segment, nor do we allocate gains and losses from equity investments, interest and other income, or taxes to operating segments. Except as discussed above, there are no differences in the accounting policies for segment reporting and our consolidated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00" w:type="dxa"/>
            <w:vAlign w:val="bottom"/>
          </w:tcPr>
          <w:p>
            <w:pPr>
              <w:spacing w:after="0"/>
              <w:rPr>
                <w:sz w:val="19"/>
                <w:szCs w:val="19"/>
                <w:color w:val="auto"/>
              </w:rPr>
            </w:pPr>
          </w:p>
        </w:tc>
        <w:tc>
          <w:tcPr>
            <w:tcW w:w="41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41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Net sales:</w:t>
            </w:r>
          </w:p>
        </w:tc>
        <w:tc>
          <w:tcPr>
            <w:tcW w:w="3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DSG</w:t>
            </w:r>
          </w:p>
        </w:tc>
        <w:tc>
          <w:tcPr>
            <w:tcW w:w="410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4,638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2,718</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NSG</w:t>
            </w: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2,113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WSG</w:t>
            </w: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ESG</w:t>
            </w: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521</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6"/>
        </w:trPr>
        <w:tc>
          <w:tcPr>
            <w:tcW w:w="41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Consolidated net sales</w:t>
            </w:r>
          </w:p>
        </w:tc>
        <w:tc>
          <w:tcPr>
            <w:tcW w:w="410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8,482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4,803</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5,841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Operating income (loss):</w:t>
            </w: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DSG</w:t>
            </w:r>
          </w:p>
        </w:tc>
        <w:tc>
          <w:tcPr>
            <w:tcW w:w="410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1,269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NSG</w:t>
            </w: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240</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(573)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(1,289)</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WSG</w:t>
            </w: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ESG</w:t>
            </w: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152</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6"/>
        </w:trPr>
        <w:tc>
          <w:tcPr>
            <w:tcW w:w="41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Consolidated operating income (loss)</w:t>
            </w:r>
          </w:p>
        </w:tc>
        <w:tc>
          <w:tcPr>
            <w:tcW w:w="410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1,589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(1,676)</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20" w:type="dxa"/>
            <w:vAlign w:val="bottom"/>
            <w:vMerge w:val="restart"/>
          </w:tcPr>
          <w:p>
            <w:pPr>
              <w:jc w:val="right"/>
              <w:ind w:right="1435"/>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1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0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Depreciation and amortization expense was as follows: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73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DSG</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947</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915</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NSG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530</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780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835</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WSG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ESG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97</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Depreciation and amortization expense included in operating income (loss)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1,926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2,114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amortization</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Total depreciation and amortization expense</w:t>
            </w:r>
          </w:p>
        </w:tc>
        <w:tc>
          <w:tcPr>
            <w:tcW w:w="8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2,005</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2,186</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2,096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7"/>
                <w:szCs w:val="17"/>
                <w:color w:val="auto"/>
              </w:rPr>
              <w:t>Product sales were as follows:</w:t>
            </w: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3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DRAM</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5,052</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2,422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3,135</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NAND Flash</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2,555</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1,857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NOR Flash</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451</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8,482</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4,803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Concentrations</w:t>
      </w:r>
    </w:p>
    <w:p>
      <w:pPr>
        <w:spacing w:after="0" w:line="233"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Approximately 45%, 30% and 50% of net sales for 2010, 2009 and 2008, respectively, were to the computing market, including desktop PCs, servers, notebooks and workstations. Sales to HP were 13% of net sales in 2010 and sales to Intel were 20% and 19% of net sales in 2009 and 2008, respectively. Substantially all of our sales to HP in 2010 were included in the DSG segment and substantially all of our sales to Intel in 2009 and 2008 were included in our NSG and WSG</w:t>
      </w:r>
    </w:p>
    <w:p>
      <w:pPr>
        <w:spacing w:after="0" w:line="1"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segments. Certain of the raw materials and production equipment we use in manufacturing semiconductor products are available from multiple sources and in sufficient supply; however, only a limited number of suppliers are capable of delivering certain raw materials that meet our standards. In some cases, materials are provided by a single supplier.</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money market accounts, certificates of deposit and trade receivables. We invest through high-credit-quality financial institutions and, by policy, generally limit the concentration of credit exposure by restricting investments with any single obligor. A concentration of credit risk may exist with respect to receivables as a substantial portion of our customers are affiliated with the computing industry. We perform ongoing credit evaluations of customers worldwide and generally do not require collateral from our customers. Historically, we have not experienced significant losses on receivables. The Capped Call and 2009 Capped Call instruments expose us to credit risk to the extent that the counter parties may be unable to meet the terms of the agreement. We seek to mitigate such risk by limiting our counter parties to major financial institutions and by spreading the risk across several major financial institutions. In addition, the potential risk of loss with any one counter party resulting from this type of credit risk is monitored on an ongoing basis. (See "Shareholders’ Equity – Capped call transactions" note.)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9" w:name="page70"/>
    <w:bookmarkEnd w:id="69"/>
    <w:p>
      <w:pPr>
        <w:spacing w:after="0"/>
        <w:rPr>
          <w:sz w:val="20"/>
          <w:szCs w:val="20"/>
          <w:color w:val="auto"/>
        </w:rPr>
      </w:pPr>
      <w:r>
        <w:rPr>
          <w:rFonts w:ascii="Arial" w:cs="Arial" w:eastAsia="Arial" w:hAnsi="Arial"/>
          <w:sz w:val="21"/>
          <w:szCs w:val="21"/>
          <w:b w:val="1"/>
          <w:bCs w:val="1"/>
          <w:color w:val="auto"/>
        </w:rPr>
        <w:t>Geographic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Geographic net sales based on customer ship-to location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3,294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1,242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1,372</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United States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1,403</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928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Asia Pacific (excluding China, Malaysia and Taiwan)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1,090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1,660</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Malaysia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817</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Europe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Taiwan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711</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Pr>
          <w:p>
            <w:pPr>
              <w:spacing w:after="0"/>
              <w:rPr>
                <w:sz w:val="17"/>
                <w:szCs w:val="17"/>
                <w:color w:val="auto"/>
              </w:rPr>
            </w:pPr>
          </w:p>
        </w:tc>
        <w:tc>
          <w:tcPr>
            <w:tcW w:w="8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8,482</w:t>
            </w:r>
          </w:p>
        </w:tc>
        <w:tc>
          <w:tcPr>
            <w:tcW w:w="220" w:type="dxa"/>
            <w:vAlign w:val="bottom"/>
          </w:tcPr>
          <w:p>
            <w:pPr>
              <w:spacing w:after="0"/>
              <w:rPr>
                <w:sz w:val="17"/>
                <w:szCs w:val="17"/>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4,803</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5,841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7"/>
                <w:szCs w:val="17"/>
                <w:color w:val="auto"/>
              </w:rPr>
              <w:t>Net property, plant and equipment by geographic area were as follows:</w:t>
            </w: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3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3,925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4,679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6,012</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Singapore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2,161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2,066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Italy</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Israel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Japan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Pr>
          <w:p>
            <w:pPr>
              <w:spacing w:after="0"/>
              <w:rPr>
                <w:sz w:val="17"/>
                <w:szCs w:val="17"/>
                <w:color w:val="auto"/>
              </w:rPr>
            </w:pPr>
          </w:p>
        </w:tc>
        <w:tc>
          <w:tcPr>
            <w:tcW w:w="8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6,601</w:t>
            </w:r>
          </w:p>
        </w:tc>
        <w:tc>
          <w:tcPr>
            <w:tcW w:w="220" w:type="dxa"/>
            <w:vAlign w:val="bottom"/>
          </w:tcPr>
          <w:p>
            <w:pPr>
              <w:spacing w:after="0"/>
              <w:rPr>
                <w:sz w:val="17"/>
                <w:szCs w:val="17"/>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7,089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8,819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 License Agreement with Samsung Electronics Co. Ltd.</w:t>
      </w:r>
    </w:p>
    <w:p>
      <w:pPr>
        <w:spacing w:after="0" w:line="2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On October 1, 2010, we entered into a 10-year patent cross-license agreement with Samsung Electronics Co. Ltd. ("Samsung"). Under the agreement, Samsung will pay us $275 million, with $200 million paid in October 2010, $40 million due January 31, 2011 and $35 million due March 31, 2011. The license is a life-of-patents license for existing patents and applications, and a 10-year term license for all other patents.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Quarterly Financial Information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Second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2010</w:t>
            </w:r>
          </w:p>
        </w:tc>
        <w:tc>
          <w:tcPr>
            <w:tcW w:w="1400" w:type="dxa"/>
            <w:vAlign w:val="bottom"/>
            <w:gridSpan w:val="3"/>
          </w:tcPr>
          <w:p>
            <w:pPr>
              <w:spacing w:after="0"/>
              <w:rPr>
                <w:sz w:val="20"/>
                <w:szCs w:val="20"/>
                <w:color w:val="auto"/>
              </w:rPr>
            </w:pPr>
            <w:r>
              <w:rPr>
                <w:rFonts w:ascii="Arial" w:cs="Arial" w:eastAsia="Arial" w:hAnsi="Arial"/>
                <w:sz w:val="17"/>
                <w:szCs w:val="17"/>
                <w:b w:val="1"/>
                <w:bCs w:val="1"/>
                <w:color w:val="auto"/>
              </w:rPr>
              <w:t>Fourth Quarter</w:t>
            </w:r>
          </w:p>
        </w:tc>
        <w:tc>
          <w:tcPr>
            <w:tcW w:w="138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9"/>
              </w:rPr>
              <w:t>Third Quarter</w:t>
            </w: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Quarter</w:t>
            </w:r>
          </w:p>
        </w:tc>
        <w:tc>
          <w:tcPr>
            <w:tcW w:w="10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7"/>
              </w:rPr>
              <w:t>First Quarter</w:t>
            </w:r>
          </w:p>
        </w:tc>
      </w:tr>
      <w:tr>
        <w:trPr>
          <w:trHeight w:val="205"/>
        </w:trPr>
        <w:tc>
          <w:tcPr>
            <w:tcW w:w="60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2,493</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1,961</w:t>
            </w:r>
          </w:p>
        </w:tc>
        <w:tc>
          <w:tcPr>
            <w:tcW w:w="50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1,740</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4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781</w:t>
            </w:r>
          </w:p>
        </w:tc>
        <w:tc>
          <w:tcPr>
            <w:tcW w:w="4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848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443</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433</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income</w:t>
            </w:r>
          </w:p>
        </w:tc>
        <w:tc>
          <w:tcPr>
            <w:tcW w:w="4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359</w:t>
            </w:r>
          </w:p>
        </w:tc>
        <w:tc>
          <w:tcPr>
            <w:tcW w:w="4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960</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202</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Micron</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342</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939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w:t>
            </w:r>
          </w:p>
        </w:tc>
      </w:tr>
      <w:tr>
        <w:trPr>
          <w:trHeight w:val="205"/>
        </w:trPr>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Basic</w:t>
            </w: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0.35</w:t>
            </w:r>
          </w:p>
        </w:tc>
        <w:tc>
          <w:tcPr>
            <w:tcW w:w="420" w:type="dxa"/>
            <w:vAlign w:val="bottom"/>
          </w:tcPr>
          <w:p>
            <w:pPr>
              <w:jc w:val="right"/>
              <w:ind w:right="26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0.43</w:t>
            </w:r>
          </w:p>
        </w:tc>
        <w:tc>
          <w:tcPr>
            <w:tcW w:w="50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0.24</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0.32</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0.92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0.23</w:t>
            </w: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Second</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400" w:type="dxa"/>
            <w:vAlign w:val="bottom"/>
            <w:gridSpan w:val="3"/>
          </w:tcPr>
          <w:p>
            <w:pPr>
              <w:spacing w:after="0"/>
              <w:rPr>
                <w:sz w:val="20"/>
                <w:szCs w:val="20"/>
                <w:color w:val="auto"/>
              </w:rPr>
            </w:pPr>
            <w:r>
              <w:rPr>
                <w:rFonts w:ascii="Arial" w:cs="Arial" w:eastAsia="Arial" w:hAnsi="Arial"/>
                <w:sz w:val="17"/>
                <w:szCs w:val="17"/>
                <w:b w:val="1"/>
                <w:bCs w:val="1"/>
                <w:color w:val="auto"/>
              </w:rPr>
              <w:t>Fourth Quarter</w:t>
            </w:r>
          </w:p>
        </w:tc>
        <w:tc>
          <w:tcPr>
            <w:tcW w:w="138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9"/>
              </w:rPr>
              <w:t>Third Quarter</w:t>
            </w: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Quarter</w:t>
            </w:r>
          </w:p>
        </w:tc>
        <w:tc>
          <w:tcPr>
            <w:tcW w:w="8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7"/>
              </w:rPr>
              <w:t>First Quarter</w:t>
            </w:r>
          </w:p>
        </w:tc>
      </w:tr>
      <w:tr>
        <w:trPr>
          <w:trHeight w:val="205"/>
        </w:trPr>
        <w:tc>
          <w:tcPr>
            <w:tcW w:w="60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1,302</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993</w:t>
            </w:r>
          </w:p>
        </w:tc>
        <w:tc>
          <w:tcPr>
            <w:tcW w:w="480" w:type="dxa"/>
            <w:vAlign w:val="bottom"/>
            <w:gridSpan w:val="2"/>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4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169</w:t>
            </w:r>
          </w:p>
        </w:tc>
        <w:tc>
          <w:tcPr>
            <w:tcW w:w="4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107</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(449)</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(246)</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4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(114)</w:t>
            </w:r>
          </w:p>
        </w:tc>
        <w:tc>
          <w:tcPr>
            <w:tcW w:w="4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(334)</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(814)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(731)</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(718)</w:t>
            </w:r>
          </w:p>
        </w:tc>
      </w:tr>
      <w:tr>
        <w:trPr>
          <w:trHeight w:val="205"/>
        </w:trPr>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Loss per share:</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Basic</w:t>
            </w: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(0.12)</w:t>
            </w:r>
          </w:p>
        </w:tc>
        <w:tc>
          <w:tcPr>
            <w:tcW w:w="420" w:type="dxa"/>
            <w:vAlign w:val="bottom"/>
          </w:tcPr>
          <w:p>
            <w:pPr>
              <w:jc w:val="right"/>
              <w:ind w:right="26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(0.37)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(0.99)</w:t>
            </w:r>
          </w:p>
        </w:tc>
        <w:tc>
          <w:tcPr>
            <w:tcW w:w="48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(0.93)</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(0.12)</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(0.93)</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third quarter of 2010 included a gain of $437 million for the acquisition of Numonyx. (See "Numonyx Holdings B.V." note.)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second quarter of 2009 included a charge of $58 million to write off all the goodwill associated with our Imaging segment.</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As charges to write down inventories are recorded in advance of when inventories are sold, gross margins in subsequent periods are higher than they would be otherwise.</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7"/>
          <w:szCs w:val="17"/>
          <w:color w:val="auto"/>
        </w:rPr>
        <w:t>In connection with the sale of a 65% interest in our Aptina business, in the third quarter of 2009, we recorded a charge of $53 million and in the fourth quarter, recorded a credit of $12 million to adjust the estimated loss to the final loss of $41 million.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1" w:name="page72"/>
    <w:bookmarkEnd w:id="71"/>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Micron Technology, Inc.</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In our opinion, the consolidated financial statements listed in the accompanying index appearing under Item 8 present fairly, in all material respects, the financial position of Micron Technology, Inc. and its subsidiaries at September 2, 2010 and September 3, 2009, and the results of their operations and their cash flows for each of the three years in the period ended September 2, 2010 in conformity with accounting principles generally accepted in the United States of America. In addition, in our opinion, the financial statement schedule (not presented herein) listed in the accompanying index appearing under Item 8 of the Company's 2010 Annual Report on Form 10-K presents fairly, in all material respects, the information set forth therein when read in conjunction with the related consolidated financial</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statements. Also in our opinion, the Company maintained, in all material respects, effective internal control over financial reporting as of September 2, 2010,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(not presented herein) appearing under Item 9A of the Company's 2010 Annual Report on Form 10-K.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4" w:lineRule="exact"/>
        <w:rPr>
          <w:sz w:val="20"/>
          <w:szCs w:val="20"/>
          <w:color w:val="auto"/>
        </w:rPr>
      </w:pPr>
    </w:p>
    <w:p>
      <w:pPr>
        <w:ind w:right="140"/>
        <w:spacing w:after="0" w:line="346" w:lineRule="auto"/>
        <w:rPr>
          <w:sz w:val="20"/>
          <w:szCs w:val="20"/>
          <w:color w:val="auto"/>
        </w:rPr>
      </w:pPr>
      <w:r>
        <w:rPr>
          <w:rFonts w:ascii="Arial" w:cs="Arial" w:eastAsia="Arial" w:hAnsi="Arial"/>
          <w:sz w:val="15"/>
          <w:szCs w:val="15"/>
          <w:color w:val="auto"/>
        </w:rPr>
        <w:t>As discussed in the Adjustment for Retrospective Application of New Accounting Standards note to the consolidated financial statements, the Company changed the manner in which it accounts for certain convertible debt instruments and the manner in which it accounts for noncontrolling interests effective September 4, 2009.</w:t>
      </w:r>
    </w:p>
    <w:p>
      <w:pPr>
        <w:spacing w:after="0" w:line="144"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described in Management's Report on Internal Control over Financial Reporting appearing under Item 9A, management has excluded Numonyx Holdings B.V. and its subsidiaries from its assessment of internal control over financial reporting as of September 2, 2010 because it was acquired by the Company in a purchase business combination during the year ended September 2, 2010. We have also excluded Numonyx Holdings B.V. and its subsidiaries from our audit of internal control over financial reporting. Numonyx Holdings B.V. is a wholly-owned subsidiary whose total assets and total revenues represent 14% and 7%, respectively, of the related consolidated financial statement amounts as of and for the year ended September 2, 2010.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w:t>
      </w:r>
    </w:p>
    <w:p>
      <w:pPr>
        <w:spacing w:after="0" w:line="1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October 26, 2010, except with respect to our opinion on the consolidated financial statements insofar as it relates to the effects of the change in reportable segments discussed in the Segment Information note, as to which the date is April 13, 2011.</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180"/>
          </w:cols>
          <w:pgMar w:left="240" w:top="499" w:right="47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Charged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Balance at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(Credited) to</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Beginning of</w:t>
            </w: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1"/>
              </w:rPr>
              <w:t>Business</w:t>
            </w:r>
          </w:p>
        </w:tc>
        <w:tc>
          <w:tcPr>
            <w:tcW w:w="1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Costs and</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0"/>
              </w:rPr>
              <w:t>Deductions/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6"/>
              </w:rPr>
              <w:t>Balance at</w:t>
            </w: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Year</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Acquisitions</w:t>
            </w: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Expenses</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Write-Offs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3"/>
              </w:rPr>
              <w:t>End of Year</w:t>
            </w:r>
          </w:p>
        </w:tc>
      </w:tr>
      <w:tr>
        <w:trPr>
          <w:trHeight w:val="416"/>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Allowance for Doubtful Accounts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ended September 2,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4700" w:type="dxa"/>
            <w:vAlign w:val="bottom"/>
            <w:gridSpan w:val="2"/>
          </w:tcPr>
          <w:p>
            <w:pPr>
              <w:spacing w:after="0"/>
              <w:rPr>
                <w:sz w:val="20"/>
                <w:szCs w:val="20"/>
                <w:color w:val="auto"/>
              </w:rPr>
            </w:pPr>
            <w:r>
              <w:rPr>
                <w:rFonts w:ascii="Arial" w:cs="Arial" w:eastAsia="Arial" w:hAnsi="Arial"/>
                <w:sz w:val="17"/>
                <w:szCs w:val="17"/>
                <w:color w:val="auto"/>
              </w:rPr>
              <w:t>Year ended September 3, 2009</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ended August 28, 2008</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Tax Asset Valuation Allowance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4700" w:type="dxa"/>
            <w:vAlign w:val="bottom"/>
            <w:gridSpan w:val="2"/>
          </w:tcPr>
          <w:p>
            <w:pPr>
              <w:spacing w:after="0"/>
              <w:rPr>
                <w:sz w:val="20"/>
                <w:szCs w:val="20"/>
                <w:color w:val="auto"/>
              </w:rPr>
            </w:pPr>
            <w:r>
              <w:rPr>
                <w:rFonts w:ascii="Arial" w:cs="Arial" w:eastAsia="Arial" w:hAnsi="Arial"/>
                <w:sz w:val="17"/>
                <w:szCs w:val="17"/>
                <w:color w:val="auto"/>
              </w:rPr>
              <w:t>Year ended September 2, 2010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2,006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1,627</w:t>
            </w: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ended September 3, 2009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2,006</w:t>
            </w:r>
          </w:p>
        </w:tc>
      </w:tr>
      <w:tr>
        <w:trPr>
          <w:trHeight w:val="216"/>
        </w:trPr>
        <w:tc>
          <w:tcPr>
            <w:tcW w:w="4700" w:type="dxa"/>
            <w:vAlign w:val="bottom"/>
            <w:gridSpan w:val="2"/>
          </w:tcPr>
          <w:p>
            <w:pPr>
              <w:spacing w:after="0"/>
              <w:rPr>
                <w:sz w:val="20"/>
                <w:szCs w:val="20"/>
                <w:color w:val="auto"/>
              </w:rPr>
            </w:pPr>
            <w:r>
              <w:rPr>
                <w:rFonts w:ascii="Arial" w:cs="Arial" w:eastAsia="Arial" w:hAnsi="Arial"/>
                <w:sz w:val="17"/>
                <w:szCs w:val="17"/>
                <w:color w:val="auto"/>
              </w:rPr>
              <w:t>Year ended August 28, 2008</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1,440</w:t>
            </w:r>
          </w:p>
        </w:tc>
      </w:tr>
      <w:tr>
        <w:trPr>
          <w:trHeight w:val="423"/>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2019-12-10T05:59:30Z</dcterms:created>
  <dcterms:modified xsi:type="dcterms:W3CDTF">2019-12-10T05:59:30Z</dcterms:modified>
</cp:coreProperties>
</file>