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260350</wp:posOffset>
            </wp:positionH>
            <wp:positionV relativeFrom="page">
              <wp:posOffset>835025</wp:posOffset>
            </wp:positionV>
            <wp:extent cx="70408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860425</wp:posOffset>
            </wp:positionV>
            <wp:extent cx="70408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15,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6350</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45085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1-10658</w:t>
            </w:r>
          </w:p>
        </w:tc>
        <w:tc>
          <w:tcPr>
            <w:tcW w:w="402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75-1618004</w:t>
            </w:r>
          </w:p>
        </w:tc>
      </w:tr>
      <w:tr>
        <w:trPr>
          <w:trHeight w:val="243"/>
        </w:trPr>
        <w:tc>
          <w:tcPr>
            <w:tcW w:w="426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40" w:type="dxa"/>
            <w:vAlign w:val="bottom"/>
          </w:tcPr>
          <w:p>
            <w:pPr>
              <w:jc w:val="center"/>
              <w:ind w:right="30"/>
              <w:spacing w:after="0"/>
              <w:rPr>
                <w:sz w:val="20"/>
                <w:szCs w:val="20"/>
                <w:color w:val="auto"/>
              </w:rPr>
            </w:pPr>
            <w:r>
              <w:rPr>
                <w:rFonts w:ascii="Arial" w:cs="Arial" w:eastAsia="Arial" w:hAnsi="Arial"/>
                <w:sz w:val="18"/>
                <w:szCs w:val="18"/>
                <w:color w:val="auto"/>
                <w:w w:val="99"/>
              </w:rPr>
              <w:t>(Commission File Number)</w:t>
            </w:r>
          </w:p>
        </w:tc>
        <w:tc>
          <w:tcPr>
            <w:tcW w:w="4020" w:type="dxa"/>
            <w:vAlign w:val="bottom"/>
          </w:tcPr>
          <w:p>
            <w:pPr>
              <w:jc w:val="center"/>
              <w:ind w:right="10"/>
              <w:spacing w:after="0"/>
              <w:rPr>
                <w:sz w:val="20"/>
                <w:szCs w:val="20"/>
                <w:color w:val="auto"/>
              </w:rPr>
            </w:pPr>
            <w:r>
              <w:rPr>
                <w:rFonts w:ascii="Arial" w:cs="Arial" w:eastAsia="Arial" w:hAnsi="Arial"/>
                <w:sz w:val="18"/>
                <w:szCs w:val="18"/>
                <w:color w:val="auto"/>
                <w:w w:val="99"/>
              </w:rPr>
              <w:t>(I.R.S. Employer Identification No.)</w:t>
            </w:r>
          </w:p>
        </w:tc>
      </w:tr>
    </w:tbl>
    <w:p>
      <w:pPr>
        <w:spacing w:after="0" w:line="396"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8000 South Federal Way</w:t>
      </w:r>
    </w:p>
    <w:p>
      <w:pPr>
        <w:spacing w:after="0" w:line="36"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1977390</wp:posOffset>
            </wp:positionH>
            <wp:positionV relativeFrom="paragraph">
              <wp:posOffset>20320</wp:posOffset>
            </wp:positionV>
            <wp:extent cx="3302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1986280</wp:posOffset>
            </wp:positionH>
            <wp:positionV relativeFrom="paragraph">
              <wp:posOffset>20320</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74"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7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Trading symbol</w:t>
            </w:r>
          </w:p>
        </w:tc>
        <w:tc>
          <w:tcPr>
            <w:tcW w:w="120" w:type="dxa"/>
            <w:vAlign w:val="bottom"/>
          </w:tcPr>
          <w:p>
            <w:pPr>
              <w:spacing w:after="0"/>
              <w:rPr>
                <w:sz w:val="24"/>
                <w:szCs w:val="24"/>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70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Common Stock, par value $0.10 per share</w:t>
            </w: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MU</w:t>
            </w:r>
          </w:p>
        </w:tc>
        <w:tc>
          <w:tcPr>
            <w:tcW w:w="48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21" w:lineRule="exact"/>
        <w:rPr>
          <w:sz w:val="24"/>
          <w:szCs w:val="24"/>
          <w:color w:val="auto"/>
        </w:rPr>
      </w:pPr>
    </w:p>
    <w:p>
      <w:pPr>
        <w:ind w:right="180"/>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1"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824230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7040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48260</wp:posOffset>
            </wp:positionV>
            <wp:extent cx="7040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20"/>
        <w:spacing w:after="0"/>
        <w:tabs>
          <w:tab w:leader="none" w:pos="13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7"/>
          <w:szCs w:val="17"/>
          <w:b w:val="1"/>
          <w:bCs w:val="1"/>
          <w:color w:val="auto"/>
        </w:rPr>
        <w:t>Amendment to Articles of Incorporation or Bylaws; Change in Fiscal Year.</w:t>
      </w:r>
    </w:p>
    <w:p>
      <w:pPr>
        <w:spacing w:after="0" w:line="200" w:lineRule="exact"/>
        <w:rPr>
          <w:sz w:val="20"/>
          <w:szCs w:val="20"/>
          <w:color w:val="auto"/>
        </w:rPr>
      </w:pPr>
    </w:p>
    <w:p>
      <w:pPr>
        <w:spacing w:after="0" w:line="2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January 15, 2020, the Board of Directors of Micron Technology, Inc. (the “Company”) amended and restated the Company's bylaws (the “Amended and Restated Bylaws”) to decrease the size of the Board of Directors from eight to seven. This description of the amendment to the Company's bylaws is qualified in its entirety by reference to the text of the Amended and Restated Bylaws filed as Exhibit 99.1 to this report.</w:t>
      </w:r>
    </w:p>
    <w:p>
      <w:pPr>
        <w:spacing w:after="0" w:line="261"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3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Company’s Fiscal 2019 Annual Meeting of Shareholders was held on January 16, 2020. At the meeting, the following proposals were submitted to a vote of the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2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Name of Nominee</w:t>
            </w:r>
          </w:p>
        </w:tc>
        <w:tc>
          <w:tcPr>
            <w:tcW w:w="4180" w:type="dxa"/>
            <w:vAlign w:val="bottom"/>
            <w:tcBorders>
              <w:bottom w:val="single" w:sz="8" w:color="0090DA"/>
            </w:tcBorders>
          </w:tcPr>
          <w:p>
            <w:pPr>
              <w:jc w:val="right"/>
              <w:ind w:right="610"/>
              <w:spacing w:after="0"/>
              <w:rPr>
                <w:sz w:val="20"/>
                <w:szCs w:val="20"/>
                <w:color w:val="auto"/>
              </w:rPr>
            </w:pPr>
            <w:r>
              <w:rPr>
                <w:rFonts w:ascii="Arial" w:cs="Arial" w:eastAsia="Arial" w:hAnsi="Arial"/>
                <w:sz w:val="18"/>
                <w:szCs w:val="18"/>
                <w:b w:val="1"/>
                <w:bCs w:val="1"/>
                <w:color w:val="auto"/>
              </w:rPr>
              <w:t>For</w:t>
            </w:r>
          </w:p>
        </w:tc>
        <w:tc>
          <w:tcPr>
            <w:tcW w:w="144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Against</w:t>
            </w:r>
          </w:p>
        </w:tc>
        <w:tc>
          <w:tcPr>
            <w:tcW w:w="132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Abstain</w:t>
            </w:r>
          </w:p>
        </w:tc>
      </w:tr>
      <w:tr>
        <w:trPr>
          <w:trHeight w:val="41"/>
        </w:trPr>
        <w:tc>
          <w:tcPr>
            <w:tcW w:w="4480" w:type="dxa"/>
            <w:vAlign w:val="bottom"/>
          </w:tcPr>
          <w:p>
            <w:pPr>
              <w:spacing w:after="0"/>
              <w:rPr>
                <w:sz w:val="3"/>
                <w:szCs w:val="3"/>
                <w:color w:val="auto"/>
              </w:rPr>
            </w:pPr>
          </w:p>
        </w:tc>
        <w:tc>
          <w:tcPr>
            <w:tcW w:w="4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7"/>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Robert L. Bailey</w:t>
            </w:r>
          </w:p>
        </w:tc>
        <w:tc>
          <w:tcPr>
            <w:tcW w:w="41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766,337,642</w:t>
            </w:r>
          </w:p>
        </w:tc>
        <w:tc>
          <w:tcPr>
            <w:tcW w:w="144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25,946,540</w:t>
            </w:r>
          </w:p>
        </w:tc>
        <w:tc>
          <w:tcPr>
            <w:tcW w:w="1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1,004,772</w:t>
            </w: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Richard M. Beyer</w:t>
            </w:r>
          </w:p>
        </w:tc>
        <w:tc>
          <w:tcPr>
            <w:tcW w:w="4180" w:type="dxa"/>
            <w:vAlign w:val="bottom"/>
          </w:tcPr>
          <w:p>
            <w:pPr>
              <w:jc w:val="right"/>
              <w:ind w:right="190"/>
              <w:spacing w:after="0"/>
              <w:rPr>
                <w:sz w:val="20"/>
                <w:szCs w:val="20"/>
                <w:color w:val="auto"/>
              </w:rPr>
            </w:pPr>
            <w:r>
              <w:rPr>
                <w:rFonts w:ascii="Arial" w:cs="Arial" w:eastAsia="Arial" w:hAnsi="Arial"/>
                <w:sz w:val="18"/>
                <w:szCs w:val="18"/>
                <w:color w:val="auto"/>
              </w:rPr>
              <w:t>769,499,869</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22,766,463</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1,022,622</w:t>
            </w:r>
          </w:p>
        </w:tc>
      </w:tr>
      <w:tr>
        <w:trPr>
          <w:trHeight w:val="263"/>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Steven J. Gomo</w:t>
            </w:r>
          </w:p>
        </w:tc>
        <w:tc>
          <w:tcPr>
            <w:tcW w:w="41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781,571,709</w:t>
            </w:r>
          </w:p>
        </w:tc>
        <w:tc>
          <w:tcPr>
            <w:tcW w:w="144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10,669,409</w:t>
            </w:r>
          </w:p>
        </w:tc>
        <w:tc>
          <w:tcPr>
            <w:tcW w:w="1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1,047,836</w:t>
            </w: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Mary Pat McCarthy</w:t>
            </w:r>
          </w:p>
        </w:tc>
        <w:tc>
          <w:tcPr>
            <w:tcW w:w="4180" w:type="dxa"/>
            <w:vAlign w:val="bottom"/>
          </w:tcPr>
          <w:p>
            <w:pPr>
              <w:jc w:val="right"/>
              <w:ind w:right="190"/>
              <w:spacing w:after="0"/>
              <w:rPr>
                <w:sz w:val="20"/>
                <w:szCs w:val="20"/>
                <w:color w:val="auto"/>
              </w:rPr>
            </w:pPr>
            <w:r>
              <w:rPr>
                <w:rFonts w:ascii="Arial" w:cs="Arial" w:eastAsia="Arial" w:hAnsi="Arial"/>
                <w:sz w:val="18"/>
                <w:szCs w:val="18"/>
                <w:color w:val="auto"/>
              </w:rPr>
              <w:t>785,115,317</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7,166,858</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1,006,779</w:t>
            </w:r>
          </w:p>
        </w:tc>
      </w:tr>
      <w:tr>
        <w:trPr>
          <w:trHeight w:val="263"/>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41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790,342,040</w:t>
            </w:r>
          </w:p>
        </w:tc>
        <w:tc>
          <w:tcPr>
            <w:tcW w:w="144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1,989,355</w:t>
            </w:r>
          </w:p>
        </w:tc>
        <w:tc>
          <w:tcPr>
            <w:tcW w:w="1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957,559</w:t>
            </w: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Robert E. Switz</w:t>
            </w:r>
          </w:p>
        </w:tc>
        <w:tc>
          <w:tcPr>
            <w:tcW w:w="4180" w:type="dxa"/>
            <w:vAlign w:val="bottom"/>
          </w:tcPr>
          <w:p>
            <w:pPr>
              <w:jc w:val="right"/>
              <w:ind w:right="190"/>
              <w:spacing w:after="0"/>
              <w:rPr>
                <w:sz w:val="20"/>
                <w:szCs w:val="20"/>
                <w:color w:val="auto"/>
              </w:rPr>
            </w:pPr>
            <w:r>
              <w:rPr>
                <w:rFonts w:ascii="Arial" w:cs="Arial" w:eastAsia="Arial" w:hAnsi="Arial"/>
                <w:sz w:val="18"/>
                <w:szCs w:val="18"/>
                <w:color w:val="auto"/>
              </w:rPr>
              <w:t>761,024,337</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31,237,581</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1,027,036</w:t>
            </w:r>
          </w:p>
        </w:tc>
      </w:tr>
      <w:tr>
        <w:trPr>
          <w:trHeight w:val="263"/>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MaryAnn Wright</w:t>
            </w:r>
          </w:p>
        </w:tc>
        <w:tc>
          <w:tcPr>
            <w:tcW w:w="41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775,539,201</w:t>
            </w:r>
          </w:p>
        </w:tc>
        <w:tc>
          <w:tcPr>
            <w:tcW w:w="144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16,742,317</w:t>
            </w:r>
          </w:p>
        </w:tc>
        <w:tc>
          <w:tcPr>
            <w:tcW w:w="1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1,007,436</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3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proposal by the Company to approve a non-binding resolution to approve the compensation of our Named Executive Officers as described in the Company’s proxy statement was approved with 743,253,341 votes in favor, 48,276,581 votes against, and 1,759,032 abstentions.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27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ending September 3, 2020, was approved with 879,504,516 votes in favor, 55,487,786 votes against, and 1,625,489 abstentions.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6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642"/>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9800" w:type="dxa"/>
            <w:vAlign w:val="bottom"/>
            <w:gridSpan w:val="4"/>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37"/>
        </w:trPr>
        <w:tc>
          <w:tcPr>
            <w:tcW w:w="1360" w:type="dxa"/>
            <w:vAlign w:val="bottom"/>
            <w:tcBorders>
              <w:top w:val="single" w:sz="8" w:color="auto"/>
              <w:bottom w:val="single" w:sz="8" w:color="D1D2D4"/>
            </w:tcBorders>
            <w:shd w:val="clear" w:color="auto" w:fill="D1D2D4"/>
          </w:tcPr>
          <w:p>
            <w:pPr>
              <w:jc w:val="right"/>
              <w:ind w:right="410"/>
              <w:spacing w:after="0"/>
              <w:rPr>
                <w:sz w:val="20"/>
                <w:szCs w:val="20"/>
                <w:color w:val="auto"/>
              </w:rPr>
            </w:pPr>
            <w:r>
              <w:rPr>
                <w:rFonts w:ascii="Arial" w:cs="Arial" w:eastAsia="Arial" w:hAnsi="Arial"/>
                <w:sz w:val="18"/>
                <w:szCs w:val="18"/>
                <w:color w:val="auto"/>
              </w:rPr>
              <w:t>99.1</w:t>
            </w:r>
          </w:p>
        </w:tc>
        <w:tc>
          <w:tcPr>
            <w:tcW w:w="260" w:type="dxa"/>
            <w:vAlign w:val="bottom"/>
            <w:tcBorders>
              <w:top w:val="single" w:sz="8" w:color="D1D2D4"/>
              <w:bottom w:val="single" w:sz="8" w:color="D1D2D4"/>
            </w:tcBorders>
            <w:shd w:val="clear" w:color="auto" w:fill="D1D2D4"/>
          </w:tcPr>
          <w:p>
            <w:pPr>
              <w:spacing w:after="0"/>
              <w:rPr>
                <w:sz w:val="20"/>
                <w:szCs w:val="20"/>
                <w:color w:val="auto"/>
              </w:rPr>
            </w:pPr>
          </w:p>
        </w:tc>
        <w:tc>
          <w:tcPr>
            <w:tcW w:w="20" w:type="dxa"/>
            <w:vAlign w:val="bottom"/>
            <w:tcBorders>
              <w:top w:val="single" w:sz="8" w:color="auto"/>
              <w:bottom w:val="single" w:sz="8" w:color="D1D2D4"/>
            </w:tcBorders>
            <w:shd w:val="clear" w:color="auto" w:fill="D1D2D4"/>
          </w:tcPr>
          <w:p>
            <w:pPr>
              <w:spacing w:after="0"/>
              <w:rPr>
                <w:sz w:val="20"/>
                <w:szCs w:val="20"/>
                <w:color w:val="auto"/>
              </w:rPr>
            </w:pPr>
          </w:p>
        </w:tc>
        <w:tc>
          <w:tcPr>
            <w:tcW w:w="4400" w:type="dxa"/>
            <w:vAlign w:val="bottom"/>
            <w:tcBorders>
              <w:top w:val="single" w:sz="8" w:color="auto"/>
              <w:bottom w:val="single" w:sz="8" w:color="0000FF"/>
            </w:tcBorders>
            <w:shd w:val="clear" w:color="auto" w:fill="D1D2D4"/>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Amended and Restated Bylaws as of January 15, 2020</w:t>
              </w:r>
            </w:hyperlink>
          </w:p>
        </w:tc>
        <w:tc>
          <w:tcPr>
            <w:tcW w:w="5360" w:type="dxa"/>
            <w:vAlign w:val="bottom"/>
            <w:tcBorders>
              <w:top w:val="single" w:sz="8" w:color="auto"/>
              <w:bottom w:val="single" w:sz="8" w:color="D1D2D4"/>
            </w:tcBorders>
            <w:shd w:val="clear" w:color="auto" w:fill="D1D2D4"/>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36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9800" w:type="dxa"/>
            <w:vAlign w:val="bottom"/>
            <w:gridSpan w:val="4"/>
          </w:tcPr>
          <w:p>
            <w:pPr>
              <w:ind w:left="20"/>
              <w:spacing w:after="0"/>
              <w:rPr>
                <w:sz w:val="20"/>
                <w:szCs w:val="20"/>
                <w:color w:val="auto"/>
              </w:rPr>
            </w:pPr>
            <w:r>
              <w:rPr>
                <w:rFonts w:ascii="Arial" w:cs="Arial" w:eastAsia="Arial" w:hAnsi="Arial"/>
                <w:sz w:val="18"/>
                <w:szCs w:val="18"/>
                <w:color w:val="auto"/>
              </w:rPr>
              <w:t>Cover Page Interactive File (formatted as Inline XBRL)</w:t>
            </w:r>
          </w:p>
        </w:tc>
      </w:tr>
      <w:tr>
        <w:trPr>
          <w:trHeight w:val="1493"/>
        </w:trPr>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700" w:type="dxa"/>
            <w:vAlign w:val="bottom"/>
            <w:gridSpan w:val="2"/>
          </w:tcPr>
          <w:p>
            <w:pPr>
              <w:ind w:left="1540"/>
              <w:spacing w:after="0"/>
              <w:rPr>
                <w:sz w:val="20"/>
                <w:szCs w:val="20"/>
                <w:color w:val="auto"/>
              </w:rPr>
            </w:pPr>
            <w:r>
              <w:rPr>
                <w:rFonts w:ascii="Arial" w:cs="Arial" w:eastAsia="Arial" w:hAnsi="Arial"/>
                <w:sz w:val="18"/>
                <w:szCs w:val="18"/>
                <w:b w:val="1"/>
                <w:bCs w:val="1"/>
                <w:color w:val="auto"/>
              </w:rPr>
              <w:t>Micron Technology, Inc.</w:t>
            </w:r>
          </w:p>
        </w:tc>
      </w:tr>
      <w:tr>
        <w:trPr>
          <w:trHeight w:val="77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80"/>
              <w:spacing w:after="0"/>
              <w:rPr>
                <w:sz w:val="20"/>
                <w:szCs w:val="20"/>
                <w:color w:val="auto"/>
              </w:rPr>
            </w:pPr>
            <w:r>
              <w:rPr>
                <w:rFonts w:ascii="Arial" w:cs="Arial" w:eastAsia="Arial" w:hAnsi="Arial"/>
                <w:sz w:val="18"/>
                <w:szCs w:val="18"/>
                <w:color w:val="auto"/>
              </w:rPr>
              <w:t>January 22, 2020</w:t>
            </w:r>
          </w:p>
        </w:tc>
        <w:tc>
          <w:tcPr>
            <w:tcW w:w="2440" w:type="dxa"/>
            <w:vAlign w:val="bottom"/>
          </w:tcPr>
          <w:p>
            <w:pPr>
              <w:ind w:left="15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43"/>
        </w:trPr>
        <w:tc>
          <w:tcPr>
            <w:tcW w:w="6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Name:</w:t>
            </w:r>
          </w:p>
        </w:tc>
        <w:tc>
          <w:tcPr>
            <w:tcW w:w="52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57"/>
        </w:trPr>
        <w:tc>
          <w:tcPr>
            <w:tcW w:w="6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Title:</w:t>
            </w: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88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Micron Technology,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Bylaws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 as of January 15, 2020)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 CORPORATE OFFICES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Registered Office.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shall be fixed in the corporation’s Certificate of Incorporation, as the same may be amended from time to time.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Other Offices.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 - MEETINGS OF STOCKHOLDERS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Place of Meetings.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Annual Meeting.</w:t>
      </w:r>
    </w:p>
    <w:p>
      <w:pPr>
        <w:spacing w:after="0" w:line="256"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Notice of Stockholder Meeting.</w:t>
      </w:r>
    </w:p>
    <w:p>
      <w:pPr>
        <w:spacing w:after="0" w:line="25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law, the Certificate of Incorporation or these Bylaws, the written notice of any meeting of stockholders shall be given not less than ten (10) nor more than sixty (60) days before the date of the meeting to each stockholder entitled to vote at such meeting as of the record date for determining the stockholders entitled to notice of the meeting.</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List of Stockholders Entitled to Vote.</w:t>
      </w:r>
    </w:p>
    <w:p>
      <w:pPr>
        <w:spacing w:after="0" w:line="25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91" w:right="239" w:bottom="1440" w:gutter="0" w:footer="0" w:header="0"/>
        </w:sectPr>
      </w:pPr>
    </w:p>
    <w:bookmarkStart w:id="4" w:name="page5"/>
    <w:bookmarkEnd w:id="4"/>
    <w:p>
      <w:pPr>
        <w:ind w:right="160"/>
        <w:spacing w:after="0" w:line="312" w:lineRule="auto"/>
        <w:rPr>
          <w:sz w:val="20"/>
          <w:szCs w:val="20"/>
          <w:color w:val="auto"/>
        </w:rPr>
      </w:pPr>
      <w:r>
        <w:rPr>
          <w:rFonts w:ascii="Arial" w:cs="Arial" w:eastAsia="Arial" w:hAnsi="Arial"/>
          <w:sz w:val="16"/>
          <w:szCs w:val="16"/>
          <w:color w:val="auto"/>
        </w:rPr>
        <w:t>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Special Meetings.</w:t>
      </w:r>
    </w:p>
    <w:p>
      <w:pPr>
        <w:spacing w:after="0" w:line="256" w:lineRule="exact"/>
        <w:rPr>
          <w:sz w:val="20"/>
          <w:szCs w:val="20"/>
          <w:color w:val="auto"/>
        </w:rPr>
      </w:pPr>
    </w:p>
    <w:p>
      <w:pPr>
        <w:ind w:firstLine="656"/>
        <w:spacing w:after="0" w:line="286" w:lineRule="auto"/>
        <w:tabs>
          <w:tab w:leader="none" w:pos="893" w:val="left"/>
        </w:tabs>
        <w:numPr>
          <w:ilvl w:val="0"/>
          <w:numId w:val="2"/>
        </w:numPr>
        <w:rPr>
          <w:rFonts w:ascii="Arial" w:cs="Arial" w:eastAsia="Arial" w:hAnsi="Arial"/>
          <w:sz w:val="16"/>
          <w:szCs w:val="16"/>
          <w:color w:val="auto"/>
        </w:rPr>
      </w:pPr>
      <w:r>
        <w:rPr>
          <w:rFonts w:ascii="Arial" w:cs="Arial" w:eastAsia="Arial" w:hAnsi="Arial"/>
          <w:sz w:val="16"/>
          <w:szCs w:val="16"/>
          <w:color w:val="auto"/>
        </w:rPr>
        <w:t>Special meetings of the stockholders, for any purpose or purposes, unless otherwise prescribed by law or by the Certificate of Incorporation, may be called by the Board of Directors, the Chairman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201" w:lineRule="exact"/>
        <w:rPr>
          <w:rFonts w:ascii="Arial" w:cs="Arial" w:eastAsia="Arial" w:hAnsi="Arial"/>
          <w:sz w:val="16"/>
          <w:szCs w:val="16"/>
          <w:color w:val="auto"/>
        </w:rPr>
      </w:pPr>
    </w:p>
    <w:p>
      <w:pPr>
        <w:ind w:right="40" w:firstLine="656"/>
        <w:spacing w:after="0" w:line="342" w:lineRule="auto"/>
        <w:tabs>
          <w:tab w:leader="none" w:pos="903" w:val="left"/>
        </w:tabs>
        <w:numPr>
          <w:ilvl w:val="0"/>
          <w:numId w:val="2"/>
        </w:numPr>
        <w:rPr>
          <w:rFonts w:ascii="Arial" w:cs="Arial" w:eastAsia="Arial" w:hAnsi="Arial"/>
          <w:sz w:val="16"/>
          <w:szCs w:val="16"/>
          <w:color w:val="auto"/>
        </w:rPr>
      </w:pPr>
      <w:r>
        <w:rPr>
          <w:rFonts w:ascii="Arial" w:cs="Arial" w:eastAsia="Arial" w:hAnsi="Arial"/>
          <w:sz w:val="16"/>
          <w:szCs w:val="16"/>
          <w:color w:val="auto"/>
        </w:rPr>
        <w:t>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Quorum.</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Adjourned Meeting Notice.</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 adjournment is taken.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 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Proxies.</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When a quorum is present at any meeting, the vote of the holders of a majority of the voting power of the stock present in person or represented by proxy shall decide any issue brought before such meeting, unless the issue is (a) one upon which by express provision of the Certificate of Incorporation, these Bylaws, the rules or regulations of any stock exchange applicable to the corporation, or applicable law or pursuant to any regulation applicable to the corporation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95" w:right="239" w:bottom="1440"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t>or its securities, a different vote is required in which case such express provision shall govern and control the decision of the issue or (b) relates to the election of directors, in which case the provisions of Article III, Section 2 shall apply.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Reserved.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 Action by Written Consent.</w:t>
      </w:r>
    </w:p>
    <w:p>
      <w:pPr>
        <w:spacing w:after="0" w:line="256" w:lineRule="exact"/>
        <w:rPr>
          <w:sz w:val="20"/>
          <w:szCs w:val="20"/>
          <w:color w:val="auto"/>
        </w:rPr>
      </w:pPr>
    </w:p>
    <w:p>
      <w:pPr>
        <w:ind w:firstLine="656"/>
        <w:spacing w:after="0" w:line="288" w:lineRule="auto"/>
        <w:tabs>
          <w:tab w:leader="none" w:pos="893"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Notice. </w:t>
      </w:r>
      <w:r>
        <w:rPr>
          <w:rFonts w:ascii="Arial" w:cs="Arial" w:eastAsia="Arial" w:hAnsi="Arial"/>
          <w:sz w:val="16"/>
          <w:szCs w:val="16"/>
          <w:color w:val="auto"/>
        </w:rPr>
        <w:t>Unless otherwise restricted by the Certificate of Incorporation, any action required to be taken at any annual or special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96" w:lineRule="exact"/>
        <w:rPr>
          <w:rFonts w:ascii="Arial" w:cs="Arial" w:eastAsia="Arial" w:hAnsi="Arial"/>
          <w:sz w:val="16"/>
          <w:szCs w:val="16"/>
          <w:color w:val="auto"/>
        </w:rPr>
      </w:pPr>
    </w:p>
    <w:p>
      <w:pPr>
        <w:ind w:right="20" w:firstLine="656"/>
        <w:spacing w:after="0" w:line="268" w:lineRule="auto"/>
        <w:tabs>
          <w:tab w:leader="none" w:pos="903"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Record Date. </w:t>
      </w:r>
      <w:r>
        <w:rPr>
          <w:rFonts w:ascii="Arial" w:cs="Arial" w:eastAsia="Arial" w:hAnsi="Arial"/>
          <w:sz w:val="17"/>
          <w:szCs w:val="17"/>
          <w:color w:val="auto"/>
        </w:rPr>
        <w:t>Unless otherwise restricted by the Certificate of Incorporation, in order that the corporation may determine the stockholders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210" w:lineRule="exact"/>
        <w:rPr>
          <w:rFonts w:ascii="Arial" w:cs="Arial" w:eastAsia="Arial" w:hAnsi="Arial"/>
          <w:sz w:val="17"/>
          <w:szCs w:val="17"/>
          <w:color w:val="auto"/>
        </w:rPr>
      </w:pPr>
    </w:p>
    <w:p>
      <w:pPr>
        <w:ind w:right="40" w:firstLine="656"/>
        <w:spacing w:after="0" w:line="288" w:lineRule="auto"/>
        <w:tabs>
          <w:tab w:leader="none" w:pos="893"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Inspector of Elections. </w:t>
      </w:r>
      <w:r>
        <w:rPr>
          <w:rFonts w:ascii="Arial" w:cs="Arial" w:eastAsia="Arial" w:hAnsi="Arial"/>
          <w:sz w:val="16"/>
          <w:szCs w:val="16"/>
          <w:color w:val="auto"/>
        </w:rPr>
        <w:t>In the event of the delivery, in the manner provided by this Article II, Section 10 and applicable law, to the corporation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96" w:lineRule="exact"/>
        <w:rPr>
          <w:rFonts w:ascii="Arial" w:cs="Arial" w:eastAsia="Arial" w:hAnsi="Arial"/>
          <w:sz w:val="16"/>
          <w:szCs w:val="16"/>
          <w:color w:val="auto"/>
        </w:rPr>
      </w:pPr>
    </w:p>
    <w:p>
      <w:pPr>
        <w:ind w:right="200" w:firstLine="656"/>
        <w:spacing w:after="0" w:line="279" w:lineRule="auto"/>
        <w:tabs>
          <w:tab w:leader="none" w:pos="903"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Every written consent shall bear the date of signature of each stockholder who signs the consent and no written consent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95"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b w:val="1"/>
          <w:bCs w:val="1"/>
          <w:color w:val="auto"/>
        </w:rPr>
        <w:t>Section 11. Advance Notice of Stockholder Nominees, Proxy Access and Stockholder Business.</w:t>
      </w:r>
    </w:p>
    <w:p>
      <w:pPr>
        <w:spacing w:after="0" w:line="256" w:lineRule="exact"/>
        <w:rPr>
          <w:sz w:val="20"/>
          <w:szCs w:val="20"/>
          <w:color w:val="auto"/>
        </w:rPr>
      </w:pPr>
    </w:p>
    <w:p>
      <w:pPr>
        <w:ind w:right="320" w:firstLine="656"/>
        <w:spacing w:after="0" w:line="342" w:lineRule="auto"/>
        <w:tabs>
          <w:tab w:leader="none" w:pos="883"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spacing w:after="0" w:line="150" w:lineRule="exact"/>
        <w:rPr>
          <w:rFonts w:ascii="Arial" w:cs="Arial" w:eastAsia="Arial" w:hAnsi="Arial"/>
          <w:sz w:val="16"/>
          <w:szCs w:val="16"/>
          <w:color w:val="auto"/>
        </w:rPr>
      </w:pPr>
    </w:p>
    <w:p>
      <w:pPr>
        <w:ind w:left="1520" w:hanging="215"/>
        <w:spacing w:after="0"/>
        <w:tabs>
          <w:tab w:leader="none" w:pos="1520" w:val="left"/>
        </w:tabs>
        <w:numPr>
          <w:ilvl w:val="1"/>
          <w:numId w:val="4"/>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or any committee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37" w:lineRule="exact"/>
        <w:rPr>
          <w:rFonts w:ascii="Arial" w:cs="Arial" w:eastAsia="Arial" w:hAnsi="Arial"/>
          <w:sz w:val="16"/>
          <w:szCs w:val="16"/>
          <w:color w:val="auto"/>
        </w:rPr>
      </w:pPr>
    </w:p>
    <w:p>
      <w:pPr>
        <w:ind w:left="1560" w:hanging="255"/>
        <w:spacing w:after="0"/>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or any committee thereof, or</w:t>
      </w:r>
    </w:p>
    <w:p>
      <w:pPr>
        <w:spacing w:after="0" w:line="252" w:lineRule="exact"/>
        <w:rPr>
          <w:rFonts w:ascii="Arial" w:cs="Arial" w:eastAsia="Arial" w:hAnsi="Arial"/>
          <w:sz w:val="18"/>
          <w:szCs w:val="18"/>
          <w:color w:val="auto"/>
        </w:rPr>
      </w:pPr>
    </w:p>
    <w:p>
      <w:pPr>
        <w:ind w:left="660" w:firstLine="645"/>
        <w:spacing w:after="0" w:line="286" w:lineRule="auto"/>
        <w:tabs>
          <w:tab w:leader="none" w:pos="1623" w:val="left"/>
        </w:tabs>
        <w:numPr>
          <w:ilvl w:val="1"/>
          <w:numId w:val="4"/>
        </w:numPr>
        <w:rPr>
          <w:rFonts w:ascii="Arial" w:cs="Arial" w:eastAsia="Arial" w:hAnsi="Arial"/>
          <w:sz w:val="17"/>
          <w:szCs w:val="17"/>
          <w:color w:val="auto"/>
        </w:rPr>
      </w:pPr>
      <w:r>
        <w:rPr>
          <w:rFonts w:ascii="Arial" w:cs="Arial" w:eastAsia="Arial" w:hAnsi="Arial"/>
          <w:sz w:val="17"/>
          <w:szCs w:val="17"/>
          <w:color w:val="auto"/>
        </w:rPr>
        <w:t>otherwise properly brought before an annual meeting by a stockholder who: (A) is a stockholder of record of the corporation at the time such notice of meeting is delivered and at the time the notice required hereunder is delivered to the Secretary; (B) is entitled to vote at the meeting; and (C) complies with the notice procedures and disclosure requirements set forth in Article II, Section 11(a).</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 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Only persons who are nominated in accordance with the procedures set forth in Article II, Section 11(b) and (c) shall be eligible for election as directors.</w:t>
      </w:r>
    </w:p>
    <w:p>
      <w:pPr>
        <w:spacing w:after="0" w:line="264" w:lineRule="exact"/>
        <w:rPr>
          <w:sz w:val="20"/>
          <w:szCs w:val="20"/>
          <w:color w:val="auto"/>
        </w:rPr>
      </w:pPr>
    </w:p>
    <w:p>
      <w:pPr>
        <w:ind w:firstLine="656"/>
        <w:spacing w:after="0" w:line="255"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Article II, Section 11(a). For the nomination of any person or persons for election to the Board of Directors by any stockholder, whether at an annual meeting or a properly called special meeting of stockholders, the stockholder's notice to the Secretary shall set forth:</w:t>
      </w:r>
    </w:p>
    <w:p>
      <w:pPr>
        <w:spacing w:after="0" w:line="220" w:lineRule="exact"/>
        <w:rPr>
          <w:rFonts w:ascii="Arial" w:cs="Arial" w:eastAsia="Arial" w:hAnsi="Arial"/>
          <w:sz w:val="18"/>
          <w:szCs w:val="18"/>
          <w:color w:val="auto"/>
        </w:rPr>
      </w:pPr>
    </w:p>
    <w:p>
      <w:pPr>
        <w:ind w:left="1520" w:hanging="21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such notice,</w:t>
      </w:r>
    </w:p>
    <w:p>
      <w:pPr>
        <w:spacing w:after="0" w:line="252" w:lineRule="exact"/>
        <w:rPr>
          <w:rFonts w:ascii="Arial" w:cs="Arial" w:eastAsia="Arial" w:hAnsi="Arial"/>
          <w:sz w:val="18"/>
          <w:szCs w:val="18"/>
          <w:color w:val="auto"/>
        </w:rPr>
      </w:pPr>
    </w:p>
    <w:p>
      <w:pPr>
        <w:ind w:left="1560" w:hanging="255"/>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principal occupation or employment of each such nominee,</w:t>
      </w:r>
    </w:p>
    <w:p>
      <w:pPr>
        <w:spacing w:after="0" w:line="252" w:lineRule="exact"/>
        <w:rPr>
          <w:rFonts w:ascii="Arial" w:cs="Arial" w:eastAsia="Arial" w:hAnsi="Arial"/>
          <w:sz w:val="18"/>
          <w:szCs w:val="18"/>
          <w:color w:val="auto"/>
        </w:rPr>
      </w:pPr>
    </w:p>
    <w:p>
      <w:pPr>
        <w:ind w:left="660" w:right="20" w:firstLine="645"/>
        <w:spacing w:after="0" w:line="286" w:lineRule="auto"/>
        <w:tabs>
          <w:tab w:leader="none" w:pos="1623" w:val="left"/>
        </w:tabs>
        <w:numPr>
          <w:ilvl w:val="1"/>
          <w:numId w:val="5"/>
        </w:numPr>
        <w:rPr>
          <w:rFonts w:ascii="Arial" w:cs="Arial" w:eastAsia="Arial" w:hAnsi="Arial"/>
          <w:sz w:val="17"/>
          <w:szCs w:val="17"/>
          <w:color w:val="auto"/>
        </w:rPr>
      </w:pPr>
      <w:r>
        <w:rPr>
          <w:rFonts w:ascii="Arial" w:cs="Arial" w:eastAsia="Arial" w:hAnsi="Arial"/>
          <w:sz w:val="17"/>
          <w:szCs w:val="17"/>
          <w:color w:val="auto"/>
        </w:rPr>
        <w:t>(A) the number of shares of capital stock of the corporation which are owned of record and beneficially by each such nominee and any affiliates or associates of such nominee (if any) and (B) a description of any agreement, arrangement or understanding of the type described in clause (vi) (D) of this section, but as it relates to each such nominee rather than the stockholder,</w:t>
      </w:r>
    </w:p>
    <w:p>
      <w:pPr>
        <w:spacing w:after="0" w:line="192" w:lineRule="exact"/>
        <w:rPr>
          <w:rFonts w:ascii="Arial" w:cs="Arial" w:eastAsia="Arial" w:hAnsi="Arial"/>
          <w:sz w:val="17"/>
          <w:szCs w:val="17"/>
          <w:color w:val="auto"/>
        </w:rPr>
      </w:pPr>
    </w:p>
    <w:p>
      <w:pPr>
        <w:ind w:left="660" w:firstLine="645"/>
        <w:spacing w:after="0" w:line="271" w:lineRule="auto"/>
        <w:tabs>
          <w:tab w:leader="none" w:pos="1613" w:val="left"/>
        </w:tabs>
        <w:numPr>
          <w:ilvl w:val="1"/>
          <w:numId w:val="5"/>
        </w:numPr>
        <w:rPr>
          <w:rFonts w:ascii="Arial" w:cs="Arial" w:eastAsia="Arial" w:hAnsi="Arial"/>
          <w:sz w:val="17"/>
          <w:szCs w:val="17"/>
          <w:color w:val="auto"/>
        </w:rPr>
      </w:pPr>
      <w:r>
        <w:rPr>
          <w:rFonts w:ascii="Arial" w:cs="Arial" w:eastAsia="Arial" w:hAnsi="Arial"/>
          <w:sz w:val="17"/>
          <w:szCs w:val="17"/>
          <w:color w:val="auto"/>
        </w:rPr>
        <w:t>(A) if any such nominee is a party to any direct or indirect compensatory, reimbursement, indemnification, payment or other financial agreement, arrangement or understanding with any person or entity other than the corporation (a “Compensation Arrangement”), or has received, directly or indirectly,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 director in an election contest (even if an election contest is not involved) or that is otherwise required to be disclosed, under Section 14(a) of the Securities Exchange Act of 1934, as amended, and the rules and regulations promulgated thereunder (the “Exchange Act”),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91" w:right="259" w:bottom="1440" w:gutter="0" w:footer="0" w:header="0"/>
        </w:sectPr>
      </w:pPr>
    </w:p>
    <w:bookmarkStart w:id="7" w:name="page8"/>
    <w:bookmarkEnd w:id="7"/>
    <w:p>
      <w:pPr>
        <w:ind w:left="660" w:firstLine="645"/>
        <w:spacing w:after="0" w:line="257" w:lineRule="auto"/>
        <w:tabs>
          <w:tab w:leader="none" w:pos="156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consent of the nominee to being named in the proxy statement as a nominee and to serving as a director if elected and a representation by the nominee to the effect that the nominee has read and, if elected will agree to adhere to the corporation’s Code of Business Conduct and Ethics, corporate Governance Guidelines, and any conflict of interest, confidentiality and stock ownership and securities trading policies, and any other policies and guidelines of the Board or the corporation applicable to directors, as well as any applicable law, rule or regulation or listing requirement, and</w:t>
      </w:r>
    </w:p>
    <w:p>
      <w:pPr>
        <w:spacing w:after="0" w:line="215" w:lineRule="exact"/>
        <w:rPr>
          <w:rFonts w:ascii="Arial" w:cs="Arial" w:eastAsia="Arial" w:hAnsi="Arial"/>
          <w:sz w:val="18"/>
          <w:szCs w:val="18"/>
          <w:color w:val="auto"/>
        </w:rPr>
      </w:pPr>
    </w:p>
    <w:p>
      <w:pPr>
        <w:ind w:left="660" w:right="20" w:firstLine="645"/>
        <w:spacing w:after="0" w:line="268" w:lineRule="auto"/>
        <w:tabs>
          <w:tab w:leader="none" w:pos="1613"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to the proposing stockholder: (A) the name and address of the stockholder as they appear on the corporation's books and of the beneficial owner, if any, on whose behalf the nomination is being made, (B) the class and number of shares of the corporation which are 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spacing w:after="0" w:line="208"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spacing w:after="0" w:line="208" w:lineRule="exact"/>
        <w:rPr>
          <w:sz w:val="20"/>
          <w:szCs w:val="20"/>
          <w:color w:val="auto"/>
        </w:rPr>
      </w:pPr>
    </w:p>
    <w:p>
      <w:pPr>
        <w:ind w:right="140" w:firstLine="656"/>
        <w:spacing w:after="0" w:line="270" w:lineRule="auto"/>
        <w:tabs>
          <w:tab w:leader="none" w:pos="893" w:val="left"/>
        </w:tabs>
        <w:numPr>
          <w:ilvl w:val="0"/>
          <w:numId w:val="7"/>
        </w:numPr>
        <w:rPr>
          <w:rFonts w:ascii="Arial" w:cs="Arial" w:eastAsia="Arial" w:hAnsi="Arial"/>
          <w:sz w:val="17"/>
          <w:szCs w:val="17"/>
          <w:color w:val="auto"/>
        </w:rPr>
      </w:pPr>
      <w:r>
        <w:rPr>
          <w:rFonts w:ascii="Arial" w:cs="Arial" w:eastAsia="Arial" w:hAnsi="Arial"/>
          <w:sz w:val="17"/>
          <w:szCs w:val="17"/>
          <w:color w:val="auto"/>
        </w:rPr>
        <w:t>(i) Subject to the requirements of Article II, Section 11, the corporation shall include in its proxy statement and on its proxy card for any annual meeting of stockholders the name of any director nominee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spacing w:after="0" w:line="204" w:lineRule="exact"/>
        <w:rPr>
          <w:rFonts w:ascii="Arial" w:cs="Arial" w:eastAsia="Arial" w:hAnsi="Arial"/>
          <w:sz w:val="17"/>
          <w:szCs w:val="17"/>
          <w:color w:val="auto"/>
        </w:rPr>
      </w:pPr>
    </w:p>
    <w:p>
      <w:pPr>
        <w:ind w:right="160" w:firstLine="1305"/>
        <w:spacing w:after="0" w:line="272" w:lineRule="auto"/>
        <w:tabs>
          <w:tab w:leader="none" w:pos="1558"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be timely, the Proxy Access Nomination Notice must be delivered to or mailed and received at the principal executive office of the corporation not less than one hundred twenty (120) calendar days nor earlier than one hundred fifty (150)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In no event shall the public announcement of an adjournment or postponement of an annual meeting of stockholders commence a new time period (or extend any time period) for the submission of such Proxy Access Nomination.</w:t>
      </w:r>
    </w:p>
    <w:p>
      <w:pPr>
        <w:spacing w:after="0" w:line="204" w:lineRule="exact"/>
        <w:rPr>
          <w:rFonts w:ascii="Arial" w:cs="Arial" w:eastAsia="Arial" w:hAnsi="Arial"/>
          <w:sz w:val="17"/>
          <w:szCs w:val="17"/>
          <w:color w:val="auto"/>
        </w:rPr>
      </w:pPr>
    </w:p>
    <w:p>
      <w:pPr>
        <w:ind w:right="100" w:firstLine="1305"/>
        <w:spacing w:after="0" w:line="264" w:lineRule="auto"/>
        <w:tabs>
          <w:tab w:leader="none" w:pos="1611"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addition to including the name of the Proxy Access Nominee in the corporation’s proxy statement for the annual meeting of stockholders, the corporation also shall include (A) the information concerning the Proxy Access Nominee and the Eligible Stockholder that is required to be disclosed in the corporation’s proxy statement pursuant to the proxy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95" w:right="239" w:bottom="1440" w:gutter="0" w:footer="0" w:header="0"/>
        </w:sectPr>
      </w:pPr>
    </w:p>
    <w:bookmarkStart w:id="8" w:name="page9"/>
    <w:bookmarkEnd w:id="8"/>
    <w:p>
      <w:pPr>
        <w:ind w:right="100"/>
        <w:spacing w:after="0" w:line="259" w:lineRule="auto"/>
        <w:rPr>
          <w:sz w:val="20"/>
          <w:szCs w:val="20"/>
          <w:color w:val="auto"/>
        </w:rPr>
      </w:pPr>
      <w:r>
        <w:rPr>
          <w:rFonts w:ascii="Arial" w:cs="Arial" w:eastAsia="Arial" w:hAnsi="Arial"/>
          <w:sz w:val="18"/>
          <w:szCs w:val="18"/>
          <w:color w:val="auto"/>
        </w:rPr>
        <w:t>rules of the Securities and Exchange Commission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spacing w:after="0" w:line="214" w:lineRule="exact"/>
        <w:rPr>
          <w:sz w:val="20"/>
          <w:szCs w:val="20"/>
          <w:color w:val="auto"/>
        </w:rPr>
      </w:pPr>
    </w:p>
    <w:p>
      <w:pPr>
        <w:ind w:right="80" w:firstLine="1305"/>
        <w:spacing w:after="0" w:line="302" w:lineRule="auto"/>
        <w:tabs>
          <w:tab w:leader="none" w:pos="1598"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maximum number of Stockholder Nominees nominated by all Eligible Stockholders that will be included in the corporation’s proxy materials with respect to an annual meeting of stockholders shall not exceed the greater of (A) two (2) and (B) 20 % of the total number of directors in office (rounded down to the nearest whole number), as of the last day on which a Proxy Access Notice may be delivered pursuant to and in accordance with this Article II, Section 11(v) (the “Permitted Number”); provided, however, the Permitted Number shall be reduced (but not below one) by:</w:t>
      </w:r>
    </w:p>
    <w:p>
      <w:pPr>
        <w:spacing w:after="0" w:line="181" w:lineRule="exact"/>
        <w:rPr>
          <w:rFonts w:ascii="Arial" w:cs="Arial" w:eastAsia="Arial" w:hAnsi="Arial"/>
          <w:sz w:val="16"/>
          <w:szCs w:val="16"/>
          <w:color w:val="auto"/>
        </w:rPr>
      </w:pPr>
    </w:p>
    <w:p>
      <w:pPr>
        <w:ind w:right="40" w:firstLine="656"/>
        <w:spacing w:after="0" w:line="257" w:lineRule="auto"/>
        <w:tabs>
          <w:tab w:leader="none" w:pos="9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individuals who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w:t>
      </w:r>
    </w:p>
    <w:p>
      <w:pPr>
        <w:spacing w:after="0" w:line="215" w:lineRule="exact"/>
        <w:rPr>
          <w:rFonts w:ascii="Arial" w:cs="Arial" w:eastAsia="Arial" w:hAnsi="Arial"/>
          <w:sz w:val="18"/>
          <w:szCs w:val="18"/>
          <w:color w:val="auto"/>
        </w:rPr>
      </w:pPr>
    </w:p>
    <w:p>
      <w:pPr>
        <w:ind w:right="140" w:firstLine="656"/>
        <w:spacing w:after="0" w:line="312" w:lineRule="auto"/>
        <w:tabs>
          <w:tab w:leader="none" w:pos="93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spacing w:after="0" w:line="17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Stockholder Nominees. 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18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Eligible Stockholder submitting more than one Stockholder Nominee for inclusion in the Corporation’s proxy materials pursuant to this Article II, Section 11(c)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Article II, Section 11(c) exceeds the Permitted Number, the highest ranking Stockholder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Notice submitted to the Corporation. If the Permitted Number is not reached after the highest ranking Stockholder Nominee who meets the requirements of this Article II, Section 11(c) from each Eligible Stockholder has been selected, this process will continue with the next highest ranked nominees as many times as necessary, following the same order each time, until the Permitted Number is reached.</w:t>
      </w:r>
    </w:p>
    <w:p>
      <w:pPr>
        <w:spacing w:after="0" w:line="194" w:lineRule="exact"/>
        <w:rPr>
          <w:sz w:val="20"/>
          <w:szCs w:val="20"/>
          <w:color w:val="auto"/>
        </w:rPr>
      </w:pPr>
    </w:p>
    <w:p>
      <w:pPr>
        <w:ind w:firstLine="1305"/>
        <w:spacing w:after="0" w:line="268" w:lineRule="auto"/>
        <w:tabs>
          <w:tab w:leader="none" w:pos="1541"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Eligible Stockholder must have owned (as defined below) continuously for at least three years a number of shares that represents three percent (3%) or more of the total voting power of the corporation’s outstanding shares entitled to vote in the election of directors as of the most recent date prior to the submission of the Proxy Access Nomination Notice for which such amount is given in any filing by the corporation with the SEC (the “Required Shares”) as of both the date the Proxy Access Nomination Notice is received by the corporation in accordance with this Article II, Section 11(c) and the record date for determining stockholders entitled to vote at the annual meeting of stockholders and must continue to own the Required Shares through the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895" w:right="279" w:bottom="1440" w:gutter="0" w:footer="0" w:header="0"/>
        </w:sectPr>
      </w:pPr>
    </w:p>
    <w:bookmarkStart w:id="9" w:name="page10"/>
    <w:bookmarkEnd w:id="9"/>
    <w:p>
      <w:pPr>
        <w:ind w:right="20" w:firstLine="1008"/>
        <w:spacing w:after="0" w:line="285" w:lineRule="auto"/>
        <w:rPr>
          <w:sz w:val="20"/>
          <w:szCs w:val="20"/>
          <w:color w:val="auto"/>
        </w:rPr>
      </w:pPr>
      <w:r>
        <w:rPr>
          <w:rFonts w:ascii="Arial" w:cs="Arial" w:eastAsia="Arial" w:hAnsi="Arial"/>
          <w:sz w:val="16"/>
          <w:szCs w:val="16"/>
          <w:color w:val="auto"/>
        </w:rPr>
        <w:t>For purposes of this Article II, Section 11(c), an Eligible Stockholder shall be deemed to “own” only those outstanding shares of the corporation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person’s or affiliates’ full right to vote or direct the voting of any such shares and/or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spacing w:after="0" w:line="202" w:lineRule="exact"/>
        <w:rPr>
          <w:sz w:val="20"/>
          <w:szCs w:val="20"/>
          <w:color w:val="auto"/>
        </w:rPr>
      </w:pPr>
    </w:p>
    <w:p>
      <w:pPr>
        <w:ind w:right="20" w:firstLine="1305"/>
        <w:spacing w:after="0" w:line="268" w:lineRule="auto"/>
        <w:tabs>
          <w:tab w:leader="none" w:pos="1598" w:val="left"/>
        </w:tabs>
        <w:numPr>
          <w:ilvl w:val="1"/>
          <w:numId w:val="11"/>
        </w:numPr>
        <w:rPr>
          <w:rFonts w:ascii="Arial" w:cs="Arial" w:eastAsia="Arial" w:hAnsi="Arial"/>
          <w:sz w:val="17"/>
          <w:szCs w:val="17"/>
          <w:color w:val="auto"/>
        </w:rPr>
      </w:pPr>
      <w:r>
        <w:rPr>
          <w:rFonts w:ascii="Arial" w:cs="Arial" w:eastAsia="Arial" w:hAnsi="Arial"/>
          <w:sz w:val="17"/>
          <w:szCs w:val="17"/>
          <w:color w:val="auto"/>
        </w:rPr>
        <w:t>Within the time period specified in Article II, Section 11(c)(ii) for the Proxy Access Nomination Notice, an Eligible Stockholder must provide in writing to the Secretary, with respect to the Stockholder Nominee, in addition to the information and representations required to be provided in the stockholder’s notice pursuant to Article II, Section 11(b), representations and 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(B) 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 (2)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spacing w:after="0" w:line="210" w:lineRule="exact"/>
        <w:rPr>
          <w:rFonts w:ascii="Arial" w:cs="Arial" w:eastAsia="Arial" w:hAnsi="Arial"/>
          <w:sz w:val="17"/>
          <w:szCs w:val="17"/>
          <w:color w:val="auto"/>
        </w:rPr>
      </w:pPr>
    </w:p>
    <w:p>
      <w:pPr>
        <w:ind w:firstLine="1305"/>
        <w:spacing w:after="0" w:line="283" w:lineRule="auto"/>
        <w:tabs>
          <w:tab w:leader="none" w:pos="1648" w:val="left"/>
        </w:tabs>
        <w:numPr>
          <w:ilvl w:val="1"/>
          <w:numId w:val="11"/>
        </w:numPr>
        <w:rPr>
          <w:rFonts w:ascii="Arial" w:cs="Arial" w:eastAsia="Arial" w:hAnsi="Arial"/>
          <w:sz w:val="16"/>
          <w:szCs w:val="16"/>
          <w:color w:val="auto"/>
        </w:rPr>
      </w:pPr>
      <w:r>
        <w:rPr>
          <w:rFonts w:ascii="Arial" w:cs="Arial" w:eastAsia="Arial" w:hAnsi="Arial"/>
          <w:sz w:val="16"/>
          <w:szCs w:val="16"/>
          <w:color w:val="auto"/>
        </w:rPr>
        <w:t>Within the time period specified in Article II, Section 11(c)(ii) for the Proxy Access Nomination Notice, an Eligible Stockholder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Nomination Notice is received by the secretary of the Company, the Eligible Stockholder owns, and has owned continuously for the preceding three years,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Company (a) disclosed such date by press release or any filing with the SEC or (b) delivered a written notice of the record date (including by electronic mail) to the Eligible Stockholder) or (y) the date on which the Company delivered to the Eligible Stockholder written notice (including by electronic mail) of the record date (if such notice is provided after the record date); and (2) immediate notice if the Eligible Stockholder ceases to own any of the Required Shares prior to the date of the annual meeting of stockholders;</w:t>
      </w:r>
    </w:p>
    <w:p>
      <w:pPr>
        <w:spacing w:after="0" w:line="4" w:lineRule="exact"/>
        <w:rPr>
          <w:rFonts w:ascii="Arial" w:cs="Arial" w:eastAsia="Arial" w:hAnsi="Arial"/>
          <w:sz w:val="16"/>
          <w:szCs w:val="16"/>
          <w:color w:val="auto"/>
        </w:rPr>
      </w:pPr>
    </w:p>
    <w:p>
      <w:pPr>
        <w:ind w:right="40" w:firstLine="8"/>
        <w:spacing w:after="0" w:line="261" w:lineRule="auto"/>
        <w:tabs>
          <w:tab w:leader="none" w:pos="2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documentation satisfactory to the Company demonstrating that a group of funds are entitled to be treated as one stockholder or person for purposes of this Article II, Section 11(c); (D) a representation that the Eligible Stockholder (including each member of any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95" w:right="239" w:bottom="1440" w:gutter="0" w:footer="0" w:header="0"/>
        </w:sectPr>
      </w:pPr>
    </w:p>
    <w:bookmarkStart w:id="10" w:name="page11"/>
    <w:bookmarkEnd w:id="10"/>
    <w:p>
      <w:pPr>
        <w:spacing w:after="0" w:line="284" w:lineRule="auto"/>
        <w:rPr>
          <w:sz w:val="20"/>
          <w:szCs w:val="20"/>
          <w:color w:val="auto"/>
        </w:rPr>
      </w:pPr>
      <w:r>
        <w:rPr>
          <w:rFonts w:ascii="Arial" w:cs="Arial" w:eastAsia="Arial" w:hAnsi="Arial"/>
          <w:sz w:val="16"/>
          <w:szCs w:val="16"/>
          <w:color w:val="auto"/>
        </w:rPr>
        <w:t>group of stockholders that together is an Eligible Stockholder hereunder): (1) acquired the Required Shares in the ordinary course of business and not with the intent to change or influence control of the Company,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 (4) will not distribute to any stockholder any form of proxy for the annual meeting of stockholders other than the form distributed by the corporation, and (5)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(E) a description of all agreements, arrangements or understandings between the Eligible Stockholder and each Stockholder Nominee and any other person or persons, including the Stockholder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Stockholder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Company, (2) indemnify and hold harmless the Company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spacing w:after="0" w:line="199" w:lineRule="exact"/>
        <w:rPr>
          <w:sz w:val="20"/>
          <w:szCs w:val="20"/>
          <w:color w:val="auto"/>
        </w:rPr>
      </w:pPr>
    </w:p>
    <w:p>
      <w:pPr>
        <w:ind w:right="80" w:firstLine="1305"/>
        <w:spacing w:after="0" w:line="302" w:lineRule="auto"/>
        <w:tabs>
          <w:tab w:leader="none" w:pos="16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Eligible Stockholder may with its Proxy Access Nomination Notice, provide to the Secretary, a written statement for inclusion in the corporation’s proxy statement for the annual meeting of stockholders, not to exceed 500 words per Proxy Access Nominee, in support of each Proxy Access Nominee it names in its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spacing w:after="0" w:line="181" w:lineRule="exact"/>
        <w:rPr>
          <w:rFonts w:ascii="Arial" w:cs="Arial" w:eastAsia="Arial" w:hAnsi="Arial"/>
          <w:sz w:val="16"/>
          <w:szCs w:val="16"/>
          <w:color w:val="auto"/>
        </w:rPr>
      </w:pPr>
    </w:p>
    <w:p>
      <w:pPr>
        <w:ind w:right="40" w:firstLine="1305"/>
        <w:spacing w:after="0" w:line="257" w:lineRule="auto"/>
        <w:tabs>
          <w:tab w:leader="none" w:pos="16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w:t>
      </w:r>
    </w:p>
    <w:p>
      <w:pPr>
        <w:spacing w:after="0" w:line="215" w:lineRule="exact"/>
        <w:rPr>
          <w:rFonts w:ascii="Arial" w:cs="Arial" w:eastAsia="Arial" w:hAnsi="Arial"/>
          <w:sz w:val="18"/>
          <w:szCs w:val="18"/>
          <w:color w:val="auto"/>
        </w:rPr>
      </w:pPr>
    </w:p>
    <w:p>
      <w:pPr>
        <w:ind w:right="80" w:firstLine="1305"/>
        <w:spacing w:after="0" w:line="289" w:lineRule="auto"/>
        <w:tabs>
          <w:tab w:leader="none" w:pos="15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corporation shall not be required to include pursuant to this Article II, Section 11(c) any Proxy Access Nominee in its proxy materials (or, if the proxy materials have already been filed, to allow the nomination of a Proxy Access Nominee,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 of any individual as a director at the annual meeting of stockholders other than its Proxy Access 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corporation’s certificate of incorporation, the Board Qualifications, the listing standards of the principal exchange upon which the corporation’s shares are traded, or any applicable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95" w:right="259" w:bottom="1440" w:gutter="0" w:footer="0" w:header="0"/>
        </w:sectPr>
      </w:pPr>
    </w:p>
    <w:bookmarkStart w:id="11" w:name="page12"/>
    <w:bookmarkEnd w:id="11"/>
    <w:p>
      <w:pPr>
        <w:ind w:right="200"/>
        <w:spacing w:after="0" w:line="290" w:lineRule="auto"/>
        <w:rPr>
          <w:sz w:val="20"/>
          <w:szCs w:val="20"/>
          <w:color w:val="auto"/>
        </w:rPr>
      </w:pPr>
      <w:r>
        <w:rPr>
          <w:rFonts w:ascii="Arial" w:cs="Arial" w:eastAsia="Arial" w:hAnsi="Arial"/>
          <w:sz w:val="16"/>
          <w:szCs w:val="16"/>
          <w:color w:val="auto"/>
        </w:rPr>
        <w:t>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or (I)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w:t>
      </w:r>
    </w:p>
    <w:p>
      <w:pPr>
        <w:spacing w:after="0" w:line="193" w:lineRule="exact"/>
        <w:rPr>
          <w:sz w:val="20"/>
          <w:szCs w:val="20"/>
          <w:color w:val="auto"/>
        </w:rPr>
      </w:pPr>
    </w:p>
    <w:p>
      <w:pPr>
        <w:ind w:firstLine="1305"/>
        <w:spacing w:after="0" w:line="272" w:lineRule="auto"/>
        <w:tabs>
          <w:tab w:leader="none" w:pos="1601" w:val="left"/>
        </w:tabs>
        <w:numPr>
          <w:ilvl w:val="1"/>
          <w:numId w:val="14"/>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if (A) the Proxy Access 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 Section 11(c),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the corporation shall not be required to include in its proxy statement any successor or replacement nominee proposed by the applicable Eligible Stockholder or any other Eligible Stockholder.</w:t>
      </w:r>
    </w:p>
    <w:p>
      <w:pPr>
        <w:spacing w:after="0" w:line="204" w:lineRule="exact"/>
        <w:rPr>
          <w:rFonts w:ascii="Arial" w:cs="Arial" w:eastAsia="Arial" w:hAnsi="Arial"/>
          <w:sz w:val="17"/>
          <w:szCs w:val="17"/>
          <w:color w:val="auto"/>
        </w:rPr>
      </w:pPr>
    </w:p>
    <w:p>
      <w:pPr>
        <w:ind w:right="140" w:firstLine="1305"/>
        <w:spacing w:after="0" w:line="279" w:lineRule="auto"/>
        <w:tabs>
          <w:tab w:leader="none" w:pos="1642"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Stockholder Nominee who is included in the corporation’s proxy materials for a particular annual meeting of stockholders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Stockholder Nominee has been nominated for election.</w:t>
      </w:r>
    </w:p>
    <w:p>
      <w:pPr>
        <w:spacing w:after="0" w:line="198" w:lineRule="exact"/>
        <w:rPr>
          <w:rFonts w:ascii="Arial" w:cs="Arial" w:eastAsia="Arial" w:hAnsi="Arial"/>
          <w:sz w:val="17"/>
          <w:szCs w:val="17"/>
          <w:color w:val="auto"/>
        </w:rPr>
      </w:pPr>
    </w:p>
    <w:p>
      <w:pPr>
        <w:ind w:right="380" w:firstLine="1305"/>
        <w:spacing w:after="0" w:line="277" w:lineRule="auto"/>
        <w:tabs>
          <w:tab w:leader="none" w:pos="16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This Article II, Section 11(c) provides the exclusive method for stockholders to include nominees for director in the corporation’s proxy materials with respect to an annual meeting of stockholders.</w:t>
      </w:r>
    </w:p>
    <w:p>
      <w:pPr>
        <w:spacing w:after="0" w:line="197" w:lineRule="exact"/>
        <w:rPr>
          <w:rFonts w:ascii="Arial" w:cs="Arial" w:eastAsia="Arial" w:hAnsi="Arial"/>
          <w:sz w:val="18"/>
          <w:szCs w:val="18"/>
          <w:color w:val="auto"/>
        </w:rPr>
      </w:pPr>
    </w:p>
    <w:p>
      <w:pPr>
        <w:ind w:right="140" w:firstLine="656"/>
        <w:spacing w:after="0" w:line="277"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all business other than director nominations, a stockholder's notice to the Secretary shall set forth as to each matter the stockholder proposes to bring before the annual meeting or properly called special meeting:</w:t>
      </w:r>
    </w:p>
    <w:p>
      <w:pPr>
        <w:spacing w:after="0" w:line="197" w:lineRule="exact"/>
        <w:rPr>
          <w:rFonts w:ascii="Arial" w:cs="Arial" w:eastAsia="Arial" w:hAnsi="Arial"/>
          <w:sz w:val="18"/>
          <w:szCs w:val="18"/>
          <w:color w:val="auto"/>
        </w:rPr>
      </w:pPr>
    </w:p>
    <w:p>
      <w:pPr>
        <w:ind w:left="1520" w:hanging="215"/>
        <w:spacing w:after="0"/>
        <w:tabs>
          <w:tab w:leader="none" w:pos="15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the meeting,</w:t>
      </w:r>
    </w:p>
    <w:p>
      <w:pPr>
        <w:spacing w:after="0" w:line="275" w:lineRule="exact"/>
        <w:rPr>
          <w:rFonts w:ascii="Arial" w:cs="Arial" w:eastAsia="Arial" w:hAnsi="Arial"/>
          <w:sz w:val="16"/>
          <w:szCs w:val="16"/>
          <w:color w:val="auto"/>
        </w:rPr>
      </w:pPr>
    </w:p>
    <w:p>
      <w:pPr>
        <w:jc w:val="both"/>
        <w:ind w:left="660" w:right="360" w:firstLine="645"/>
        <w:spacing w:after="0" w:line="312" w:lineRule="auto"/>
        <w:tabs>
          <w:tab w:leader="none" w:pos="1573"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173" w:lineRule="exact"/>
        <w:rPr>
          <w:rFonts w:ascii="Arial" w:cs="Arial" w:eastAsia="Arial" w:hAnsi="Arial"/>
          <w:sz w:val="16"/>
          <w:szCs w:val="16"/>
          <w:color w:val="auto"/>
        </w:rPr>
      </w:pPr>
    </w:p>
    <w:p>
      <w:pPr>
        <w:ind w:left="660" w:right="80" w:firstLine="645"/>
        <w:spacing w:after="0" w:line="259" w:lineRule="auto"/>
        <w:tabs>
          <w:tab w:leader="none" w:pos="162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213" w:lineRule="exact"/>
        <w:rPr>
          <w:rFonts w:ascii="Arial" w:cs="Arial" w:eastAsia="Arial" w:hAnsi="Arial"/>
          <w:sz w:val="18"/>
          <w:szCs w:val="18"/>
          <w:color w:val="auto"/>
        </w:rPr>
      </w:pPr>
    </w:p>
    <w:p>
      <w:pPr>
        <w:ind w:left="1600" w:hanging="295"/>
        <w:spacing w:after="0"/>
        <w:tabs>
          <w:tab w:leader="none" w:pos="1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information required by Article II, Section 11(b)(vi) above.</w:t>
      </w:r>
    </w:p>
    <w:p>
      <w:pPr>
        <w:spacing w:after="0" w:line="25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spacing w:after="0" w:line="174" w:lineRule="exact"/>
        <w:rPr>
          <w:sz w:val="20"/>
          <w:szCs w:val="20"/>
          <w:color w:val="auto"/>
        </w:rPr>
      </w:pPr>
    </w:p>
    <w:p>
      <w:pPr>
        <w:ind w:right="360" w:firstLine="656"/>
        <w:spacing w:after="0" w:line="264" w:lineRule="auto"/>
        <w:tabs>
          <w:tab w:leader="none" w:pos="8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spacing w:after="0" w:line="208" w:lineRule="exact"/>
        <w:rPr>
          <w:rFonts w:ascii="Arial" w:cs="Arial" w:eastAsia="Arial" w:hAnsi="Arial"/>
          <w:sz w:val="18"/>
          <w:szCs w:val="18"/>
          <w:color w:val="auto"/>
        </w:rPr>
      </w:pPr>
    </w:p>
    <w:p>
      <w:pPr>
        <w:ind w:left="1520" w:hanging="215"/>
        <w:spacing w:after="0"/>
        <w:tabs>
          <w:tab w:leader="none" w:pos="15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by or at the direction of the Board of Directors or any committee thereof (or stockholders pursuant to Article II, Section 5 above),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95" w:right="239" w:bottom="1440" w:gutter="0" w:footer="0" w:header="0"/>
        </w:sectPr>
      </w:pPr>
    </w:p>
    <w:bookmarkStart w:id="12" w:name="page13"/>
    <w:bookmarkEnd w:id="12"/>
    <w:p>
      <w:pPr>
        <w:ind w:left="660" w:right="180" w:firstLine="645"/>
        <w:spacing w:after="0" w:line="259" w:lineRule="auto"/>
        <w:tabs>
          <w:tab w:leader="none" w:pos="15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 executive offices of the corporation not later than the close of business on the tenth (10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spacing w:after="0" w:line="203" w:lineRule="exact"/>
        <w:rPr>
          <w:sz w:val="20"/>
          <w:szCs w:val="20"/>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w:t>
      </w:r>
    </w:p>
    <w:p>
      <w:pPr>
        <w:spacing w:after="0" w:line="252" w:lineRule="exact"/>
        <w:rPr>
          <w:rFonts w:ascii="Arial" w:cs="Arial" w:eastAsia="Arial" w:hAnsi="Arial"/>
          <w:sz w:val="18"/>
          <w:szCs w:val="18"/>
          <w:color w:val="auto"/>
        </w:rPr>
      </w:pPr>
    </w:p>
    <w:p>
      <w:pPr>
        <w:ind w:left="660" w:right="320" w:firstLine="645"/>
        <w:spacing w:after="0" w:line="277" w:lineRule="auto"/>
        <w:tabs>
          <w:tab w:leader="none" w:pos="1523"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 nominations shall be made or business shall be conducted at any annual meeting or special meeting except in accordance with the procedures set forth in this Article II, Section 11, and</w:t>
      </w:r>
    </w:p>
    <w:p>
      <w:pPr>
        <w:spacing w:after="0" w:line="197" w:lineRule="exact"/>
        <w:rPr>
          <w:rFonts w:ascii="Arial" w:cs="Arial" w:eastAsia="Arial" w:hAnsi="Arial"/>
          <w:sz w:val="18"/>
          <w:szCs w:val="18"/>
          <w:color w:val="auto"/>
        </w:rPr>
      </w:pPr>
    </w:p>
    <w:p>
      <w:pPr>
        <w:ind w:left="660" w:right="20" w:firstLine="645"/>
        <w:spacing w:after="0" w:line="290" w:lineRule="auto"/>
        <w:tabs>
          <w:tab w:leader="none" w:pos="1573" w:val="left"/>
        </w:tabs>
        <w:numPr>
          <w:ilvl w:val="1"/>
          <w:numId w:val="18"/>
        </w:numPr>
        <w:rPr>
          <w:rFonts w:ascii="Arial" w:cs="Arial" w:eastAsia="Arial" w:hAnsi="Arial"/>
          <w:sz w:val="16"/>
          <w:szCs w:val="16"/>
          <w:color w:val="auto"/>
        </w:rPr>
      </w:pPr>
      <w:r>
        <w:rPr>
          <w:rFonts w:ascii="Arial" w:cs="Arial" w:eastAsia="Arial" w:hAnsi="Arial"/>
          <w:sz w:val="16"/>
          <w:szCs w:val="16"/>
          <w:color w:val="auto"/>
        </w:rPr>
        <w:t>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Chairman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 Conduct of Meetings.</w:t>
      </w:r>
    </w:p>
    <w:p>
      <w:pPr>
        <w:spacing w:after="0" w:line="256" w:lineRule="exact"/>
        <w:rPr>
          <w:sz w:val="20"/>
          <w:szCs w:val="20"/>
          <w:color w:val="auto"/>
        </w:rPr>
      </w:pPr>
    </w:p>
    <w:p>
      <w:pPr>
        <w:ind w:right="180" w:firstLine="656"/>
        <w:spacing w:after="0" w:line="279" w:lineRule="auto"/>
        <w:tabs>
          <w:tab w:leader="none" w:pos="893" w:val="left"/>
        </w:tabs>
        <w:numPr>
          <w:ilvl w:val="0"/>
          <w:numId w:val="19"/>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Chairman of the Board of Directors, if any, or in his or her absence, the Chief Executive Officer, if any, or in his or her absence by the President, if any,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98" w:lineRule="exact"/>
        <w:rPr>
          <w:rFonts w:ascii="Arial" w:cs="Arial" w:eastAsia="Arial" w:hAnsi="Arial"/>
          <w:sz w:val="17"/>
          <w:szCs w:val="17"/>
          <w:color w:val="auto"/>
        </w:rPr>
      </w:pPr>
    </w:p>
    <w:p>
      <w:pPr>
        <w:ind w:firstLine="656"/>
        <w:spacing w:after="0" w:line="28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95" w:right="25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b w:val="1"/>
          <w:bCs w:val="1"/>
          <w:color w:val="auto"/>
        </w:rPr>
        <w:t>Section 13. Inspector of Elections.</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 - DIRECTORS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Number of Directors.</w:t>
      </w:r>
    </w:p>
    <w:p>
      <w:pPr>
        <w:spacing w:after="0" w:line="2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authorized number of directors of the corporation shall be seven.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Election of Directors.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Majority Voting.</w:t>
      </w:r>
    </w:p>
    <w:p>
      <w:pPr>
        <w:spacing w:after="0" w:line="25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Committee has established procedures under which any incumbent director that fails to receive a majority of the votes cast in an election that is not a Contested Election shall offer to tender his or her resignation to the Board. The Governance Committee shall make a recommendation to the Board on whether to accept or reject the resignation of such incumbent director, or whether other action should be taken. The Board shall act on the resignation, taking into account the Governance Committee’s recommendation, and publicly disclose its decision and the rationale behind it within ninety (90) days from the date of the certification of the election results.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Resignation of Directors.</w:t>
      </w:r>
    </w:p>
    <w:p>
      <w:pPr>
        <w:spacing w:after="0" w:line="256"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Any director may resign effective upon giving notice in writing or by electronic transmission to the Chairman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91" w:right="25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b w:val="1"/>
          <w:bCs w:val="1"/>
          <w:color w:val="auto"/>
        </w:rPr>
        <w:t>Section 5. Removal of Directors.</w:t>
      </w:r>
    </w:p>
    <w:p>
      <w:pPr>
        <w:spacing w:after="0" w:line="256"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Vacancies.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Powers.</w:t>
      </w:r>
    </w:p>
    <w:p>
      <w:pPr>
        <w:spacing w:after="0" w:line="25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Place of Meetings.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without the State of Delaware.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Notice.</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 Special Meetings.</w:t>
      </w:r>
    </w:p>
    <w:p>
      <w:pPr>
        <w:spacing w:after="0" w:line="256"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Special meetings of the Board may be called by the Chairman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Chairman of the Board of Directors or two (2) directors.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Quorum.</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 Written Consent.</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sectPr>
          <w:pgSz w:w="11900" w:h="16838" w:orient="portrait"/>
          <w:cols w:equalWidth="0" w:num="1">
            <w:col w:w="11340"/>
          </w:cols>
          <w:pgMar w:left="240" w:top="89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40"/>
          </w:cols>
          <w:pgMar w:left="240" w:top="891" w:right="319" w:bottom="1440" w:gutter="0" w:footer="0" w:header="0"/>
          <w:type w:val="continuous"/>
        </w:sectPr>
      </w:pPr>
    </w:p>
    <w:bookmarkStart w:id="15" w:name="page16"/>
    <w:bookmarkEnd w:id="15"/>
    <w:p>
      <w:pPr>
        <w:ind w:left="660"/>
        <w:spacing w:after="0"/>
        <w:rPr>
          <w:sz w:val="20"/>
          <w:szCs w:val="20"/>
          <w:color w:val="auto"/>
        </w:rPr>
      </w:pPr>
      <w:r>
        <w:rPr>
          <w:rFonts w:ascii="Arial" w:cs="Arial" w:eastAsia="Arial" w:hAnsi="Arial"/>
          <w:sz w:val="18"/>
          <w:szCs w:val="18"/>
          <w:b w:val="1"/>
          <w:bCs w:val="1"/>
          <w:color w:val="auto"/>
        </w:rPr>
        <w:t>Section 13. Meeting by Telephone.</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14. Board Committees.</w:t>
      </w:r>
    </w:p>
    <w:p>
      <w:pPr>
        <w:spacing w:after="0" w:line="256" w:lineRule="exact"/>
        <w:rPr>
          <w:sz w:val="20"/>
          <w:szCs w:val="20"/>
          <w:color w:val="auto"/>
        </w:rPr>
      </w:pPr>
    </w:p>
    <w:p>
      <w:pPr>
        <w:ind w:right="40" w:firstLine="656"/>
        <w:spacing w:after="0" w:line="291" w:lineRule="auto"/>
        <w:tabs>
          <w:tab w:leader="none" w:pos="893"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Executive Committee. </w:t>
      </w:r>
      <w:r>
        <w:rPr>
          <w:rFonts w:ascii="Arial" w:cs="Arial" w:eastAsia="Arial" w:hAnsi="Arial"/>
          <w:sz w:val="16"/>
          <w:szCs w:val="16"/>
          <w:color w:val="auto"/>
        </w:rPr>
        <w:t>The Board of Directors may designate an executive committee consisting of one or more of the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94" w:lineRule="exact"/>
        <w:rPr>
          <w:rFonts w:ascii="Arial" w:cs="Arial" w:eastAsia="Arial" w:hAnsi="Arial"/>
          <w:sz w:val="16"/>
          <w:szCs w:val="16"/>
          <w:color w:val="auto"/>
        </w:rPr>
      </w:pPr>
    </w:p>
    <w:p>
      <w:pPr>
        <w:ind w:firstLine="656"/>
        <w:spacing w:after="0" w:line="270" w:lineRule="auto"/>
        <w:tabs>
          <w:tab w:leader="none" w:pos="903"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Other Committees. </w:t>
      </w:r>
      <w:r>
        <w:rPr>
          <w:rFonts w:ascii="Arial" w:cs="Arial" w:eastAsia="Arial" w:hAnsi="Arial"/>
          <w:sz w:val="17"/>
          <w:szCs w:val="17"/>
          <w:color w:val="auto"/>
        </w:rPr>
        <w:t>The Board of Directors may designate such other committees, each consisting of one or more directors, as it may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208" w:lineRule="exact"/>
        <w:rPr>
          <w:rFonts w:ascii="Arial" w:cs="Arial" w:eastAsia="Arial" w:hAnsi="Arial"/>
          <w:sz w:val="17"/>
          <w:szCs w:val="17"/>
          <w:color w:val="auto"/>
        </w:rPr>
      </w:pPr>
    </w:p>
    <w:p>
      <w:pPr>
        <w:ind w:right="80" w:firstLine="656"/>
        <w:spacing w:after="0" w:line="259" w:lineRule="auto"/>
        <w:tabs>
          <w:tab w:leader="none" w:pos="89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Conduct of Committee Meetings. </w:t>
      </w:r>
      <w:r>
        <w:rPr>
          <w:rFonts w:ascii="Arial" w:cs="Arial" w:eastAsia="Arial" w:hAnsi="Arial"/>
          <w:sz w:val="18"/>
          <w:szCs w:val="18"/>
          <w:color w:val="auto"/>
        </w:rPr>
        <w:t>Unless the Board of Directors otherwise provides, each committee designated by the Board of Directors may</w:t>
      </w:r>
      <w:r>
        <w:rPr>
          <w:rFonts w:ascii="Arial" w:cs="Arial" w:eastAsia="Arial" w:hAnsi="Arial"/>
          <w:sz w:val="18"/>
          <w:szCs w:val="18"/>
          <w:i w:val="1"/>
          <w:iCs w:val="1"/>
          <w:color w:val="auto"/>
        </w:rPr>
        <w:t xml:space="preserve"> </w:t>
      </w:r>
      <w:r>
        <w:rPr>
          <w:rFonts w:ascii="Arial" w:cs="Arial" w:eastAsia="Arial" w:hAnsi="Arial"/>
          <w:sz w:val="18"/>
          <w:szCs w:val="18"/>
          <w:color w:val="auto"/>
        </w:rPr>
        <w:t>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15. Compensation of Directors.</w:t>
      </w:r>
    </w:p>
    <w:p>
      <w:pPr>
        <w:spacing w:after="0" w:line="25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 - NOTICES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Notice to Directors and Stockholders.</w:t>
      </w:r>
    </w:p>
    <w:p>
      <w:pPr>
        <w:spacing w:after="0" w:line="256"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91" w:right="25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b w:val="1"/>
          <w:bCs w:val="1"/>
          <w:color w:val="auto"/>
        </w:rPr>
        <w:t>Section 2. Waiver of Notice.</w:t>
      </w:r>
    </w:p>
    <w:p>
      <w:pPr>
        <w:spacing w:after="0" w:line="2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 - OFFICERS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Officers.</w:t>
      </w:r>
    </w:p>
    <w:p>
      <w:pPr>
        <w:spacing w:after="0" w:line="256"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officers of the corporation shall be a Chief Executive Officer and a Secretary. The corporation may also have, at the discretion of the Board of Directors, a Chairman of the Board of Directors, a Vice Chairman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Appointment of Officers.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Subordinate Officers.</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Removal and Resignation of Officers.</w:t>
      </w:r>
    </w:p>
    <w:p>
      <w:pPr>
        <w:spacing w:after="0" w:line="256" w:lineRule="exact"/>
        <w:rPr>
          <w:sz w:val="20"/>
          <w:szCs w:val="20"/>
          <w:color w:val="auto"/>
        </w:rPr>
      </w:pPr>
    </w:p>
    <w:p>
      <w:pPr>
        <w:jc w:val="both"/>
        <w:ind w:right="40" w:firstLine="656"/>
        <w:spacing w:after="0" w:line="279" w:lineRule="auto"/>
        <w:tabs>
          <w:tab w:leader="none" w:pos="893"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Removal</w:t>
      </w:r>
      <w:r>
        <w:rPr>
          <w:rFonts w:ascii="Arial" w:cs="Arial" w:eastAsia="Arial" w:hAnsi="Arial"/>
          <w:sz w:val="17"/>
          <w:szCs w:val="17"/>
          <w:color w:val="auto"/>
        </w:rPr>
        <w:t>. Subject to the rights, if any, of an officer under any contract of employment, any officer may be removed, either with or without cause,</w:t>
      </w:r>
      <w:r>
        <w:rPr>
          <w:rFonts w:ascii="Arial" w:cs="Arial" w:eastAsia="Arial" w:hAnsi="Arial"/>
          <w:sz w:val="17"/>
          <w:szCs w:val="17"/>
          <w:i w:val="1"/>
          <w:iCs w:val="1"/>
          <w:color w:val="auto"/>
        </w:rPr>
        <w:t xml:space="preserve"> </w:t>
      </w:r>
      <w:r>
        <w:rPr>
          <w:rFonts w:ascii="Arial" w:cs="Arial" w:eastAsia="Arial" w:hAnsi="Arial"/>
          <w:sz w:val="17"/>
          <w:szCs w:val="17"/>
          <w:color w:val="auto"/>
        </w:rPr>
        <w:t>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An officer appointed by the Chief Executive Officer or President pursuant to Article V, Section 3, may be removed by the Chief Executive Officer or President.</w:t>
      </w:r>
    </w:p>
    <w:p>
      <w:pPr>
        <w:spacing w:after="0" w:line="198" w:lineRule="exact"/>
        <w:rPr>
          <w:rFonts w:ascii="Arial" w:cs="Arial" w:eastAsia="Arial" w:hAnsi="Arial"/>
          <w:sz w:val="17"/>
          <w:szCs w:val="17"/>
          <w:color w:val="auto"/>
        </w:rPr>
      </w:pPr>
    </w:p>
    <w:p>
      <w:pPr>
        <w:ind w:firstLine="656"/>
        <w:spacing w:after="0" w:line="259" w:lineRule="auto"/>
        <w:tabs>
          <w:tab w:leader="none" w:pos="903"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Resignation. </w:t>
      </w:r>
      <w:r>
        <w:rPr>
          <w:rFonts w:ascii="Arial" w:cs="Arial" w:eastAsia="Arial" w:hAnsi="Arial"/>
          <w:sz w:val="18"/>
          <w:szCs w:val="18"/>
          <w:color w:val="auto"/>
        </w:rPr>
        <w:t>Any officer may resign at any time by giving written notice to the corporation. Any resignation shall take effect at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Vacancies in Office.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Article V, Section 3.</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Representation of Shares of Other Corporations.</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Chairman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91"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such person directly or by any other person authorized to do so by proxy or power of attorney duly executed by such person having the authority.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Authority and Duties of Officers.</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 - CERTIFICATES OF STOCK</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Certificates.</w:t>
      </w:r>
    </w:p>
    <w:p>
      <w:pPr>
        <w:spacing w:after="0" w:line="25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the Treasurer or an Assistant Treasurer, or the Secretary or an Assistant Secretary certifying the number of shares owned by such holder in the corporation.</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Signatures on Certificates.</w:t>
      </w:r>
    </w:p>
    <w:p>
      <w:pPr>
        <w:spacing w:after="0" w:line="256"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Lost Certificates.</w:t>
      </w:r>
    </w:p>
    <w:p>
      <w:pPr>
        <w:spacing w:after="0" w:line="2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Transfer of Stock.</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95" w:right="25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color w:val="auto"/>
        </w:rPr>
        <w:t>Section 5. Record Date.</w:t>
      </w:r>
    </w:p>
    <w:p>
      <w:pPr>
        <w:spacing w:after="0" w:line="256" w:lineRule="exact"/>
        <w:rPr>
          <w:sz w:val="20"/>
          <w:szCs w:val="20"/>
          <w:color w:val="auto"/>
        </w:rPr>
      </w:pPr>
    </w:p>
    <w:p>
      <w:pPr>
        <w:ind w:firstLine="656"/>
        <w:spacing w:after="0" w:line="269" w:lineRule="auto"/>
        <w:tabs>
          <w:tab w:leader="none" w:pos="893"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spacing w:after="0" w:line="206" w:lineRule="exact"/>
        <w:rPr>
          <w:rFonts w:ascii="Arial" w:cs="Arial" w:eastAsia="Arial" w:hAnsi="Arial"/>
          <w:sz w:val="17"/>
          <w:szCs w:val="17"/>
          <w:color w:val="auto"/>
        </w:rPr>
      </w:pPr>
    </w:p>
    <w:p>
      <w:pPr>
        <w:ind w:right="60" w:firstLine="656"/>
        <w:spacing w:after="0" w:line="276" w:lineRule="auto"/>
        <w:tabs>
          <w:tab w:leader="none" w:pos="9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Registered Stockholders.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 - FORUM FOR DISPUTES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Forum for Disputes.</w:t>
      </w:r>
    </w:p>
    <w:p>
      <w:pPr>
        <w:spacing w:after="0" w:line="256" w:lineRule="exact"/>
        <w:rPr>
          <w:sz w:val="20"/>
          <w:szCs w:val="20"/>
          <w:color w:val="auto"/>
        </w:rPr>
      </w:pPr>
    </w:p>
    <w:p>
      <w:pPr>
        <w:ind w:right="20" w:firstLine="656"/>
        <w:spacing w:after="0" w:line="257" w:lineRule="auto"/>
        <w:tabs>
          <w:tab w:leader="none" w:pos="8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spacing w:after="0" w:line="215" w:lineRule="exact"/>
        <w:rPr>
          <w:rFonts w:ascii="Arial" w:cs="Arial" w:eastAsia="Arial" w:hAnsi="Arial"/>
          <w:sz w:val="18"/>
          <w:szCs w:val="18"/>
          <w:color w:val="auto"/>
        </w:rPr>
      </w:pPr>
    </w:p>
    <w:p>
      <w:pPr>
        <w:ind w:right="20" w:firstLine="656"/>
        <w:spacing w:after="0" w:line="288" w:lineRule="auto"/>
        <w:tabs>
          <w:tab w:leader="none" w:pos="903"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Article VII, Section</w:t>
      </w:r>
    </w:p>
    <w:p>
      <w:pPr>
        <w:ind w:right="220"/>
        <w:spacing w:after="0" w:line="261" w:lineRule="auto"/>
        <w:rPr>
          <w:rFonts w:ascii="Arial" w:cs="Arial" w:eastAsia="Arial" w:hAnsi="Arial"/>
          <w:sz w:val="16"/>
          <w:szCs w:val="16"/>
          <w:color w:val="auto"/>
        </w:rPr>
      </w:pPr>
      <w:r>
        <w:rPr>
          <w:rFonts w:ascii="Arial" w:cs="Arial" w:eastAsia="Arial" w:hAnsi="Arial"/>
          <w:sz w:val="18"/>
          <w:szCs w:val="18"/>
          <w:color w:val="auto"/>
        </w:rPr>
        <w:t>1(a) above (an “FSC Enforcement Action”) and (ii) having service of process made upon such stockholder in any such FSC Enforcement Action by service upon such stockholder’s counsel in the Foreign Action as agent for such stockholder.</w:t>
      </w:r>
    </w:p>
    <w:p>
      <w:pPr>
        <w:spacing w:after="0" w:line="210" w:lineRule="exact"/>
        <w:rPr>
          <w:rFonts w:ascii="Arial" w:cs="Arial" w:eastAsia="Arial" w:hAnsi="Arial"/>
          <w:sz w:val="16"/>
          <w:szCs w:val="16"/>
          <w:color w:val="auto"/>
        </w:rPr>
      </w:pPr>
    </w:p>
    <w:p>
      <w:pPr>
        <w:ind w:right="120" w:firstLine="656"/>
        <w:spacing w:after="0" w:line="277" w:lineRule="auto"/>
        <w:tabs>
          <w:tab w:leader="none" w:pos="8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enforce the foregoing provisions would cause the corporation irreparable harm and the corporation shall be entitled to equitable relief, including injunctive relief and specific performance, to enforce the foregoing provisions.</w:t>
      </w:r>
    </w:p>
    <w:p>
      <w:pPr>
        <w:spacing w:after="0" w:line="197" w:lineRule="exact"/>
        <w:rPr>
          <w:rFonts w:ascii="Arial" w:cs="Arial" w:eastAsia="Arial" w:hAnsi="Arial"/>
          <w:sz w:val="18"/>
          <w:szCs w:val="18"/>
          <w:color w:val="auto"/>
        </w:rPr>
      </w:pPr>
    </w:p>
    <w:p>
      <w:pPr>
        <w:ind w:right="40" w:firstLine="656"/>
        <w:spacing w:after="0" w:line="277" w:lineRule="auto"/>
        <w:tabs>
          <w:tab w:leader="none" w:pos="8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consented to the provisions of this Article VII Section 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 - GENERAL PROVISIONS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91"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color w:val="auto"/>
        </w:rPr>
        <w:t>Section 1. Dividends.</w:t>
      </w:r>
    </w:p>
    <w:p>
      <w:pPr>
        <w:spacing w:after="0" w:line="256" w:lineRule="exact"/>
        <w:rPr>
          <w:sz w:val="20"/>
          <w:szCs w:val="20"/>
          <w:color w:val="auto"/>
        </w:rPr>
      </w:pPr>
    </w:p>
    <w:p>
      <w:pPr>
        <w:ind w:right="80" w:firstLine="656"/>
        <w:spacing w:after="0" w:line="264" w:lineRule="auto"/>
        <w:tabs>
          <w:tab w:leader="none" w:pos="893"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Declaration of Dividends</w:t>
      </w:r>
      <w:r>
        <w:rPr>
          <w:rFonts w:ascii="Arial" w:cs="Arial" w:eastAsia="Arial" w:hAnsi="Arial"/>
          <w:sz w:val="18"/>
          <w:szCs w:val="18"/>
          <w:color w:val="auto"/>
        </w:rPr>
        <w:t>. Dividends upon the capital stock of the corporation, subject to the provision of the Certificate of Incorporation, if any,</w:t>
      </w:r>
      <w:r>
        <w:rPr>
          <w:rFonts w:ascii="Arial" w:cs="Arial" w:eastAsia="Arial" w:hAnsi="Arial"/>
          <w:sz w:val="18"/>
          <w:szCs w:val="18"/>
          <w:i w:val="1"/>
          <w:iCs w:val="1"/>
          <w:color w:val="auto"/>
        </w:rPr>
        <w:t xml:space="preserve"> </w:t>
      </w:r>
      <w:r>
        <w:rPr>
          <w:rFonts w:ascii="Arial" w:cs="Arial" w:eastAsia="Arial" w:hAnsi="Arial"/>
          <w:sz w:val="18"/>
          <w:szCs w:val="18"/>
          <w:color w:val="auto"/>
        </w:rPr>
        <w:t>may be declared by the Board of Directors at any regular or special meeting, pursuant to law. Dividends may be paid in cash, in property, or in shares of the capital stock, subject to the provisions of the Certificate of Incorporation.</w:t>
      </w:r>
    </w:p>
    <w:p>
      <w:pPr>
        <w:spacing w:after="0" w:line="208" w:lineRule="exact"/>
        <w:rPr>
          <w:rFonts w:ascii="Arial" w:cs="Arial" w:eastAsia="Arial" w:hAnsi="Arial"/>
          <w:sz w:val="18"/>
          <w:szCs w:val="18"/>
          <w:color w:val="auto"/>
        </w:rPr>
      </w:pPr>
    </w:p>
    <w:p>
      <w:pPr>
        <w:ind w:firstLine="656"/>
        <w:spacing w:after="0" w:line="279" w:lineRule="auto"/>
        <w:tabs>
          <w:tab w:leader="none" w:pos="903"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Payment of Dividends. </w:t>
      </w:r>
      <w:r>
        <w:rPr>
          <w:rFonts w:ascii="Arial" w:cs="Arial" w:eastAsia="Arial" w:hAnsi="Arial"/>
          <w:sz w:val="17"/>
          <w:szCs w:val="17"/>
          <w:color w:val="auto"/>
        </w:rPr>
        <w:t>Before payment of any dividend, there may be set aside out of funds of the corporation available for dividends such sum</w:t>
      </w:r>
      <w:r>
        <w:rPr>
          <w:rFonts w:ascii="Arial" w:cs="Arial" w:eastAsia="Arial" w:hAnsi="Arial"/>
          <w:sz w:val="17"/>
          <w:szCs w:val="17"/>
          <w:i w:val="1"/>
          <w:iCs w:val="1"/>
          <w:color w:val="auto"/>
        </w:rPr>
        <w:t xml:space="preserve"> </w:t>
      </w:r>
      <w:r>
        <w:rPr>
          <w:rFonts w:ascii="Arial" w:cs="Arial" w:eastAsia="Arial" w:hAnsi="Arial"/>
          <w:sz w:val="17"/>
          <w:szCs w:val="17"/>
          <w:color w:val="auto"/>
        </w:rPr>
        <w:t>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Checks.</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Fiscal Year.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Corporate Seal</w:t>
      </w:r>
      <w:r>
        <w:rPr>
          <w:rFonts w:ascii="Arial" w:cs="Arial" w:eastAsia="Arial" w:hAnsi="Arial"/>
          <w:sz w:val="18"/>
          <w:szCs w:val="18"/>
          <w:color w:val="auto"/>
        </w:rPr>
        <w:t>.</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Indemnification.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indemnify its officers, directors, employees and agents to the extent set forth in the Certificate of Incorporation.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Advancement of Expenses.</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Amendment.</w:t>
      </w:r>
    </w:p>
    <w:p>
      <w:pPr>
        <w:spacing w:after="0" w:line="256"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sectPr>
      <w:pgSz w:w="11900" w:h="16838" w:orient="portrait"/>
      <w:cols w:equalWidth="0" w:num="1">
        <w:col w:w="11400"/>
      </w:cols>
      <w:pgMar w:left="240" w:top="89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1"/>
    </w:lvl>
    <w:lvl w:ilvl="1">
      <w:lvlJc w:val="left"/>
      <w:lvlText w:val="(%2)"/>
      <w:numFmt w:val="lowerRoman"/>
      <w:start w:val="1"/>
    </w:lvl>
  </w:abstractNum>
  <w:abstractNum w:abstractNumId="4">
    <w:nsid w:val="7FDCC233"/>
    <w:multiLevelType w:val="hybridMultilevel"/>
    <w:lvl w:ilvl="0">
      <w:lvlJc w:val="left"/>
      <w:lvlText w:val="(%1)"/>
      <w:numFmt w:val="lowerLetter"/>
      <w:start w:val="2"/>
    </w:lvl>
    <w:lvl w:ilvl="1">
      <w:lvlJc w:val="left"/>
      <w:lvlText w:val="(%2)"/>
      <w:numFmt w:val="lowerRoman"/>
      <w:start w:val="1"/>
    </w:lvl>
  </w:abstractNum>
  <w:abstractNum w:abstractNumId="5">
    <w:nsid w:val="1BEFD79F"/>
    <w:multiLevelType w:val="hybridMultilevel"/>
    <w:lvl w:ilvl="0">
      <w:lvlJc w:val="left"/>
      <w:lvlText w:val="(%1)"/>
      <w:numFmt w:val="lowerRoman"/>
      <w:start w:val="5"/>
    </w:lvl>
  </w:abstractNum>
  <w:abstractNum w:abstractNumId="6">
    <w:nsid w:val="41A7C4C9"/>
    <w:multiLevelType w:val="hybridMultilevel"/>
    <w:lvl w:ilvl="0">
      <w:lvlJc w:val="left"/>
      <w:lvlText w:val="(%1)"/>
      <w:numFmt w:val="lowerLetter"/>
      <w:start w:val="3"/>
    </w:lvl>
    <w:lvl w:ilvl="1">
      <w:lvlJc w:val="left"/>
      <w:lvlText w:val="(%2)"/>
      <w:numFmt w:val="lowerRoman"/>
      <w:start w:val="2"/>
    </w:lvl>
  </w:abstractNum>
  <w:abstractNum w:abstractNumId="7">
    <w:nsid w:val="6B68079A"/>
    <w:multiLevelType w:val="hybridMultilevel"/>
    <w:lvl w:ilvl="0">
      <w:lvlJc w:val="left"/>
      <w:lvlText w:val="%1"/>
      <w:numFmt w:val="upperLetter"/>
      <w:start w:val="1"/>
    </w:lvl>
    <w:lvl w:ilvl="1">
      <w:lvlJc w:val="left"/>
      <w:lvlText w:val="(%2)"/>
      <w:numFmt w:val="lowerRoman"/>
      <w:start w:val="4"/>
    </w:lvl>
  </w:abstractNum>
  <w:abstractNum w:abstractNumId="8">
    <w:nsid w:val="4E6AFB66"/>
    <w:multiLevelType w:val="hybridMultilevel"/>
    <w:lvl w:ilvl="0">
      <w:lvlJc w:val="left"/>
      <w:lvlText w:val="(%1)"/>
      <w:numFmt w:val="upperLetter"/>
      <w:start w:val="1"/>
    </w:lvl>
    <w:lvl w:ilvl="1">
      <w:lvlJc w:val="left"/>
      <w:lvlText w:val="%2"/>
      <w:numFmt w:val="lowerRoman"/>
      <w:start w:val="1"/>
    </w:lvl>
  </w:abstractNum>
  <w:abstractNum w:abstractNumId="9">
    <w:nsid w:val="25E45D32"/>
    <w:multiLevelType w:val="hybridMultilevel"/>
    <w:lvl w:ilvl="0">
      <w:lvlJc w:val="left"/>
      <w:lvlText w:val="(%1)"/>
      <w:numFmt w:val="lowerRoman"/>
      <w:start w:val="5"/>
    </w:lvl>
  </w:abstractNum>
  <w:abstractNum w:abstractNumId="10">
    <w:nsid w:val="519B500D"/>
    <w:multiLevelType w:val="hybridMultilevel"/>
    <w:lvl w:ilvl="0">
      <w:lvlJc w:val="left"/>
      <w:lvlText w:val="%1"/>
      <w:numFmt w:val="upperLetter"/>
      <w:start w:val="1"/>
    </w:lvl>
    <w:lvl w:ilvl="1">
      <w:lvlJc w:val="left"/>
      <w:lvlText w:val="(%2)"/>
      <w:numFmt w:val="lowerRoman"/>
      <w:start w:val="6"/>
    </w:lvl>
  </w:abstractNum>
  <w:abstractNum w:abstractNumId="11">
    <w:nsid w:val="431BD7B7"/>
    <w:multiLevelType w:val="hybridMultilevel"/>
    <w:lvl w:ilvl="0">
      <w:lvlJc w:val="left"/>
      <w:lvlText w:val="(%1)"/>
      <w:numFmt w:val="upperLetter"/>
      <w:start w:val="3"/>
    </w:lvl>
    <w:lvl w:ilvl="1">
      <w:lvlJc w:val="left"/>
      <w:lvlText w:val="%2"/>
      <w:numFmt w:val="lowerRoman"/>
      <w:start w:val="1"/>
    </w:lvl>
  </w:abstractNum>
  <w:abstractNum w:abstractNumId="12">
    <w:nsid w:val="3F2DBA31"/>
    <w:multiLevelType w:val="hybridMultilevel"/>
    <w:lvl w:ilvl="0">
      <w:lvlJc w:val="left"/>
      <w:lvlText w:val="(%1)"/>
      <w:numFmt w:val="lowerRoman"/>
      <w:start w:val="8"/>
    </w:lvl>
  </w:abstractNum>
  <w:abstractNum w:abstractNumId="13">
    <w:nsid w:val="7C83E458"/>
    <w:multiLevelType w:val="hybridMultilevel"/>
    <w:lvl w:ilvl="0">
      <w:lvlJc w:val="left"/>
      <w:lvlText w:val="%1"/>
      <w:numFmt w:val="lowerLetter"/>
      <w:start w:val="1"/>
    </w:lvl>
    <w:lvl w:ilvl="1">
      <w:lvlJc w:val="left"/>
      <w:lvlText w:val="(%2)"/>
      <w:numFmt w:val="lowerRoman"/>
      <w:start w:val="11"/>
    </w:lvl>
  </w:abstractNum>
  <w:abstractNum w:abstractNumId="14">
    <w:nsid w:val="257130A3"/>
    <w:multiLevelType w:val="hybridMultilevel"/>
    <w:lvl w:ilvl="0">
      <w:lvlJc w:val="left"/>
      <w:lvlText w:val="(%1)"/>
      <w:numFmt w:val="lowerLetter"/>
      <w:start w:val="4"/>
    </w:lvl>
    <w:lvl w:ilvl="1">
      <w:lvlJc w:val="left"/>
      <w:lvlText w:val="(%2)"/>
      <w:numFmt w:val="lowerRoman"/>
      <w:start w:val="1"/>
    </w:lvl>
  </w:abstractNum>
  <w:abstractNum w:abstractNumId="15">
    <w:nsid w:val="62BBD95A"/>
    <w:multiLevelType w:val="hybridMultilevel"/>
    <w:lvl w:ilvl="0">
      <w:lvlJc w:val="left"/>
      <w:lvlText w:val="(%1)"/>
      <w:numFmt w:val="lowerLetter"/>
      <w:start w:val="5"/>
    </w:lvl>
    <w:lvl w:ilvl="1">
      <w:lvlJc w:val="left"/>
      <w:lvlText w:val="(%2)"/>
      <w:numFmt w:val="lowerLetter"/>
      <w:start w:val="9"/>
    </w:lvl>
  </w:abstractNum>
  <w:abstractNum w:abstractNumId="16">
    <w:nsid w:val="436C6125"/>
    <w:multiLevelType w:val="hybridMultilevel"/>
    <w:lvl w:ilvl="0">
      <w:lvlJc w:val="left"/>
      <w:lvlText w:val="(%1)"/>
      <w:numFmt w:val="lowerRoman"/>
      <w:start w:val="2"/>
    </w:lvl>
  </w:abstractNum>
  <w:abstractNum w:abstractNumId="17">
    <w:nsid w:val="628C895D"/>
    <w:multiLevelType w:val="hybridMultilevel"/>
    <w:lvl w:ilvl="0">
      <w:lvlJc w:val="left"/>
      <w:lvlText w:val="(%1)"/>
      <w:numFmt w:val="lowerLetter"/>
      <w:start w:val="6"/>
    </w:lvl>
    <w:lvl w:ilvl="1">
      <w:lvlJc w:val="left"/>
      <w:lvlText w:val="(%2)"/>
      <w:numFmt w:val="lowerRoman"/>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2020-01-23T05:05:31Z</dcterms:created>
  <dcterms:modified xsi:type="dcterms:W3CDTF">2020-01-23T05:05:31Z</dcterms:modified>
</cp:coreProperties>
</file>