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February 7, 2006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85" w:right="279" w:bottom="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240" w:space="720"/>
            <w:col w:w="2600" w:space="720"/>
            <w:col w:w="3100"/>
          </w:cols>
          <w:pgMar w:left="240" w:top="585" w:right="279" w:bottom="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380"/>
          </w:cols>
          <w:pgMar w:left="240" w:top="585" w:right="279" w:bottom="0" w:gutter="0" w:footer="0" w:header="0"/>
          <w:type w:val="continuous"/>
        </w:sect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4"/>
          <w:szCs w:val="24"/>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On February 8, 2006, the Company’s Board of Directors appointed Dr. Teruaki Aoki to its Governance and Compensation Committee and Mr. Robert Switz to its Audit Committee. On February 9, 2006, the Company issued a press release announcing the appointment of Mark Durcan as Chief Operating Officer and the appointment of other executive officers. The full text of the press release related to these appointments is attached hereto as Exhibit 99.1.</w:t>
      </w:r>
    </w:p>
    <w:p>
      <w:pPr>
        <w:spacing w:after="0" w:line="143"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Financial Year</w:t>
      </w:r>
    </w:p>
    <w:p>
      <w:pPr>
        <w:spacing w:after="0" w:line="229" w:lineRule="exact"/>
        <w:rPr>
          <w:sz w:val="24"/>
          <w:szCs w:val="24"/>
          <w:color w:val="auto"/>
        </w:rPr>
      </w:pPr>
    </w:p>
    <w:p>
      <w:pPr>
        <w:ind w:right="40" w:firstLine="324"/>
        <w:spacing w:after="0" w:line="342" w:lineRule="auto"/>
        <w:rPr>
          <w:sz w:val="20"/>
          <w:szCs w:val="20"/>
          <w:color w:val="auto"/>
        </w:rPr>
      </w:pPr>
      <w:r>
        <w:rPr>
          <w:rFonts w:ascii="Arial" w:cs="Arial" w:eastAsia="Arial" w:hAnsi="Arial"/>
          <w:sz w:val="16"/>
          <w:szCs w:val="16"/>
          <w:color w:val="auto"/>
        </w:rPr>
        <w:t>Effective February 7, 2006, the Company’s Board of Directors amended the Bylaws of the Company to increase the authorized number of directors from seven to nine in order to effectuate the previously announced appointment of Dr. Aoki and Mr. Switz to the Company’s Board of Directors.</w:t>
      </w:r>
    </w:p>
    <w:p>
      <w:pPr>
        <w:spacing w:after="0" w:line="120"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firstLine="324"/>
        <w:spacing w:after="0" w:line="272" w:lineRule="auto"/>
        <w:rPr>
          <w:sz w:val="20"/>
          <w:szCs w:val="20"/>
          <w:color w:val="auto"/>
        </w:rPr>
      </w:pPr>
      <w:r>
        <w:rPr>
          <w:rFonts w:ascii="Arial" w:cs="Arial" w:eastAsia="Arial" w:hAnsi="Arial"/>
          <w:sz w:val="17"/>
          <w:szCs w:val="17"/>
          <w:color w:val="auto"/>
        </w:rPr>
        <w:t>In its Quarterly Report on Form 10-Q for the first quarter of fiscal 2006 (“Recent Quarterly Report”), Micron Technology, Inc. (the “Company”) changed the presentation of its financial information to include two reportable business segments, Memory and Imaging. The Company is filing this current report of Form 8-K (“Current Report”) to provide segment reporting financial information for the Memory and Imaging segments with respect to the historical financial information included in its Annual Report on From 10-K for the year ended September 1, 2005 (the “Annual Report”) in order to make such historical financial information consistent with the segment presentation set forth in the Company’s Recent Quarterly Report and consistent with how the Company expects to present its financial information in its future filings. In addition, the Company has inserted a footnote entitled “Call Spread Options” into the consolidated financial statements included as Exhibit 99.4 to this Current Report.</w:t>
      </w:r>
    </w:p>
    <w:p>
      <w:pPr>
        <w:spacing w:after="0" w:line="178" w:lineRule="exact"/>
        <w:rPr>
          <w:sz w:val="24"/>
          <w:szCs w:val="24"/>
          <w:color w:val="auto"/>
        </w:rPr>
      </w:pPr>
    </w:p>
    <w:p>
      <w:pPr>
        <w:ind w:right="220" w:firstLine="324"/>
        <w:spacing w:after="0" w:line="259" w:lineRule="auto"/>
        <w:rPr>
          <w:sz w:val="20"/>
          <w:szCs w:val="20"/>
          <w:color w:val="auto"/>
        </w:rPr>
      </w:pPr>
      <w:r>
        <w:rPr>
          <w:rFonts w:ascii="Arial" w:cs="Arial" w:eastAsia="Arial" w:hAnsi="Arial"/>
          <w:sz w:val="18"/>
          <w:szCs w:val="18"/>
          <w:color w:val="auto"/>
        </w:rPr>
        <w:t>For ease of reference, the Company is providing this additional segment reporting information by including such information in the following sections from its Annual Report: Item 1 (Business), Item 7 (Management’s Discussion and Analysis of Financial Condition and Results of Operations) and Item 8 (Financial Statements and Supplementary Data). The additional information provided in this Current Report only reflects the Company’s new segment reporting structure and the Call Spread Option footnote referred to above.</w:t>
      </w:r>
    </w:p>
    <w:p>
      <w:pPr>
        <w:spacing w:after="0" w:line="187" w:lineRule="exact"/>
        <w:rPr>
          <w:sz w:val="24"/>
          <w:szCs w:val="24"/>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Company has not revised its disclosures to reflect events since the date of the Annual Report. Investors are encouraged to check the documents the Company files from time to time with the Securities and Exchange Commission for information related to the Company’s business and results of operations subsequent to the date of the Annual Report.</w:t>
      </w:r>
    </w:p>
    <w:p>
      <w:pPr>
        <w:sectPr>
          <w:pgSz w:w="11900" w:h="16838" w:orient="portrait"/>
          <w:cols w:equalWidth="0" w:num="1">
            <w:col w:w="11380"/>
          </w:cols>
          <w:pgMar w:left="240" w:top="585" w:right="279" w:bottom="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2"/>
              </w:rPr>
              <w:t>Exhibit No.</w:t>
            </w:r>
          </w:p>
        </w:tc>
        <w:tc>
          <w:tcPr>
            <w:tcW w:w="4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r>
      <w:tr>
        <w:trPr>
          <w:trHeight w:val="195"/>
        </w:trPr>
        <w:tc>
          <w:tcPr>
            <w:tcW w:w="340" w:type="dxa"/>
            <w:vAlign w:val="bottom"/>
          </w:tcPr>
          <w:p>
            <w:pPr>
              <w:spacing w:after="0"/>
              <w:rPr>
                <w:sz w:val="16"/>
                <w:szCs w:val="16"/>
                <w:color w:val="auto"/>
              </w:rPr>
            </w:pPr>
          </w:p>
        </w:tc>
        <w:tc>
          <w:tcPr>
            <w:tcW w:w="1100" w:type="dxa"/>
            <w:vAlign w:val="bottom"/>
          </w:tcPr>
          <w:p>
            <w:pPr>
              <w:jc w:val="right"/>
              <w:ind w:right="353"/>
              <w:spacing w:after="0" w:line="195" w:lineRule="exact"/>
              <w:rPr>
                <w:sz w:val="20"/>
                <w:szCs w:val="20"/>
                <w:color w:val="auto"/>
              </w:rPr>
            </w:pPr>
            <w:r>
              <w:rPr>
                <w:rFonts w:ascii="Arial" w:cs="Arial" w:eastAsia="Arial" w:hAnsi="Arial"/>
                <w:sz w:val="18"/>
                <w:szCs w:val="18"/>
                <w:color w:val="auto"/>
              </w:rPr>
              <w:t>3.8</w:t>
            </w:r>
          </w:p>
        </w:tc>
        <w:tc>
          <w:tcPr>
            <w:tcW w:w="480" w:type="dxa"/>
            <w:vAlign w:val="bottom"/>
          </w:tcPr>
          <w:p>
            <w:pPr>
              <w:spacing w:after="0"/>
              <w:rPr>
                <w:sz w:val="16"/>
                <w:szCs w:val="16"/>
                <w:color w:val="auto"/>
              </w:rPr>
            </w:pPr>
          </w:p>
        </w:tc>
        <w:tc>
          <w:tcPr>
            <w:tcW w:w="9020" w:type="dxa"/>
            <w:vAlign w:val="bottom"/>
            <w:gridSpan w:val="2"/>
          </w:tcPr>
          <w:p>
            <w:pPr>
              <w:spacing w:after="0" w:line="195" w:lineRule="exact"/>
              <w:rPr>
                <w:sz w:val="20"/>
                <w:szCs w:val="20"/>
                <w:color w:val="auto"/>
              </w:rPr>
            </w:pPr>
            <w:r>
              <w:rPr>
                <w:rFonts w:ascii="Arial" w:cs="Arial" w:eastAsia="Arial" w:hAnsi="Arial"/>
                <w:sz w:val="18"/>
                <w:szCs w:val="18"/>
                <w:color w:val="auto"/>
              </w:rPr>
              <w:t>Bylaws of the Registrant, as amended</w:t>
            </w:r>
          </w:p>
        </w:tc>
        <w:tc>
          <w:tcPr>
            <w:tcW w:w="50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color w:val="auto"/>
              </w:rPr>
              <w:t>23.1</w:t>
            </w:r>
          </w:p>
        </w:tc>
        <w:tc>
          <w:tcPr>
            <w:tcW w:w="9500" w:type="dxa"/>
            <w:vAlign w:val="bottom"/>
            <w:gridSpan w:val="3"/>
          </w:tcPr>
          <w:p>
            <w:pPr>
              <w:ind w:left="480"/>
              <w:spacing w:after="0"/>
              <w:rPr>
                <w:sz w:val="20"/>
                <w:szCs w:val="20"/>
                <w:color w:val="auto"/>
              </w:rPr>
            </w:pPr>
            <w:r>
              <w:rPr>
                <w:rFonts w:ascii="Arial" w:cs="Arial" w:eastAsia="Arial" w:hAnsi="Arial"/>
                <w:sz w:val="18"/>
                <w:szCs w:val="18"/>
                <w:color w:val="auto"/>
              </w:rPr>
              <w:t>Consent of Independent Registered Public Accounting Firm</w:t>
            </w:r>
          </w:p>
        </w:tc>
        <w:tc>
          <w:tcPr>
            <w:tcW w:w="5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color w:val="auto"/>
              </w:rPr>
              <w:t>99.1</w:t>
            </w:r>
          </w:p>
        </w:tc>
        <w:tc>
          <w:tcPr>
            <w:tcW w:w="9500" w:type="dxa"/>
            <w:vAlign w:val="bottom"/>
            <w:gridSpan w:val="3"/>
          </w:tcPr>
          <w:p>
            <w:pPr>
              <w:ind w:left="480"/>
              <w:spacing w:after="0"/>
              <w:rPr>
                <w:sz w:val="20"/>
                <w:szCs w:val="20"/>
                <w:color w:val="auto"/>
              </w:rPr>
            </w:pPr>
            <w:r>
              <w:rPr>
                <w:rFonts w:ascii="Arial" w:cs="Arial" w:eastAsia="Arial" w:hAnsi="Arial"/>
                <w:sz w:val="18"/>
                <w:szCs w:val="18"/>
                <w:color w:val="auto"/>
              </w:rPr>
              <w:t>Press Release dated February 9, 2006</w:t>
            </w:r>
          </w:p>
        </w:tc>
        <w:tc>
          <w:tcPr>
            <w:tcW w:w="5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color w:val="auto"/>
              </w:rPr>
              <w:t>99.2</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w w:val="89"/>
              </w:rPr>
              <w:t>Revised Item 1.</w:t>
            </w:r>
          </w:p>
        </w:tc>
        <w:tc>
          <w:tcPr>
            <w:tcW w:w="7880" w:type="dxa"/>
            <w:vAlign w:val="bottom"/>
          </w:tcPr>
          <w:p>
            <w:pPr>
              <w:ind w:left="40"/>
              <w:spacing w:after="0"/>
              <w:rPr>
                <w:sz w:val="20"/>
                <w:szCs w:val="20"/>
                <w:color w:val="auto"/>
              </w:rPr>
            </w:pPr>
            <w:r>
              <w:rPr>
                <w:rFonts w:ascii="Arial" w:cs="Arial" w:eastAsia="Arial" w:hAnsi="Arial"/>
                <w:sz w:val="18"/>
                <w:szCs w:val="18"/>
                <w:color w:val="auto"/>
              </w:rPr>
              <w:t>Business</w:t>
            </w:r>
          </w:p>
        </w:tc>
        <w:tc>
          <w:tcPr>
            <w:tcW w:w="5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color w:val="auto"/>
              </w:rPr>
              <w:t>99.3</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w w:val="89"/>
              </w:rPr>
              <w:t>Revised Item 7.</w:t>
            </w:r>
          </w:p>
        </w:tc>
        <w:tc>
          <w:tcPr>
            <w:tcW w:w="788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100" w:type="dxa"/>
            <w:vAlign w:val="bottom"/>
          </w:tcPr>
          <w:p>
            <w:pPr>
              <w:jc w:val="right"/>
              <w:ind w:right="353"/>
              <w:spacing w:after="0"/>
              <w:rPr>
                <w:sz w:val="20"/>
                <w:szCs w:val="20"/>
                <w:color w:val="auto"/>
              </w:rPr>
            </w:pPr>
            <w:r>
              <w:rPr>
                <w:rFonts w:ascii="Arial" w:cs="Arial" w:eastAsia="Arial" w:hAnsi="Arial"/>
                <w:sz w:val="18"/>
                <w:szCs w:val="18"/>
                <w:color w:val="auto"/>
              </w:rPr>
              <w:t>99.4</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w w:val="89"/>
              </w:rPr>
              <w:t>Revised Item 8.</w:t>
            </w:r>
          </w:p>
        </w:tc>
        <w:tc>
          <w:tcPr>
            <w:tcW w:w="7880" w:type="dxa"/>
            <w:vAlign w:val="bottom"/>
          </w:tcPr>
          <w:p>
            <w:pPr>
              <w:ind w:left="40"/>
              <w:spacing w:after="0"/>
              <w:rPr>
                <w:sz w:val="20"/>
                <w:szCs w:val="20"/>
                <w:color w:val="auto"/>
              </w:rPr>
            </w:pPr>
            <w:r>
              <w:rPr>
                <w:rFonts w:ascii="Arial" w:cs="Arial" w:eastAsia="Arial" w:hAnsi="Arial"/>
                <w:sz w:val="18"/>
                <w:szCs w:val="18"/>
                <w:color w:val="auto"/>
              </w:rPr>
              <w:t>Financial Statements and Supplementary Data for the year ended September 1, 2005</w:t>
            </w:r>
          </w:p>
        </w:tc>
        <w:tc>
          <w:tcPr>
            <w:tcW w:w="5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80" w:type="dxa"/>
            <w:vAlign w:val="bottom"/>
          </w:tcPr>
          <w:p>
            <w:pPr>
              <w:ind w:left="260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7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46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February 9, 2006</w:t>
            </w:r>
          </w:p>
        </w:tc>
        <w:tc>
          <w:tcPr>
            <w:tcW w:w="3180" w:type="dxa"/>
            <w:vAlign w:val="bottom"/>
          </w:tcPr>
          <w:p>
            <w:pPr>
              <w:ind w:left="24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3180" w:type="dxa"/>
            <w:vAlign w:val="bottom"/>
          </w:tcPr>
          <w:p>
            <w:pPr>
              <w:ind w:left="2460"/>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3180" w:type="dxa"/>
            <w:vAlign w:val="bottom"/>
          </w:tcPr>
          <w:p>
            <w:pPr>
              <w:ind w:left="24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3180" w:type="dxa"/>
            <w:vAlign w:val="bottom"/>
          </w:tcPr>
          <w:p>
            <w:pPr>
              <w:ind w:left="1980"/>
              <w:spacing w:after="0"/>
              <w:rPr>
                <w:sz w:val="20"/>
                <w:szCs w:val="20"/>
                <w:color w:val="auto"/>
              </w:rPr>
            </w:pPr>
            <w:r>
              <w:rPr>
                <w:rFonts w:ascii="Arial" w:cs="Arial" w:eastAsia="Arial" w:hAnsi="Arial"/>
                <w:sz w:val="18"/>
                <w:szCs w:val="18"/>
                <w:color w:val="auto"/>
              </w:rPr>
              <w:t>3</w:t>
            </w: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68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900" w:type="dxa"/>
            <w:vAlign w:val="bottom"/>
          </w:tcPr>
          <w:p>
            <w:pPr>
              <w:jc w:val="center"/>
              <w:ind w:right="2433"/>
              <w:spacing w:after="0"/>
              <w:rPr>
                <w:sz w:val="20"/>
                <w:szCs w:val="20"/>
                <w:color w:val="auto"/>
              </w:rPr>
            </w:pPr>
            <w:r>
              <w:rPr>
                <w:rFonts w:ascii="Arial" w:cs="Arial" w:eastAsia="Arial" w:hAnsi="Arial"/>
                <w:sz w:val="18"/>
                <w:szCs w:val="18"/>
                <w:b w:val="1"/>
                <w:bCs w:val="1"/>
                <w:color w:val="auto"/>
              </w:rPr>
              <w:t>INDEX TO EXHIBITS FILED WITH</w:t>
            </w:r>
          </w:p>
        </w:tc>
        <w:tc>
          <w:tcPr>
            <w:tcW w:w="2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900" w:type="dxa"/>
            <w:vAlign w:val="bottom"/>
          </w:tcPr>
          <w:p>
            <w:pPr>
              <w:jc w:val="center"/>
              <w:ind w:right="2433"/>
              <w:spacing w:after="0"/>
              <w:rPr>
                <w:sz w:val="20"/>
                <w:szCs w:val="20"/>
                <w:color w:val="auto"/>
              </w:rPr>
            </w:pPr>
            <w:r>
              <w:rPr>
                <w:rFonts w:ascii="Arial" w:cs="Arial" w:eastAsia="Arial" w:hAnsi="Arial"/>
                <w:sz w:val="18"/>
                <w:szCs w:val="18"/>
                <w:b w:val="1"/>
                <w:bCs w:val="1"/>
                <w:color w:val="auto"/>
                <w:w w:val="98"/>
              </w:rPr>
              <w:t>THE CURRENT REPORT ON FORM 8-K DATED FEBRUARY 7, 2006</w:t>
            </w:r>
          </w:p>
        </w:tc>
        <w:tc>
          <w:tcPr>
            <w:tcW w:w="20" w:type="dxa"/>
            <w:vAlign w:val="bottom"/>
          </w:tcPr>
          <w:p>
            <w:pPr>
              <w:spacing w:after="0"/>
              <w:rPr>
                <w:sz w:val="20"/>
                <w:szCs w:val="20"/>
                <w:color w:val="auto"/>
              </w:rPr>
            </w:pPr>
          </w:p>
        </w:tc>
      </w:tr>
      <w:tr>
        <w:trPr>
          <w:trHeight w:val="365"/>
        </w:trPr>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5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11"/>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3.8</w:t>
            </w:r>
          </w:p>
        </w:tc>
        <w:tc>
          <w:tcPr>
            <w:tcW w:w="10560" w:type="dxa"/>
            <w:vAlign w:val="bottom"/>
            <w:gridSpan w:val="3"/>
          </w:tcPr>
          <w:p>
            <w:pPr>
              <w:ind w:left="520"/>
              <w:spacing w:after="0"/>
              <w:rPr>
                <w:sz w:val="20"/>
                <w:szCs w:val="20"/>
                <w:color w:val="auto"/>
              </w:rPr>
            </w:pPr>
            <w:r>
              <w:rPr>
                <w:rFonts w:ascii="Arial" w:cs="Arial" w:eastAsia="Arial" w:hAnsi="Arial"/>
                <w:sz w:val="18"/>
                <w:szCs w:val="18"/>
                <w:color w:val="auto"/>
              </w:rPr>
              <w:t>Bylaws of the Registrant, as amended</w:t>
            </w:r>
          </w:p>
        </w:tc>
        <w:tc>
          <w:tcPr>
            <w:tcW w:w="20" w:type="dxa"/>
            <w:vAlign w:val="bottom"/>
          </w:tcPr>
          <w:p>
            <w:pPr>
              <w:spacing w:after="0"/>
              <w:rPr>
                <w:sz w:val="24"/>
                <w:szCs w:val="24"/>
                <w:color w:val="auto"/>
              </w:rPr>
            </w:pPr>
          </w:p>
        </w:tc>
      </w:tr>
      <w:tr>
        <w:trPr>
          <w:trHeight w:val="216"/>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23.1</w:t>
            </w:r>
          </w:p>
        </w:tc>
        <w:tc>
          <w:tcPr>
            <w:tcW w:w="10560" w:type="dxa"/>
            <w:vAlign w:val="bottom"/>
            <w:gridSpan w:val="3"/>
          </w:tcPr>
          <w:p>
            <w:pPr>
              <w:ind w:left="520"/>
              <w:spacing w:after="0"/>
              <w:rPr>
                <w:sz w:val="20"/>
                <w:szCs w:val="20"/>
                <w:color w:val="auto"/>
              </w:rPr>
            </w:pPr>
            <w:r>
              <w:rPr>
                <w:rFonts w:ascii="Arial" w:cs="Arial" w:eastAsia="Arial" w:hAnsi="Arial"/>
                <w:sz w:val="18"/>
                <w:szCs w:val="18"/>
                <w:color w:val="auto"/>
              </w:rPr>
              <w:t>Consent of Independent Registered Public Accounting Firm</w:t>
            </w:r>
          </w:p>
        </w:tc>
        <w:tc>
          <w:tcPr>
            <w:tcW w:w="20" w:type="dxa"/>
            <w:vAlign w:val="bottom"/>
          </w:tcPr>
          <w:p>
            <w:pPr>
              <w:spacing w:after="0"/>
              <w:rPr>
                <w:sz w:val="18"/>
                <w:szCs w:val="18"/>
                <w:color w:val="auto"/>
              </w:rPr>
            </w:pPr>
          </w:p>
        </w:tc>
      </w:tr>
      <w:tr>
        <w:trPr>
          <w:trHeight w:val="216"/>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99.1</w:t>
            </w:r>
          </w:p>
        </w:tc>
        <w:tc>
          <w:tcPr>
            <w:tcW w:w="10560" w:type="dxa"/>
            <w:vAlign w:val="bottom"/>
            <w:gridSpan w:val="3"/>
          </w:tcPr>
          <w:p>
            <w:pPr>
              <w:ind w:left="520"/>
              <w:spacing w:after="0"/>
              <w:rPr>
                <w:sz w:val="20"/>
                <w:szCs w:val="20"/>
                <w:color w:val="auto"/>
              </w:rPr>
            </w:pPr>
            <w:r>
              <w:rPr>
                <w:rFonts w:ascii="Arial" w:cs="Arial" w:eastAsia="Arial" w:hAnsi="Arial"/>
                <w:sz w:val="18"/>
                <w:szCs w:val="18"/>
                <w:color w:val="auto"/>
              </w:rPr>
              <w:t>Press Release dated February 9, 2006</w:t>
            </w:r>
          </w:p>
        </w:tc>
        <w:tc>
          <w:tcPr>
            <w:tcW w:w="20" w:type="dxa"/>
            <w:vAlign w:val="bottom"/>
          </w:tcPr>
          <w:p>
            <w:pPr>
              <w:spacing w:after="0"/>
              <w:rPr>
                <w:sz w:val="18"/>
                <w:szCs w:val="18"/>
                <w:color w:val="auto"/>
              </w:rPr>
            </w:pPr>
          </w:p>
        </w:tc>
      </w:tr>
      <w:tr>
        <w:trPr>
          <w:trHeight w:val="216"/>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99.2</w:t>
            </w: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w w:val="89"/>
              </w:rPr>
              <w:t>Revised Item 1.</w:t>
            </w:r>
          </w:p>
        </w:tc>
        <w:tc>
          <w:tcPr>
            <w:tcW w:w="8900" w:type="dxa"/>
            <w:vAlign w:val="bottom"/>
          </w:tcPr>
          <w:p>
            <w:pPr>
              <w:ind w:left="40"/>
              <w:spacing w:after="0"/>
              <w:rPr>
                <w:sz w:val="20"/>
                <w:szCs w:val="20"/>
                <w:color w:val="auto"/>
              </w:rPr>
            </w:pPr>
            <w:r>
              <w:rPr>
                <w:rFonts w:ascii="Arial" w:cs="Arial" w:eastAsia="Arial" w:hAnsi="Arial"/>
                <w:sz w:val="18"/>
                <w:szCs w:val="18"/>
                <w:color w:val="auto"/>
              </w:rPr>
              <w:t>Business</w:t>
            </w:r>
          </w:p>
        </w:tc>
        <w:tc>
          <w:tcPr>
            <w:tcW w:w="20" w:type="dxa"/>
            <w:vAlign w:val="bottom"/>
          </w:tcPr>
          <w:p>
            <w:pPr>
              <w:spacing w:after="0"/>
              <w:rPr>
                <w:sz w:val="18"/>
                <w:szCs w:val="18"/>
                <w:color w:val="auto"/>
              </w:rPr>
            </w:pPr>
          </w:p>
        </w:tc>
      </w:tr>
      <w:tr>
        <w:trPr>
          <w:trHeight w:val="216"/>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99.3</w:t>
            </w: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w w:val="89"/>
              </w:rPr>
              <w:t>Revised Item 7.</w:t>
            </w:r>
          </w:p>
        </w:tc>
        <w:tc>
          <w:tcPr>
            <w:tcW w:w="890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 w:type="dxa"/>
            <w:vAlign w:val="bottom"/>
          </w:tcPr>
          <w:p>
            <w:pPr>
              <w:spacing w:after="0"/>
              <w:rPr>
                <w:sz w:val="18"/>
                <w:szCs w:val="18"/>
                <w:color w:val="auto"/>
              </w:rPr>
            </w:pPr>
          </w:p>
        </w:tc>
      </w:tr>
      <w:tr>
        <w:trPr>
          <w:trHeight w:val="230"/>
        </w:trPr>
        <w:tc>
          <w:tcPr>
            <w:tcW w:w="860" w:type="dxa"/>
            <w:vAlign w:val="bottom"/>
          </w:tcPr>
          <w:p>
            <w:pPr>
              <w:jc w:val="right"/>
              <w:ind w:right="133"/>
              <w:spacing w:after="0"/>
              <w:rPr>
                <w:sz w:val="20"/>
                <w:szCs w:val="20"/>
                <w:color w:val="auto"/>
              </w:rPr>
            </w:pPr>
            <w:r>
              <w:rPr>
                <w:rFonts w:ascii="Arial" w:cs="Arial" w:eastAsia="Arial" w:hAnsi="Arial"/>
                <w:sz w:val="18"/>
                <w:szCs w:val="18"/>
                <w:color w:val="auto"/>
              </w:rPr>
              <w:t>99.4</w:t>
            </w: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w w:val="89"/>
              </w:rPr>
              <w:t>Revised Item 8.</w:t>
            </w:r>
          </w:p>
        </w:tc>
        <w:tc>
          <w:tcPr>
            <w:tcW w:w="8900" w:type="dxa"/>
            <w:vAlign w:val="bottom"/>
          </w:tcPr>
          <w:p>
            <w:pPr>
              <w:ind w:left="40"/>
              <w:spacing w:after="0"/>
              <w:rPr>
                <w:sz w:val="20"/>
                <w:szCs w:val="20"/>
                <w:color w:val="auto"/>
              </w:rPr>
            </w:pPr>
            <w:r>
              <w:rPr>
                <w:rFonts w:ascii="Arial" w:cs="Arial" w:eastAsia="Arial" w:hAnsi="Arial"/>
                <w:sz w:val="18"/>
                <w:szCs w:val="18"/>
                <w:color w:val="auto"/>
              </w:rPr>
              <w:t>Financial Statements and Supplementary Data for the year ended September 1, 2005</w:t>
            </w:r>
          </w:p>
        </w:tc>
        <w:tc>
          <w:tcPr>
            <w:tcW w:w="2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00" w:type="dxa"/>
            <w:vAlign w:val="bottom"/>
          </w:tcPr>
          <w:p>
            <w:pPr>
              <w:jc w:val="center"/>
              <w:ind w:right="2433"/>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r>
      <w:tr>
        <w:trPr>
          <w:trHeight w:val="118"/>
        </w:trPr>
        <w:tc>
          <w:tcPr>
            <w:tcW w:w="8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1. The registered office shall be 100 West Tenth Street, in the City of Wilmington, County of New Castle, State of Delaware.</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2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5"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6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7. Business transacted at any special meeting of stockholders shall be limited to the purposes stated in the notice.</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67"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5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ectPr>
          <w:pgSz w:w="11900" w:h="16838" w:orient="portrait"/>
          <w:cols w:equalWidth="0" w:num="1">
            <w:col w:w="11420"/>
          </w:cols>
          <w:pgMar w:left="240" w:top="121" w:right="239" w:bottom="0" w:gutter="0" w:footer="0" w:header="0"/>
        </w:sectPr>
      </w:pPr>
    </w:p>
    <w:bookmarkStart w:id="3" w:name="page4"/>
    <w:bookmarkEnd w:id="3"/>
    <w:p>
      <w:pPr>
        <w:ind w:right="60"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of office.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7. The Board of Directors of the corporation may hold meetings, both regular and special, either within or without the State of Delaware.</w:t>
      </w:r>
    </w:p>
    <w:p>
      <w:pPr>
        <w:spacing w:after="0" w:line="23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9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SECTION 9. Regular meetings of the Board of Directors may be held without notice at such time and at such place as shall from time to time be determined by the Board.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5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SECTION 14. The Board of Directors may, by resolution passed by a majority of the authorized number of directors, appoint an executive committee consisting of two or more of the directors of the corporation. The Board may designate one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0" w:gutter="0" w:footer="0" w:header="0"/>
        </w:sectPr>
      </w:pPr>
    </w:p>
    <w:bookmarkStart w:id="4" w:name="page5"/>
    <w:bookmarkEnd w:id="4"/>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ind w:right="20"/>
        <w:spacing w:after="0" w:line="254" w:lineRule="auto"/>
        <w:rPr>
          <w:sz w:val="20"/>
          <w:szCs w:val="20"/>
          <w:color w:val="auto"/>
        </w:rPr>
      </w:pPr>
      <w:r>
        <w:rPr>
          <w:rFonts w:ascii="Arial" w:cs="Arial" w:eastAsia="Arial" w:hAnsi="Arial"/>
          <w:sz w:val="18"/>
          <w:szCs w:val="18"/>
          <w:color w:val="auto"/>
        </w:rPr>
        <w:t>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9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SECTION 2. The Board of Directors at its first meeting after each annual meeting of stockholders shall choose a president, one or more vice-presidents, a secretary and a treasurer.</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4. The salaries of all officers and agents of the corporation shall be fixed by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81" w:lineRule="exact"/>
        <w:rPr>
          <w:sz w:val="20"/>
          <w:szCs w:val="20"/>
          <w:color w:val="auto"/>
        </w:rPr>
      </w:pPr>
    </w:p>
    <w:p>
      <w:pPr>
        <w:jc w:val="both"/>
        <w:ind w:right="80" w:firstLine="1102"/>
        <w:spacing w:after="0" w:line="264" w:lineRule="auto"/>
        <w:rPr>
          <w:sz w:val="20"/>
          <w:szCs w:val="20"/>
          <w:color w:val="auto"/>
        </w:rPr>
      </w:pPr>
      <w:r>
        <w:rPr>
          <w:rFonts w:ascii="Arial" w:cs="Arial" w:eastAsia="Arial" w:hAnsi="Arial"/>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w:t>
      </w:r>
    </w:p>
    <w:p>
      <w:pPr>
        <w:spacing w:after="0" w:line="225"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PRESIDENT</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w:t>
      </w:r>
    </w:p>
    <w:p>
      <w:pPr>
        <w:sectPr>
          <w:pgSz w:w="11900" w:h="16840" w:orient="portrait"/>
          <w:cols w:equalWidth="0" w:num="1">
            <w:col w:w="11420"/>
          </w:cols>
          <w:pgMar w:left="240" w:top="719" w:right="239" w:bottom="0" w:gutter="0" w:footer="0" w:header="0"/>
        </w:sectPr>
      </w:pPr>
    </w:p>
    <w:bookmarkStart w:id="5" w:name="page6"/>
    <w:bookmarkEnd w:id="5"/>
    <w:p>
      <w:pPr>
        <w:ind w:right="220"/>
        <w:spacing w:after="0" w:line="279" w:lineRule="auto"/>
        <w:rPr>
          <w:sz w:val="20"/>
          <w:szCs w:val="20"/>
          <w:color w:val="auto"/>
        </w:rPr>
      </w:pPr>
      <w:r>
        <w:rPr>
          <w:rFonts w:ascii="Arial" w:cs="Arial" w:eastAsia="Arial" w:hAnsi="Arial"/>
          <w:sz w:val="17"/>
          <w:szCs w:val="17"/>
          <w:color w:val="auto"/>
        </w:rPr>
        <w:t>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7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VICE-PRESIDENTS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SECRETARY AND ASSISTANT SECRETARY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TREASURER AND ASSISTANT TREASURERS</w:t>
      </w:r>
    </w:p>
    <w:p>
      <w:pPr>
        <w:spacing w:after="0" w:line="225"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The treasurer shall have the custody of the corporate funds and securities and shall keep full and accurate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STOCK</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1400"/>
          </w:cols>
          <w:pgMar w:left="240" w:top="125" w:right="259" w:bottom="0" w:gutter="0" w:footer="0" w:header="0"/>
        </w:sectPr>
      </w:pPr>
    </w:p>
    <w:bookmarkStart w:id="6" w:name="page7"/>
    <w:bookmarkEnd w:id="6"/>
    <w:p>
      <w:pPr>
        <w:spacing w:after="0" w:line="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LOST CERTIFICATES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TRANSFER OF STOCK</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 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4. The fiscal year of the corporation shall be fixed by resolution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ectPr>
          <w:pgSz w:w="11900" w:h="16847" w:orient="portrait"/>
          <w:cols w:equalWidth="0" w:num="1">
            <w:col w:w="11420"/>
          </w:cols>
          <w:pgMar w:left="240" w:top="125" w:right="239" w:bottom="0" w:gutter="0" w:footer="0" w:header="0"/>
        </w:sectPr>
      </w:pPr>
    </w:p>
    <w:bookmarkStart w:id="7" w:name="page8"/>
    <w:bookmarkEnd w:id="7"/>
    <w:p>
      <w:pPr>
        <w:ind w:right="360" w:firstLine="324"/>
        <w:spacing w:after="0" w:line="308" w:lineRule="auto"/>
        <w:rPr>
          <w:sz w:val="20"/>
          <w:szCs w:val="20"/>
          <w:color w:val="auto"/>
        </w:rPr>
      </w:pPr>
      <w:r>
        <w:rPr>
          <w:rFonts w:ascii="Arial" w:cs="Arial" w:eastAsia="Arial" w:hAnsi="Arial"/>
          <w:sz w:val="17"/>
          <w:szCs w:val="17"/>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SECTION 6. The corporation shall indemnify its officers, directors, employees and agents to the extent permitted by the General Corporation Law of Delaware.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Nancy A. Stanger, the secretary of Micron Technology, Inc., a Delaware corporation, hereby certify: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bylaws, comprising 14 pages, were adopted as the bylaws of Micron Technology on May 21, 1984.</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May 25, 1984</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Nancy A. Stanger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Nancy A. Stanger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5690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FIRST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adopted was pursuant to a Resolution reading as follows:</w:t>
      </w:r>
    </w:p>
    <w:p>
      <w:pPr>
        <w:spacing w:after="0" w:line="22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RESOLVED: The Board hereby approves that the second paragraph of Article II Section 10 of the Bylaws of the Company be amended to read as follows:</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we have hereunto set our hands and the seal of the Corporation this 5th day of July,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Joseph L. Parkinson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L. Parkinson,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 Secretary</w:t>
      </w:r>
    </w:p>
    <w:p>
      <w:pPr>
        <w:sectPr>
          <w:pgSz w:w="11900" w:h="16838" w:orient="portrait"/>
          <w:cols w:equalWidth="0" w:num="1">
            <w:col w:w="11420"/>
          </w:cols>
          <w:pgMar w:left="240" w:top="34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STATE OF IDAHO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440" w:space="680"/>
            <w:col w:w="9300"/>
          </w:cols>
          <w:pgMar w:left="240" w:top="341" w:right="239" w:bottom="0" w:gutter="0" w:footer="0" w:header="0"/>
          <w:type w:val="continuous"/>
        </w:sectPr>
      </w:pPr>
    </w:p>
    <w:p>
      <w:pPr>
        <w:ind w:left="2440"/>
        <w:spacing w:after="0"/>
        <w:rPr>
          <w:sz w:val="20"/>
          <w:szCs w:val="20"/>
          <w:color w:val="auto"/>
        </w:rPr>
      </w:pPr>
      <w:r>
        <w:rPr>
          <w:rFonts w:ascii="Arial" w:cs="Arial" w:eastAsia="Arial" w:hAnsi="Arial"/>
          <w:sz w:val="17"/>
          <w:szCs w:val="17"/>
          <w:color w:val="auto"/>
        </w:rPr>
        <w:t>)  ss.</w:t>
      </w:r>
    </w:p>
    <w:p>
      <w:pPr>
        <w:sectPr>
          <w:pgSz w:w="11900" w:h="16838" w:orient="portrait"/>
          <w:cols w:equalWidth="0" w:num="1">
            <w:col w:w="11420"/>
          </w:cols>
          <w:pgMar w:left="240" w:top="341"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County of Ada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400" w:space="720"/>
            <w:col w:w="9300"/>
          </w:cols>
          <w:pgMar w:left="240" w:top="341" w:right="239" w:bottom="0" w:gutter="0" w:footer="0" w:header="0"/>
          <w:type w:val="continuous"/>
        </w:sectPr>
      </w:pPr>
    </w:p>
    <w:p>
      <w:pPr>
        <w:spacing w:after="0" w:line="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and affixed my official seal in said County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Jill L. Henson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 for Idaho Residing at Boise</w:t>
      </w:r>
    </w:p>
    <w:p>
      <w:pPr>
        <w:sectPr>
          <w:pgSz w:w="11900" w:h="16838" w:orient="portrait"/>
          <w:cols w:equalWidth="0" w:num="1">
            <w:col w:w="11420"/>
          </w:cols>
          <w:pgMar w:left="240" w:top="341" w:right="239" w:bottom="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SECOND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3, 1986: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WITNESS WHEREOF, I have hereunto set my hand and affixed the corporate seal of said corporation effective as of the 3rd day of March,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THIRD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November 24, 1986: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November,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FOURTH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28, 1987: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September, 1987.</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Cathy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5690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1" w:right="259" w:bottom="424"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CERTIFICATE OF FIFTH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28, 1988: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March, 1988.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SIXTH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 1988: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25, 1989: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EIGHTH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ectPr>
          <w:pgSz w:w="11900" w:h="16838" w:orient="portrait"/>
          <w:cols w:equalWidth="0" w:num="1">
            <w:col w:w="11400"/>
          </w:cols>
          <w:pgMar w:left="240" w:top="125" w:right="259" w:bottom="207" w:gutter="0" w:footer="0" w:header="0"/>
        </w:sectPr>
      </w:pPr>
    </w:p>
    <w:bookmarkStart w:id="10" w:name="page11"/>
    <w:bookmarkEnd w:id="10"/>
    <w:p>
      <w:pPr>
        <w:ind w:right="140" w:firstLine="324"/>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30, 1989: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NINTH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August 27, 1990: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August, 1990.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24, 1990: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September,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ELEVENTH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July 27, 1992:</w:t>
      </w:r>
    </w:p>
    <w:p>
      <w:pPr>
        <w:sectPr>
          <w:pgSz w:w="11900" w:h="16838" w:orient="portrait"/>
          <w:cols w:equalWidth="0" w:num="1">
            <w:col w:w="11400"/>
          </w:cols>
          <w:pgMar w:left="240" w:top="125" w:right="259" w:bottom="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July, 1992.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TWELFTH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May 23, 1994: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ten.</w:t>
      </w:r>
    </w:p>
    <w:p>
      <w:pPr>
        <w:spacing w:after="0" w:line="225" w:lineRule="exact"/>
        <w:rPr>
          <w:sz w:val="20"/>
          <w:szCs w:val="20"/>
          <w:color w:val="auto"/>
        </w:rPr>
      </w:pPr>
    </w:p>
    <w:p>
      <w:pPr>
        <w:ind w:left="660" w:right="220" w:firstLine="648"/>
        <w:spacing w:after="0" w:line="277" w:lineRule="auto"/>
        <w:rPr>
          <w:sz w:val="20"/>
          <w:szCs w:val="20"/>
          <w:color w:val="auto"/>
        </w:rPr>
      </w:pPr>
      <w:r>
        <w:rPr>
          <w:rFonts w:ascii="Arial" w:cs="Arial" w:eastAsia="Arial" w:hAnsi="Arial"/>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23rd day of May, 1994.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THIRTEENTH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1, 1994: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1st day of September,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FOURTEENTH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27, 1994:</w:t>
      </w:r>
    </w:p>
    <w:p>
      <w:pPr>
        <w:sectPr>
          <w:pgSz w:w="11900" w:h="16838" w:orient="portrait"/>
          <w:cols w:equalWidth="0" w:num="1">
            <w:col w:w="11320"/>
          </w:cols>
          <w:pgMar w:left="240" w:top="125" w:right="339" w:bottom="0" w:gutter="0" w:footer="0" w:header="0"/>
        </w:sectPr>
      </w:pPr>
    </w:p>
    <w:bookmarkStart w:id="12" w:name="page13"/>
    <w:bookmarkEnd w:id="12"/>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October, 1994.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 OF FIFTEENTH</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 was adopted by the Board of Directors on February 5, 1996:</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RESOLVED, that pursuant to Article VIII, Section 1 of the Company s Bylaws, the Board hereby amends Article V, Section 1 of the Bylaws to read in its entirety as follows:</w:t>
      </w:r>
    </w:p>
    <w:p>
      <w:pPr>
        <w:spacing w:after="0" w:line="170"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Jan R. Reimer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SIXTEENTH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September 30, 1996: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RESOLVED, that Article II, Section 10 of the Bylaws of this Company be amended to read as follows: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RESOLVED FURTHER, that Article II of the Bylaws of this Company be amended to add Section 12, which will read in its entirety as follows:</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25" w:lineRule="exact"/>
        <w:rPr>
          <w:sz w:val="20"/>
          <w:szCs w:val="20"/>
          <w:color w:val="auto"/>
        </w:rPr>
      </w:pPr>
    </w:p>
    <w:p>
      <w:pPr>
        <w:ind w:left="1080" w:hanging="29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properly brought before an annual meeting or special meeting, nominations for the election of directors or other business must be</w:t>
      </w:r>
    </w:p>
    <w:p>
      <w:pPr>
        <w:spacing w:after="0" w:line="34" w:lineRule="exact"/>
        <w:rPr>
          <w:rFonts w:ascii="Arial" w:cs="Arial" w:eastAsia="Arial" w:hAnsi="Arial"/>
          <w:sz w:val="17"/>
          <w:szCs w:val="17"/>
          <w:color w:val="auto"/>
        </w:rPr>
      </w:pPr>
    </w:p>
    <w:p>
      <w:pPr>
        <w:ind w:left="780" w:right="140" w:firstLine="6"/>
        <w:spacing w:after="0" w:line="323" w:lineRule="auto"/>
        <w:tabs>
          <w:tab w:leader="none" w:pos="995" w:val="left"/>
        </w:tabs>
        <w:numPr>
          <w:ilvl w:val="0"/>
          <w:numId w:val="2"/>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38" w:lineRule="exact"/>
        <w:rPr>
          <w:rFonts w:ascii="Arial" w:cs="Arial" w:eastAsia="Arial" w:hAnsi="Arial"/>
          <w:sz w:val="16"/>
          <w:szCs w:val="16"/>
          <w:color w:val="auto"/>
        </w:rPr>
      </w:pPr>
    </w:p>
    <w:p>
      <w:pPr>
        <w:ind w:left="780" w:firstLine="6"/>
        <w:spacing w:after="0" w:line="290"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w:t>
      </w:r>
    </w:p>
    <w:p>
      <w:pPr>
        <w:sectPr>
          <w:pgSz w:w="11900" w:h="16906" w:orient="portrait"/>
          <w:cols w:equalWidth="0" w:num="1">
            <w:col w:w="11380"/>
          </w:cols>
          <w:pgMar w:left="240" w:top="125" w:right="279" w:bottom="0" w:gutter="0" w:footer="0" w:header="0"/>
        </w:sectPr>
      </w:pPr>
    </w:p>
    <w:bookmarkStart w:id="13" w:name="page14"/>
    <w:bookmarkEnd w:id="13"/>
    <w:p>
      <w:pPr>
        <w:ind w:left="780"/>
        <w:spacing w:after="0"/>
        <w:rPr>
          <w:sz w:val="20"/>
          <w:szCs w:val="20"/>
          <w:color w:val="auto"/>
        </w:rPr>
      </w:pPr>
      <w:r>
        <w:rPr>
          <w:rFonts w:ascii="Arial" w:cs="Arial" w:eastAsia="Arial" w:hAnsi="Arial"/>
          <w:sz w:val="16"/>
          <w:szCs w:val="16"/>
          <w:color w:val="auto"/>
        </w:rPr>
        <w:t>business at the annual meeting, (ii) the name and address, as they appear on the corporation’s books, of the stockholder proposing such business,</w:t>
      </w:r>
    </w:p>
    <w:p>
      <w:pPr>
        <w:spacing w:after="0" w:line="46" w:lineRule="exact"/>
        <w:rPr>
          <w:sz w:val="20"/>
          <w:szCs w:val="20"/>
          <w:color w:val="auto"/>
        </w:rPr>
      </w:pPr>
    </w:p>
    <w:p>
      <w:pPr>
        <w:ind w:left="780" w:right="20" w:firstLine="6"/>
        <w:spacing w:after="0" w:line="281" w:lineRule="auto"/>
        <w:tabs>
          <w:tab w:leader="none" w:pos="109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w:t>
      </w:r>
    </w:p>
    <w:p>
      <w:pPr>
        <w:spacing w:after="0" w:line="4" w:lineRule="exact"/>
        <w:rPr>
          <w:rFonts w:ascii="Arial" w:cs="Arial" w:eastAsia="Arial" w:hAnsi="Arial"/>
          <w:sz w:val="16"/>
          <w:szCs w:val="16"/>
          <w:color w:val="auto"/>
        </w:rPr>
      </w:pPr>
    </w:p>
    <w:p>
      <w:pPr>
        <w:ind w:left="780" w:right="120"/>
        <w:spacing w:after="0" w:line="255" w:lineRule="auto"/>
        <w:rPr>
          <w:rFonts w:ascii="Arial" w:cs="Arial" w:eastAsia="Arial" w:hAnsi="Arial"/>
          <w:sz w:val="16"/>
          <w:szCs w:val="16"/>
          <w:color w:val="auto"/>
        </w:rPr>
      </w:pPr>
      <w:r>
        <w:rPr>
          <w:rFonts w:ascii="Arial" w:cs="Arial" w:eastAsia="Arial" w:hAnsi="Arial"/>
          <w:sz w:val="18"/>
          <w:szCs w:val="18"/>
          <w:color w:val="auto"/>
        </w:rPr>
        <w:t>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80" w:firstLine="6"/>
        <w:spacing w:after="0" w:line="284" w:lineRule="auto"/>
        <w:tabs>
          <w:tab w:leader="none" w:pos="1115" w:val="left"/>
        </w:tabs>
        <w:numPr>
          <w:ilvl w:val="0"/>
          <w:numId w:val="5"/>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w:t>
      </w:r>
    </w:p>
    <w:p>
      <w:pPr>
        <w:spacing w:after="0" w:line="2" w:lineRule="exact"/>
        <w:rPr>
          <w:rFonts w:ascii="Arial" w:cs="Arial" w:eastAsia="Arial" w:hAnsi="Arial"/>
          <w:sz w:val="16"/>
          <w:szCs w:val="16"/>
          <w:color w:val="auto"/>
        </w:rPr>
      </w:pPr>
    </w:p>
    <w:p>
      <w:pPr>
        <w:ind w:left="780" w:right="20"/>
        <w:spacing w:after="0" w:line="281" w:lineRule="auto"/>
        <w:rPr>
          <w:rFonts w:ascii="Arial" w:cs="Arial" w:eastAsia="Arial" w:hAnsi="Arial"/>
          <w:sz w:val="16"/>
          <w:szCs w:val="16"/>
          <w:color w:val="auto"/>
        </w:rPr>
      </w:pPr>
      <w:r>
        <w:rPr>
          <w:rFonts w:ascii="Arial" w:cs="Arial" w:eastAsia="Arial" w:hAnsi="Arial"/>
          <w:sz w:val="16"/>
          <w:szCs w:val="16"/>
          <w:color w:val="auto"/>
        </w:rPr>
        <w:t>(C)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w:t>
      </w:r>
    </w:p>
    <w:p>
      <w:pPr>
        <w:spacing w:after="0" w:line="3" w:lineRule="exact"/>
        <w:rPr>
          <w:rFonts w:ascii="Arial" w:cs="Arial" w:eastAsia="Arial" w:hAnsi="Arial"/>
          <w:sz w:val="16"/>
          <w:szCs w:val="16"/>
          <w:color w:val="auto"/>
        </w:rPr>
      </w:pPr>
    </w:p>
    <w:p>
      <w:pPr>
        <w:ind w:left="780" w:right="80" w:firstLine="6"/>
        <w:spacing w:after="0" w:line="290" w:lineRule="auto"/>
        <w:tabs>
          <w:tab w:leader="none" w:pos="1045"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FURTHER, that Article III, Section 1 of the Bylaws of this Company be amended to read as follows: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September, 1996.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SEVENTEENTH AMENDMENT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June 30, 1997: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ectPr>
          <w:pgSz w:w="11900" w:h="16838" w:orient="portrait"/>
          <w:cols w:equalWidth="0" w:num="1">
            <w:col w:w="11380"/>
          </w:cols>
          <w:pgMar w:left="240" w:top="125" w:right="279" w:bottom="271"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271"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CERTIFICATE OF EIGHTEENTH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April 14, 1998:</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4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-130810</wp:posOffset>
            </wp:positionV>
            <wp:extent cx="16122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NINETEENTH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23, 1998:</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jc w:val="both"/>
        <w:ind w:left="660" w:right="320"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5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-130810</wp:posOffset>
            </wp:positionV>
            <wp:extent cx="14147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TWENTIETH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June 16, 1999:</w:t>
      </w:r>
    </w:p>
    <w:p>
      <w:pPr>
        <w:spacing w:after="0" w:line="166"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Article VIII, Section 1 of the Company’s Bylaws, the Board hereby amends Article III, Sections 14 and 15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Bylaws to read in their entirety as follows:</w:t>
      </w:r>
    </w:p>
    <w:p>
      <w:pPr>
        <w:spacing w:after="0" w:line="166" w:lineRule="exact"/>
        <w:rPr>
          <w:sz w:val="20"/>
          <w:szCs w:val="20"/>
          <w:color w:val="auto"/>
        </w:rPr>
      </w:pPr>
    </w:p>
    <w:p>
      <w:pPr>
        <w:ind w:left="660" w:firstLine="648"/>
        <w:spacing w:after="0" w:line="270" w:lineRule="auto"/>
        <w:rPr>
          <w:sz w:val="20"/>
          <w:szCs w:val="20"/>
          <w:color w:val="auto"/>
        </w:rPr>
      </w:pPr>
      <w:r>
        <w:rPr>
          <w:rFonts w:ascii="Arial" w:cs="Arial" w:eastAsia="Arial" w:hAnsi="Arial"/>
          <w:sz w:val="17"/>
          <w:szCs w:val="17"/>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78" w:lineRule="exact"/>
        <w:rPr>
          <w:sz w:val="20"/>
          <w:szCs w:val="20"/>
          <w:color w:val="auto"/>
        </w:rPr>
      </w:pPr>
    </w:p>
    <w:p>
      <w:pPr>
        <w:ind w:left="660" w:right="20" w:firstLine="648"/>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ectPr>
          <w:pgSz w:w="11900" w:h="16838" w:orient="portrait"/>
          <w:cols w:equalWidth="0" w:num="1">
            <w:col w:w="11400"/>
          </w:cols>
          <w:pgMar w:left="240" w:top="337" w:right="259" w:bottom="0" w:gutter="0" w:footer="0" w:header="0"/>
        </w:sectPr>
      </w:pPr>
    </w:p>
    <w:bookmarkStart w:id="15" w:name="page16"/>
    <w:bookmarkEnd w:id="15"/>
    <w:p>
      <w:pPr>
        <w:ind w:left="660" w:right="660" w:firstLine="648"/>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and all actions taken prior to the adoption of the foregoing resolution by the “Employee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are hereby ratified, confirmed, approved and adopted as actions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25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-130810</wp:posOffset>
            </wp:positionV>
            <wp:extent cx="1397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TWENTY-FIRST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November 23, 1999:</w:t>
      </w:r>
    </w:p>
    <w:p>
      <w:pPr>
        <w:spacing w:after="0" w:line="166" w:lineRule="exact"/>
        <w:rPr>
          <w:sz w:val="20"/>
          <w:szCs w:val="20"/>
          <w:color w:val="auto"/>
        </w:rPr>
      </w:pPr>
    </w:p>
    <w:p>
      <w:pPr>
        <w:ind w:left="660" w:right="180" w:firstLine="324"/>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pursuant to Article VIII, Section 1 of the Company’s Bylaws, the Board hereby amends Article III, Section 1 of the Bylaws</w:t>
      </w:r>
      <w:r>
        <w:rPr>
          <w:rFonts w:ascii="Arial" w:cs="Arial" w:eastAsia="Arial" w:hAnsi="Arial"/>
          <w:sz w:val="18"/>
          <w:szCs w:val="18"/>
          <w:b w:val="1"/>
          <w:bCs w:val="1"/>
          <w:color w:val="auto"/>
        </w:rPr>
        <w:t xml:space="preserve"> </w:t>
      </w:r>
      <w:r>
        <w:rPr>
          <w:rFonts w:ascii="Arial" w:cs="Arial" w:eastAsia="Arial" w:hAnsi="Arial"/>
          <w:sz w:val="18"/>
          <w:szCs w:val="18"/>
          <w:color w:val="auto"/>
        </w:rPr>
        <w:t>to read in its entirety as follows:</w:t>
      </w:r>
    </w:p>
    <w:p>
      <w:pPr>
        <w:spacing w:after="0" w:line="166" w:lineRule="exact"/>
        <w:rPr>
          <w:sz w:val="20"/>
          <w:szCs w:val="20"/>
          <w:color w:val="auto"/>
        </w:rPr>
      </w:pPr>
    </w:p>
    <w:p>
      <w:pPr>
        <w:jc w:val="both"/>
        <w:ind w:left="660" w:right="280"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Board hereby amends Article II, Section 12 of the Company’s Bylaws to read in its entirely as follows:</w:t>
      </w: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25" w:lineRule="exact"/>
        <w:rPr>
          <w:sz w:val="20"/>
          <w:szCs w:val="20"/>
          <w:color w:val="auto"/>
        </w:rPr>
      </w:pPr>
    </w:p>
    <w:p>
      <w:pPr>
        <w:ind w:left="1300" w:hanging="320"/>
        <w:spacing w:after="0"/>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w:t>
      </w:r>
    </w:p>
    <w:p>
      <w:pPr>
        <w:spacing w:after="0" w:line="46" w:lineRule="exact"/>
        <w:rPr>
          <w:rFonts w:ascii="Arial" w:cs="Arial" w:eastAsia="Arial" w:hAnsi="Arial"/>
          <w:sz w:val="16"/>
          <w:szCs w:val="16"/>
          <w:color w:val="auto"/>
        </w:rPr>
      </w:pPr>
    </w:p>
    <w:p>
      <w:pPr>
        <w:ind w:left="660" w:right="20" w:hanging="4"/>
        <w:spacing w:after="0" w:line="323" w:lineRule="auto"/>
        <w:tabs>
          <w:tab w:leader="none" w:pos="875" w:val="left"/>
        </w:tabs>
        <w:numPr>
          <w:ilvl w:val="0"/>
          <w:numId w:val="8"/>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38" w:lineRule="exact"/>
        <w:rPr>
          <w:rFonts w:ascii="Arial" w:cs="Arial" w:eastAsia="Arial" w:hAnsi="Arial"/>
          <w:sz w:val="16"/>
          <w:szCs w:val="16"/>
          <w:color w:val="auto"/>
        </w:rPr>
      </w:pPr>
    </w:p>
    <w:p>
      <w:pPr>
        <w:ind w:left="660" w:firstLine="320"/>
        <w:spacing w:after="0" w:line="284" w:lineRule="auto"/>
        <w:tabs>
          <w:tab w:leader="none" w:pos="1309" w:val="left"/>
        </w:tabs>
        <w:numPr>
          <w:ilvl w:val="1"/>
          <w:numId w:val="8"/>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w:t>
      </w:r>
    </w:p>
    <w:p>
      <w:pPr>
        <w:spacing w:after="0" w:line="1" w:lineRule="exact"/>
        <w:rPr>
          <w:rFonts w:ascii="Arial" w:cs="Arial" w:eastAsia="Arial" w:hAnsi="Arial"/>
          <w:sz w:val="16"/>
          <w:szCs w:val="16"/>
          <w:color w:val="auto"/>
        </w:rPr>
      </w:pPr>
    </w:p>
    <w:p>
      <w:pPr>
        <w:ind w:left="660" w:right="20" w:hanging="4"/>
        <w:spacing w:after="0" w:line="268" w:lineRule="auto"/>
        <w:tabs>
          <w:tab w:leader="none" w:pos="92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40" w:firstLine="320"/>
        <w:spacing w:after="0" w:line="284" w:lineRule="auto"/>
        <w:tabs>
          <w:tab w:leader="none" w:pos="12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w:t>
      </w:r>
    </w:p>
    <w:p>
      <w:pPr>
        <w:spacing w:after="0" w:line="2" w:lineRule="exact"/>
        <w:rPr>
          <w:rFonts w:ascii="Arial" w:cs="Arial" w:eastAsia="Arial" w:hAnsi="Arial"/>
          <w:sz w:val="16"/>
          <w:szCs w:val="16"/>
          <w:color w:val="auto"/>
        </w:rPr>
      </w:pPr>
    </w:p>
    <w:p>
      <w:pPr>
        <w:ind w:left="660" w:right="40" w:hanging="4"/>
        <w:spacing w:after="0" w:line="287" w:lineRule="auto"/>
        <w:tabs>
          <w:tab w:leader="none" w:pos="9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w:t>
      </w:r>
    </w:p>
    <w:p>
      <w:pPr>
        <w:sectPr>
          <w:pgSz w:w="11900" w:h="16838" w:orient="portrait"/>
          <w:cols w:equalWidth="0" w:num="1">
            <w:col w:w="11420"/>
          </w:cols>
          <w:pgMar w:left="240" w:top="121" w:right="239" w:bottom="0" w:gutter="0" w:footer="0" w:header="0"/>
        </w:sectPr>
      </w:pPr>
    </w:p>
    <w:bookmarkStart w:id="16" w:name="page17"/>
    <w:bookmarkEnd w:id="16"/>
    <w:p>
      <w:pPr>
        <w:spacing w:after="0" w:line="36"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1999.</w:t>
      </w:r>
    </w:p>
    <w:p>
      <w:pPr>
        <w:spacing w:after="0" w:line="25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-130810</wp:posOffset>
            </wp:positionV>
            <wp:extent cx="14147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TWENTY-SECOND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Bylaws indicate that the President of the Company will participate as an ex officio member of all board committees;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such provisions may be inconsistent with provisions of the Sarbanes-Oxley Act of 2002 (“SOXA”) requiring that certain Board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consist solely of independent directors;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it is in the best interests of the Company to amend the foregoing Bylaws to comply with SOXA;</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Article V, Section 7 of the Bylaws of the Company be, and the same hereby is, amended to read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54"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including the Secretary and Assistant Secretary, be, and each of them hereby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8380" w:type="dxa"/>
            <w:vAlign w:val="bottom"/>
            <w:gridSpan w:val="2"/>
          </w:tcPr>
          <w:p>
            <w:pPr>
              <w:jc w:val="right"/>
              <w:ind w:right="5390"/>
              <w:spacing w:after="0"/>
              <w:rPr>
                <w:sz w:val="20"/>
                <w:szCs w:val="20"/>
                <w:color w:val="auto"/>
              </w:rPr>
            </w:pPr>
            <w:r>
              <w:rPr>
                <w:rFonts w:ascii="Arial" w:cs="Arial" w:eastAsia="Arial" w:hAnsi="Arial"/>
                <w:sz w:val="18"/>
                <w:szCs w:val="18"/>
                <w:color w:val="auto"/>
              </w:rPr>
              <w:t>/s/ Jan R. Reimer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8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6720" w:type="dxa"/>
            <w:vAlign w:val="bottom"/>
            <w:tcBorders>
              <w:top w:val="single" w:sz="8" w:color="auto"/>
            </w:tcBorders>
          </w:tcPr>
          <w:p>
            <w:pPr>
              <w:jc w:val="right"/>
              <w:ind w:right="4050"/>
              <w:spacing w:after="0"/>
              <w:rPr>
                <w:sz w:val="20"/>
                <w:szCs w:val="20"/>
                <w:color w:val="auto"/>
              </w:rPr>
            </w:pPr>
            <w:r>
              <w:rPr>
                <w:rFonts w:ascii="Arial" w:cs="Arial" w:eastAsia="Arial" w:hAnsi="Arial"/>
                <w:sz w:val="18"/>
                <w:szCs w:val="18"/>
                <w:color w:val="auto"/>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4"/>
                <w:szCs w:val="24"/>
                <w:color w:val="auto"/>
              </w:rPr>
            </w:pPr>
          </w:p>
        </w:tc>
        <w:tc>
          <w:tcPr>
            <w:tcW w:w="8380" w:type="dxa"/>
            <w:vAlign w:val="bottom"/>
            <w:gridSpan w:val="2"/>
          </w:tcPr>
          <w:p>
            <w:pPr>
              <w:jc w:val="right"/>
              <w:ind w:right="537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TWENTY-THIRD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directors desire to reduce the number of directors permitted to serve on the Board of the Directors to six;</w:t>
      </w:r>
    </w:p>
    <w:p>
      <w:pPr>
        <w:spacing w:after="0" w:line="225" w:lineRule="exact"/>
        <w:rPr>
          <w:sz w:val="20"/>
          <w:szCs w:val="20"/>
          <w:color w:val="auto"/>
        </w:rPr>
      </w:pPr>
    </w:p>
    <w:p>
      <w:pPr>
        <w:ind w:left="660" w:right="440" w:firstLine="324"/>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Article III, Section I of the Bylaws of this Company be amended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66" w:lineRule="exact"/>
        <w:rPr>
          <w:sz w:val="20"/>
          <w:szCs w:val="20"/>
          <w:color w:val="auto"/>
        </w:rPr>
      </w:pPr>
    </w:p>
    <w:p>
      <w:pPr>
        <w:ind w:left="660" w:right="40"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April, 2003.</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Jan R. Reimer</w:t>
      </w:r>
    </w:p>
    <w:p>
      <w:pPr>
        <w:spacing w:after="0" w:line="20" w:lineRule="exact"/>
        <w:rPr>
          <w:sz w:val="20"/>
          <w:szCs w:val="20"/>
          <w:color w:val="auto"/>
        </w:rPr>
      </w:pPr>
    </w:p>
    <w:p>
      <w:pPr>
        <w:sectPr>
          <w:pgSz w:w="11900" w:h="16874" w:orient="portrait"/>
          <w:cols w:equalWidth="0" w:num="1">
            <w:col w:w="11440"/>
          </w:cols>
          <w:pgMar w:left="240" w:top="125" w:right="219" w:bottom="0" w:gutter="0" w:footer="0" w:header="0"/>
        </w:sectPr>
      </w:pPr>
    </w:p>
    <w:bookmarkStart w:id="17" w:name="page18"/>
    <w:bookmarkEnd w:id="17"/>
    <w:p>
      <w:pPr>
        <w:ind w:left="660"/>
        <w:spacing w:after="0"/>
        <w:tabs>
          <w:tab w:leader="none" w:pos="4520" w:val="left"/>
        </w:tabs>
        <w:rPr>
          <w:sz w:val="20"/>
          <w:szCs w:val="20"/>
          <w:color w:val="auto"/>
        </w:rPr>
      </w:pPr>
      <w:r>
        <w:rPr>
          <w:rFonts w:ascii="Arial" w:cs="Arial" w:eastAsia="Arial" w:hAnsi="Arial"/>
          <w:sz w:val="18"/>
          <w:szCs w:val="18"/>
          <w:color w:val="auto"/>
        </w:rPr>
        <w:t>(SEAL)</w:t>
      </w:r>
      <w:r>
        <w:rPr>
          <w:sz w:val="20"/>
          <w:szCs w:val="20"/>
          <w:color w:val="auto"/>
        </w:rPr>
        <w:tab/>
      </w:r>
      <w:r>
        <w:rPr>
          <w:rFonts w:ascii="Arial" w:cs="Arial" w:eastAsia="Arial" w:hAnsi="Arial"/>
          <w:sz w:val="18"/>
          <w:szCs w:val="18"/>
          <w:color w:val="auto"/>
        </w:rPr>
        <w:t>Assistant Corporate Secretary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TWENTY-FOURTH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66" w:lineRule="exact"/>
        <w:rPr>
          <w:sz w:val="20"/>
          <w:szCs w:val="20"/>
          <w:color w:val="auto"/>
        </w:rPr>
      </w:pPr>
    </w:p>
    <w:p>
      <w:pPr>
        <w:ind w:left="660" w:right="74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Mr. Ronald C. Foster sit as a member of the Company’s Board of Directors; and</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300" w:firstLine="324"/>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be substituted therefore: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I. The authorized number of directors of the corporation shall be seven.”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22nd day of June, 2004.</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1660" w:type="dxa"/>
            <w:vAlign w:val="bottom"/>
          </w:tcPr>
          <w:p>
            <w:pPr>
              <w:spacing w:after="0"/>
              <w:rPr>
                <w:sz w:val="20"/>
                <w:szCs w:val="20"/>
                <w:color w:val="auto"/>
              </w:rPr>
            </w:pPr>
          </w:p>
        </w:tc>
        <w:tc>
          <w:tcPr>
            <w:tcW w:w="6720" w:type="dxa"/>
            <w:vAlign w:val="bottom"/>
            <w:tcBorders>
              <w:bottom w:val="single" w:sz="8" w:color="auto"/>
            </w:tcBorders>
          </w:tcPr>
          <w:p>
            <w:pPr>
              <w:jc w:val="right"/>
              <w:ind w:right="5310"/>
              <w:spacing w:after="0"/>
              <w:rPr>
                <w:sz w:val="20"/>
                <w:szCs w:val="20"/>
                <w:color w:val="auto"/>
              </w:rPr>
            </w:pPr>
            <w:r>
              <w:rPr>
                <w:rFonts w:ascii="Arial" w:cs="Arial" w:eastAsia="Arial" w:hAnsi="Arial"/>
                <w:sz w:val="18"/>
                <w:szCs w:val="18"/>
                <w:color w:val="auto"/>
                <w:w w:val="93"/>
              </w:rPr>
              <w:t>/s/ Jan R. Reimer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8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6720" w:type="dxa"/>
            <w:vAlign w:val="bottom"/>
          </w:tcPr>
          <w:p>
            <w:pPr>
              <w:jc w:val="right"/>
              <w:ind w:right="4490"/>
              <w:spacing w:after="0"/>
              <w:rPr>
                <w:sz w:val="20"/>
                <w:szCs w:val="20"/>
                <w:color w:val="auto"/>
              </w:rPr>
            </w:pPr>
            <w:r>
              <w:rPr>
                <w:rFonts w:ascii="Arial" w:cs="Arial" w:eastAsia="Arial" w:hAnsi="Arial"/>
                <w:sz w:val="18"/>
                <w:szCs w:val="18"/>
                <w:color w:val="auto"/>
                <w:w w:val="88"/>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4"/>
                <w:szCs w:val="24"/>
                <w:color w:val="auto"/>
              </w:rPr>
            </w:pPr>
          </w:p>
        </w:tc>
        <w:tc>
          <w:tcPr>
            <w:tcW w:w="8380" w:type="dxa"/>
            <w:vAlign w:val="bottom"/>
            <w:gridSpan w:val="2"/>
          </w:tcPr>
          <w:p>
            <w:pPr>
              <w:jc w:val="right"/>
              <w:ind w:right="537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TWENTY-FIFTH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66" w:lineRule="exact"/>
        <w:rPr>
          <w:sz w:val="20"/>
          <w:szCs w:val="20"/>
          <w:color w:val="auto"/>
        </w:rPr>
      </w:pPr>
    </w:p>
    <w:p>
      <w:pPr>
        <w:ind w:left="660" w:right="74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Ms. Mercedes Johnson sit as a member of the Company’s Board of Directors; and</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300" w:firstLine="324"/>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be substituted therefore: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I. The authorized number of directors of the corporation shall be eight.”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27th day of June, 2005.</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Reimer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4"/>
                <w:szCs w:val="24"/>
                <w:color w:val="auto"/>
              </w:rPr>
            </w:pPr>
          </w:p>
        </w:tc>
        <w:tc>
          <w:tcPr>
            <w:tcW w:w="7660" w:type="dxa"/>
            <w:vAlign w:val="bottom"/>
          </w:tcPr>
          <w:p>
            <w:pPr>
              <w:jc w:val="right"/>
              <w:ind w:right="537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00" w:type="dxa"/>
            <w:vAlign w:val="bottom"/>
            <w:tcBorders>
              <w:bottom w:val="single" w:sz="8" w:color="808080"/>
            </w:tcBorders>
          </w:tcPr>
          <w:p>
            <w:pPr>
              <w:spacing w:after="0"/>
              <w:rPr>
                <w:sz w:val="10"/>
                <w:szCs w:val="10"/>
                <w:color w:val="auto"/>
              </w:rPr>
            </w:pPr>
          </w:p>
        </w:tc>
        <w:tc>
          <w:tcPr>
            <w:tcW w:w="76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TWENTY-SIXTH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September 27, 2005:</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accepted the resignation of Mr. Thomas T. Nicholson;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September 27, 2005, the first sentence of Article III, Section I of the Bylaws of this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be deleted and the following be substituted therefore: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seven.”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27th day of September, 2005.</w:t>
      </w:r>
    </w:p>
    <w:p>
      <w:pPr>
        <w:spacing w:after="0" w:line="20" w:lineRule="exact"/>
        <w:rPr>
          <w:sz w:val="20"/>
          <w:szCs w:val="20"/>
          <w:color w:val="auto"/>
        </w:rPr>
      </w:pPr>
    </w:p>
    <w:p>
      <w:pPr>
        <w:sectPr>
          <w:pgSz w:w="11900" w:h="16838" w:orient="portrait"/>
          <w:cols w:equalWidth="0" w:num="1">
            <w:col w:w="11440"/>
          </w:cols>
          <w:pgMar w:left="240" w:top="125" w:right="21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54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Reimer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4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40" w:type="dxa"/>
            <w:vAlign w:val="bottom"/>
          </w:tcPr>
          <w:p>
            <w:pPr>
              <w:spacing w:after="0"/>
              <w:rPr>
                <w:sz w:val="24"/>
                <w:szCs w:val="24"/>
                <w:color w:val="auto"/>
              </w:rPr>
            </w:pPr>
          </w:p>
        </w:tc>
        <w:tc>
          <w:tcPr>
            <w:tcW w:w="6720" w:type="dxa"/>
            <w:vAlign w:val="bottom"/>
          </w:tcPr>
          <w:p>
            <w:pPr>
              <w:jc w:val="right"/>
              <w:ind w:right="537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540" w:type="dxa"/>
            <w:vAlign w:val="bottom"/>
            <w:tcBorders>
              <w:bottom w:val="single" w:sz="8" w:color="808080"/>
            </w:tcBorders>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TWENTY-SEVENTH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66" w:lineRule="exact"/>
        <w:rPr>
          <w:sz w:val="20"/>
          <w:szCs w:val="20"/>
          <w:color w:val="auto"/>
        </w:rPr>
      </w:pPr>
    </w:p>
    <w:p>
      <w:pPr>
        <w:ind w:left="660" w:right="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Governance and Compensation Committee of the Board has recommended that Mr. Robert Switz and Dr. Teruaki Aoki sit</w:t>
      </w:r>
      <w:r>
        <w:rPr>
          <w:rFonts w:ascii="Arial" w:cs="Arial" w:eastAsia="Arial" w:hAnsi="Arial"/>
          <w:sz w:val="18"/>
          <w:szCs w:val="18"/>
          <w:b w:val="1"/>
          <w:bCs w:val="1"/>
          <w:color w:val="auto"/>
        </w:rPr>
        <w:t xml:space="preserve"> </w:t>
      </w:r>
      <w:r>
        <w:rPr>
          <w:rFonts w:ascii="Arial" w:cs="Arial" w:eastAsia="Arial" w:hAnsi="Arial"/>
          <w:sz w:val="18"/>
          <w:szCs w:val="18"/>
          <w:color w:val="auto"/>
        </w:rPr>
        <w:t>as members of the Company’s Board of Directors;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is in agreement with the recommendation of the Governance and Compensation Committee;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effective February 7, 2006, the first sentence of Article III, Section I of the Bylaws of the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be deleted and the following be substituted therefore: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nine.”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February, 2006.</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vMerge w:val="restart"/>
          </w:tcPr>
          <w:p>
            <w:pPr>
              <w:ind w:left="660"/>
              <w:spacing w:after="0"/>
              <w:rPr>
                <w:sz w:val="20"/>
                <w:szCs w:val="20"/>
                <w:color w:val="auto"/>
              </w:rPr>
            </w:pPr>
            <w:r>
              <w:rPr>
                <w:rFonts w:ascii="Arial" w:cs="Arial" w:eastAsia="Arial" w:hAnsi="Arial"/>
                <w:sz w:val="18"/>
                <w:szCs w:val="18"/>
                <w:color w:val="auto"/>
              </w:rPr>
              <w:t>(SEAL)</w:t>
            </w: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Reimer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4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40" w:type="dxa"/>
            <w:vAlign w:val="bottom"/>
          </w:tcPr>
          <w:p>
            <w:pPr>
              <w:spacing w:after="0"/>
              <w:rPr>
                <w:sz w:val="24"/>
                <w:szCs w:val="24"/>
                <w:color w:val="auto"/>
              </w:rPr>
            </w:pPr>
          </w:p>
        </w:tc>
        <w:tc>
          <w:tcPr>
            <w:tcW w:w="6720" w:type="dxa"/>
            <w:vAlign w:val="bottom"/>
          </w:tcPr>
          <w:p>
            <w:pPr>
              <w:jc w:val="right"/>
              <w:ind w:right="537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540" w:type="dxa"/>
            <w:vAlign w:val="bottom"/>
            <w:tcBorders>
              <w:bottom w:val="single" w:sz="8" w:color="808080"/>
            </w:tcBorders>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hereby consent to the incorporation by reference in the Registration Statement on Forms S-3 (File Nos. 333-33050, 333-71620, 333-104894) and Forms S-8 (File Nos. 33-27078, 33-57887, 33-65050, 333-07283, 333-17073, 333-50353, 333-65449, 333-71249, 333-82549, 333-99271, 333-102545, 333-103341, 333-111170, 333-120620) of Micron Technology, Inc. of our report dated November 3, 2005, except as to the “Segment Information” footnote, as to which the date is February 9, 2006, relating to the financial statements, financial statement schedule, management’s assessment of the effectiveness of internal control over financial reporting and the effectiveness of internal control over financial reporting, which appears in this Current Report on Form 8-K.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February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154940</wp:posOffset>
            </wp:positionV>
            <wp:extent cx="68580"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Contact:</w:t>
            </w:r>
          </w:p>
        </w:tc>
        <w:tc>
          <w:tcPr>
            <w:tcW w:w="2260" w:type="dxa"/>
            <w:vAlign w:val="bottom"/>
            <w:gridSpan w:val="3"/>
          </w:tcPr>
          <w:p>
            <w:pPr>
              <w:ind w:left="480"/>
              <w:spacing w:after="0"/>
              <w:rPr>
                <w:sz w:val="20"/>
                <w:szCs w:val="20"/>
                <w:color w:val="auto"/>
              </w:rPr>
            </w:pPr>
            <w:r>
              <w:rPr>
                <w:rFonts w:ascii="Arial" w:cs="Arial" w:eastAsia="Arial" w:hAnsi="Arial"/>
                <w:sz w:val="18"/>
                <w:szCs w:val="18"/>
                <w:color w:val="auto"/>
              </w:rPr>
              <w:t>Daniel Francisco</w:t>
            </w:r>
          </w:p>
        </w:tc>
      </w:tr>
      <w:tr>
        <w:trPr>
          <w:trHeight w:val="216"/>
        </w:trPr>
        <w:tc>
          <w:tcPr>
            <w:tcW w:w="1080" w:type="dxa"/>
            <w:vAlign w:val="bottom"/>
          </w:tcPr>
          <w:p>
            <w:pPr>
              <w:spacing w:after="0"/>
              <w:rPr>
                <w:sz w:val="18"/>
                <w:szCs w:val="18"/>
                <w:color w:val="auto"/>
              </w:rPr>
            </w:pPr>
          </w:p>
        </w:tc>
        <w:tc>
          <w:tcPr>
            <w:tcW w:w="2260" w:type="dxa"/>
            <w:vAlign w:val="bottom"/>
            <w:gridSpan w:val="3"/>
          </w:tcPr>
          <w:p>
            <w:pPr>
              <w:ind w:left="480"/>
              <w:spacing w:after="0"/>
              <w:rPr>
                <w:sz w:val="20"/>
                <w:szCs w:val="20"/>
                <w:color w:val="auto"/>
              </w:rPr>
            </w:pPr>
            <w:r>
              <w:rPr>
                <w:rFonts w:ascii="Arial" w:cs="Arial" w:eastAsia="Arial" w:hAnsi="Arial"/>
                <w:sz w:val="18"/>
                <w:szCs w:val="18"/>
                <w:color w:val="auto"/>
                <w:w w:val="92"/>
              </w:rPr>
              <w:t>Micron Technology, Inc.</w:t>
            </w:r>
          </w:p>
        </w:tc>
      </w:tr>
      <w:tr>
        <w:trPr>
          <w:trHeight w:val="216"/>
        </w:trPr>
        <w:tc>
          <w:tcPr>
            <w:tcW w:w="1080" w:type="dxa"/>
            <w:vAlign w:val="bottom"/>
          </w:tcPr>
          <w:p>
            <w:pPr>
              <w:spacing w:after="0"/>
              <w:rPr>
                <w:sz w:val="18"/>
                <w:szCs w:val="18"/>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w w:val="90"/>
              </w:rPr>
              <w:t>(208)</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368-5584</w:t>
            </w:r>
          </w:p>
        </w:tc>
        <w:tc>
          <w:tcPr>
            <w:tcW w:w="640" w:type="dxa"/>
            <w:vAlign w:val="bottom"/>
          </w:tcPr>
          <w:p>
            <w:pPr>
              <w:ind w:left="20"/>
              <w:spacing w:after="0"/>
              <w:rPr>
                <w:sz w:val="20"/>
                <w:szCs w:val="20"/>
                <w:color w:val="auto"/>
              </w:rPr>
            </w:pPr>
            <w:r>
              <w:rPr>
                <w:rFonts w:ascii="Arial" w:cs="Arial" w:eastAsia="Arial" w:hAnsi="Arial"/>
                <w:sz w:val="18"/>
                <w:szCs w:val="18"/>
                <w:color w:val="auto"/>
              </w:rPr>
              <w:t>(office)</w:t>
            </w:r>
          </w:p>
        </w:tc>
      </w:tr>
      <w:tr>
        <w:trPr>
          <w:trHeight w:val="216"/>
        </w:trPr>
        <w:tc>
          <w:tcPr>
            <w:tcW w:w="1080" w:type="dxa"/>
            <w:vAlign w:val="bottom"/>
          </w:tcPr>
          <w:p>
            <w:pPr>
              <w:spacing w:after="0"/>
              <w:rPr>
                <w:sz w:val="18"/>
                <w:szCs w:val="18"/>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w w:val="90"/>
              </w:rPr>
              <w:t>(208)</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863-6261</w:t>
            </w:r>
          </w:p>
        </w:tc>
        <w:tc>
          <w:tcPr>
            <w:tcW w:w="640" w:type="dxa"/>
            <w:vAlign w:val="bottom"/>
          </w:tcPr>
          <w:p>
            <w:pPr>
              <w:ind w:left="20"/>
              <w:spacing w:after="0"/>
              <w:rPr>
                <w:sz w:val="20"/>
                <w:szCs w:val="20"/>
                <w:color w:val="auto"/>
              </w:rPr>
            </w:pPr>
            <w:r>
              <w:rPr>
                <w:rFonts w:ascii="Arial" w:cs="Arial" w:eastAsia="Arial" w:hAnsi="Arial"/>
                <w:sz w:val="18"/>
                <w:szCs w:val="18"/>
                <w:color w:val="auto"/>
                <w:w w:val="92"/>
              </w:rPr>
              <w:t>(mobile)</w:t>
            </w:r>
          </w:p>
        </w:tc>
      </w:tr>
      <w:tr>
        <w:trPr>
          <w:trHeight w:val="230"/>
        </w:trPr>
        <w:tc>
          <w:tcPr>
            <w:tcW w:w="1080" w:type="dxa"/>
            <w:vAlign w:val="bottom"/>
          </w:tcPr>
          <w:p>
            <w:pPr>
              <w:spacing w:after="0"/>
              <w:rPr>
                <w:sz w:val="20"/>
                <w:szCs w:val="20"/>
                <w:color w:val="auto"/>
              </w:rPr>
            </w:pPr>
          </w:p>
        </w:tc>
        <w:tc>
          <w:tcPr>
            <w:tcW w:w="2260" w:type="dxa"/>
            <w:vAlign w:val="bottom"/>
            <w:gridSpan w:val="3"/>
          </w:tcPr>
          <w:p>
            <w:pPr>
              <w:ind w:left="480"/>
              <w:spacing w:after="0"/>
              <w:rPr>
                <w:sz w:val="20"/>
                <w:szCs w:val="20"/>
                <w:color w:val="auto"/>
              </w:rPr>
            </w:pPr>
            <w:r>
              <w:rPr>
                <w:rFonts w:ascii="Arial" w:cs="Arial" w:eastAsia="Arial" w:hAnsi="Arial"/>
                <w:sz w:val="18"/>
                <w:szCs w:val="18"/>
                <w:color w:val="auto"/>
                <w:w w:val="91"/>
              </w:rPr>
              <w:t>dfrancisco@micron.com</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 ANNOUNCES COMPANY REORGANIZATION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Changes Reflect Focus on Furthering Success of Product Diversification Efforts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BOISE, Idaho, Feb. 9, 2006 — Micron Technology, Inc., (NYSE: MU) today announced a company reorganization focused on furthering the success of its product diversification efforts. Among other executive changes, Micron announced the appointment of Mark Durcan, the company’s current chief technical officer (CTO) and vice president of research and development, to the position of chief operating officer (COO). In addition to his responsibilities for research and development activities, Durcan will be responsible for the company’s global operations. Durcan, 44, joined Micron in 1984 and was named CTO in 1996.</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Micron also announced that it is merging its mobile and systems memory business units into one memory group poised to deliver a variety of NAND flash, DRAM and specialty memory solutions to its customers. Brian Shirley has been appointed vice president of memory responsible for the combined groups. Shirley, 36, previously held the role of DRAM design manager for the company.</w:t>
      </w:r>
    </w:p>
    <w:p>
      <w:pPr>
        <w:spacing w:after="0" w:line="181"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“Micron’s products, customers and the solutions we enable have evolved to a point where changing parts of our organization will continue to increase our presence and competitiveness in the global marketplace ,” said Steve Appleton, Micron Chairman, President and CEO.</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Within the new combined memory group, Jan du Preez, formerly vice president of Micron’s mobile memory group, will now serve as the vice president of memory marketing. Micron has also appointed John Schreck to the role of vice president of DRAM development and Frankie Roohparvar to the role of vice president of NAND development. Schreck, 46, previously served as design manager for Micron’s mobile memory group. Roohparvar, 43, previously held the role of senior director of flash memory design.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“Products” regarding the Company’s expectation regarding sales of DDR2 products in 2006, growth in sales of the Company’s PSRAM and Mobile SDRAM products in 2006, significant growth in the markets for NAND Flash memory in future periods, and CMOS image sensors and the introduction of new NAND Flash and CMOS image sensor products in 2006; and in “Manufacturing” regarding the Company’s expectation to transition to 95nm and lower line-width process technology in 2006. The Company’s actual results could differ materially from the Company’s historical results and those discussed in the forward-looking statements. Factors that could cause actual results to differ materially include, but are not limited to, those identified in “Item 7. Management’s Discussion and Analysis of Financial Condition and Results of Operations – Certain Factors.” All period references are to the Company’s fiscal periods unless otherwise indicated.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Micron Technology, Inc., and its subsidiaries are hereinafter referred to collectively as the “Company.” Micron Technology, Inc., a Delaware corporation, was incorporated in 1978. The Company’s executive offices are located at 8000 South Federal Way, Boise, Idaho 83716-9632 and its telephone number is (208) 368-4000. Information about the Company is available on the internet at www.micron.com. Copies of the Company’s Annual Report on Form 10-K, Quarterly Reports on Form 10-Q and Current Reports on Form 8-K, as well as any amendments to these reports, are available through the Company’s website as soon as reasonably practicable after they are electronically filed or furnished with the Securities and Exchange Commission. The Company’s Corporate Governance Guidelines, Governance and Compensation Committee Charter, Audit Committee Charter and Code of Business Conduct and Ethics are also available on the Company’s website. Any amendments or waivers of the Company’s Code of Business Conduct and Ethics will also be posted on the Company’s website at www.micron.com within four business days of the amendment or waiver. Copies of these documents are available to shareholders upon request. Information contained or referenced on the Company’s website is not incorporated by reference and does not form a part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80" w:firstLine="324"/>
        <w:spacing w:after="0" w:line="297" w:lineRule="auto"/>
        <w:rPr>
          <w:sz w:val="20"/>
          <w:szCs w:val="20"/>
          <w:color w:val="auto"/>
        </w:rPr>
      </w:pPr>
      <w:r>
        <w:rPr>
          <w:rFonts w:ascii="Arial" w:cs="Arial" w:eastAsia="Arial" w:hAnsi="Arial"/>
          <w:sz w:val="16"/>
          <w:szCs w:val="16"/>
          <w:color w:val="auto"/>
        </w:rPr>
        <w:t xml:space="preserve">The Company is an industry leading, global manufacturer and marketer of semiconductor devices, principally DRAM and NAND Flash memory, and CMOS image sensors. </w:t>
      </w:r>
      <w:r>
        <w:rPr>
          <w:rFonts w:ascii="Arial" w:cs="Arial" w:eastAsia="Arial" w:hAnsi="Arial"/>
          <w:sz w:val="15"/>
          <w:szCs w:val="15"/>
          <w:color w:val="auto"/>
        </w:rPr>
        <w:t>The Company has two reportable segments, Memory and Imaging. The Memory segment’s primary products are DRAM and NAND</w:t>
      </w:r>
      <w:r>
        <w:rPr>
          <w:rFonts w:ascii="Arial" w:cs="Arial" w:eastAsia="Arial" w:hAnsi="Arial"/>
          <w:sz w:val="16"/>
          <w:szCs w:val="16"/>
          <w:color w:val="auto"/>
        </w:rPr>
        <w:t xml:space="preserve"> </w:t>
      </w:r>
      <w:r>
        <w:rPr>
          <w:rFonts w:ascii="Arial" w:cs="Arial" w:eastAsia="Arial" w:hAnsi="Arial"/>
          <w:sz w:val="15"/>
          <w:szCs w:val="15"/>
          <w:color w:val="auto"/>
        </w:rPr>
        <w:t xml:space="preserve">Flash and the Imaging segment’s primary product is CMOS image sensors. The Company’s </w:t>
      </w:r>
      <w:r>
        <w:rPr>
          <w:rFonts w:ascii="Arial" w:cs="Arial" w:eastAsia="Arial" w:hAnsi="Arial"/>
          <w:sz w:val="16"/>
          <w:szCs w:val="16"/>
          <w:color w:val="auto"/>
        </w:rPr>
        <w:t>products are key components used in a broad array of electronic</w:t>
      </w:r>
      <w:r>
        <w:rPr>
          <w:rFonts w:ascii="Arial" w:cs="Arial" w:eastAsia="Arial" w:hAnsi="Arial"/>
          <w:sz w:val="15"/>
          <w:szCs w:val="15"/>
          <w:color w:val="auto"/>
        </w:rPr>
        <w:t xml:space="preserve"> </w:t>
      </w:r>
      <w:r>
        <w:rPr>
          <w:rFonts w:ascii="Arial" w:cs="Arial" w:eastAsia="Arial" w:hAnsi="Arial"/>
          <w:sz w:val="16"/>
          <w:szCs w:val="16"/>
          <w:color w:val="auto"/>
        </w:rPr>
        <w:t>applications including personal computers, workstations, network servers, mobile phones, flash memory cards, USB storage devices, digital still cameras, MP3 players and other consumer electronics products. The Company’s customers are original equipment manufacturers located around the world.</w:t>
      </w:r>
    </w:p>
    <w:p>
      <w:pPr>
        <w:spacing w:after="0" w:line="158"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The Company’s products are offered in a wide variety of package and configuration options, architectures, and performance characteristics tailored to meet application and customer needs. Individual devices take advantage of the Company’s advanced silicon processing technology and manufacturing expertise. The Company continually introduces new generations of products that offer lower costs per unit and improved performance characteristics.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Memory Products: </w:t>
      </w:r>
      <w:r>
        <w:rPr>
          <w:rFonts w:ascii="Arial" w:cs="Arial" w:eastAsia="Arial" w:hAnsi="Arial"/>
          <w:sz w:val="18"/>
          <w:szCs w:val="18"/>
          <w:color w:val="auto"/>
        </w:rPr>
        <w:t>The Company’s memory segment has two primary product types: DRAM and NAND Flash.</w:t>
      </w:r>
    </w:p>
    <w:p>
      <w:pPr>
        <w:spacing w:after="0" w:line="2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u w:val="single" w:color="auto"/>
          <w:color w:val="auto"/>
        </w:rPr>
        <w:t>Dynamic Random Access Memory (“DRAM”)</w:t>
      </w:r>
      <w:r>
        <w:rPr>
          <w:rFonts w:ascii="Arial" w:cs="Arial" w:eastAsia="Arial" w:hAnsi="Arial"/>
          <w:sz w:val="17"/>
          <w:szCs w:val="17"/>
          <w:b w:val="1"/>
          <w:bCs w:val="1"/>
          <w:color w:val="auto"/>
        </w:rPr>
        <w:t xml:space="preserve">: </w:t>
      </w:r>
      <w:r>
        <w:rPr>
          <w:rFonts w:ascii="Arial" w:cs="Arial" w:eastAsia="Arial" w:hAnsi="Arial"/>
          <w:sz w:val="17"/>
          <w:szCs w:val="17"/>
          <w:color w:val="auto"/>
        </w:rPr>
        <w:t>DRAM products are high-density, low-cost-per-bit, random access memory devices that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high-speed data storage and retrieval. DRAM products were 87%, 92% and 96% of the Company’s total net sales in 2005, 2004 and 2003, respectively. The Company offers DRAM products with a variety of performance, pricing and other characteristics. Historically, most of the Company’s DRAM sales have been from standardized, high-density, high-volume products sold for use as main memory in computers. With the development, introduction and acceptance of new memory architectures, computer main memory has transitioned in recent years from synchronous DRAM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(“SDRAM”) to Double Data Rate Synchronous DRAM (“DDR”) and DDR2. In 2005, the majority of the Company’s DRAM revenue came from sales of DDR and DDR2 products for use in computer main memory. In 2005, the Company experienced a significant increase in revenue from sales of specialty memory products (such as pseudo-static RAM (“PSRAM”) and Mobile SDRAM) that are generally targeted to applications with specific performance characteristics such as low power, low latency, and high mobility. The Company expects sales of these products to continue to increase in 2006.</w:t>
      </w:r>
    </w:p>
    <w:p>
      <w:pPr>
        <w:spacing w:after="0" w:line="150" w:lineRule="exact"/>
        <w:rPr>
          <w:sz w:val="20"/>
          <w:szCs w:val="20"/>
          <w:color w:val="auto"/>
        </w:rPr>
      </w:pPr>
    </w:p>
    <w:p>
      <w:pPr>
        <w:ind w:left="660" w:firstLine="648"/>
        <w:spacing w:after="0" w:line="258" w:lineRule="auto"/>
        <w:rPr>
          <w:sz w:val="20"/>
          <w:szCs w:val="20"/>
          <w:color w:val="auto"/>
        </w:rPr>
      </w:pPr>
      <w:r>
        <w:rPr>
          <w:rFonts w:ascii="Arial" w:cs="Arial" w:eastAsia="Arial" w:hAnsi="Arial"/>
          <w:sz w:val="18"/>
          <w:szCs w:val="18"/>
          <w:b w:val="1"/>
          <w:bCs w:val="1"/>
          <w:color w:val="auto"/>
        </w:rPr>
        <w:t xml:space="preserve">DDR and DDR2: </w:t>
      </w:r>
      <w:r>
        <w:rPr>
          <w:rFonts w:ascii="Arial" w:cs="Arial" w:eastAsia="Arial" w:hAnsi="Arial"/>
          <w:sz w:val="18"/>
          <w:szCs w:val="18"/>
          <w:color w:val="auto"/>
        </w:rPr>
        <w:t>DDR and DDR2 are standardized, high-volume, DRAM products that are sold primarily for use as main system memory</w:t>
      </w:r>
      <w:r>
        <w:rPr>
          <w:rFonts w:ascii="Arial" w:cs="Arial" w:eastAsia="Arial" w:hAnsi="Arial"/>
          <w:sz w:val="18"/>
          <w:szCs w:val="18"/>
          <w:b w:val="1"/>
          <w:bCs w:val="1"/>
          <w:color w:val="auto"/>
        </w:rPr>
        <w:t xml:space="preserve"> </w:t>
      </w:r>
      <w:r>
        <w:rPr>
          <w:rFonts w:ascii="Arial" w:cs="Arial" w:eastAsia="Arial" w:hAnsi="Arial"/>
          <w:sz w:val="18"/>
          <w:szCs w:val="18"/>
          <w:color w:val="auto"/>
        </w:rPr>
        <w:t>in computers. DDR and DDR2 products offer high speed and high bandwidth at a relatively low cost compared to other semiconductor memory products. DDR products were 44%, 57% and 57% of the Company’s total net sales in 2005, 2004 and 2003, respectively. DDR2 products were 14% the Company’s total net sales in 2005 and were 20% of total net sales in the fourth quarter of 2005. DDR2 products are expected to become the Company’s primary DRAM product in 2006.</w:t>
      </w:r>
    </w:p>
    <w:p>
      <w:pPr>
        <w:spacing w:after="0" w:line="188" w:lineRule="exact"/>
        <w:rPr>
          <w:sz w:val="20"/>
          <w:szCs w:val="20"/>
          <w:color w:val="auto"/>
        </w:rPr>
      </w:pPr>
    </w:p>
    <w:p>
      <w:pPr>
        <w:ind w:left="660" w:right="80" w:firstLine="648"/>
        <w:spacing w:after="0" w:line="297" w:lineRule="auto"/>
        <w:rPr>
          <w:sz w:val="20"/>
          <w:szCs w:val="20"/>
          <w:color w:val="auto"/>
        </w:rPr>
      </w:pPr>
      <w:r>
        <w:rPr>
          <w:rFonts w:ascii="Arial" w:cs="Arial" w:eastAsia="Arial" w:hAnsi="Arial"/>
          <w:sz w:val="16"/>
          <w:szCs w:val="16"/>
          <w:color w:val="auto"/>
        </w:rPr>
        <w:t>In response to changes in the DRAM market, the Company has broadened its DDR and DDR2 product offerings in recent years. The Company offers DDR products in 128 Meg, 256 Meg, 512 Meg and 1 Gig densities. The Company also offers 256 Meg, 512 Meg and 1 Gig DDR2 products and has begun sampling 2 Gig DDR2. The Company expects that these densities will be necessary to meet customers’ demand in the future. In the fourth quarter of 2005, 512 Meg devices replaced 256 Meg density devices as the Company’s predominant density for DDR and DDR2 products. The Company also offers its DDR and DDR2 products in multiple configurations, speeds and package types.</w:t>
      </w:r>
    </w:p>
    <w:p>
      <w:pPr>
        <w:spacing w:after="0" w:line="154" w:lineRule="exact"/>
        <w:rPr>
          <w:sz w:val="20"/>
          <w:szCs w:val="20"/>
          <w:color w:val="auto"/>
        </w:rPr>
      </w:pPr>
    </w:p>
    <w:p>
      <w:pPr>
        <w:ind w:left="660" w:right="20" w:firstLine="972"/>
        <w:spacing w:after="0" w:line="258" w:lineRule="auto"/>
        <w:rPr>
          <w:sz w:val="20"/>
          <w:szCs w:val="20"/>
          <w:color w:val="auto"/>
        </w:rPr>
      </w:pPr>
      <w:r>
        <w:rPr>
          <w:rFonts w:ascii="Arial" w:cs="Arial" w:eastAsia="Arial" w:hAnsi="Arial"/>
          <w:sz w:val="18"/>
          <w:szCs w:val="18"/>
          <w:b w:val="1"/>
          <w:bCs w:val="1"/>
          <w:color w:val="auto"/>
        </w:rPr>
        <w:t xml:space="preserve">SDRAM: </w:t>
      </w:r>
      <w:r>
        <w:rPr>
          <w:rFonts w:ascii="Arial" w:cs="Arial" w:eastAsia="Arial" w:hAnsi="Arial"/>
          <w:sz w:val="18"/>
          <w:szCs w:val="18"/>
          <w:color w:val="auto"/>
        </w:rPr>
        <w:t>In 2005, SDRAM was primarily used in networking devices, servers, consumer electronics, communications equipment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 peripherals as well as upgrades to legacy computers. Sales of SDRAM products were 20%, 31% and 37% of the Company’s total net sales in 2005, 2004 and 2003, respectively. SDRAM sales have declined as personal computer manufacturers have transitioned to DDR and DDR2 products; the decline has been partially offset by increased usage of SDRAM products in other applications. The Company offers 64 Meg, 128 Meg, 256 Meg and 512 Meg SDRAM products.</w:t>
      </w:r>
    </w:p>
    <w:p>
      <w:pPr>
        <w:sectPr>
          <w:pgSz w:w="11900" w:h="16838" w:orient="portrait"/>
          <w:cols w:equalWidth="0" w:num="1">
            <w:col w:w="11420"/>
          </w:cols>
          <w:pgMar w:left="240" w:top="121" w:right="239" w:bottom="76" w:gutter="0" w:footer="0" w:header="0"/>
        </w:sectPr>
      </w:pPr>
    </w:p>
    <w:bookmarkStart w:id="22" w:name="page23"/>
    <w:bookmarkEnd w:id="22"/>
    <w:p>
      <w:pPr>
        <w:spacing w:after="0" w:line="13" w:lineRule="exact"/>
        <w:rPr>
          <w:sz w:val="20"/>
          <w:szCs w:val="20"/>
          <w:color w:val="auto"/>
        </w:rPr>
      </w:pPr>
    </w:p>
    <w:p>
      <w:pPr>
        <w:ind w:left="660" w:right="140" w:firstLine="972"/>
        <w:spacing w:after="0" w:line="258" w:lineRule="auto"/>
        <w:rPr>
          <w:sz w:val="20"/>
          <w:szCs w:val="20"/>
          <w:color w:val="auto"/>
        </w:rPr>
      </w:pPr>
      <w:r>
        <w:rPr>
          <w:rFonts w:ascii="Arial" w:cs="Arial" w:eastAsia="Arial" w:hAnsi="Arial"/>
          <w:sz w:val="18"/>
          <w:szCs w:val="18"/>
          <w:b w:val="1"/>
          <w:bCs w:val="1"/>
          <w:color w:val="auto"/>
        </w:rPr>
        <w:t xml:space="preserve">PSRAM: </w:t>
      </w:r>
      <w:r>
        <w:rPr>
          <w:rFonts w:ascii="Arial" w:cs="Arial" w:eastAsia="Arial" w:hAnsi="Arial"/>
          <w:sz w:val="18"/>
          <w:szCs w:val="18"/>
          <w:color w:val="auto"/>
        </w:rPr>
        <w:t>PSRAM products, marketed by the Company under the proprietary brand name CellularRAM™, are DRAM products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an SRAM-like interface. PSRAM combines the minimal power consumption of SRAM with a much lower cost-per-bit to provide an economical alternative to SRAM. PSRAM products are used primarily in cellular phone applications. The Company offers PSRAM products in 16 Meg, 32 Meg, 64 Meg and 128 Meg densities. Sales of PSRAM products increased significantly in 2005 and were 7% of the Company’s total net sales in 2005.</w:t>
      </w:r>
    </w:p>
    <w:p>
      <w:pPr>
        <w:spacing w:after="0" w:line="184" w:lineRule="exact"/>
        <w:rPr>
          <w:sz w:val="20"/>
          <w:szCs w:val="20"/>
          <w:color w:val="auto"/>
        </w:rPr>
      </w:pPr>
    </w:p>
    <w:p>
      <w:pPr>
        <w:ind w:left="660" w:right="40" w:firstLine="972"/>
        <w:spacing w:after="0" w:line="256" w:lineRule="auto"/>
        <w:rPr>
          <w:sz w:val="20"/>
          <w:szCs w:val="20"/>
          <w:color w:val="auto"/>
        </w:rPr>
      </w:pPr>
      <w:r>
        <w:rPr>
          <w:rFonts w:ascii="Arial" w:cs="Arial" w:eastAsia="Arial" w:hAnsi="Arial"/>
          <w:sz w:val="18"/>
          <w:szCs w:val="18"/>
          <w:b w:val="1"/>
          <w:bCs w:val="1"/>
          <w:color w:val="auto"/>
        </w:rPr>
        <w:t xml:space="preserve">Mobile DRAM: </w:t>
      </w:r>
      <w:r>
        <w:rPr>
          <w:rFonts w:ascii="Arial" w:cs="Arial" w:eastAsia="Arial" w:hAnsi="Arial"/>
          <w:sz w:val="18"/>
          <w:szCs w:val="18"/>
          <w:color w:val="auto"/>
        </w:rPr>
        <w:t>Mobile DRAM products are specialty DRAM memory devices designed for applications that demand minimal power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consumption, such as personal digital assistants (PDAs), smart phones, GPS devices, digital still cameras and other handheld electronic devices. Sales of Mobile DRAM products grew significantly to 2% of the Company’s total net sales in 2005 and are expected to continue to grow in 2006. The Company sells SDRAM and DDR Mobile memory products in 64 Meg, 128 Meg, 256 Meg and 512 Meg densities. The Company’s mobile DRAM products feature its proprietary Endur-IC™ technology, which the Company believes provides distinct advantages to its customers in terms of low power, high quality, high reliability, and overall robustness.</w:t>
      </w:r>
    </w:p>
    <w:p>
      <w:pPr>
        <w:spacing w:after="0" w:line="188" w:lineRule="exact"/>
        <w:rPr>
          <w:sz w:val="20"/>
          <w:szCs w:val="20"/>
          <w:color w:val="auto"/>
        </w:rPr>
      </w:pPr>
    </w:p>
    <w:p>
      <w:pPr>
        <w:ind w:left="660" w:right="580" w:firstLine="972"/>
        <w:spacing w:after="0" w:line="282" w:lineRule="auto"/>
        <w:rPr>
          <w:sz w:val="20"/>
          <w:szCs w:val="20"/>
          <w:color w:val="auto"/>
        </w:rPr>
      </w:pPr>
      <w:r>
        <w:rPr>
          <w:rFonts w:ascii="Arial" w:cs="Arial" w:eastAsia="Arial" w:hAnsi="Arial"/>
          <w:sz w:val="18"/>
          <w:szCs w:val="18"/>
          <w:b w:val="1"/>
          <w:bCs w:val="1"/>
          <w:color w:val="auto"/>
        </w:rPr>
        <w:t xml:space="preserve">Reduced Latency DRAM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RLDRAM”): </w:t>
      </w:r>
      <w:r>
        <w:rPr>
          <w:rFonts w:ascii="Arial" w:cs="Arial" w:eastAsia="Arial" w:hAnsi="Arial"/>
          <w:sz w:val="18"/>
          <w:szCs w:val="18"/>
          <w:color w:val="auto"/>
        </w:rPr>
        <w:t>RLDRAM products are low-latency DRAM memory devices with high clock rates</w:t>
      </w:r>
      <w:r>
        <w:rPr>
          <w:rFonts w:ascii="Arial" w:cs="Arial" w:eastAsia="Arial" w:hAnsi="Arial"/>
          <w:sz w:val="18"/>
          <w:szCs w:val="18"/>
          <w:b w:val="1"/>
          <w:bCs w:val="1"/>
          <w:color w:val="auto"/>
        </w:rPr>
        <w:t xml:space="preserve"> </w:t>
      </w:r>
      <w:r>
        <w:rPr>
          <w:rFonts w:ascii="Arial" w:cs="Arial" w:eastAsia="Arial" w:hAnsi="Arial"/>
          <w:sz w:val="18"/>
          <w:szCs w:val="18"/>
          <w:color w:val="auto"/>
        </w:rPr>
        <w:t>targeted at network applications. The Company began shipping commercial volumes of RLDRAM products in 2005.</w:t>
      </w:r>
    </w:p>
    <w:p>
      <w:pPr>
        <w:spacing w:after="0" w:line="1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u w:val="single" w:color="auto"/>
          <w:color w:val="auto"/>
        </w:rPr>
        <w:t>NAND Flash Memory:</w:t>
      </w:r>
      <w:r>
        <w:rPr>
          <w:rFonts w:ascii="Arial" w:cs="Arial" w:eastAsia="Arial" w:hAnsi="Arial"/>
          <w:sz w:val="17"/>
          <w:szCs w:val="17"/>
          <w:b w:val="1"/>
          <w:bCs w:val="1"/>
          <w:color w:val="auto"/>
        </w:rPr>
        <w:t xml:space="preserve"> </w:t>
      </w:r>
      <w:r>
        <w:rPr>
          <w:rFonts w:ascii="Arial" w:cs="Arial" w:eastAsia="Arial" w:hAnsi="Arial"/>
          <w:sz w:val="17"/>
          <w:szCs w:val="17"/>
          <w:color w:val="auto"/>
        </w:rPr>
        <w:t>Flash memory products are electrically re-writeable, non-volatile semiconductor devices that retain memory content when</w:t>
      </w:r>
      <w:r>
        <w:rPr>
          <w:rFonts w:ascii="Arial" w:cs="Arial" w:eastAsia="Arial" w:hAnsi="Arial"/>
          <w:sz w:val="17"/>
          <w:szCs w:val="17"/>
          <w:b w:val="1"/>
          <w:bCs w:val="1"/>
          <w:color w:val="auto"/>
        </w:rPr>
        <w:t xml:space="preserve"> </w:t>
      </w:r>
      <w:r>
        <w:rPr>
          <w:rFonts w:ascii="Arial" w:cs="Arial" w:eastAsia="Arial" w:hAnsi="Arial"/>
          <w:sz w:val="17"/>
          <w:szCs w:val="17"/>
          <w:color w:val="auto"/>
        </w:rPr>
        <w:t>power is turned off. The Company’s Flash efforts are concentrated on NAND Flash (“NAND”) devices which use semiconductor technology similar to DRAM. NAND offers faster erase and write times, higher density, and lower cost per bit than NOR Flash, which is the primary competing Flash architecture. In addition, NAND has significantly longer cycle endurance making it ideal for mass-storage devices. The market for NAND products has grown rapidly and the Company expects it to continue to grow due to demand for removable and embedded storage devices. Removable storage devices such as USB and Flash memory cards are used with applications such as personal computers, digital still cameras, MP3 players and mobile phones. Embedded NAND-based storage devices are also beginning to be utilized in mobile phones and other personal and consumer applications.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NAND and DRAM share common manufacturing processes, enabling the Company to leverage its product and process technologies and manufacturing infrastructure across product lines. The Company’s NAND designs feature a small cell structure that allows for higher densities for demanding applications. In the second quarter of 2005, the Company began shipping its first NAND product, a 2 Gig device incorporating the Company’s 90nm process technology. NAND sales grew to 6% of the Company’s total net sales in the fourth quarter of 2005. In 2006, the Company plans to introduce 1 Gig and 4 Gig NAND products and begin manufacturing NAND products using 72nm process technology. The Company expects sales of NAND to continue to increase in 2006 as the Company allocates additional manufacturing resources to NAND production.</w:t>
      </w:r>
    </w:p>
    <w:p>
      <w:pPr>
        <w:spacing w:after="0" w:line="17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Complementary Metal-Oxide Semiconductor (“CMOS”) Image Sensors: </w:t>
      </w:r>
      <w:r>
        <w:rPr>
          <w:rFonts w:ascii="Arial" w:cs="Arial" w:eastAsia="Arial" w:hAnsi="Arial"/>
          <w:sz w:val="16"/>
          <w:szCs w:val="16"/>
          <w:color w:val="auto"/>
        </w:rPr>
        <w:t>CMOS image sensors are semiconductor devices that capture and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images into pictures or video for a variety of consumer and industrial applications. The Company’s CMOS image sensors are used in products such as cellular phone cameras, digital still cameras, pill cameras for medical use, automotive and other emerging applications. The Company offers image sensors in a range of pixel resolutions from its VGA (video graphics array) products to its higher resolution 3.1 megapixel products. In September 2005, the Company introduced a 5 megapixel sensor designed for use in digital still cameras and camera phones and a 3.1 megapixel designed specifically for camera phones. These products feature a leading-edge pixel size of 2.2 square microns, enabling a smaller form factor for the sensor. The Company expects to begin shipping commercial volumes of these products in 2006. Image sensors are sold either as individual components or combined with integrated circuitry to create complete camera system-on-a-chip (“SOC”) solutions. In 2005, the Company’s image sensors were primarily used in mobile applications.</w:t>
      </w:r>
    </w:p>
    <w:p>
      <w:pPr>
        <w:spacing w:after="0" w:line="16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Company’s CMOS image sensors incorporating its DigitalClarity™ technology have many advantages over other CMOS image sensors and charge-coupled device (“CCD”) sensors. The Company’s DigitalClarity™ technology features “active pixels” enabling better sensor performance that produces higher-quality images at faster frame rates. Unlike CCD sensors, which rely on specialized fabrication requiring dedicated, and costly manufacturing processes, CMOS image sensors can be manufactured using standardized semiconductor processes resulting in substantially lower costs. The Company’s low-leakage DRAM processes are particularly well-suited for the manufacture of CMOS image sensors. The Company’s CMOS image sensors consume substantially less power than CCD devices, a critical advantage in the battery-dependent portable device applications where most image sensors are used. By combining all camera functions on a single chip, from the capture of photons to the output of digital bits, CMOS image sensors reduce the part-count of a digital camera system, which in turn increases reliability, eases miniaturization, and enables on-chip programming of frame size, windowing, exposure, and other camera parameters. The Company’s CMOS image sensors are also capable of producing high-quality images in low-light conditions. The Company’s CMOS image sensors’ active-pixel design architecture enables them to achieve performance comparable to high-end CCD sensors and higher than competitor’s CMOS image sensors.</w:t>
      </w:r>
    </w:p>
    <w:p>
      <w:pPr>
        <w:spacing w:after="0" w:line="18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sales of CMOS image sensors for 2005 increased over 200% from 2004. In the fourth quarter of 2005, sales of CMOS image sensors were 9% of the Company’s total net sales. The Company expects its sales of CMOS image sensors to continue to grow rapidly in 2006 due to strong demand and increases in the allocation of manufacturing capacity. The overall market for image sensors is expected to increase significantly over the next several years due to the growth forecasted for applications such as phone cameras and digital still cameras. Additionally, CMOS image sensors are expected to capture an increasing percentage of the overall image sensor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Company’s manufacturing facilities are located in the United States, Italy, Japan, Puerto Rico, Scotland and Singapore. The Company’s manufacturing facilities generally operate 24 hours per day, 7 days per week. Semiconductor manufacturing is extremely capital intensive, requiring large investments in sophisticated facilities and equipment. Most semiconductor equipment must be replaced every three to five years with increasingly advanced equipment.</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Company’s process for manufacturing semiconductor products is complex, involving a number of precise steps, including wafer fabrication, assembly, burn-in and final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The Company is continuously enhancing production processes, reducing die sizes and transitioning to higher density products. In 2005, t</w:t>
      </w:r>
      <w:r>
        <w:rPr>
          <w:rFonts w:ascii="Arial" w:cs="Arial" w:eastAsia="Arial" w:hAnsi="Arial"/>
          <w:sz w:val="15"/>
          <w:szCs w:val="15"/>
          <w:color w:val="auto"/>
        </w:rPr>
        <w:t>he Company manufactured most of its products using its 110 nanometer (“nm”) line-width process technology and began transferring its</w:t>
      </w:r>
    </w:p>
    <w:p>
      <w:pPr>
        <w:sectPr>
          <w:pgSz w:w="11900" w:h="16851" w:orient="portrait"/>
          <w:cols w:equalWidth="0" w:num="1">
            <w:col w:w="11420"/>
          </w:cols>
          <w:pgMar w:left="240" w:top="121" w:right="239" w:bottom="0" w:gutter="0" w:footer="0" w:header="0"/>
        </w:sectPr>
      </w:pPr>
    </w:p>
    <w:bookmarkStart w:id="23" w:name="page24"/>
    <w:bookmarkEnd w:id="23"/>
    <w:p>
      <w:pPr>
        <w:spacing w:after="0" w:line="8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manufacturing operations to 95nm line-width process technology. The Company expects to continue to transfer more of its manufacturing operation to 95nm and lower line-width process technology in 2006. In 2005 most of the Company’s DRAM products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incorporated its 6F² Hypershrink™ array architecture technology, a design rule that incorporates a memory cell in 6 design features rather and the industry standard 8 design features, which enables production of approximately 20% more die per wafer.</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and circuit design marginalities or defects which can lead to wafers being scrapped and individual circuits being nonfunctional. Success of the Company’s manufacturing operations depends largely on minimizing defects and thereby maximizing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After fabrication, silicon wafers are separated into individual die. Functional die are sorted, connected to external leads and encapsulated in plastic packages. The Company assembles products in a variety of packages, including TSOP (thin small outline package), TQFP (thin quad flat package) and FBGA (f</w:t>
      </w:r>
      <w:r>
        <w:rPr>
          <w:rFonts w:ascii="Arial" w:cs="Arial" w:eastAsia="Arial" w:hAnsi="Arial"/>
          <w:sz w:val="17"/>
          <w:szCs w:val="17"/>
          <w:color w:val="auto"/>
        </w:rPr>
        <w:t>ine pitch ball grid array). Each completed package is then inspected and tested. The Company also sells semiconductor products in an unpackaged or</w:t>
      </w:r>
      <w:r>
        <w:rPr>
          <w:rFonts w:ascii="Arial" w:cs="Arial" w:eastAsia="Arial" w:hAnsi="Arial"/>
          <w:sz w:val="18"/>
          <w:szCs w:val="18"/>
          <w:color w:val="auto"/>
        </w:rPr>
        <w:t xml:space="preserve"> </w:t>
      </w:r>
      <w:r>
        <w:rPr>
          <w:rFonts w:ascii="Arial" w:cs="Arial" w:eastAsia="Arial" w:hAnsi="Arial"/>
          <w:sz w:val="17"/>
          <w:szCs w:val="17"/>
          <w:color w:val="auto"/>
        </w:rPr>
        <w:t>die form. 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DRAM die during the burn-in process, capturing quality and reliability data and reducing testing time and cost.</w:t>
      </w:r>
    </w:p>
    <w:p>
      <w:pPr>
        <w:spacing w:after="0" w:line="191"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A significant portion of the Company’s memory products are assembled into memory modules for sale to customers. Memory modules consist of an array of memory components attached to printed circuit boards (“PCBs”) that insert directly into computer systems or other electronic devices. Memory components are attached to PCBs in a soldering process performed by screen printing machines and high speed automated pick-and-place machines. Completed modules are tested by custom equipment and visually inspected.</w:t>
      </w:r>
    </w:p>
    <w:p>
      <w:pPr>
        <w:spacing w:after="0" w:line="18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2005, the Company significantly increased its 300mm wafer production. The Company manufactured 256 Meg and 512 Meg DDR devices on the Company’s 110nm process technology on 300mm wafers, and manufactured the industry’s first memory devices in production to utilize copper interconnects. In 2006, the Company plans to continue increasing its 300mm wafer manufacturing capacity.</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recent years the Company has produced an increasingly broad portfolio of products, which enhances the Company’s ability to allocate resources to its most profitable products but increases the complexity of the manufacturing process. Although new product lines such as NAND Flash, CMOS image sensors and specialty memory can be manufactured using processes that are very similar to the processes for the Company’s predominant DRAM products, frequent conversions to new products and the allocation of manufacturing capacity to more complex, smaller-volume parts can affect the Company’s cost efficiency. However, the Company’s ability to competitively manufacture many of these products on existing 200mm lines significantly extends the useful life of this equipment.</w:t>
      </w:r>
    </w:p>
    <w:p>
      <w:pPr>
        <w:spacing w:after="0" w:line="19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i w:val="1"/>
          <w:iCs w:val="1"/>
          <w:color w:val="auto"/>
        </w:rPr>
        <w:t xml:space="preserve">TECH Semiconductor Singapore Pte. Ltd. (“TECH”): </w:t>
      </w:r>
      <w:r>
        <w:rPr>
          <w:rFonts w:ascii="Arial" w:cs="Arial" w:eastAsia="Arial" w:hAnsi="Arial"/>
          <w:sz w:val="17"/>
          <w:szCs w:val="17"/>
          <w:color w:val="auto"/>
        </w:rPr>
        <w:t>TECH is a memory manufacturing joint venture in Singapore among Micron Technology,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TECH supplied approximately 25%, 30% and 30% of the total megabits of memory produced by the Company in 2005, 2004 and 2003, respectively. The Company generally purchases semiconductor memory products from TECH at prices determined quarterly, based on a discount from average selling prices realized by the Company for the preceding fiscal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Company’s production processes require raw materials that meet exacting standards, including several that are customized for, or unique to, the Company. The Company generally has multiple sources of supply; however, only a limited number of suppliers are capable of delivering certain raw materials that meet the Company’s standards. Various factors could reduce the availability of raw materials such as silicon wafers, photomasks, chemicals, gases, lead frames, molding compound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other materials.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products are sold into computing and consumer, networking and telecommunications, and imaging markets. Approximately 70% of the Company’s net sales for 2005 were to the computing market, including desktop PCs, notebooks, servers and workstations. Sales to both Dell Computer Corporation and Hewlett-Packard Company exceeded 10% of the Company’s net sales in 2005, 2004 and 2003, and aggregated 23%, 27% and 28% of the Company’s net sales in 2005, 2004 and 2003, respectively.</w:t>
      </w:r>
    </w:p>
    <w:p>
      <w:pPr>
        <w:spacing w:after="0" w:line="18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 markets its semiconductor products primarily through its own direct sales force. The Company maintains inventory at locations in close proximity to certain key customers to facilitate rapid delivery of product shipments. The Company’s products are also offered through independent sales representatives, distributors and Crucial Technology, the Company’s web-based customer direct sales division. The Company’s products are offered under the</w:t>
      </w:r>
    </w:p>
    <w:p>
      <w:pPr>
        <w:sectPr>
          <w:pgSz w:w="11900" w:h="16925" w:orient="portrait"/>
          <w:cols w:equalWidth="0" w:num="1">
            <w:col w:w="11420"/>
          </w:cols>
          <w:pgMar w:left="240" w:top="131" w:right="239" w:bottom="0" w:gutter="0" w:footer="0" w:header="0"/>
        </w:sectPr>
      </w:pPr>
    </w:p>
    <w:bookmarkStart w:id="24" w:name="page25"/>
    <w:bookmarkEnd w:id="24"/>
    <w:p>
      <w:pPr>
        <w:ind w:right="160"/>
        <w:spacing w:after="0" w:line="259" w:lineRule="auto"/>
        <w:rPr>
          <w:sz w:val="20"/>
          <w:szCs w:val="20"/>
          <w:color w:val="auto"/>
        </w:rPr>
      </w:pPr>
      <w:r>
        <w:rPr>
          <w:rFonts w:ascii="Arial" w:cs="Arial" w:eastAsia="Arial" w:hAnsi="Arial"/>
          <w:sz w:val="18"/>
          <w:szCs w:val="18"/>
          <w:color w:val="auto"/>
        </w:rPr>
        <w:t>Micron, SpecTek and Crucial brand names, and under other private labels. The Company maintains sales offices in all of its primary markets around the world. Independent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Segmentation of the memory market continues, with diverse memory needs being driven by the different requirements of personal computers, servers, mobile devices, and communications, consumer and other applications that demand specific memory solutions. Many of the Company’s customers require a thorough review or qualification of semiconductor products, which may take several months. As the Company further diversifies its product lines and reduces the die sizes of existing memory products, more products become subject to qualification which may delay volume introduction of specific devices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Volatile industry conditions make customers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Because the design and manufacturing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more extensive liability than that provided under the Company’s general terms and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faces intense competition in the semiconductor memory markets from a number of companies, including Elpida Memory, Inc., Hynix Semiconductor Inc., Infineon Technologies AG and Samsung Electronics Co., Ltd, SanDisk Corporation and Toshiba Corporation. Additionally, the Company faces competition from emerging companies in Taiwan and China who have announced plans to significantly expand the scale of their operations. The Company faces competition in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image sensor market from a number of suppliers of CMOS image sensors as well a large number of suppliers of CCD image sensors. Some of the Company’s competitors are large corporations or conglomerates that may have greater resources to withstand downturns in the semiconductor markets in which the Company competes, invest in technology and capitalize on growth opportunities. The Company’s competitors seek to increase silicon capacity, improve yields, reduce die size and minimize mask levels in their product designs. These factors have significantly increased worldwide supply and put downward pressure on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solutions. The Company has several product design centers around the world, the largest located at its corporate headquarters in Boise, Idaho. In addition, the Company has a facility at its Boise site to develop leading edge photolithography mask technology.</w:t>
      </w:r>
    </w:p>
    <w:p>
      <w:pPr>
        <w:spacing w:after="0" w:line="1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the Company’s products, the Company typically begins to process wafers before completion of performance and reliability testing. The Company deems development of a product complete once the product has been thoroughly reviewed and tested for performance and reliability and is internally qualified for sale to customers. R&amp;D expenses can vary significantly depending on the timing of product qualification. Product development costs are recorded as R&amp;D expense. The Company’s R&amp;D expenses were $603.7 million, $754.9 million and $656.4 million in 2005, 2004 and 2003, respectively.</w:t>
      </w:r>
    </w:p>
    <w:p>
      <w:pPr>
        <w:spacing w:after="0" w:line="17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Company’s process technology R&amp;D efforts are focused primarily on development of 95nm, 78nm, 65nm and smaller DRAM and 90nm, 72nm, 50nm and smaller NAND Flash line-width process technologies, which are designed to facilitate the Company’s transition to next generation products. Additional R&amp;D efforts include process development to support the Company’s 300mm wafer manufacturing, NAND Flash memory, CMOS image sensors, specialty memory products (including PSRAM, mobile SDRAM and RLDRAM) and new memory manufacturing materials. Efforts toward the design and development of new products are concentrated on the Company’s 1 Gig and 2 Gig DDR, DDR2 and DDR3 DRAM products as well as high density and mobile NAND Flash memory, CMOS image sensors and specialty memory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Sales to customers outside the United States totaled $3.2 billion for 2005 and included $906.3 million in sales to Europe, $775.0 million in sales to China, $380.0 million in sales to Japan and $899.9 million in sales to the rest of the Asia Pacific region, excluding China and Japan. International sales totaled $2.6 billion for 2004 and $1.7 billion for 2003. As of September 1, 2005 the Company had net property, plant and equipment of $3.7 billion in the United States, $378.9 million in Japan, $358.6 million in Italy, $261.1 million in Singapore and $8.1 million in other countries.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ectPr>
          <w:pgSz w:w="11900" w:h="16838" w:orient="portrait"/>
          <w:cols w:equalWidth="0" w:num="1">
            <w:col w:w="11420"/>
          </w:cols>
          <w:pgMar w:left="240" w:top="125" w:right="239" w:bottom="117" w:gutter="0" w:footer="0" w:header="0"/>
        </w:sectPr>
      </w:pPr>
    </w:p>
    <w:bookmarkStart w:id="25" w:name="page26"/>
    <w:bookmarkEnd w:id="25"/>
    <w:p>
      <w:pPr>
        <w:ind w:right="280" w:firstLine="324"/>
        <w:spacing w:after="0" w:line="277" w:lineRule="auto"/>
        <w:rPr>
          <w:sz w:val="20"/>
          <w:szCs w:val="20"/>
          <w:color w:val="auto"/>
        </w:rPr>
      </w:pPr>
      <w:r>
        <w:rPr>
          <w:rFonts w:ascii="Arial" w:cs="Arial" w:eastAsia="Arial" w:hAnsi="Arial"/>
          <w:sz w:val="18"/>
          <w:szCs w:val="18"/>
          <w:color w:val="auto"/>
        </w:rPr>
        <w:t>As of September 1, 2005, the Company owned approximately 13,000 U.S. patents and 1,300 foreign patents. In addition, the Company has numerous U.S. and foreign patent applications pending. The Company’s patents have terms expiring through 2024.</w:t>
      </w:r>
    </w:p>
    <w:p>
      <w:pPr>
        <w:spacing w:after="0" w:line="170"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of September 1, 2005, the Company had approximately 18,800 employees, including approximately 12,400 in the United States, 2,800 in Singapore, 1,800 in Italy, 1,200 in Japan and 300 in the United Kingdom. The Company’s employees in Italy are represented by labor organizations that have entered into national and local labor contracts with the Company.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Government regulations impose various environmental controls on raw materials and discharges, emissions and solid wastes from the Company’s manufacturing processes. In 2005, the Company’s wafer fabrication facilities continued to conform to the requirements of ISO 14001 certification. To continue certification, the Company met annual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regulations, changes in the regulations could necessitate additional capital expenditures, modification of operations or other compliance 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6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September 1, 2005, the following executive officers and directors of the Company were subject to the reporting requirements of Section 16(a) of the Securities Exchange Act of 1934, as amended.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Age</w:t>
            </w:r>
          </w:p>
        </w:tc>
        <w:tc>
          <w:tcPr>
            <w:tcW w:w="7600" w:type="dxa"/>
            <w:vAlign w:val="bottom"/>
          </w:tcPr>
          <w:p>
            <w:pPr>
              <w:ind w:left="35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8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Kipp A. Bedard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Vice President of Investor Relations</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 Donnelly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28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Systems Memory Group</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Jan du Preez</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Vice President of Mobile Memory Group</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8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Chief Technical Officer and Vice President of Research and Development</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Robert J. Gove</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Vice President of Imaging Group</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L. Hawkins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8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Operations</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Roderic W. Lewis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Vice President of Legal Affairs, General Counsel and Corporate Secretary</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 Sadler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8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Worldwide Sales</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Wilbur G. Stover, Jr.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28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Lothrop</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28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C. Smith</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28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William P. Weber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i w:val="1"/>
          <w:iCs w:val="1"/>
          <w:color w:val="auto"/>
        </w:rPr>
        <w:t xml:space="preserve">Steven R. Appleton </w:t>
      </w:r>
      <w:r>
        <w:rPr>
          <w:rFonts w:ascii="Arial" w:cs="Arial" w:eastAsia="Arial" w:hAnsi="Arial"/>
          <w:sz w:val="17"/>
          <w:szCs w:val="17"/>
          <w:color w:val="auto"/>
        </w:rPr>
        <w:t>joined the Company in February 1983 and has served in various capacities with the Company and its subsidiaries. Mr. Appleton first</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of 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 the Board of Directors of the Company. Mr. Appleton is a member of the Board of Directors of National Semiconductor Corporation. Mr. Appleton holds a BA in Business Management from Boise State University.</w:t>
      </w:r>
    </w:p>
    <w:p>
      <w:pPr>
        <w:spacing w:after="0" w:line="173"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i w:val="1"/>
          <w:iCs w:val="1"/>
          <w:color w:val="auto"/>
        </w:rPr>
        <w:t xml:space="preserve">Kipp A. Bedard </w:t>
      </w:r>
      <w:r>
        <w:rPr>
          <w:rFonts w:ascii="Arial" w:cs="Arial" w:eastAsia="Arial" w:hAnsi="Arial"/>
          <w:sz w:val="17"/>
          <w:szCs w:val="17"/>
          <w:color w:val="auto"/>
        </w:rPr>
        <w:t>joined the Company in November 1983 and has served in various capacities with the Company and its subsidiaries. Mr. Bedard first</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of the Company in April 1990 and has served in various officer positions since that time. Since January 1994, Mr. Bedard has served as Vice President of Investor Relations for the Company. Mr. Bedard holds a BBA in Accounting from Boise State University.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Robert M. Donnelly </w:t>
      </w:r>
      <w:r>
        <w:rPr>
          <w:rFonts w:ascii="Arial" w:cs="Arial" w:eastAsia="Arial" w:hAnsi="Arial"/>
          <w:sz w:val="17"/>
          <w:szCs w:val="17"/>
          <w:color w:val="auto"/>
        </w:rPr>
        <w:t>joined the Company in September 1988 and has served in various technical positions with the Company and its subsidiaries.</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Donnelly first became an officer of the Company in August 1989 and has served in various officer positions since that time. Mr. Donnelly holds a BS in Electrical Engineering from the University of Louisville.</w:t>
      </w:r>
    </w:p>
    <w:p>
      <w:pPr>
        <w:sectPr>
          <w:pgSz w:w="11900" w:h="16838" w:orient="portrait"/>
          <w:cols w:equalWidth="0" w:num="1">
            <w:col w:w="11420"/>
          </w:cols>
          <w:pgMar w:left="240" w:top="125" w:right="239" w:bottom="0" w:gutter="0" w:footer="0" w:header="0"/>
        </w:sectPr>
      </w:pPr>
    </w:p>
    <w:bookmarkStart w:id="26" w:name="page27"/>
    <w:bookmarkEnd w:id="26"/>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Jan du Preez </w:t>
      </w:r>
      <w:r>
        <w:rPr>
          <w:rFonts w:ascii="Arial" w:cs="Arial" w:eastAsia="Arial" w:hAnsi="Arial"/>
          <w:sz w:val="18"/>
          <w:szCs w:val="18"/>
          <w:color w:val="auto"/>
        </w:rPr>
        <w:t>joined the Company in June 2002 as Vice President of Mobile Memory Group. Mr. du Preez served as the President of Infineon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North America Corporation from August 2000 until he joined the Company in June 2002. From October 1996 through July 2000, Mr. du Preez served as the Vice President of Memory Products Group for Infineon Technologies North America Corporation (formerly Siemens Semiconductors). Mr. du Preez holds Bachelors Degrees in Public Administration and Business Economics from the University of Pretoria and a Masters Degree in Commerce from Rand University.</w:t>
      </w:r>
    </w:p>
    <w:p>
      <w:pPr>
        <w:spacing w:after="0" w:line="188"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the Company in June 1984 and has served in various technical positions with the Company and its subsidiaries since that time.</w:t>
      </w:r>
      <w:r>
        <w:rPr>
          <w:rFonts w:ascii="Arial" w:cs="Arial" w:eastAsia="Arial" w:hAnsi="Arial"/>
          <w:sz w:val="16"/>
          <w:szCs w:val="16"/>
          <w:i w:val="1"/>
          <w:iCs w:val="1"/>
          <w:color w:val="auto"/>
        </w:rPr>
        <w:t xml:space="preserve"> </w:t>
      </w:r>
      <w:r>
        <w:rPr>
          <w:rFonts w:ascii="Arial" w:cs="Arial" w:eastAsia="Arial" w:hAnsi="Arial"/>
          <w:sz w:val="16"/>
          <w:szCs w:val="16"/>
          <w:color w:val="auto"/>
        </w:rPr>
        <w:t>Mr. Durcan served as Vice President, Process Research and Development from June 1996 through June 1997, at which time he became Chief Technical Officer and Vice President of Research and Development. Mr. Durcan holds a BS and MChE in Chemical Engineering from Rice University.</w:t>
      </w:r>
    </w:p>
    <w:p>
      <w:pPr>
        <w:spacing w:after="0" w:line="147"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i w:val="1"/>
          <w:iCs w:val="1"/>
          <w:color w:val="auto"/>
        </w:rPr>
        <w:t xml:space="preserve">Robert J. Gove </w:t>
      </w:r>
      <w:r>
        <w:rPr>
          <w:rFonts w:ascii="Arial" w:cs="Arial" w:eastAsia="Arial" w:hAnsi="Arial"/>
          <w:sz w:val="18"/>
          <w:szCs w:val="18"/>
          <w:color w:val="auto"/>
        </w:rPr>
        <w:t>joined the Company in March 1999 as Senior Director of Engineering and has served in various positions with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2002, he was appointed Vice President of Imaging. Prior to joining the Company, Dr. Gove served as Vice President, Engineering, of Equator Technologies, Inc. Dr. Gove holds a BS in Electrical Engineering from the University of Washington and an MS in Electrical Engineering and Ph.D. in Electrical Engineering from Southern Methodist University.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Jay L. Hawkins </w:t>
      </w:r>
      <w:r>
        <w:rPr>
          <w:rFonts w:ascii="Arial" w:cs="Arial" w:eastAsia="Arial" w:hAnsi="Arial"/>
          <w:sz w:val="17"/>
          <w:szCs w:val="17"/>
          <w:color w:val="auto"/>
        </w:rPr>
        <w:t>joined the Company in March 1984 and has served in various manufacturing positions for the Company and its subsidiaries.</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Mr. Hawkins served as Vice President, Manufacturing Administration from February 1996 through June 1997, at which time he became Vice President of Operations. Mr. Hawkins holds a BBA in Marketing from Boise State University.</w:t>
      </w:r>
    </w:p>
    <w:p>
      <w:pPr>
        <w:spacing w:after="0" w:line="18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Roderic W. Lewis </w:t>
      </w:r>
      <w:r>
        <w:rPr>
          <w:rFonts w:ascii="Arial" w:cs="Arial" w:eastAsia="Arial" w:hAnsi="Arial"/>
          <w:sz w:val="18"/>
          <w:szCs w:val="18"/>
          <w:color w:val="auto"/>
        </w:rPr>
        <w:t>joined the Company in August 1991 and has served in various capacities with the Company and its subsidiaries. Mr. Lewis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Vice President of Legal Affairs, General Counsel and Corporate Secretary since July 1996. Mr. Lewis holds a BA in Economics and Asian Studies from Brigham Young University and a JD from Columbia University School of Law.</w:t>
      </w:r>
    </w:p>
    <w:p>
      <w:pPr>
        <w:spacing w:after="0" w:line="181"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i w:val="1"/>
          <w:iCs w:val="1"/>
          <w:color w:val="auto"/>
        </w:rPr>
        <w:t xml:space="preserve">Michael W. Sadler </w:t>
      </w:r>
      <w:r>
        <w:rPr>
          <w:rFonts w:ascii="Arial" w:cs="Arial" w:eastAsia="Arial" w:hAnsi="Arial"/>
          <w:sz w:val="18"/>
          <w:szCs w:val="18"/>
          <w:color w:val="auto"/>
        </w:rPr>
        <w:t>joined the Company in September 1992 as a Regional Sales Manager and has held various sales and marketing positions since that</w:t>
      </w:r>
      <w:r>
        <w:rPr>
          <w:rFonts w:ascii="Arial" w:cs="Arial" w:eastAsia="Arial" w:hAnsi="Arial"/>
          <w:sz w:val="18"/>
          <w:szCs w:val="18"/>
          <w:i w:val="1"/>
          <w:iCs w:val="1"/>
          <w:color w:val="auto"/>
        </w:rPr>
        <w:t xml:space="preserve"> </w:t>
      </w:r>
      <w:r>
        <w:rPr>
          <w:rFonts w:ascii="Arial" w:cs="Arial" w:eastAsia="Arial" w:hAnsi="Arial"/>
          <w:sz w:val="18"/>
          <w:szCs w:val="18"/>
          <w:color w:val="auto"/>
        </w:rPr>
        <w:t>time. Mr. Sadler became an officer of the Company in July 1997 and has served as Vice President of Worldwide Sales since November 2001. Mr. Sadler holds a BS in Information Systems and an MBA from the University of Santa Clara.</w:t>
      </w:r>
    </w:p>
    <w:p>
      <w:pPr>
        <w:spacing w:after="0" w:line="181"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i w:val="1"/>
          <w:iCs w:val="1"/>
          <w:color w:val="auto"/>
        </w:rPr>
        <w:t xml:space="preserve">Wilbur G. Stover, Jr. </w:t>
      </w:r>
      <w:r>
        <w:rPr>
          <w:rFonts w:ascii="Arial" w:cs="Arial" w:eastAsia="Arial" w:hAnsi="Arial"/>
          <w:sz w:val="18"/>
          <w:szCs w:val="18"/>
          <w:color w:val="auto"/>
        </w:rPr>
        <w:t>joined the Company in June 1989 and has served in various financial positions with the Company and its subsidiaries.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1994, Mr. Stover has served as the Company’s Vice President of Finance and Chief Financial Officer. Mr. Stover holds a BA in Business Administration from Washington State University.</w:t>
      </w:r>
    </w:p>
    <w:p>
      <w:pPr>
        <w:spacing w:after="0" w:line="18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i w:val="1"/>
          <w:iCs w:val="1"/>
          <w:color w:val="auto"/>
        </w:rPr>
        <w:t xml:space="preserve">James W. Bagley </w:t>
      </w:r>
      <w:r>
        <w:rPr>
          <w:rFonts w:ascii="Arial" w:cs="Arial" w:eastAsia="Arial" w:hAnsi="Arial"/>
          <w:sz w:val="16"/>
          <w:szCs w:val="16"/>
          <w:color w:val="auto"/>
        </w:rPr>
        <w:t>became the Executive Chairman of Lam Research Corporation (“Lam”), a supplier of semiconductor manufacturing equipment,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2005. From August 1997 through May 2005, Mr. Bagley served as the Chairman and Chief Executive Officer of Lam. Mr. Bagley is a member of the Board of Directors of Teradyne, Inc. He has served on the Company’s Board of Directors since June 1997. Mr. Bagley holds a BS and MS in Electrical Engineering from Mississippi State University. Mr. Bagley serves as the presiding director of executive sessions of the Company’s Board of Directors.</w:t>
      </w:r>
    </w:p>
    <w:p>
      <w:pPr>
        <w:spacing w:after="0" w:line="154" w:lineRule="exact"/>
        <w:rPr>
          <w:sz w:val="20"/>
          <w:szCs w:val="20"/>
          <w:color w:val="auto"/>
        </w:rPr>
      </w:pPr>
    </w:p>
    <w:p>
      <w:pPr>
        <w:ind w:right="360" w:firstLine="324"/>
        <w:spacing w:after="0" w:line="288"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joined the Board of Directors in June 2005. Ms. Johnson served as the Senior Vice President, Finance, of Lam from June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2005 and as Lam’s Chief Financial Officer from May 1997 to May 2004. Prior to joining Lam, Ms. Johnson spent 10 years with Applied Materials, Inc., where she served in various senior financial management positions, including vice president and worldwide operations controller.</w:t>
      </w:r>
    </w:p>
    <w:p>
      <w:pPr>
        <w:spacing w:after="0"/>
        <w:rPr>
          <w:sz w:val="20"/>
          <w:szCs w:val="20"/>
          <w:color w:val="auto"/>
        </w:rPr>
      </w:pPr>
      <w:r>
        <w:rPr>
          <w:rFonts w:ascii="Arial" w:cs="Arial" w:eastAsia="Arial" w:hAnsi="Arial"/>
          <w:sz w:val="17"/>
          <w:szCs w:val="17"/>
          <w:color w:val="auto"/>
        </w:rPr>
        <w:t>Ms. Johnson holds a degree in accounting from the University of Buenos Aires and currently serves on the board of directors for Intersil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Ms. Johnson serves on the Board’s Audit Committee.</w:t>
      </w:r>
    </w:p>
    <w:p>
      <w:pPr>
        <w:spacing w:after="0" w:line="211"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1991. From August 1986 until July 1992 and since May 1994, Mr. Lothrop has served on the Board of Directors of the Company. Mr. Lothrop holds a BS in Engineering from the University of Idaho. Mr. Lothrop serves on the Board’s Audit Committee and the Governance and Compensation Committee.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 xml:space="preserve">Lawrence N. Mondry </w:t>
      </w:r>
      <w:r>
        <w:rPr>
          <w:rFonts w:ascii="Arial" w:cs="Arial" w:eastAsia="Arial" w:hAnsi="Arial"/>
          <w:sz w:val="17"/>
          <w:szCs w:val="17"/>
          <w:color w:val="auto"/>
        </w:rPr>
        <w:t>joined the Board of Directors in April 2005. Mr. Mondry serves as the Chief Executive Officer of CompUSA Inc., a position he</w:t>
      </w:r>
      <w:r>
        <w:rPr>
          <w:rFonts w:ascii="Arial" w:cs="Arial" w:eastAsia="Arial" w:hAnsi="Arial"/>
          <w:sz w:val="17"/>
          <w:szCs w:val="17"/>
          <w:i w:val="1"/>
          <w:iCs w:val="1"/>
          <w:color w:val="auto"/>
        </w:rPr>
        <w:t xml:space="preserve"> </w:t>
      </w:r>
      <w:r>
        <w:rPr>
          <w:rFonts w:ascii="Arial" w:cs="Arial" w:eastAsia="Arial" w:hAnsi="Arial"/>
          <w:sz w:val="17"/>
          <w:szCs w:val="17"/>
          <w:color w:val="auto"/>
        </w:rPr>
        <w:t>has held since 2003. Mr. Mondry joined CompUSA in 1990 as Senior Vice President and General Merchandise Manager. He was promoted to Executive Vice President-Merchandising in 1993, and President and Chief Operating Officer of CompUSA Stores in 2000. Mr. Mondry currently serves on the board of directors for Golfsmith, Inc. Mr. Mondry serves on the Board’s Governance and Compensation Committee.</w:t>
      </w:r>
    </w:p>
    <w:p>
      <w:pPr>
        <w:spacing w:after="0" w:line="17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i w:val="1"/>
          <w:iCs w:val="1"/>
          <w:color w:val="auto"/>
        </w:rPr>
        <w:t xml:space="preserve">Gordon C. Smith </w:t>
      </w:r>
      <w:r>
        <w:rPr>
          <w:rFonts w:ascii="Arial" w:cs="Arial" w:eastAsia="Arial" w:hAnsi="Arial"/>
          <w:sz w:val="16"/>
          <w:szCs w:val="16"/>
          <w:color w:val="auto"/>
        </w:rPr>
        <w:t>has served as the Chairman and Chief Executive Officer of SFG LLC, a holding company for agriculture operations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since January 2005. Mr. Smith has also served as Chairman and Chief Executive Officer of G.C. Smith LLC since May 2000. From July 1980 to March 1994, Mr. Smith served in various management positions with J.R. Simplot Company, including four years as President and Chief Executive Officer, and seven years as Chief Financial Officer. From February 1982 until February 1984 and since September 1990, he has served on the Company’s Board of Directors. Mr. Smith holds a BS in Accounting from Idaho State University. Mr. Smith is the Chairman of the Board’s Audit Committee.</w:t>
      </w:r>
    </w:p>
    <w:p>
      <w:pPr>
        <w:spacing w:after="0" w:line="15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William P. Weber </w:t>
      </w:r>
      <w:r>
        <w:rPr>
          <w:rFonts w:ascii="Arial" w:cs="Arial" w:eastAsia="Arial" w:hAnsi="Arial"/>
          <w:sz w:val="17"/>
          <w:szCs w:val="17"/>
          <w:color w:val="auto"/>
        </w:rPr>
        <w:t>served in various capacities with Texas Instruments Incorporated, a semiconductor manufacturing company, and its subsidiaries from</w:t>
      </w:r>
      <w:r>
        <w:rPr>
          <w:rFonts w:ascii="Arial" w:cs="Arial" w:eastAsia="Arial" w:hAnsi="Arial"/>
          <w:sz w:val="17"/>
          <w:szCs w:val="17"/>
          <w:i w:val="1"/>
          <w:iCs w:val="1"/>
          <w:color w:val="auto"/>
        </w:rPr>
        <w:t xml:space="preserve"> </w:t>
      </w:r>
      <w:r>
        <w:rPr>
          <w:rFonts w:ascii="Arial" w:cs="Arial" w:eastAsia="Arial" w:hAnsi="Arial"/>
          <w:sz w:val="17"/>
          <w:szCs w:val="17"/>
          <w:color w:val="auto"/>
        </w:rPr>
        <w:t>1962 until 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 Mr. Weber is the Chairman of the Board’s Governance and Compensation Committee.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977"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 of wafer starts to products other than Core DRAM; “Net Sales” regarding future megabit production growth, 300mm wafer production and increases in revenue from sales of DDR2 products, CMOS image sensors, PSRAM products and Flash memory products; “Gross Margin” regarding manufacturing cost reductions in future periods; in “Income Taxes” regarding future provisions for income taxes and in “Liquidity and Capital Resources” regarding capital spending in 2006.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for the year ended September 1, 2005. All period references are to the Company’s fiscal periods unless otherwise indicated. All per share amounts are presented on a diluted basis. All tabular dollar amounts are in millions. Unless otherwise stated, all production data reflects production of the Company and its TECH joint venture.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is a global manufacturer of semiconductor devices, principally DRAM, NAND Flash, and CMOS image sensors. Its products are used in a broad range of electronic applications including personal computers, workstations, network servers, mobile phones and other consumer applications including flash memory cards, USB storage devices, digital still camera and MP3 players. The Company’s customers are principally original equipment manufacturers located around the world. The Company’s success is largely dependent on the market acceptance of a diversified semiconductor product portfolio, efficient utilization of the Company’s manufacturing infrastructure, successful ongoing development of advanced process technologies and generation of sufficient return on research and development efforts.</w:t>
      </w:r>
    </w:p>
    <w:p>
      <w:pPr>
        <w:spacing w:after="0" w:line="19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has strategically diversified its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the Company’s standardized DRAM products. The Company leverages its expertise in semiconductor memory manufacturing and product and process technology to provide these products that are differentiated from competitors’ products based on performance characteristics. In the fourth quarter of 2005, specialty memory products, NAND Flash products and CMOS image sensors were over 45% of the Company’s net sales. The Company expects that the markets for these products will grow more rapidly than the overall semiconductor market in the near term. The Company’s products have been well received in these growing customer applications. The Company plans to allocate an increasing portion of its manufacturing capacity to support these products and expand its market position in 2006. The Company believes that the strategic diversification of its product portfolio will strengthen its ability to allocate manufacturing resources to obtain the highest rate of return.</w:t>
      </w:r>
    </w:p>
    <w:p>
      <w:pPr>
        <w:spacing w:after="0" w:line="167"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The Company makes significant ongoing investments to implement its proprietary product and process technology in its manufacturing facilities in the United States, Europe and Asia to provide semiconductor products with increasing functionality and performance at lower costs. The Company introduces new generations of products that offer improved performance characteristics, such as higher data transfer rates, reduced package size, lower power consumption and increased megapixel count. The Company generally reduces the manufacturing cost of each generation of product through its advanced product and process technology such as its leading-edge line width process technology and innovative array architecture.</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order to maximize returns from investments in research and development (“R&amp;D”), the Company develops process technology that effectively reduces production costs and leverages the Company’s capital expenditures. To be successfully incorporated in customers’ end products, the Company must offer qualified semiconductor solutions at a time when customers are developing their design specifications for their end products. This is especially true for specialty memory products and CMOS image sensors which are required to demonstrate advanced functionality and performance well ahead of a planned ramp of production to commercial volumes. In addition, DRAM and NAND Flash products often incorporate highly advanced design and process technologies that are difficult to manufacture. The Company must make significant investments in R&amp;D to expand its product offering and develop its leading-edge product and process technologies.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(amounts in millions and as a percent of net sales)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Memory</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4,577.4</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4,305.5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3,075.0</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4,880.</w:t>
            </w:r>
            <w:r>
              <w:rPr>
                <w:rFonts w:ascii="Arial" w:cs="Arial" w:eastAsia="Arial" w:hAnsi="Arial"/>
                <w:sz w:val="18"/>
                <w:szCs w:val="18"/>
                <w:u w:val="single" w:color="auto"/>
                <w:color w:val="auto"/>
              </w:rPr>
              <w:t>2</w:t>
            </w: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4,404.</w:t>
            </w:r>
            <w:r>
              <w:rPr>
                <w:rFonts w:ascii="Arial" w:cs="Arial" w:eastAsia="Arial" w:hAnsi="Arial"/>
                <w:sz w:val="18"/>
                <w:szCs w:val="18"/>
                <w:u w:val="single" w:color="auto"/>
                <w:color w:val="auto"/>
              </w:rPr>
              <w:t>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3,091.</w:t>
            </w:r>
            <w:r>
              <w:rPr>
                <w:rFonts w:ascii="Arial" w:cs="Arial" w:eastAsia="Arial" w:hAnsi="Arial"/>
                <w:sz w:val="18"/>
                <w:szCs w:val="18"/>
                <w:u w:val="single" w:color="auto"/>
                <w:color w:val="auto"/>
              </w:rPr>
              <w:t>3</w:t>
            </w: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Gross margin: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Imaging</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125.2</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r>
              <w:rPr>
                <w:rFonts w:ascii="Arial" w:cs="Arial" w:eastAsia="Arial" w:hAnsi="Arial"/>
                <w:sz w:val="18"/>
                <w:szCs w:val="18"/>
                <w:u w:val="single" w:color="auto"/>
                <w:color w:val="auto"/>
              </w:rPr>
              <w:t>8</w:t>
            </w:r>
          </w:p>
        </w:tc>
        <w:tc>
          <w:tcPr>
            <w:tcW w:w="2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r>
              <w:rPr>
                <w:rFonts w:ascii="Arial" w:cs="Arial" w:eastAsia="Arial" w:hAnsi="Arial"/>
                <w:sz w:val="18"/>
                <w:szCs w:val="18"/>
                <w:u w:val="single" w:color="auto"/>
                <w:color w:val="auto"/>
              </w:rPr>
              <w:t>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603.7</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656.4</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Restructure and other charges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217.5</w:t>
            </w:r>
          </w:p>
        </w:tc>
        <w:tc>
          <w:tcPr>
            <w:tcW w:w="2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(1,186.5)</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Company’s two reportable segments are Memory and Imaging. The Memory segment’s primary products are DRAM and NAND Flash memory and the Imaging segment’s primary product is CMOS image sensors. The Company’s fiscal year is the 52 or 53-week period ending on the Thursday closest to August 31. The Company’s fiscal 2005 and 2003 contained 52 weeks. The Company’s fiscal 2004 contained 53 weeks.</w:t>
      </w:r>
    </w:p>
    <w:p>
      <w:pPr>
        <w:sectPr>
          <w:pgSz w:w="11900" w:h="16838" w:orient="portrait"/>
          <w:cols w:equalWidth="0" w:num="1">
            <w:col w:w="11420"/>
          </w:cols>
          <w:pgMar w:left="240" w:top="121" w:right="239" w:bottom="0" w:gutter="0" w:footer="0" w:header="0"/>
        </w:sectPr>
      </w:pPr>
    </w:p>
    <w:bookmarkStart w:id="28" w:name="page29"/>
    <w:bookmarkEnd w:id="28"/>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Total net sales for 2005 increased 11% as compared to 2004 due to a 6% increase in Memory sales and 207% increase in Imaging sales. The Company was able to achieve increases in sales for both segments primarily as a result of increases in sales volume facilitated by increases in production. Average selling prices for 2005 declined 24% for Memory products and were essentially unchanged for Imaging products as compared to 2004. Memory sales were 94% of total net sales in 2005 compared to 98% in 2004 and 99% in 2003. Imaging sales have grown rapidly in recent periods and have represented an increasing portion of the Company’s total net sales. Total net sales for 2004 increased 42% as compared to 2003 due to a 40% increase in Memory sales and a 506% increase in Imaging sales.</w:t>
      </w:r>
    </w:p>
    <w:p>
      <w:pPr>
        <w:spacing w:after="0" w:line="189"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b w:val="1"/>
          <w:bCs w:val="1"/>
          <w:color w:val="auto"/>
        </w:rPr>
        <w:t xml:space="preserve">Memory: </w:t>
      </w:r>
      <w:r>
        <w:rPr>
          <w:rFonts w:ascii="Arial" w:cs="Arial" w:eastAsia="Arial" w:hAnsi="Arial"/>
          <w:sz w:val="18"/>
          <w:szCs w:val="18"/>
          <w:color w:val="auto"/>
        </w:rPr>
        <w:t>Memory sales for 2005 increased by 6% as compared to 2004 primarily due to a 40% increase in megabits sold, partially offset by a 24%</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in the overall average selling price per megabit for the Company’s Memory products. The Company’s overall megabit production in 2005 increased by 48% as compared to 2004, principally due to a steep ramp in 300mm wafer production and gains in manufacturing efficiencies realized from improvements in product and process technologies. The Company realized a significant increase in 300mm wafer production in 2005, achieving its initial target of 5,000 wafer outs per week in the fourth quarter. The Company expects that its 300mm wafer production will continue to increase in 2006. The Company’s megabit production exceeded megabit sales in 2005, which resulted in an approximate 170% increase in megabit finished goods inventories, primarily consisting of DDR and DDR2 products. The increase in inventories was largely the result of a slower than previously expected industry-wide transition to DDR2 memory products.</w:t>
      </w:r>
    </w:p>
    <w:p>
      <w:pPr>
        <w:spacing w:after="0" w:line="18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Most of the increase in Memory sales in 2005 as compared to 2004 resulted from sales of the Company’s emerging specialty memory products, such as pseudo-static RAM (“PSRAM”) and mobile DRAM products and NAND Flash memory. The Company’s combined revenue from these products was $509.2 million in 2005 and nearly quintupled from 2004 due to large increases in production and strong demand for the Company’s offerings in these product groups. The Company expects that its revenue from these products will continue to grow rapidly in 2006 as it allocates increasing manufacturing resources to these product groups. DDR and DDR2 product sales in 2005 increased 12% from 2004 and were 59% of the Company’s total net sales in 2005. Sales of DDR2 products increased to 14% of the Company’s total net sales in 2005 from 1% of total net sales in 2004. The Company expects that sales of DDR2 products will continue to increase in 2006 as market demand continues to shift from DDR products to more advanced DDR2 products.</w:t>
      </w:r>
    </w:p>
    <w:p>
      <w:pPr>
        <w:spacing w:after="0" w:line="16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Memory sales for 2004 increased by 40% as compared to 2003 primarily due to a 20% increase in megabits sold and a 16% increase in average per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megabit selling prices as a result of generally improved market conditions. During 2004, the Company increased its allocation of manufacturing capacity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specialty memory products and CMOS image sensors. The shift in product mix contributed to the increase in average per megabit selling prices for 2004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specialty memory products on average had higher selling prices per megabit than the Company’s DDR and DDR2 products. The Company’s overall megabit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production for 2004 increased approximately 23% from 2003 primarily due to manufacturing efficiencies. The growth rate in megabit production for 2004 was partially mitigated by the allocation of wafers to CMOS image sensors and specialty memory products.</w:t>
      </w:r>
    </w:p>
    <w:p>
      <w:pPr>
        <w:spacing w:after="0" w:line="16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 xml:space="preserve">Imaging: </w:t>
      </w:r>
      <w:r>
        <w:rPr>
          <w:rFonts w:ascii="Arial" w:cs="Arial" w:eastAsia="Arial" w:hAnsi="Arial"/>
          <w:sz w:val="17"/>
          <w:szCs w:val="17"/>
          <w:color w:val="auto"/>
        </w:rPr>
        <w:t>Imaging sales for 2005 increased by 207% as compared to 2004 primarily due to increases in unit sales as average selling price per unit were</w:t>
      </w:r>
      <w:r>
        <w:rPr>
          <w:rFonts w:ascii="Arial" w:cs="Arial" w:eastAsia="Arial" w:hAnsi="Arial"/>
          <w:sz w:val="17"/>
          <w:szCs w:val="17"/>
          <w:b w:val="1"/>
          <w:bCs w:val="1"/>
          <w:color w:val="auto"/>
        </w:rPr>
        <w:t xml:space="preserve"> </w:t>
      </w:r>
      <w:r>
        <w:rPr>
          <w:rFonts w:ascii="Arial" w:cs="Arial" w:eastAsia="Arial" w:hAnsi="Arial"/>
          <w:sz w:val="17"/>
          <w:szCs w:val="17"/>
          <w:color w:val="auto"/>
        </w:rPr>
        <w:t>essentially unchanged. The growth in Imaging unit sales for 2005 reflects increased production and strong demand for the Company’s products. Production increased due to the allocation of more wafers to the manufacture of Imaging products as well as improvements in manufacturing efficiency. Imaging sales were 6% of the Company’s total net sales in 2005 and 9% of total net sales in the fourth quarter of 2005. Imaging sales for 2004 were more than six times Imaging sales for 2003, as the Company significantly increased production of Imaging products. Due to strong demand for the Company’s products and the planned introduction of new products, the Company expects that revenue from Imaging products will continue to grow in future periods as additional manufacturing capacity is allocated to the production of these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Company’s overall gross margin percentage for 2005 declined to 24% as compared to 30% for 2004. This decline in gross margin percentage was primarily due to a decline in gross margin for Memory products, which was due to decreases in average selling prices per megabit. Partially offsetting the effect of the decline in average selling prices 2004 to 2005 was a reduction in cost of goods sold per megabit and the increase in sales of CMOS image sensors, specialty memory and NAND Flash products, which had significantly higher margins than DDR and DDR2 products. The Company’s overall gross margin percentage for 2004 increased to 30% from a negative 1% for 2003 primarily due to improved average selling prices and cost reductions for Memory products.</w:t>
      </w:r>
    </w:p>
    <w:p>
      <w:pPr>
        <w:spacing w:after="0" w:line="189"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Memory: </w:t>
      </w:r>
      <w:r>
        <w:rPr>
          <w:rFonts w:ascii="Arial" w:cs="Arial" w:eastAsia="Arial" w:hAnsi="Arial"/>
          <w:sz w:val="18"/>
          <w:szCs w:val="18"/>
          <w:color w:val="auto"/>
        </w:rPr>
        <w:t>The Company’s gross margin percentage for Memory products for 2005 declined to 22% as compared to 30% for 2004. This decline in gross</w:t>
      </w:r>
      <w:r>
        <w:rPr>
          <w:rFonts w:ascii="Arial" w:cs="Arial" w:eastAsia="Arial" w:hAnsi="Arial"/>
          <w:sz w:val="18"/>
          <w:szCs w:val="18"/>
          <w:b w:val="1"/>
          <w:bCs w:val="1"/>
          <w:color w:val="auto"/>
        </w:rPr>
        <w:t xml:space="preserve"> </w:t>
      </w:r>
      <w:r>
        <w:rPr>
          <w:rFonts w:ascii="Arial" w:cs="Arial" w:eastAsia="Arial" w:hAnsi="Arial"/>
          <w:sz w:val="18"/>
          <w:szCs w:val="18"/>
          <w:color w:val="auto"/>
        </w:rPr>
        <w:t>margin was primarily due to the 24% decrease in the Company’s overall average selling price per megabit of memory and, to a lesser extent, a shift in product mix from DDR to DDR2 products which had lower margins in 2005. Partially offsetting this decline in gross margin from 2005 to 2004 was a reduction in cost of goods sold per megabit and the increase in sales of specialty memory and NAND Flash products, which had significantly higher margins than DDR and DDR2 products.</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overall cost of goods sold per megabit in 2005 declined from 2004 primarily due to manufacturing improvements. The Company reduced product costs through manufacturing efficiencies achieved from improved product yield and increase in production utilizing the Company’s 110nm process technology and 6F² technology. The cost per megabit for products manufactured on 300mm wafers decreased significantly in 2005 compared to 2004 as the Company continued to increase 300mm wafer production, reaching its initial target of 5,000 wafer outs per week. Manufacturing costs per megabit for DDR2 products were higher than the Company’s DDR products in 2005 because of DDR2’s relatively larger die size. The Company expects that per megabit cost reductions in 2006 will continue to be mitigated by shifts in product mix from DDR to DDR2.</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gross margin percentage for Memory products improved to 30% for 2004 from a negative 1% for 2003 primarily due to the 16% increase in average per megabit selling prices and reduced costs per megabit. In addition, compared to 2003, Memory product’s gross margin for 2004 benefited from relatively higher margins on sales of products purchased from the Company’s TECH joint venture. The Company reduced its overall average cost per megabit for 2004 as compared to 2003 through manufacturing efficiencies achieved by improving product yields and continuing its transition to products utilizing 110nm process technology and 6F² technology.</w:t>
      </w:r>
    </w:p>
    <w:p>
      <w:pPr>
        <w:spacing w:after="0" w:line="188"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In accordance with generally accepted accounting principles, the Company recorded $307.0 million of charges to cost of goods sold in 2003 to write down the carrying values of work in process and finished goods inventories to their estimated market values. As these charges were recorded in advance of</w:t>
      </w:r>
    </w:p>
    <w:p>
      <w:pPr>
        <w:sectPr>
          <w:pgSz w:w="11900" w:h="16894" w:orient="portrait"/>
          <w:cols w:equalWidth="0" w:num="1">
            <w:col w:w="11420"/>
          </w:cols>
          <w:pgMar w:left="240" w:top="121" w:right="239" w:bottom="0" w:gutter="0" w:footer="0" w:header="0"/>
        </w:sectPr>
      </w:pPr>
    </w:p>
    <w:bookmarkStart w:id="29" w:name="page30"/>
    <w:bookmarkEnd w:id="29"/>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inventory subject to the write-down was sold, gross margins in the period of sale were higher than they would be absent the effect of the previous write-downs. The Company did not record any charges for inventory write-downs in 2005 and 2004. Costs of goods sold in 2004 were $61.0 million lower than they otherwise would have been as a result of write-downs in prior periods. Costs of goods sold in 2003 were $174.9 million lower than they otherwise would have been as a result of write-downs in prior periods net of the write-downs in 2003. Substantially all of the inventory write-downs in 2004 and 2003 were for Memory products.</w:t>
      </w:r>
    </w:p>
    <w:p>
      <w:pPr>
        <w:spacing w:after="0" w:line="18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Company’s TECH joint venture supplied approximately 25%, 30% and 30% of the total megabits of memory produced by the Company in 2005, 2004 and 2003, respectively. The Company generally purchases memory products from TECH at prices determined quarterly, based on a discount from average selling prices realized by the Company for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immediately preceding quarter. Depending on market conditions, the gross margin from the sale of products manufactured by TECH may be higher or lower than the gross margin from the sale of products manufactured by the Company’s wholly-owned operations. In 2005, the Company realized gross margin percentages on sales of TECH products that were approximately the same as for the DDR and DDR2 products manufactured by its wholly-owned operations. In 2004 and 2003, the Company realized higher gross margin percentages on sales of TECH products than for products manufactured by its wholly-owned operations.</w:t>
      </w:r>
    </w:p>
    <w:p>
      <w:pPr>
        <w:spacing w:after="0" w:line="184"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Imaging: </w:t>
      </w:r>
      <w:r>
        <w:rPr>
          <w:rFonts w:ascii="Arial" w:cs="Arial" w:eastAsia="Arial" w:hAnsi="Arial"/>
          <w:sz w:val="18"/>
          <w:szCs w:val="18"/>
          <w:color w:val="auto"/>
        </w:rPr>
        <w:t>The Company’s gross margin for Imaging products increased to 41% for 2005 from 25% for 2005 primarily due to cost reductions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overall average selling price per unit was essentially unchanged. The Company’s gross margin for Imaging products decreased to 25% for 2004 as compared to 30% for 2003 primarily due to shifts in product mix.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Selling, general and administrative (“SG&amp;A”) expenses for 2005 increased 5% from 2004 primarily due to higher compensation costs, partially offset by a decrease in costs associated with legal matters. SG&amp;A expenses for 2004 were 7% lower than for 2003 primarily due to lower costs associated with outstanding legal matters and reduced depreciation costs, partially offset by higher levels of performance-based compensation expense and other personnel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color w:val="auto"/>
        </w:rPr>
        <w:t>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5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R&amp;D expenses for 2005 decreased 20% from 2004 principally because products were qualified on the 300mm wafer fabrication process in the first quarter of 2005. When products are qualified, the Company includes costs from the production of these products in inventory and costs of goods sold rather than research and development expense. Higher compensation costs partially offset the decreases in R&amp;D expenses for 2005 as compared to 2004. R&amp;D expenses for 2004 increased 15% from 2003 principally due to an increase in development wafers processed during 2004 as the Company increased its product diversification and ramped production at its 300mm wafer fabrication facility, which primarily ran development wafers in 2004. Higher R&amp;D costs in 2004 as compared to 2003 also reflected a higher level of expenses related to CMOS image sensors, Flash memory and specialty memory products.</w:t>
      </w:r>
    </w:p>
    <w:p>
      <w:pPr>
        <w:spacing w:after="0" w:line="16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Company’s process technology R&amp;D efforts are focused primarily on development of 95nm, 78nm, 65nm and smaller DRAM and 90nm, 72nm, 50nm and smaller NAND Flash line-width process technologies, which are designed to facilitate the Company’s transition to next generation products. Additional R&amp;D efforts include process development to support the Company’s 300mm wafer manufacturing, NAND Flash memory, CMOS image sensors, specialty memory products (including PSRAM, mobile SDRAM and reduced latency DRAM) and new manufacturing materials. Efforts toward the design and development of new products are concentrated on the Company’s 1 Gig and 2 Gig DDR, DDR2 and DDR3 products as well as high density and mobile NAND Flash memory, CMOS image sensors and specialty memory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2003, the Company announced a series of cost-reduction initiatives. The restructure plan included the shutdown of the Company’s 200mm production line in Virginia; the discontinuance of certain memory products, including SRAM and TCAM; and an approximate 10% reduction in the Company’s worldwide workforce. In 2003, the Company recorded restructure charges of $109.2 million and other restructure-related charges of $7.1 million, including $50.7 million of equipment write-downs, $26.3 million of severance and other termination benefits and $18.6 million of intangible asset write downs. Substantially all of the restructure charges were in the Memory segment. The Company recorded net credits to restructure of $1.4 million and $22.5 million in 2005 and 2004, respectively, primarily from sales of equipment associated with the Company’s 200mm production line in Virginia. The Company substantially completed the restructure plan and paid essentially all costs associated with the restructure plan in 2004 and 2003.</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In December 2004, the Financial Accounting Standards Board (“FASB”) issued Statement of Financial Accounting Standards (“SFAS”) No. 123(R), “Share-Based Payment.” SFAS No. 123(R) will require the Company to use a fair-value based method of accounting for share-based compensation beginning in 2006. Through 2005 the Company used the intrinsic-value method to account for stock-based compensation and generally no compensation costs were recorded. Accordingly, the Company’s implementation of SFAS No. 123(R) will increase compensation costs reflected in cost of goods sold, SG&amp;A and R&amp;D in the consolidated statement of operations for future periods.</w:t>
      </w:r>
    </w:p>
    <w:p>
      <w:pPr>
        <w:spacing w:after="0" w:line="188"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In April of 2005, the Company accelerated the vesting of approximately 44.6 million unvested stock options outstanding under the Company’s stock plans to reduce compensation costs that would have been recognized in the Company’s consolidated financial statements after 2005 with the adoption of</w:t>
      </w:r>
    </w:p>
    <w:p>
      <w:pPr>
        <w:sectPr>
          <w:pgSz w:w="11900" w:h="16948" w:orient="portrait"/>
          <w:cols w:equalWidth="0" w:num="1">
            <w:col w:w="11380"/>
          </w:cols>
          <w:pgMar w:left="240" w:top="125" w:right="279" w:bottom="0" w:gutter="0" w:footer="0" w:header="0"/>
        </w:sectPr>
      </w:pPr>
    </w:p>
    <w:bookmarkStart w:id="30" w:name="page31"/>
    <w:bookmarkEnd w:id="30"/>
    <w:p>
      <w:pPr>
        <w:spacing w:after="0" w:line="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SFAS 123(R) by approximately $100 million. As of September 1, 2005, 3% of the Company’s then outstanding stock options were unvested and the expense for these unvested stock options to be recorded in 2006 through 2009 is $10.4 million. Because the Company’s near-term, stock-based compensation costs were reduced by the acceleration of vesting, share-based compensation costs could grow significantly in future periods if the Company continues to grant amounts of new share-based compensation awards similar to recent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Other operating income for 2005 includes net gains on write-downs and disposals of semiconductor equipment of $12.7 million and $12.0 million in receipts from the U.S. government in connection with anti-dumping tariffs. Other operating expense for 2004 includes losses of $17.2 million from changes in currency exchange rates. Other operating income for 2004 includes $7.2 million from the Commonwealth of Virginia for meeting investment commitments at the Virginia wafer fabrication facility and net gains of $3.9 million on write-downs and disposals of semiconductor equipment. Other operating expense for 2003 includes net losses on write-downs and disposals of semiconductor equipment of $41.5 million and losses of $10.7 million from changes in currency exchange rates. Other operating expense for 2003 is net of $14.4 million in receipts from the U.S. government in connection with anti-dumping tariffs. The Company estimates that, based on its assets and liabilities denominated in currencies other than U.S. dollar as of September 1, 2005, a 1% change in the exchange rate versus the U.S. dollar would result in foreign currency gains or losses of approximately $1 million for the yen and $1 million for the euro.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Income taxes for 2005, 2004 and 2003 primarily reflect taxes on the Company’s non-U.S. operations. The Company has a valuation allowance for its net deferred tax asset associated with its U.S. operations. The provision for taxes on U.S. operations in 2005 and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September 1, 2005, the Company had aggregate U.S. tax net operating loss carryforwards of $2.5 billion and unused U.S. tax credit carryforwards of $140.7 million. The Company also has unused state tax net operating loss carryforwards of $1.7 billion and unused state tax credits of $137.5 million. Substantially all of the net operating loss carryforwards expire in 2022 to 2025 and substantially all of the tax credit carryforwards expire in 2013 to 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semiconductor memory products and the timing of capital expenditures, both of which can vary significantly from period to period. As of September 1, 2005, the Company had cash and marketable investment securities totaling $1,290.4 million compared to $1,231.0 million as of September 2, 2004.</w:t>
      </w:r>
    </w:p>
    <w:p>
      <w:pPr>
        <w:spacing w:after="0" w:line="17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For 2005, net cash provided by operating activities was $1,237.8 million, which principally reflects the Company’s $188.0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of net income adjusted by $1,264.5 million for non-cash depreciation and amortization expense. Cash provided by operations was reduced by a $193.3 million increase in inventories. The increase in inventories was largely the result of a slower than previously expected industry-wide transition to DDR2 memory products.</w:t>
      </w:r>
    </w:p>
    <w:p>
      <w:pPr>
        <w:spacing w:after="0" w:line="180" w:lineRule="exact"/>
        <w:rPr>
          <w:sz w:val="20"/>
          <w:szCs w:val="20"/>
          <w:color w:val="auto"/>
        </w:rPr>
      </w:pPr>
    </w:p>
    <w:p>
      <w:pPr>
        <w:ind w:right="400" w:firstLine="324"/>
        <w:spacing w:after="0" w:line="266"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For 2005, net cash used by investing activities was $1,083.9 million, which included cash expenditures for property, plant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of $1,064.8 million. The Company believes that to develop new product and process technologies, support future growth, achieve operating efficiencies and maintain product quality, it must continue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 in manufacturing technologies, facilities and capital equipment, research and development, and product and process technologies. The Company projects 2006 capital spending of $1.0 billion to $1.5 billion. As of September 1, 2005, the Company had commitments extending into 2007 of approximately $250 million for the acquisition of property, plant and equipment.</w:t>
      </w:r>
    </w:p>
    <w:p>
      <w:pPr>
        <w:spacing w:after="0" w:line="177"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For 2005, net cash used by financing activities was $115.5 million. Payments on debt were $300.0 million for 2005, and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prepayment of the $210.0 million outstanding on the Company’s subordinated notes that were due September 2005. Payments on equipment purchase contracts were $236.0 million for 2005. In the third quarter of 2005, the Company obtained an aggregate of 23.5 billion yen ($221.4 million) from two yen-denominated loan financing arrangements that are payable in semi-annual installments through 2010. In 2005, the Company received $161.3 million in proceeds from sales-leaseback transactions which are payable in periodic installments through January 2009.</w:t>
      </w:r>
    </w:p>
    <w:p>
      <w:pPr>
        <w:spacing w:after="0" w:line="172"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In 2004, the Company received $450.0 million from Intel in exchange for stock rights exchangeable into approximately 33.9 million shares of the Company’s common stock. Additionally, the Company agreed to achieve operational objectives or be subject to monetary penalties. The Company has achieved operational objectives and does not expect to make any payments to Intel under this agreement.</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pacing w:after="0" w:line="170"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As of September 1, 2005, the Company had $632.5 million of 2.5% Convertible Subordinated Notes (the “Notes”) outstanding.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67"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table summarizes the Company’s significant contractual obligations at September 1, 2005, and the effect such</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are expected to have on the Company’s liquidity and cash flows in future periods.</w:t>
      </w:r>
    </w:p>
    <w:p>
      <w:pPr>
        <w:spacing w:after="0" w:line="14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3"/>
                <w:szCs w:val="13"/>
                <w:color w:val="auto"/>
              </w:rPr>
            </w:pPr>
          </w:p>
        </w:tc>
        <w:tc>
          <w:tcPr>
            <w:tcW w:w="1060" w:type="dxa"/>
            <w:vAlign w:val="bottom"/>
          </w:tcPr>
          <w:p>
            <w:pPr>
              <w:jc w:val="center"/>
              <w:ind w:left="362"/>
              <w:spacing w:after="0"/>
              <w:rPr>
                <w:sz w:val="20"/>
                <w:szCs w:val="20"/>
                <w:color w:val="auto"/>
              </w:rPr>
            </w:pPr>
            <w:r>
              <w:rPr>
                <w:rFonts w:ascii="Arial" w:cs="Arial" w:eastAsia="Arial" w:hAnsi="Arial"/>
                <w:sz w:val="14"/>
                <w:szCs w:val="14"/>
                <w:b w:val="1"/>
                <w:bCs w:val="1"/>
                <w:color w:val="auto"/>
                <w:w w:val="88"/>
              </w:rPr>
              <w:t>Less than</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1-3 years</w:t>
            </w:r>
          </w:p>
        </w:tc>
        <w:tc>
          <w:tcPr>
            <w:tcW w:w="340" w:type="dxa"/>
            <w:vAlign w:val="bottom"/>
          </w:tcPr>
          <w:p>
            <w:pPr>
              <w:spacing w:after="0"/>
              <w:rPr>
                <w:sz w:val="13"/>
                <w:szCs w:val="13"/>
                <w:color w:val="auto"/>
              </w:rPr>
            </w:pPr>
          </w:p>
        </w:tc>
        <w:tc>
          <w:tcPr>
            <w:tcW w:w="11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ind w:left="362"/>
              <w:spacing w:after="0"/>
              <w:rPr>
                <w:sz w:val="20"/>
                <w:szCs w:val="20"/>
                <w:color w:val="auto"/>
              </w:rPr>
            </w:pPr>
            <w:r>
              <w:rPr>
                <w:rFonts w:ascii="Arial" w:cs="Arial" w:eastAsia="Arial" w:hAnsi="Arial"/>
                <w:sz w:val="14"/>
                <w:szCs w:val="14"/>
                <w:b w:val="1"/>
                <w:bCs w:val="1"/>
                <w:color w:val="auto"/>
                <w:w w:val="93"/>
              </w:rPr>
              <w:t>1 year</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w w:val="97"/>
              </w:rPr>
              <w:t>(amounts in millions)</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980.0</w:t>
            </w:r>
          </w:p>
        </w:tc>
        <w:tc>
          <w:tcPr>
            <w:tcW w:w="10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93.4</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153.3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728.4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82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221.4</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64.3</w:t>
            </w:r>
          </w:p>
        </w:tc>
        <w:tc>
          <w:tcPr>
            <w:tcW w:w="38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57.8</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60.8</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18.1</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31" w:name="page32"/>
    <w:bookmarkEnd w:id="31"/>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Purchase obligations</w:t>
            </w:r>
          </w:p>
        </w:tc>
        <w:tc>
          <w:tcPr>
            <w:tcW w:w="4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409.7</w:t>
            </w:r>
          </w:p>
        </w:tc>
        <w:tc>
          <w:tcPr>
            <w:tcW w:w="4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394.5</w:t>
            </w:r>
          </w:p>
        </w:tc>
        <w:tc>
          <w:tcPr>
            <w:tcW w:w="4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125.6</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r>
      <w:tr>
        <w:trPr>
          <w:trHeight w:val="217"/>
        </w:trPr>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1,797.5</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345.4</w:t>
            </w:r>
          </w:p>
        </w:tc>
        <w:tc>
          <w:tcPr>
            <w:tcW w:w="2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obligations disclosed above do not include contractual obligations recorded on the Company’s balance sheet as current liabilities except for the current portion of long-term debt. The expected timing of payment amounts of the obligations discussed above is estimated based on current information. Timing and actual amounts paid may differ depending on the timing of receipt of goods or services, market prices or changes to agreed-upon amounts for some obligations.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obligations include all commitments to purchase goods or services of either a fixed or minimum quantity that meet any of the following criteria:</w:t>
      </w:r>
    </w:p>
    <w:p>
      <w:pPr>
        <w:spacing w:after="0" w:line="46" w:lineRule="exact"/>
        <w:rPr>
          <w:sz w:val="20"/>
          <w:szCs w:val="20"/>
          <w:color w:val="auto"/>
        </w:rPr>
      </w:pPr>
    </w:p>
    <w:p>
      <w:pPr>
        <w:ind w:right="180" w:firstLine="8"/>
        <w:spacing w:after="0" w:line="271"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they are noncancelable, (2) the Company would incur a penalty if the agreement was cancelled, or (3) the Company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the Company would incur a penalty if cancelled,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1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has an agreement with its TECH joint venture to purchase all of TECH’s output of semiconductor memory components subject to specific terms and conditions. As the purchase quantities are based on qualified production output, the agreement does not contain a fixed or minimum purchase quantity and therefore the Company did not include the agreement in its purchase obligations. In addition to purchase quantities, the TECH purchase obligation fluctuates based on average selling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prices for semiconductor memory components which can change significantly from period to period. In 2005, the net cost of semiconductor components purchased from TECH was $651.9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80" w:firstLine="324"/>
        <w:spacing w:after="0" w:line="275" w:lineRule="auto"/>
        <w:rPr>
          <w:sz w:val="20"/>
          <w:szCs w:val="20"/>
          <w:color w:val="auto"/>
        </w:rPr>
      </w:pPr>
      <w:r>
        <w:rPr>
          <w:rFonts w:ascii="Arial" w:cs="Arial" w:eastAsia="Arial" w:hAnsi="Arial"/>
          <w:sz w:val="18"/>
          <w:szCs w:val="18"/>
          <w:color w:val="auto"/>
        </w:rPr>
        <w:t xml:space="preserve">As of September 1, 2005, the Company had the following </w:t>
      </w:r>
      <w:r>
        <w:rPr>
          <w:rFonts w:ascii="Arial" w:cs="Arial" w:eastAsia="Arial" w:hAnsi="Arial"/>
          <w:sz w:val="17"/>
          <w:szCs w:val="17"/>
          <w:color w:val="auto"/>
        </w:rPr>
        <w:t>off-balance sheet arrangements: convertible debt, call spread options, stock warrants and its</w:t>
      </w:r>
      <w:r>
        <w:rPr>
          <w:rFonts w:ascii="Arial" w:cs="Arial" w:eastAsia="Arial" w:hAnsi="Arial"/>
          <w:sz w:val="18"/>
          <w:szCs w:val="18"/>
          <w:color w:val="auto"/>
        </w:rPr>
        <w:t xml:space="preserve"> </w:t>
      </w:r>
      <w:r>
        <w:rPr>
          <w:rFonts w:ascii="Arial" w:cs="Arial" w:eastAsia="Arial" w:hAnsi="Arial"/>
          <w:sz w:val="17"/>
          <w:szCs w:val="17"/>
          <w:color w:val="auto"/>
        </w:rPr>
        <w:t>variable interest in the TECH joint venture.</w:t>
      </w:r>
    </w:p>
    <w:p>
      <w:pPr>
        <w:spacing w:after="0" w:line="17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Liquidity and Capital Resources” for a description of the Company’s convertible debt.</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In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September 1, 2005, there had been no exercises of warrants and all warrants issued remained outstanding.</w:t>
      </w:r>
    </w:p>
    <w:p>
      <w:pPr>
        <w:spacing w:after="0" w:line="16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Joint Venture” for a description of the Company’s arrangement with its TECH joint venture.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May 2005, the FASB issued SFAS No. 154, “Accounting Changes and Error Corrections.” SFAS No. 154 replaces APB Opinion No. 20, “Accounting Changes,” and SFAS No. 3, “Reporting Accounting Changes in Interim Financial Statements,” and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58"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prior to the end of 2006. The Company is currently assessing the impact of Interpretation No. 47 on its results of operations and financial condition.</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December 2004, the FASB issued SFAS No. 123(R), “Share-Based Payment.” SFAS No.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In March 2005, the U.S. Securities and Exchange Commission (“SEC”) issued SAB 107 which expresses views of the SEC staff regarding the application of SFAS No. 123(R). Among other things, SAB 107 provides interpretive guidance related to the interaction between SFAS No. 123(R) and certain SEC rules and regulations as well as provides the SEC staff’s views regarding the valuation of share-based payment</w:t>
      </w:r>
    </w:p>
    <w:p>
      <w:pPr>
        <w:sectPr>
          <w:pgSz w:w="11900" w:h="16838" w:orient="portrait"/>
          <w:cols w:equalWidth="0" w:num="1">
            <w:col w:w="11400"/>
          </w:cols>
          <w:pgMar w:left="240" w:top="125" w:right="259" w:bottom="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arrangements for public companies. The Company is required to adopt SFAS No. 123(R) in the beginning of 2006. Upon adoption, the Company will record non-cash stock compensation expense primarily associated with future grants of stock options, which will have an adverse effect on its results of operations.</w:t>
      </w:r>
    </w:p>
    <w:p>
      <w:pPr>
        <w:spacing w:after="0" w:line="124"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effect on the Company’s results of operations or financial condition.</w:t>
      </w:r>
    </w:p>
    <w:p>
      <w:pPr>
        <w:spacing w:after="0" w:line="154"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the beginning of 2006 and its adoption is not expected to have a significant effect on the Company’s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8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6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products or CMOS image sensors. The major characteristics the Company considers in determining inventory categories are product type and markets.</w:t>
      </w:r>
    </w:p>
    <w:p>
      <w:pPr>
        <w:spacing w:after="0" w:line="143" w:lineRule="exact"/>
        <w:rPr>
          <w:sz w:val="20"/>
          <w:szCs w:val="20"/>
          <w:color w:val="auto"/>
        </w:rPr>
      </w:pPr>
    </w:p>
    <w:p>
      <w:pPr>
        <w:ind w:right="380" w:firstLine="324"/>
        <w:spacing w:after="0" w:line="282"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acquire product and process technology or to patent technology developed by the Company 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and amortized on a straight-line basis over periods currently ranging up to 10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7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80" w:firstLine="324"/>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ectPr>
          <w:pgSz w:w="11900" w:h="16838" w:orient="portrait"/>
          <w:cols w:equalWidth="0" w:num="1">
            <w:col w:w="11420"/>
          </w:cols>
          <w:pgMar w:left="240" w:top="125" w:right="239" w:bottom="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3" w:name="page34"/>
    <w:bookmarkEnd w:id="33"/>
    <w:p>
      <w:pPr>
        <w:jc w:val="right"/>
        <w:ind w:right="20"/>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p>
      <w:pPr>
        <w:ind w:left="109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6779895</wp:posOffset>
            </wp:positionH>
            <wp:positionV relativeFrom="paragraph">
              <wp:posOffset>6350</wp:posOffset>
            </wp:positionV>
            <wp:extent cx="4718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as of September 1, 2005, and September 2, 2004, and for the fiscal years ended September 1, 2005,</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September 2, 2004 and August 28, 2003: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Consolidated Statements of Operations</w:t>
            </w:r>
          </w:p>
        </w:tc>
        <w:tc>
          <w:tcPr>
            <w:tcW w:w="6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5120" w:type="dxa"/>
            <w:vAlign w:val="bottom"/>
          </w:tcPr>
          <w:p>
            <w:pPr>
              <w:ind w:left="360"/>
              <w:spacing w:after="0"/>
              <w:rPr>
                <w:sz w:val="20"/>
                <w:szCs w:val="20"/>
                <w:color w:val="auto"/>
              </w:rPr>
            </w:pPr>
            <w:r>
              <w:rPr>
                <w:rFonts w:ascii="Arial" w:cs="Arial" w:eastAsia="Arial" w:hAnsi="Arial"/>
                <w:sz w:val="18"/>
                <w:szCs w:val="18"/>
                <w:color w:val="auto"/>
              </w:rPr>
              <w:t>Consolidated Balance Sheets</w:t>
            </w:r>
          </w:p>
        </w:tc>
        <w:tc>
          <w:tcPr>
            <w:tcW w:w="6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5120" w:type="dxa"/>
            <w:vAlign w:val="bottom"/>
          </w:tcPr>
          <w:p>
            <w:pPr>
              <w:ind w:left="360"/>
              <w:spacing w:after="0"/>
              <w:rPr>
                <w:sz w:val="20"/>
                <w:szCs w:val="20"/>
                <w:color w:val="auto"/>
              </w:rPr>
            </w:pPr>
            <w:r>
              <w:rPr>
                <w:rFonts w:ascii="Arial" w:cs="Arial" w:eastAsia="Arial" w:hAnsi="Arial"/>
                <w:sz w:val="18"/>
                <w:szCs w:val="18"/>
                <w:color w:val="auto"/>
              </w:rPr>
              <w:t>Consolidated Statements of Shareholders’ Equity</w:t>
            </w:r>
          </w:p>
        </w:tc>
        <w:tc>
          <w:tcPr>
            <w:tcW w:w="6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5120" w:type="dxa"/>
            <w:vAlign w:val="bottom"/>
          </w:tcPr>
          <w:p>
            <w:pPr>
              <w:ind w:left="360"/>
              <w:spacing w:after="0"/>
              <w:rPr>
                <w:sz w:val="20"/>
                <w:szCs w:val="20"/>
                <w:color w:val="auto"/>
              </w:rPr>
            </w:pPr>
            <w:r>
              <w:rPr>
                <w:rFonts w:ascii="Arial" w:cs="Arial" w:eastAsia="Arial" w:hAnsi="Arial"/>
                <w:sz w:val="18"/>
                <w:szCs w:val="18"/>
                <w:color w:val="auto"/>
              </w:rPr>
              <w:t>Consolidated Statements of Cash Flows</w:t>
            </w:r>
          </w:p>
        </w:tc>
        <w:tc>
          <w:tcPr>
            <w:tcW w:w="6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512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6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5120" w:type="dxa"/>
            <w:vAlign w:val="bottom"/>
          </w:tcPr>
          <w:p>
            <w:pPr>
              <w:ind w:left="360"/>
              <w:spacing w:after="0"/>
              <w:rPr>
                <w:sz w:val="20"/>
                <w:szCs w:val="20"/>
                <w:color w:val="auto"/>
              </w:rPr>
            </w:pPr>
            <w:r>
              <w:rPr>
                <w:rFonts w:ascii="Arial" w:cs="Arial" w:eastAsia="Arial" w:hAnsi="Arial"/>
                <w:sz w:val="18"/>
                <w:szCs w:val="18"/>
                <w:color w:val="auto"/>
              </w:rPr>
              <w:t>Report of Independent Registered Public Accounting Firm</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6320" w:type="dxa"/>
            <w:vAlign w:val="bottom"/>
          </w:tcPr>
          <w:p>
            <w:pPr>
              <w:spacing w:after="0"/>
              <w:rPr>
                <w:sz w:val="24"/>
                <w:szCs w:val="24"/>
                <w:color w:val="auto"/>
              </w:rPr>
            </w:pPr>
          </w:p>
        </w:tc>
      </w:tr>
      <w:tr>
        <w:trPr>
          <w:trHeight w:val="432"/>
        </w:trPr>
        <w:tc>
          <w:tcPr>
            <w:tcW w:w="5120" w:type="dxa"/>
            <w:vAlign w:val="bottom"/>
          </w:tcPr>
          <w:p>
            <w:pPr>
              <w:ind w:left="360"/>
              <w:spacing w:after="0"/>
              <w:rPr>
                <w:sz w:val="20"/>
                <w:szCs w:val="20"/>
                <w:color w:val="auto"/>
              </w:rPr>
            </w:pPr>
            <w:r>
              <w:rPr>
                <w:rFonts w:ascii="Arial" w:cs="Arial" w:eastAsia="Arial" w:hAnsi="Arial"/>
                <w:sz w:val="18"/>
                <w:szCs w:val="18"/>
                <w:color w:val="auto"/>
              </w:rPr>
              <w:t>Schedule II – Valuation and Qualifying Accounts</w:t>
            </w: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5120" w:type="dxa"/>
            <w:vAlign w:val="bottom"/>
          </w:tcPr>
          <w:p>
            <w:pPr>
              <w:spacing w:after="0"/>
              <w:rPr>
                <w:sz w:val="24"/>
                <w:szCs w:val="24"/>
                <w:color w:val="auto"/>
              </w:rPr>
            </w:pPr>
          </w:p>
        </w:tc>
        <w:tc>
          <w:tcPr>
            <w:tcW w:w="6320" w:type="dxa"/>
            <w:vAlign w:val="bottom"/>
          </w:tcPr>
          <w:p>
            <w:pPr>
              <w:jc w:val="right"/>
              <w:ind w:right="5590"/>
              <w:spacing w:after="0"/>
              <w:rPr>
                <w:sz w:val="20"/>
                <w:szCs w:val="20"/>
                <w:color w:val="auto"/>
              </w:rPr>
            </w:pPr>
            <w:r>
              <w:rPr>
                <w:rFonts w:ascii="Arial" w:cs="Arial" w:eastAsia="Arial" w:hAnsi="Arial"/>
                <w:sz w:val="18"/>
                <w:szCs w:val="18"/>
                <w:color w:val="auto"/>
              </w:rPr>
              <w:t>1</w:t>
            </w:r>
          </w:p>
        </w:tc>
      </w:tr>
      <w:tr>
        <w:trPr>
          <w:trHeight w:val="118"/>
        </w:trPr>
        <w:tc>
          <w:tcPr>
            <w:tcW w:w="5120" w:type="dxa"/>
            <w:vAlign w:val="bottom"/>
            <w:tcBorders>
              <w:bottom w:val="single" w:sz="8" w:color="808080"/>
            </w:tcBorders>
          </w:tcPr>
          <w:p>
            <w:pPr>
              <w:spacing w:after="0"/>
              <w:rPr>
                <w:sz w:val="10"/>
                <w:szCs w:val="10"/>
                <w:color w:val="auto"/>
              </w:rPr>
            </w:pPr>
          </w:p>
        </w:tc>
        <w:tc>
          <w:tcPr>
            <w:tcW w:w="6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2,</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3,089.5</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603.7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754.9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160"/>
              <w:spacing w:after="0"/>
              <w:rPr>
                <w:sz w:val="20"/>
                <w:szCs w:val="20"/>
                <w:color w:val="auto"/>
              </w:rPr>
            </w:pPr>
            <w:r>
              <w:rPr>
                <w:rFonts w:ascii="Arial" w:cs="Arial" w:eastAsia="Arial" w:hAnsi="Arial"/>
                <w:sz w:val="18"/>
                <w:szCs w:val="18"/>
                <w:color w:val="auto"/>
              </w:rPr>
              <w:t>Income (loss) before taxes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198.6</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232.0</w:t>
            </w:r>
          </w:p>
        </w:tc>
        <w:tc>
          <w:tcPr>
            <w:tcW w:w="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641.5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millions except par value amounts)</w:t>
      </w:r>
    </w:p>
    <w:p>
      <w:pPr>
        <w:sectPr>
          <w:pgSz w:w="11900" w:h="16838" w:orient="portrait"/>
          <w:cols w:equalWidth="0" w:num="1">
            <w:col w:w="11440"/>
          </w:cols>
          <w:pgMar w:left="240" w:top="121" w:right="219" w:bottom="0" w:gutter="0" w:footer="0" w:header="0"/>
        </w:sectPr>
      </w:pPr>
    </w:p>
    <w:bookmarkStart w:id="34" w:name="page35"/>
    <w:bookmarkEnd w:id="3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1,</w:t>
            </w:r>
          </w:p>
        </w:tc>
        <w:tc>
          <w:tcPr>
            <w:tcW w:w="22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Cash and equivalents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524.5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765.9</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794.4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2,925.6</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4,683.8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8,006.4</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1,020.2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125.6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$0.10 par value, authorized 3.0 billion shares, issued and outstanding 616.2 million and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611.5 million shares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4,707.4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1,078.1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8,006.4</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20" w:type="dxa"/>
            <w:vAlign w:val="bottom"/>
            <w:gridSpan w:val="5"/>
            <w:vMerge w:val="restart"/>
          </w:tcPr>
          <w:p>
            <w:pPr>
              <w:jc w:val="right"/>
              <w:ind w:right="71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20" w:type="dxa"/>
            <w:vAlign w:val="bottom"/>
            <w:tcBorders>
              <w:bottom w:val="single" w:sz="8" w:color="auto"/>
            </w:tcBorders>
            <w:gridSpan w:val="5"/>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2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0"/>
                <w:szCs w:val="10"/>
                <w:color w:val="auto"/>
              </w:rPr>
            </w:pPr>
          </w:p>
        </w:tc>
        <w:tc>
          <w:tcPr>
            <w:tcW w:w="11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August 29, 2002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604.4</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(1,273.2)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40"/>
              <w:spacing w:after="0" w:line="201" w:lineRule="exact"/>
              <w:rPr>
                <w:sz w:val="20"/>
                <w:szCs w:val="20"/>
                <w:color w:val="auto"/>
              </w:rPr>
            </w:pPr>
            <w:r>
              <w:rPr>
                <w:rFonts w:ascii="Arial" w:cs="Arial" w:eastAsia="Arial" w:hAnsi="Arial"/>
                <w:sz w:val="18"/>
                <w:szCs w:val="18"/>
                <w:color w:val="auto"/>
              </w:rPr>
              <w:t>Net change in unrealized gain (loss)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on investments, net of tax</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comprehensive income (loss)</w:t>
            </w: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stock plans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Purchase of call spread options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August 28, 2003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40"/>
              <w:spacing w:after="0" w:line="201" w:lineRule="exact"/>
              <w:rPr>
                <w:sz w:val="20"/>
                <w:szCs w:val="20"/>
                <w:color w:val="auto"/>
              </w:rPr>
            </w:pPr>
            <w:r>
              <w:rPr>
                <w:rFonts w:ascii="Arial" w:cs="Arial" w:eastAsia="Arial" w:hAnsi="Arial"/>
                <w:sz w:val="18"/>
                <w:szCs w:val="18"/>
                <w:color w:val="auto"/>
              </w:rPr>
              <w:t>Net change in unrealized gain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(loss)on investments, net of tax</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tcBorders>
              <w:top w:val="single" w:sz="8" w:color="CCEEFF"/>
            </w:tcBorders>
            <w:shd w:val="clear" w:color="auto" w:fill="CCEEFF"/>
          </w:tcPr>
          <w:p>
            <w:pPr>
              <w:ind w:left="160"/>
              <w:spacing w:after="0" w:line="185" w:lineRule="exact"/>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4" w:right="239" w:bottom="0" w:gutter="0" w:footer="0" w:header="0"/>
        </w:sectPr>
      </w:pPr>
    </w:p>
    <w:bookmarkStart w:id="35" w:name="page36"/>
    <w:bookmarkEnd w:id="3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stock plans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 of stock rights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8"/>
              </w:rPr>
              <w:t>Redeemable common stock accretion and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fair value adjustment</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2, 2004</w:t>
            </w: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2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4,663.9</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40"/>
              <w:spacing w:after="0" w:line="201" w:lineRule="exact"/>
              <w:rPr>
                <w:sz w:val="20"/>
                <w:szCs w:val="20"/>
                <w:color w:val="auto"/>
              </w:rPr>
            </w:pPr>
            <w:r>
              <w:rPr>
                <w:rFonts w:ascii="Arial" w:cs="Arial" w:eastAsia="Arial" w:hAnsi="Arial"/>
                <w:sz w:val="18"/>
                <w:szCs w:val="18"/>
                <w:color w:val="auto"/>
              </w:rPr>
              <w:t>Net change in unrealized gain (loss)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on investments, net of tax</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 issued under stock plans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Balance at September 1, 2005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4,707.4</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20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2,</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1"/>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188.0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restructure and other charges (benefits)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Provision to write down inventories to estimated market values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(gain) from write-down or disposition of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Loss (gain) from write-down or disposition of investments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Increase in receivables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Increase in inventories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Increase in accounts payable and accrued expenses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Purchases of available-for-sale securities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(1,848.6)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(1,799.4)</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(Increase) decrease in restricted cash</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Proceeds from issuance of debt</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stock rights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Purchase of call spread options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at beginning of year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equivalents at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(paid), net</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1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w:t>
            </w: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Equipment acquisitions on contracts payable and capital leases</w:t>
            </w:r>
          </w:p>
        </w:tc>
        <w:tc>
          <w:tcPr>
            <w:tcW w:w="1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372.3</w:t>
            </w:r>
          </w:p>
        </w:tc>
        <w:tc>
          <w:tcPr>
            <w:tcW w:w="6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280.0</w:t>
            </w:r>
          </w:p>
        </w:tc>
        <w:tc>
          <w:tcPr>
            <w:tcW w:w="6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DRAM, NAND Flash memory, CMOS image sensors and other semiconductor components. The Company has two reportable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United States of America and include the accounts of the Company and its consolidated subsidiaries. All significant intercompany transactions and balances have been eliminated.</w:t>
      </w:r>
    </w:p>
    <w:p>
      <w:pPr>
        <w:spacing w:after="0" w:line="192"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fiscal 2005 and 2003 contained 52 weeks. The Company’s fiscal 2004 contained 53 weeks. All period references are to the Company’s fiscal periods unless otherwise indicated.</w:t>
      </w:r>
    </w:p>
    <w:p>
      <w:pPr>
        <w:spacing w:after="0" w:line="120"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none of which affected results of operations, to present the financial statements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basis.</w:t>
      </w:r>
    </w:p>
    <w:p>
      <w:pPr>
        <w:spacing w:after="0" w:line="16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and related disclosures in conformity with U.S. generally accepted accounting principles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16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b w:val="1"/>
          <w:bCs w:val="1"/>
          <w:color w:val="auto"/>
        </w:rPr>
        <w:t xml:space="preserve">Certain concentrations: </w:t>
      </w:r>
      <w:r>
        <w:rPr>
          <w:rFonts w:ascii="Arial" w:cs="Arial" w:eastAsia="Arial" w:hAnsi="Arial"/>
          <w:sz w:val="16"/>
          <w:szCs w:val="16"/>
          <w:color w:val="auto"/>
        </w:rPr>
        <w:t>Approximately 70% of the Company’s net sales for 2005 were to the computing market, including desktop PCs, notebooks,</w:t>
      </w:r>
      <w:r>
        <w:rPr>
          <w:rFonts w:ascii="Arial" w:cs="Arial" w:eastAsia="Arial" w:hAnsi="Arial"/>
          <w:sz w:val="16"/>
          <w:szCs w:val="16"/>
          <w:b w:val="1"/>
          <w:bCs w:val="1"/>
          <w:color w:val="auto"/>
        </w:rPr>
        <w:t xml:space="preserve"> </w:t>
      </w:r>
      <w:r>
        <w:rPr>
          <w:rFonts w:ascii="Arial" w:cs="Arial" w:eastAsia="Arial" w:hAnsi="Arial"/>
          <w:sz w:val="16"/>
          <w:szCs w:val="16"/>
          <w:color w:val="auto"/>
        </w:rPr>
        <w:t>servers and workstations. Sales to one customer were 12.2%, 14.1 % and 14.9% of the Company’s net sales in 2005, 2004 and 2003, respectively. Sales to another customer were 11.3%, 13.2% and 13.2% of the Company’s net sales in 2005, 2004 and 2003, respectively. Sales of DRAM products constituted 87% of the Company’s net sales for 2005 and no other product group individually constituted greater than 10% of the Company’s net sales. Certain components used by the Company in manufacturing semiconductor products are available from a limited number of suppliers.</w:t>
      </w:r>
    </w:p>
    <w:p>
      <w:pPr>
        <w:spacing w:after="0" w:line="158"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investment securities and trade receivables. The Company invests through high-credit-quality financial institutions and, by policy, limits the concentration of credit exposure by restricting investments with any single obligor. A concentration of credit risk may exist with respect to trade receivables as a substantial portion of the Company’s customers are affiliated with the computing industry. The Company performs ongoing credit evaluations of customers worldwide and generally does not require collateral from its customers. Historically, the Company has not experienced significant losses on receivables.</w:t>
      </w:r>
    </w:p>
    <w:p>
      <w:pPr>
        <w:spacing w:after="0" w:line="169"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The Company generally provides a limited warranty that its products are in compliance with Company specifications existing at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upon the Company more extensive liability than that provided under the Company’s general terms and conditions. The Company’s warranty obligations are not material.</w:t>
      </w:r>
    </w:p>
    <w:p>
      <w:pPr>
        <w:spacing w:after="0" w:line="168" w:lineRule="exact"/>
        <w:rPr>
          <w:sz w:val="20"/>
          <w:szCs w:val="20"/>
          <w:color w:val="auto"/>
        </w:rPr>
      </w:pPr>
    </w:p>
    <w:p>
      <w:pPr>
        <w:ind w:right="240" w:firstLine="324"/>
        <w:spacing w:after="0" w:line="31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Company recognizes revenue when persuasive evidence of a sales arrangement exists, delivery has occurred, the price is</w:t>
      </w:r>
      <w:r>
        <w:rPr>
          <w:rFonts w:ascii="Arial" w:cs="Arial" w:eastAsia="Arial" w:hAnsi="Arial"/>
          <w:sz w:val="16"/>
          <w:szCs w:val="16"/>
          <w:b w:val="1"/>
          <w:bCs w:val="1"/>
          <w:color w:val="auto"/>
        </w:rPr>
        <w:t xml:space="preserve"> </w:t>
      </w:r>
      <w:r>
        <w:rPr>
          <w:rFonts w:ascii="Arial" w:cs="Arial" w:eastAsia="Arial" w:hAnsi="Arial"/>
          <w:sz w:val="16"/>
          <w:szCs w:val="16"/>
          <w:color w:val="auto"/>
        </w:rPr>
        <w:t>fixed or determinable and collectibility is reasonably assured. Because of frequent changes in market prices for the Company’s products, sales made under agreements allowing pricing protection or rights of return (other than for product warranty) are deferred until customers have sold the product.</w:t>
      </w:r>
    </w:p>
    <w:p>
      <w:pPr>
        <w:spacing w:after="0" w:line="142"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as 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Through 2005, the Company’s employee stock plans were accounted for using the intrinsic value method prescribed by</w:t>
      </w:r>
      <w:r>
        <w:rPr>
          <w:rFonts w:ascii="Arial" w:cs="Arial" w:eastAsia="Arial" w:hAnsi="Arial"/>
          <w:sz w:val="17"/>
          <w:szCs w:val="17"/>
          <w:b w:val="1"/>
          <w:bCs w:val="1"/>
          <w:color w:val="auto"/>
        </w:rPr>
        <w:t xml:space="preserve"> </w:t>
      </w:r>
      <w:r>
        <w:rPr>
          <w:rFonts w:ascii="Arial" w:cs="Arial" w:eastAsia="Arial" w:hAnsi="Arial"/>
          <w:sz w:val="17"/>
          <w:szCs w:val="17"/>
          <w:color w:val="auto"/>
        </w:rPr>
        <w:t>APB No. 25, “Accounting for Stock Issued to Employees.” The Company utilizes the Black-Scholes option valuation model to value stock options for pro forma presentation of income and per share data as if the fair value based method in Statement of Financial Accounting Standards (“SFAS”) No. 123, “Accounting for Stock-Based Compensation,” had been used to account for stock-based compensation. The following presents pro forma income (loss) and per share data as if a fair value based method had been used to account for stock-based compensation:</w:t>
      </w:r>
    </w:p>
    <w:p>
      <w:pPr>
        <w:sectPr>
          <w:pgSz w:w="11900" w:h="16838" w:orient="portrait"/>
          <w:cols w:equalWidth="0" w:num="1">
            <w:col w:w="11420"/>
          </w:cols>
          <w:pgMar w:left="240" w:top="140" w:right="239" w:bottom="0" w:gutter="0" w:footer="0" w:header="0"/>
        </w:sectPr>
      </w:pPr>
    </w:p>
    <w:bookmarkStart w:id="37" w:name="page38"/>
    <w:bookmarkEnd w:id="37"/>
    <w:tbl>
      <w:tblPr>
        <w:tblLayout w:type="fixed"/>
        <w:tblInd w:w="3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156.3</w:t>
            </w:r>
          </w:p>
        </w:tc>
        <w:tc>
          <w:tcPr>
            <w:tcW w:w="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employee compensation expense included in reported net income (loss),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580" w:type="dxa"/>
            <w:vAlign w:val="bottom"/>
          </w:tcPr>
          <w:p>
            <w:pPr>
              <w:spacing w:after="0" w:line="201" w:lineRule="exact"/>
              <w:rPr>
                <w:sz w:val="20"/>
                <w:szCs w:val="20"/>
                <w:color w:val="auto"/>
              </w:rPr>
            </w:pPr>
            <w:r>
              <w:rPr>
                <w:rFonts w:ascii="Arial" w:cs="Arial" w:eastAsia="Arial" w:hAnsi="Arial"/>
                <w:sz w:val="18"/>
                <w:szCs w:val="18"/>
                <w:color w:val="auto"/>
                <w:w w:val="94"/>
              </w:rPr>
              <w:t>Less total stock-based employee compensation expense determined under a fair value-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based method for all awards, net of tax</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(203.9)</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 forma net income (loss) available to common shareholders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7"/>
        </w:trPr>
        <w:tc>
          <w:tcPr>
            <w:tcW w:w="65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Basic, as reported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pro forma</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as reported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Diluted, pro forma</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April 4, 2005, the Company accelerated the vesting of approximately 44.6 million unvested stock options outstanding under the Company’s stock plans with exercise prices per share of $12.00 or higher. The options had a range of exercise prices of $12.00 to $44.90 and a weighted average exercise price of $14.08. The closing price of the Company’s common stock on April 1, 2005, the last trading day before the acceleration, was $10.26. The acceleration was effective as of April 4, 2005. The purpose of the accelerated vesting was to enable the Company to avoid recognizing compensation expense associated with these options upon adoption of SFAS No. 123(R). The aggregate pre-tax expense associated with the accelerated options that would have been reflected in the Company’s consolidated financial statements in future fiscal years was approximately $100 million, which is included in pro forma stock-based employee compensation expense for 2005.</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The U.S. dollar is the Company’s functional currency for substantially all of its operations.</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computed based on the weighted average number of common shares and stock rights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Basic and diluted earnings per share computations reflect the effect of accretion of, and fair value adjustment to, redeemable common stock.</w:t>
      </w:r>
    </w:p>
    <w:p>
      <w:pPr>
        <w:spacing w:after="0" w:line="184" w:lineRule="exact"/>
        <w:rPr>
          <w:sz w:val="20"/>
          <w:szCs w:val="20"/>
          <w:color w:val="auto"/>
        </w:rPr>
      </w:pPr>
    </w:p>
    <w:p>
      <w:pPr>
        <w:ind w:right="400" w:firstLine="324"/>
        <w:spacing w:after="0" w:line="258"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Cash equivalents include highly liquid short-term investments with original maturities of three months or less, readily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to known amounts of cash. Investments with original maturities greater than three months and remaining maturities less than one year are classified as short-term investments. Investments with remaining maturities greater than one year are classified as other noncurrent assets. Securities classified as available-for-sale are stated at market value. The carrying value of investment securities sold is determined using the specific identification method.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amounts reported as cash and equivalents, short-term investments, receivables, other assets, accounts payable and accrued expenses and equipment purchase contracts approximate their fair values. The estimated fair value of the Company’s debt was $1.2 billion as of September 1, 2005 and September 2, 2004. The fair value estimates presented herein were based on market interest rates and other market information available to management as of each balance sheet date presented. The use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different market assumptions and/or estimation methodologies could have a material effect on the estimated fair value amounts. The approximate fair values do not take into consideration expenses that could be incurred in an actual settlement.</w:t>
      </w:r>
    </w:p>
    <w:p>
      <w:pPr>
        <w:spacing w:after="0" w:line="166"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technology costs. Determining market value of inventories involves numerous judgments, including projecting average selling prices and sales volumes for future periods and costs to complete products in work in process inventories. As a result of these analyses, when market values are below the Company’s costs, the Company records a charge to cost of goods sold in advance of when the inventory is actually sold.</w:t>
      </w:r>
    </w:p>
    <w:p>
      <w:pPr>
        <w:spacing w:after="0" w:line="16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acquire product and process technology or to patent technology developed by the Company 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 Fully-amortized costs are removed from product and process technology and accumulated amortization.</w:t>
      </w:r>
    </w:p>
    <w:p>
      <w:pPr>
        <w:spacing w:after="0" w:line="184" w:lineRule="exact"/>
        <w:rPr>
          <w:sz w:val="20"/>
          <w:szCs w:val="20"/>
          <w:color w:val="auto"/>
        </w:rPr>
      </w:pPr>
    </w:p>
    <w:p>
      <w:pPr>
        <w:ind w:right="260" w:firstLine="324"/>
        <w:spacing w:after="0" w:line="303"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and depreciated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5 to 30 years for buildings, 2 to 20 years for equipment and 2 to 5 years for software. Assets held for sale are carried at the lower of cost or estimated fair value and are included in other noncurrent assets. When property or equipment is retired or otherwise disposed of, the net book value of the asset is removed from the Company’s accounts and any net gain or loss is included in the Company’s results of operations.</w:t>
      </w:r>
    </w:p>
    <w:p>
      <w:pPr>
        <w:spacing w:after="0" w:line="15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$1.8 million, $1.1 million and $3.4 million in 2005, 2004 and 2003, respectively, in connection with various capital projects.</w:t>
      </w:r>
    </w:p>
    <w:p>
      <w:pPr>
        <w:sectPr>
          <w:pgSz w:w="11900" w:h="16838" w:orient="portrait"/>
          <w:cols w:equalWidth="0" w:num="1">
            <w:col w:w="11400"/>
          </w:cols>
          <w:pgMar w:left="240" w:top="118" w:right="259" w:bottom="0" w:gutter="0" w:footer="0" w:header="0"/>
        </w:sectPr>
      </w:pPr>
    </w:p>
    <w:bookmarkStart w:id="38" w:name="page39"/>
    <w:bookmarkEnd w:id="38"/>
    <w:p>
      <w:pPr>
        <w:ind w:right="40" w:firstLine="324"/>
        <w:spacing w:after="0" w:line="256"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May 2005, the Financial Accounting Standards Board (“FASB”) issued SFAS No. 154,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and Error Corrections.” SFAS No. 154 replaces APB Opinion No. 20, “Accounting Changes”, and SFAS No. 3, “Reporting Accounting Changes in Interim Financial Statements,” and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92" w:lineRule="exact"/>
        <w:rPr>
          <w:sz w:val="20"/>
          <w:szCs w:val="20"/>
          <w:color w:val="auto"/>
        </w:rPr>
      </w:pPr>
    </w:p>
    <w:p>
      <w:pPr>
        <w:ind w:right="380" w:firstLine="324"/>
        <w:spacing w:after="0" w:line="279" w:lineRule="auto"/>
        <w:rPr>
          <w:sz w:val="20"/>
          <w:szCs w:val="20"/>
          <w:color w:val="auto"/>
        </w:rPr>
      </w:pPr>
      <w:r>
        <w:rPr>
          <w:rFonts w:ascii="Arial" w:cs="Arial" w:eastAsia="Arial" w:hAnsi="Arial"/>
          <w:sz w:val="17"/>
          <w:szCs w:val="17"/>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prior to the end of 2006. The Company is currently assessing the impact of Interpretation No. 47 on its results of operations and financial condition.</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December 2004, the FASB issued SFAS No. 123(R), “Share-Based Payment.” SFAS No.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In March 2005, the U.S. Securities and Exchange Commission (“SEC”) issued SAB 107 which expresses views of the SEC staff regarding the application of SFAS No. 123(R). Among other things, SAB 107 provides interpretive guidance related to the interaction between SFAS No. 123(R) and certain SEC rules and regulations as well as provides the SEC staff’s views regarding the valuation of share-based payment arrangements for public companies. The Company is required to adopt SFAS No. 123(R) in the beginning of 2006. Upon adoption, the Company will record non-cash stock compensation expense primarily associated with future grants of stock options, which will have an adverse effect on its results of operations.</w:t>
      </w:r>
    </w:p>
    <w:p>
      <w:pPr>
        <w:spacing w:after="0" w:line="18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adopt SFAS No. 153 for nonmonetary asset exchanges occurring in the first quarter of 2006 and its adoption is not expected to have a significant effect on the Company’s results of operations or financial condition.</w:t>
      </w:r>
    </w:p>
    <w:p>
      <w:pPr>
        <w:spacing w:after="0" w:line="170"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the beginning of 2006 and its adoption is not expected to have a significant effect on the Company’s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 Securities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484.6</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286.2</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agencies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664.2</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Repurchase agreements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86.9</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118.9</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22.4</w:t>
            </w:r>
          </w:p>
        </w:tc>
      </w:tr>
      <w:tr>
        <w:trPr>
          <w:trHeight w:val="210"/>
        </w:trPr>
        <w:tc>
          <w:tcPr>
            <w:tcW w:w="6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Less cash equivalents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(431.0)</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noncurrent investments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7"/>
        </w:trPr>
        <w:tc>
          <w:tcPr>
            <w:tcW w:w="60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Gross unrealized gains and losses as of the end of the periods shown above were de minimis as were gross realized gains and losses in 2005, 2004 and 2003. Debt securities of $995.2 million held by the Company as of September 1, 2005, have contractual maturities within one year.</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Receivables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r>
      <w:tr>
        <w:trPr>
          <w:trHeight w:val="210"/>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719.7</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710.4</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Joint venture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other than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7"/>
        </w:trPr>
        <w:tc>
          <w:tcPr>
            <w:tcW w:w="6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65"/>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Inventories</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4"/>
                <w:szCs w:val="24"/>
                <w:color w:val="auto"/>
              </w:rPr>
            </w:pPr>
          </w:p>
        </w:tc>
      </w:tr>
      <w:tr>
        <w:trPr>
          <w:trHeight w:val="210"/>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271.1</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151.0</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337.9</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 and supplies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Allowance for obsolescence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r>
        <w:trPr>
          <w:trHeight w:val="217"/>
        </w:trPr>
        <w:tc>
          <w:tcPr>
            <w:tcW w:w="6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ectPr>
          <w:pgSz w:w="11900" w:h="16838" w:orient="portrait"/>
          <w:cols w:equalWidth="0" w:num="1">
            <w:col w:w="11380"/>
          </w:cols>
          <w:pgMar w:left="240" w:top="121" w:right="279" w:bottom="0" w:gutter="0" w:footer="0" w:header="0"/>
        </w:sectPr>
      </w:pPr>
    </w:p>
    <w:bookmarkStart w:id="39" w:name="page40"/>
    <w:bookmarkEnd w:id="39"/>
    <w:p>
      <w:pPr>
        <w:ind w:right="300" w:firstLine="324"/>
        <w:spacing w:after="0" w:line="277" w:lineRule="auto"/>
        <w:rPr>
          <w:sz w:val="20"/>
          <w:szCs w:val="20"/>
          <w:color w:val="auto"/>
        </w:rPr>
      </w:pPr>
      <w:r>
        <w:rPr>
          <w:rFonts w:ascii="Arial" w:cs="Arial" w:eastAsia="Arial" w:hAnsi="Arial"/>
          <w:sz w:val="18"/>
          <w:szCs w:val="18"/>
          <w:color w:val="auto"/>
        </w:rPr>
        <w:t>The Company recognized write-downs aggregating $307.0 million in 2003 to record work in process and finished goods inventories at their estimated market values.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2004</w:t>
            </w:r>
          </w:p>
        </w:tc>
        <w:tc>
          <w:tcPr>
            <w:tcW w:w="1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320" w:type="dxa"/>
            <w:vAlign w:val="bottom"/>
          </w:tcPr>
          <w:p>
            <w:pPr>
              <w:spacing w:after="0"/>
              <w:rPr>
                <w:sz w:val="10"/>
                <w:szCs w:val="10"/>
                <w:color w:val="auto"/>
              </w:rPr>
            </w:pPr>
          </w:p>
        </w:tc>
        <w:tc>
          <w:tcPr>
            <w:tcW w:w="1280" w:type="dxa"/>
            <w:vAlign w:val="bottom"/>
          </w:tcPr>
          <w:p>
            <w:pPr>
              <w:jc w:val="right"/>
              <w:ind w:right="537"/>
              <w:spacing w:after="0" w:line="119" w:lineRule="exact"/>
              <w:rPr>
                <w:sz w:val="20"/>
                <w:szCs w:val="20"/>
                <w:color w:val="auto"/>
              </w:rPr>
            </w:pPr>
            <w:r>
              <w:rPr>
                <w:rFonts w:ascii="Arial" w:cs="Arial" w:eastAsia="Arial" w:hAnsi="Arial"/>
                <w:sz w:val="13"/>
                <w:szCs w:val="13"/>
                <w:b w:val="1"/>
                <w:bCs w:val="1"/>
                <w:color w:val="auto"/>
              </w:rPr>
              <w:t>Gross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gridSpan w:val="2"/>
          </w:tcPr>
          <w:p>
            <w:pPr>
              <w:jc w:val="right"/>
              <w:ind w:right="920"/>
              <w:spacing w:after="0" w:line="119" w:lineRule="exact"/>
              <w:rPr>
                <w:sz w:val="20"/>
                <w:szCs w:val="20"/>
                <w:color w:val="auto"/>
              </w:rPr>
            </w:pPr>
            <w:r>
              <w:rPr>
                <w:rFonts w:ascii="Arial" w:cs="Arial" w:eastAsia="Arial" w:hAnsi="Arial"/>
                <w:sz w:val="13"/>
                <w:szCs w:val="13"/>
                <w:b w:val="1"/>
                <w:bCs w:val="1"/>
                <w:color w:val="auto"/>
              </w:rPr>
              <w:t>Gross</w:t>
            </w:r>
          </w:p>
        </w:tc>
        <w:tc>
          <w:tcPr>
            <w:tcW w:w="200" w:type="dxa"/>
            <w:vAlign w:val="bottom"/>
          </w:tcPr>
          <w:p>
            <w:pPr>
              <w:spacing w:after="0"/>
              <w:rPr>
                <w:sz w:val="10"/>
                <w:szCs w:val="10"/>
                <w:color w:val="auto"/>
              </w:rPr>
            </w:pPr>
          </w:p>
        </w:tc>
        <w:tc>
          <w:tcPr>
            <w:tcW w:w="1380" w:type="dxa"/>
            <w:vAlign w:val="bottom"/>
          </w:tcPr>
          <w:p>
            <w:pPr>
              <w:jc w:val="right"/>
              <w:ind w:right="337"/>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47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and process technology</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Joint venture supply arrangement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30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During 2005, the Company capitalized $34.7 million for product and process technology with a weighted average useful life of ten years. During 2004, the Company capitalized $37.0 million for product and process technology with a weighted average useful life of ten years. As part of a restructure plan announced in the second quarter of 2003, the Company wrote off net carrying values of $16.1 million of product and process technology and $2.5 million of other intangible assets associated with discontinued products, including SRAM and TCAM products. (See “Restructure and Other Charges” note.)</w:t>
      </w:r>
    </w:p>
    <w:p>
      <w:pPr>
        <w:spacing w:after="0" w:line="154"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Amortization expense for intangible assets was $50.8 million, $50.3 million and $51.1 million in 2005, 2004 and 2003, respectively. Annual amortization expense for intangible assets held as of September 1, 2005, is estimated to be $51.1 million for 2006, $49.2 million for 2007, $48.5 million for 2008, $37.5 million for 2009 and $29.0 million for 2010.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Property, Plant and Equipment</w:t>
            </w:r>
          </w:p>
        </w:tc>
        <w:tc>
          <w:tcPr>
            <w:tcW w:w="34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6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r>
      <w:tr>
        <w:trPr>
          <w:trHeight w:val="216"/>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2,419.0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2,311.0</w:t>
            </w: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7,339.4</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r>
      <w:tr>
        <w:trPr>
          <w:trHeight w:val="210"/>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10,223.1</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(6,345.3)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(5,510.4)</w:t>
            </w:r>
          </w:p>
        </w:tc>
      </w:tr>
      <w:tr>
        <w:trPr>
          <w:trHeight w:val="217"/>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$1,211.4 million, $1,166.3 million and $1,157.8 million for 2005, 2004 and 2003, respectively.</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Company has a manufacturing facility in Utah that is only partially utilized. The Utah facility had a net book value of $683.7 million as of September 1, 2005. A portion of the Utah facility is being used for component test operations. The Company is depreciating substantially all assets at the Utah facility other than $192.1 million included in construction in progress as of September 1, 2005. Increased utilization of the facility is dependent upon market conditions, including, but not limited to, worldwide market supply of, and demand for, semiconductor products and the Company’s operations, cash flows and alternative capacity utilization opportunities.</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a restructure plan announced in the second quarter of 2003, the Company recorded impairment charges of $42.6 million in 2003 to writedown the carrying value of certain assets used in the Company’s 200mm production line in Virginia, which was shut down as part of the restructure plan. (See “Restructure and Other Charges” note.)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0"/>
        </w:trPr>
        <w:tc>
          <w:tcPr>
            <w:tcW w:w="6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419.7</w:t>
            </w:r>
          </w:p>
        </w:tc>
        <w:tc>
          <w:tcPr>
            <w:tcW w:w="1160" w:type="dxa"/>
            <w:vAlign w:val="bottom"/>
          </w:tcPr>
          <w:p>
            <w:pPr>
              <w:spacing w:after="0"/>
              <w:rPr>
                <w:sz w:val="18"/>
                <w:szCs w:val="18"/>
                <w:color w:val="auto"/>
              </w:rPr>
            </w:pPr>
          </w:p>
        </w:tc>
      </w:tr>
      <w:tr>
        <w:trPr>
          <w:trHeight w:val="216"/>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Salaries, wages and benefits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171.4</w:t>
            </w:r>
          </w:p>
        </w:tc>
        <w:tc>
          <w:tcPr>
            <w:tcW w:w="11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Joint venture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1160" w:type="dxa"/>
            <w:vAlign w:val="bottom"/>
          </w:tcPr>
          <w:p>
            <w:pPr>
              <w:spacing w:after="0"/>
              <w:rPr>
                <w:sz w:val="18"/>
                <w:szCs w:val="18"/>
                <w:color w:val="auto"/>
              </w:rPr>
            </w:pPr>
          </w:p>
        </w:tc>
      </w:tr>
      <w:tr>
        <w:trPr>
          <w:trHeight w:val="216"/>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Taxes other than income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20.7</w:t>
            </w:r>
          </w:p>
        </w:tc>
        <w:tc>
          <w:tcPr>
            <w:tcW w:w="116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1160" w:type="dxa"/>
            <w:vAlign w:val="bottom"/>
          </w:tcPr>
          <w:p>
            <w:pPr>
              <w:spacing w:after="0"/>
              <w:rPr>
                <w:sz w:val="18"/>
                <w:szCs w:val="18"/>
                <w:color w:val="auto"/>
              </w:rPr>
            </w:pPr>
          </w:p>
        </w:tc>
      </w:tr>
      <w:tr>
        <w:trPr>
          <w:trHeight w:val="217"/>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32"/>
        </w:trPr>
        <w:tc>
          <w:tcPr>
            <w:tcW w:w="6780" w:type="dxa"/>
            <w:vAlign w:val="bottom"/>
          </w:tcPr>
          <w:p>
            <w:pPr>
              <w:ind w:left="56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8"/>
        </w:trPr>
        <w:tc>
          <w:tcPr>
            <w:tcW w:w="7060" w:type="dxa"/>
            <w:vAlign w:val="bottom"/>
            <w:tcBorders>
              <w:bottom w:val="single" w:sz="8" w:color="808080"/>
            </w:tcBorders>
            <w:gridSpan w:val="2"/>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r>
      <w:tr>
        <w:trPr>
          <w:trHeight w:val="713"/>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Debt</w:t>
            </w: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2"/>
        </w:trPr>
        <w:tc>
          <w:tcPr>
            <w:tcW w:w="70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Convertible subordinated notes payable, face amount of $632.5 million, net of fair value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adjustments (as underlying on fair-value hedge) of $10.2 million and $0.4 million, interest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2.5%, due February 2010</w:t>
            </w:r>
          </w:p>
        </w:tc>
        <w:tc>
          <w:tcPr>
            <w:tcW w:w="4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622.3</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2"/>
        </w:trPr>
        <w:tc>
          <w:tcPr>
            <w:tcW w:w="7520" w:type="dxa"/>
            <w:vAlign w:val="bottom"/>
            <w:gridSpan w:val="5"/>
          </w:tcPr>
          <w:p>
            <w:pPr>
              <w:ind w:left="180"/>
              <w:spacing w:after="0" w:line="201" w:lineRule="exact"/>
              <w:rPr>
                <w:sz w:val="20"/>
                <w:szCs w:val="20"/>
                <w:color w:val="auto"/>
              </w:rPr>
            </w:pPr>
            <w:r>
              <w:rPr>
                <w:rFonts w:ascii="Arial" w:cs="Arial" w:eastAsia="Arial" w:hAnsi="Arial"/>
                <w:sz w:val="18"/>
                <w:szCs w:val="18"/>
                <w:color w:val="auto"/>
                <w:w w:val="96"/>
              </w:rPr>
              <w:t>Subordinated notes payable, face amount of $210.0 million, net of unamortized discount of $8.5</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million, stated interest rate of 6.5%, effective yield to maturity of 10.7%, due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September 2005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2"/>
        </w:trPr>
        <w:tc>
          <w:tcPr>
            <w:tcW w:w="70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Notes payable in periodic installments through July 2015, weighted average interest rate of</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1.9% and 3.0%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347.5</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2"/>
        </w:trPr>
        <w:tc>
          <w:tcPr>
            <w:tcW w:w="70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Capital lease obligations payable in monthly installments through January 2009, weighted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average imputed interest rate of 6.4% and 6.6%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0"/>
        </w:trPr>
        <w:tc>
          <w:tcPr>
            <w:tcW w:w="6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Less current portion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7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-2430780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-2430780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40" w:name="page41"/>
    <w:bookmarkEnd w:id="40"/>
    <w:p>
      <w:pPr>
        <w:spacing w:after="0" w:line="1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the third quarter of 2005, the Company entered into two yen-dominated loans aggregating 23.5 billion yen ($221.4 million), payable in semi-annual installments through 2010. The first, a syndicated term loan for 13.5 billion yen bears interest at the 6-month Tokyo Interbank Offered Rate (“TIBOR”) plus 1.25% (1.35% as of September 1, 2005) and requires the Company to maintain a deposit with the lead bank ($14.5 million as of September 1, 2005), which is included in restricted cash in the accompanying consolidated balance sheet. The second loan for 10.0 billion yen bears interest at a fixed rate of 0.95% and is collateralized by certain equipment owned by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 2005, notes payable of $298.9 million denominated in Japanese yen were at a weighted average interest rate of 1.2%.</w:t>
      </w:r>
    </w:p>
    <w:p>
      <w:pPr>
        <w:spacing w:after="0" w:line="225" w:lineRule="exact"/>
        <w:rPr>
          <w:sz w:val="20"/>
          <w:szCs w:val="20"/>
          <w:color w:val="auto"/>
        </w:rPr>
      </w:pPr>
    </w:p>
    <w:p>
      <w:pPr>
        <w:ind w:right="900" w:firstLine="324"/>
        <w:spacing w:after="0" w:line="342" w:lineRule="auto"/>
        <w:rPr>
          <w:sz w:val="20"/>
          <w:szCs w:val="20"/>
          <w:color w:val="auto"/>
        </w:rPr>
      </w:pPr>
      <w:r>
        <w:rPr>
          <w:rFonts w:ascii="Arial" w:cs="Arial" w:eastAsia="Arial" w:hAnsi="Arial"/>
          <w:sz w:val="16"/>
          <w:szCs w:val="16"/>
          <w:color w:val="auto"/>
        </w:rPr>
        <w:t>In 2005, the Company received $161.3 million in proceeds from sales-leaseback transactions and as a result recorded capital lease obligations aggregating $157.3 million with a weighted average imputed interest rate of 6.3%, payable in periodic installments through January 2009.</w:t>
      </w:r>
    </w:p>
    <w:p>
      <w:pPr>
        <w:spacing w:after="0" w:line="12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February 2003, the Company issued $632.5 million of 2.5% Convertible Subordinated Notes due February 1, 2010 (the “Notes”). Holders of the Notes may convert all or some of their Notes at any time prior to maturity, unless previously redeemed or repurchased, into the Company’s common stock at a conversion rate of 84.8320 shares for each $1,000 principal amount of Notes. This conversion rate is equivalent to a conversion price of approximately $11.79 per share. The Company may redeem the notes at any time after February 6, 2006, at declining premiums to par.</w:t>
      </w:r>
    </w:p>
    <w:p>
      <w:pPr>
        <w:spacing w:after="0" w:line="17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Certain notes payable are collateralized by property, plant and equipment with a carrying value of $302.3 million as of September 1, 2005. Equipment under capital leases and accumulated amortization thereon were $253.8 million and $73.8 million, respectively, as of September 1, 2005, and $108.1 million and $38.0 million, respectively, as of September 2, 2004.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 2005, maturities of notes payable and future minimum lease payments under capital lease obligations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Notes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214"/>
              <w:spacing w:after="0"/>
              <w:rPr>
                <w:sz w:val="20"/>
                <w:szCs w:val="20"/>
                <w:color w:val="auto"/>
              </w:rPr>
            </w:pPr>
            <w:r>
              <w:rPr>
                <w:rFonts w:ascii="Arial" w:cs="Arial" w:eastAsia="Arial" w:hAnsi="Arial"/>
                <w:sz w:val="14"/>
                <w:szCs w:val="14"/>
                <w:b w:val="1"/>
                <w:bCs w:val="1"/>
                <w:color w:val="auto"/>
                <w:w w:val="94"/>
              </w:rPr>
              <w:t>Capital</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Fiscal year</w:t>
            </w: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0"/>
              </w:rPr>
              <w:t>Lease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Payable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214"/>
              <w:spacing w:after="0"/>
              <w:rPr>
                <w:sz w:val="20"/>
                <w:szCs w:val="20"/>
                <w:color w:val="auto"/>
              </w:rPr>
            </w:pPr>
            <w:r>
              <w:rPr>
                <w:rFonts w:ascii="Arial" w:cs="Arial" w:eastAsia="Arial" w:hAnsi="Arial"/>
                <w:sz w:val="14"/>
                <w:szCs w:val="14"/>
                <w:b w:val="1"/>
                <w:bCs w:val="1"/>
                <w:color w:val="auto"/>
                <w:w w:val="93"/>
              </w:rPr>
              <w:t>Obligations</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120" w:type="dxa"/>
            <w:vAlign w:val="bottom"/>
            <w:gridSpan w:val="3"/>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2007</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49.2</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2009</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680.2</w:t>
            </w: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 xml:space="preserve">2011 </w:t>
            </w:r>
            <w:r>
              <w:rPr>
                <w:rFonts w:ascii="Arial" w:cs="Arial" w:eastAsia="Arial" w:hAnsi="Arial"/>
                <w:sz w:val="17"/>
                <w:szCs w:val="17"/>
                <w:color w:val="auto"/>
              </w:rPr>
              <w:t>and thereafter</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Fair-value adjustment</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Interest</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969.8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4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b w:val="1"/>
          <w:bCs w:val="1"/>
          <w:i w:val="1"/>
          <w:iCs w:val="1"/>
          <w:color w:val="auto"/>
        </w:rPr>
        <w:t xml:space="preserve">Interest Rate Swap: </w:t>
      </w:r>
      <w:r>
        <w:rPr>
          <w:rFonts w:ascii="Arial" w:cs="Arial" w:eastAsia="Arial" w:hAnsi="Arial"/>
          <w:sz w:val="16"/>
          <w:szCs w:val="16"/>
          <w:color w:val="auto"/>
        </w:rPr>
        <w:t>The Company entered into an interest rate swap agreement (the “Swap”) that effectively converted, beginning August 29, 2003,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interest rate on the Company’s 2.5% Convertible Subordinated Notes (the “Notes”) to a variable interest rate based on the 3-month London Interbank Offering Rate (“LIBOR”) less 65 basis points (average rate of 1.99% for 2005).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accompanying consolidated balance sheets. Through September 1, 2005, the cumulative difference between the change in the fair value of the Swap and the change in the fair value of the Notes was de minimis. As of September 1, 2005, the Company had pledged $34.5 million as collateral for the Swap which is included in restricted cash in the accompanying consolidated balance sheet. The amount of collateral fluctuates based on the fair value of the Swap. The Swap will terminate if the closing price of the Company’s common stock is at or exceeds $14.15 after February 6, 2006.</w:t>
      </w:r>
    </w:p>
    <w:p>
      <w:pPr>
        <w:spacing w:after="0" w:line="16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b w:val="1"/>
          <w:bCs w:val="1"/>
          <w:i w:val="1"/>
          <w:iCs w:val="1"/>
          <w:color w:val="auto"/>
        </w:rPr>
        <w:t xml:space="preserve">Call Spread Options: </w:t>
      </w:r>
      <w:r>
        <w:rPr>
          <w:rFonts w:ascii="Arial" w:cs="Arial" w:eastAsia="Arial" w:hAnsi="Arial"/>
          <w:sz w:val="17"/>
          <w:szCs w:val="17"/>
          <w:color w:val="auto"/>
        </w:rPr>
        <w:t>Concurrent with the issuance of the Notes, the Company purchased call spread options (the “Call Spread Options”) covering 53.7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the expiration date, would result in the Company receiving an amount ranging from zero if the market price per share of the Company’s common stock is at or below $11.79 to a maximum of $343.4 million if the market price per share of the Company’s common stock is at or above $18.19. Settlement of the Call Spread Options in net shares on the expiration date would result in the Company receiving a number of shares of the Company’s common stock, not to exceed 18.9 million shares, with a value equal to the amount otherwise receivable on cash settlement. Should there be an early unwind of the Call Spread Options, the amount of cash or net shares potentially received by the Company will be dependent upon then existing overall market conditions, and on the Company’s stock price, the volatility of the Company’s stock and the amount of time remaining on the Call Spread Options. The Call Spread Options therefore have the potential of limiting the dilution associated with the conversion of the Notes from 53.7 million shares to as few as 34.8 million shares. The Call Spread Option transactions, including fees and costs of $109.1 million, are accounted for as capital transactions.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September 1, 2005, the Company had commitments of approximately $250 million for the acquisition of property, plant and equipment. The Company leases certain facilities, equipment and software under operating leases. Total rental expense on all operating leases was $23.4 million, $21.1 million and $24.6 million for 2005, 2004 and 2003, respectively. Minimum future rental commitments under operating leases aggregated $60.8 million as of September 1, 2005, and are payable as follows: $18.1 million in 2006; $8.3 million in 2007; $5.7 million in 2008; $3.0 million in 2009; $2.5 million in 2010, $23.2 million in 2011 and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w:t>
      </w:r>
    </w:p>
    <w:p>
      <w:pPr>
        <w:sectPr>
          <w:pgSz w:w="11900" w:h="16962" w:orient="portrait"/>
          <w:cols w:equalWidth="0" w:num="1">
            <w:col w:w="11440"/>
          </w:cols>
          <w:pgMar w:left="240" w:top="341" w:right="219" w:bottom="0" w:gutter="0" w:footer="0" w:header="0"/>
        </w:sectPr>
      </w:pPr>
    </w:p>
    <w:bookmarkStart w:id="41" w:name="page42"/>
    <w:bookmarkEnd w:id="41"/>
    <w:p>
      <w:pPr>
        <w:ind w:right="100"/>
        <w:spacing w:after="0" w:line="271" w:lineRule="auto"/>
        <w:rPr>
          <w:sz w:val="20"/>
          <w:szCs w:val="20"/>
          <w:color w:val="auto"/>
        </w:rPr>
      </w:pPr>
      <w:r>
        <w:rPr>
          <w:rFonts w:ascii="Arial" w:cs="Arial" w:eastAsia="Arial" w:hAnsi="Arial"/>
          <w:sz w:val="17"/>
          <w:szCs w:val="17"/>
          <w:color w:val="auto"/>
        </w:rPr>
        <w:t>Rambus, Inc. (“Rambus”) relating to certain of Rambus’ patents and certain of the Company’s claims and defenses. Lawsuits between Rambus and the Company are pending in the United States, Germany, France, the United Kingdom and Italy. The Company also is engaged in litigation with Tessera, Inc. (“Tessera”) relating to certain of Tessera’s patents and certain of the Company’s patents in the U.S. District Court for the Eastern District of Texas. Among other things, the above lawsuits pertain to certain of the Company’s SDRAM, DDR SDRAM, and DDR2 SDRAM products, which account for a significant portion of net sales. 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7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cooperation in the pending investigation, the Company will not be subject to prosecution, fines or other penalties from the DOJ. Subsequent to the commencement of the DOJ investigation, at least eighty-three (four of which have been voluntarily dismissed) purported class action lawsuits have been filed against the Company and other DRAM suppliers in various federal and state courts in the United States and in Puerto Rico by direct and indirect purchasers alleging price-fixing in violation of federal antitrust laws, violations of state unfair competition law, and/or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Three purported class action lawsuits also have been filed in Canada, alleging violations of the Canadian Competition Act. The substantive allegations in these cases are similar to those asserted in the cases filed in the United States and Puerto Rico. The Company is unable to predict the outcome of these suits. Based upon the Company’s analysis of the claims made and the nature of the DRAM industry, the Company believes that class treatment of these cases is not appropriate and that any purported injury alleged by plaintiffs in the direct purchaser cases would be more appropriately resolved on a customer-by-customer basis. In addition, the Attorneys General of Arkansas, California, Colorado, Delaware, Florida, Hawaii, Idaho, Illinois, Iowa, Louisiana, Maryland, Mississippi, Nevada, New Jersey, New Mexico, New York, Ohio, Oklahoma, Oregon, Pennsylvania, South Carolina, Texas, Utah, Vermont, Virginia, Washington, West Virginia and Wisconsin have indicated that they are investigating potential state and federal civil claims against the Company and other DRAM suppliers on behalf of state and governmental entities that were direct or indirect purchasers of DRAM and potentially on behalf of other indirect purchasers of DRAM. 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these suits.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During the first quarter of 2004, Toshiba exercised its option and the Company redeemed the 1.5 million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b w:val="1"/>
          <w:bCs w:val="1"/>
          <w:i w:val="1"/>
          <w:iCs w:val="1"/>
          <w:color w:val="auto"/>
        </w:rPr>
        <w:t xml:space="preserve">Stock Rights: </w:t>
      </w:r>
      <w:r>
        <w:rPr>
          <w:rFonts w:ascii="Arial" w:cs="Arial" w:eastAsia="Arial" w:hAnsi="Arial"/>
          <w:sz w:val="16"/>
          <w:szCs w:val="16"/>
          <w:color w:val="auto"/>
        </w:rPr>
        <w:t>On September 24, 2003, the Company received $450.0 million, which is included in additional capital in the accompanying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300mm wafer processing capacity, or be subject to monetary penalties. The Company has achieved the DDR2 production and 300mm wafer processing milestones and, consequently, does not expect to make any payments to Intel under this agreement. The shares issuable pursuant to the stock rights are included in weighted average common shares outstanding in the computations of earnings per share.</w:t>
      </w:r>
    </w:p>
    <w:p>
      <w:pPr>
        <w:spacing w:after="0" w:line="16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b w:val="1"/>
          <w:bCs w:val="1"/>
          <w:i w:val="1"/>
          <w:iCs w:val="1"/>
          <w:color w:val="auto"/>
        </w:rPr>
        <w:t xml:space="preserve">Common Stock Warrants: </w:t>
      </w:r>
      <w:r>
        <w:rPr>
          <w:rFonts w:ascii="Arial" w:cs="Arial" w:eastAsia="Arial" w:hAnsi="Arial"/>
          <w:sz w:val="16"/>
          <w:szCs w:val="16"/>
          <w:color w:val="auto"/>
        </w:rPr>
        <w:t>During the fourth quarter of 2001, the Company received $480.2 million from the issuance of warrants to purchase 29.1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w:t>
      </w:r>
    </w:p>
    <w:p>
      <w:pPr>
        <w:sectPr>
          <w:pgSz w:w="11900" w:h="16838" w:orient="portrait"/>
          <w:cols w:equalWidth="0" w:num="1">
            <w:col w:w="11400"/>
          </w:cols>
          <w:pgMar w:left="240" w:top="125" w:right="259" w:bottom="0" w:gutter="0" w:footer="0" w:header="0"/>
        </w:sectPr>
      </w:pPr>
    </w:p>
    <w:bookmarkStart w:id="42" w:name="page43"/>
    <w:bookmarkEnd w:id="42"/>
    <w:p>
      <w:pPr>
        <w:ind w:right="40"/>
        <w:spacing w:after="0" w:line="342" w:lineRule="auto"/>
        <w:rPr>
          <w:sz w:val="20"/>
          <w:szCs w:val="20"/>
          <w:color w:val="auto"/>
        </w:rPr>
      </w:pPr>
      <w:r>
        <w:rPr>
          <w:rFonts w:ascii="Arial" w:cs="Arial" w:eastAsia="Arial" w:hAnsi="Arial"/>
          <w:sz w:val="16"/>
          <w:szCs w:val="16"/>
          <w:color w:val="auto"/>
        </w:rPr>
        <w:t>over the 30 trading days immediately preceding the Exercise Date. At expiration, the Company may elect to settle the warrants on a net share basis or for cash, provided certain conditions are satisfied. As of September 1, 2005, there have been no exercises of warrants and all warrants issued remain outstanding.</w:t>
      </w:r>
    </w:p>
    <w:p>
      <w:pPr>
        <w:spacing w:after="0" w:line="12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Accumulated Other Comprehensive Income (Loss): </w:t>
      </w:r>
      <w:r>
        <w:rPr>
          <w:rFonts w:ascii="Arial" w:cs="Arial" w:eastAsia="Arial" w:hAnsi="Arial"/>
          <w:sz w:val="18"/>
          <w:szCs w:val="18"/>
          <w:color w:val="auto"/>
        </w:rPr>
        <w:t>Accumulated other comprehensive income (loss), net of tax, consists of the following as of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periods shown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r>
      <w:tr>
        <w:trPr>
          <w:trHeight w:val="210"/>
        </w:trPr>
        <w:tc>
          <w:tcPr>
            <w:tcW w:w="5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9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Unrealized gain (loss) on investments</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7"/>
        </w:trPr>
        <w:tc>
          <w:tcPr>
            <w:tcW w:w="5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Director Stock Plans</w:t>
      </w:r>
    </w:p>
    <w:p>
      <w:pPr>
        <w:spacing w:after="0" w:line="22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September 1, 2005, the Company had an aggregate of 159.8 million shares of its common stock reserved for issuance under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stock plans, of which 119.1 million shares are subject to outstanding options and 40.7 million shares are available for future grants. Options are subject to terms and conditions as determined by the Company’s Board of Directors.</w:t>
      </w:r>
    </w:p>
    <w:p>
      <w:pPr>
        <w:spacing w:after="0" w:line="18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Stock options granted after June 16, 1999, are generally exercisable in increments of 25% during each year of employment beginning one year from the date of grant. Stock options granted prior to June 16, 1999, are generally exercisable in increments of 20% during each year of employment beginning one year from the date of grant. Stock options issued prior to January 19, 1998, expire six years from the date of grant; stock options issued from January 19, 1998 to September 22, 2004, expire ten years from the date of grant; stock options granted after September 22, 2004, expire six years from the date of grant.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under the Company’s stock option plans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6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10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122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2"/>
                <w:szCs w:val="12"/>
                <w:color w:val="auto"/>
              </w:rPr>
            </w:pPr>
          </w:p>
        </w:tc>
        <w:tc>
          <w:tcPr>
            <w:tcW w:w="8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5"/>
              </w:rPr>
              <w:t>exercise</w:t>
            </w:r>
          </w:p>
        </w:tc>
        <w:tc>
          <w:tcPr>
            <w:tcW w:w="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of shares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exercise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 millions</w:t>
            </w:r>
          </w:p>
        </w:tc>
        <w:tc>
          <w:tcPr>
            <w:tcW w:w="14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price</w:t>
            </w:r>
          </w:p>
        </w:tc>
        <w:tc>
          <w:tcPr>
            <w:tcW w:w="2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in millions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price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millions</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8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Cancelled or expired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19.88</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8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outstanding as of September 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Outstanding options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777"/>
              <w:spacing w:after="0"/>
              <w:rPr>
                <w:sz w:val="20"/>
                <w:szCs w:val="20"/>
                <w:color w:val="auto"/>
              </w:rPr>
            </w:pPr>
            <w:r>
              <w:rPr>
                <w:rFonts w:ascii="Arial" w:cs="Arial" w:eastAsia="Arial" w:hAnsi="Arial"/>
                <w:sz w:val="14"/>
                <w:szCs w:val="14"/>
                <w:b w:val="1"/>
                <w:bCs w:val="1"/>
                <w:color w:val="auto"/>
              </w:rPr>
              <w:t>Exercisable options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shares</w:t>
            </w: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22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w:t>
            </w: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of shares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2500" w:type="dxa"/>
            <w:vAlign w:val="bottom"/>
            <w:gridSpan w:val="4"/>
            <w:vMerge w:val="continue"/>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 millions</w:t>
            </w: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price</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in millions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w w:val="87"/>
              </w:rPr>
              <w:t>$0.75 - $14.02</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6"/>
              </w:rPr>
              <w:t>14.03 -</w:t>
            </w:r>
          </w:p>
        </w:tc>
        <w:tc>
          <w:tcPr>
            <w:tcW w:w="1700" w:type="dxa"/>
            <w:vAlign w:val="bottom"/>
          </w:tcPr>
          <w:p>
            <w:pPr>
              <w:jc w:val="right"/>
              <w:ind w:right="1130"/>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6"/>
              </w:rPr>
              <w:t>23.25 -</w:t>
            </w:r>
          </w:p>
        </w:tc>
        <w:tc>
          <w:tcPr>
            <w:tcW w:w="170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34.06</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6"/>
              </w:rPr>
              <w:t>34.09 -</w:t>
            </w:r>
          </w:p>
        </w:tc>
        <w:tc>
          <w:tcPr>
            <w:tcW w:w="1700" w:type="dxa"/>
            <w:vAlign w:val="bottom"/>
          </w:tcPr>
          <w:p>
            <w:pPr>
              <w:jc w:val="right"/>
              <w:ind w:right="1130"/>
              <w:spacing w:after="0"/>
              <w:rPr>
                <w:sz w:val="20"/>
                <w:szCs w:val="20"/>
                <w:color w:val="auto"/>
              </w:rPr>
            </w:pPr>
            <w:r>
              <w:rPr>
                <w:rFonts w:ascii="Arial" w:cs="Arial" w:eastAsia="Arial" w:hAnsi="Arial"/>
                <w:sz w:val="18"/>
                <w:szCs w:val="18"/>
                <w:color w:val="auto"/>
              </w:rPr>
              <w:t>40.06</w:t>
            </w:r>
          </w:p>
        </w:tc>
        <w:tc>
          <w:tcPr>
            <w:tcW w:w="2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36.84</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6"/>
              </w:rPr>
              <w:t>40.51 -</w:t>
            </w:r>
          </w:p>
        </w:tc>
        <w:tc>
          <w:tcPr>
            <w:tcW w:w="170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96.56</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20.58</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As of September 1, 2005, there were 305,000 shares of restricted stock awards outstanding. The fair value for the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all of which were granted during 2005, was $12.17 at grant date. The restrictions lapse in one-third increments during each year of employment after the grant date.</w:t>
      </w:r>
    </w:p>
    <w:p>
      <w:pPr>
        <w:spacing w:after="0" w:line="18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b w:val="1"/>
          <w:bCs w:val="1"/>
          <w:i w:val="1"/>
          <w:iCs w:val="1"/>
          <w:color w:val="auto"/>
        </w:rPr>
        <w:t xml:space="preserve">Stock Purchase Plan: </w:t>
      </w:r>
      <w:r>
        <w:rPr>
          <w:rFonts w:ascii="Arial" w:cs="Arial" w:eastAsia="Arial" w:hAnsi="Arial"/>
          <w:sz w:val="16"/>
          <w:szCs w:val="16"/>
          <w:color w:val="auto"/>
        </w:rPr>
        <w:t>The Company’s 1989 Employee Stock Purchase Plan (“ESPP”) allows eligible employees to purchase shares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through payroll deductions. Prior to July 1, 2005, shares could be purchased at 85% of the lower of the beginning or ending closing stock prices of each quarterly offering period. After July 1, 2005, shares can be purchased at 95% of the ending closing stock price of each offering quarterly period. Shares can be resold when purchased. Purchases are limited to 20% of an employee’s eligible compensation. As of September 1, 2005, 26.3 million shares of the Company’s common stock had been issued under the ESPP and 3.2 million shares were available for future issuance under the plan.</w:t>
      </w:r>
    </w:p>
    <w:p>
      <w:pPr>
        <w:spacing w:after="0" w:line="158"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Non-Employee Director Stock Incentive Plan: </w:t>
      </w:r>
      <w:r>
        <w:rPr>
          <w:rFonts w:ascii="Arial" w:cs="Arial" w:eastAsia="Arial" w:hAnsi="Arial"/>
          <w:sz w:val="18"/>
          <w:szCs w:val="18"/>
          <w:color w:val="auto"/>
        </w:rPr>
        <w:t>As of September 1, 2005, 39,957 shares of the Company’s common stock had been issued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1998 Non-Employee Director Stock Incentive Plan (“DSIP Plan”) and 460,043 shares were reserved for future issuance under the plan. Shares are issued under the DSIP plan as compensation to non-employee directors of the Company.</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Assumptions used in the Black-Scholes option valuation model to estimate the value of the Company’s options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 forma amounts are presented below:</w:t>
      </w:r>
    </w:p>
    <w:p>
      <w:pPr>
        <w:spacing w:after="0" w:line="150" w:lineRule="exact"/>
        <w:rPr>
          <w:sz w:val="20"/>
          <w:szCs w:val="20"/>
          <w:color w:val="auto"/>
        </w:rPr>
      </w:pPr>
    </w:p>
    <w:tbl>
      <w:tblPr>
        <w:tblLayout w:type="fixed"/>
        <w:tblInd w:w="466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 option</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Employee stock</w:t>
            </w:r>
          </w:p>
        </w:tc>
        <w:tc>
          <w:tcPr>
            <w:tcW w:w="680" w:type="dxa"/>
            <w:vAlign w:val="bottom"/>
          </w:tcPr>
          <w:p>
            <w:pPr>
              <w:spacing w:after="0"/>
              <w:rPr>
                <w:sz w:val="13"/>
                <w:szCs w:val="13"/>
                <w:color w:val="auto"/>
              </w:rPr>
            </w:pPr>
          </w:p>
        </w:tc>
      </w:tr>
      <w:tr>
        <w:trPr>
          <w:trHeight w:val="171"/>
        </w:trPr>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plan shares</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purchase plan shares</w:t>
            </w:r>
          </w:p>
        </w:tc>
        <w:tc>
          <w:tcPr>
            <w:tcW w:w="680" w:type="dxa"/>
            <w:vAlign w:val="bottom"/>
            <w:tcBorders>
              <w:bottom w:val="single" w:sz="8" w:color="auto"/>
            </w:tcBorders>
          </w:tcPr>
          <w:p>
            <w:pPr>
              <w:spacing w:after="0"/>
              <w:rPr>
                <w:sz w:val="14"/>
                <w:szCs w:val="14"/>
                <w:color w:val="auto"/>
              </w:rPr>
            </w:pPr>
          </w:p>
        </w:tc>
      </w:tr>
      <w:tr>
        <w:trPr>
          <w:trHeight w:val="142"/>
        </w:trPr>
        <w:tc>
          <w:tcPr>
            <w:tcW w:w="8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877685" cy="10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77685" cy="1016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43" w:name="page44"/>
    <w:bookmarkEnd w:id="4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6"/>
              </w:rPr>
              <w:t>Risk-free interest rate (zero coupon U.S. Treasury note)</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fair value per share at date of grant: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Exercise price equal to market price</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5.10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8.54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9.94</w:t>
            </w:r>
          </w:p>
        </w:tc>
        <w:tc>
          <w:tcPr>
            <w:tcW w:w="34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less than market price</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Exercise price greater than market price</w:t>
            </w:r>
          </w:p>
        </w:tc>
        <w:tc>
          <w:tcPr>
            <w:tcW w:w="58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9.21</w:t>
            </w:r>
          </w:p>
        </w:tc>
        <w:tc>
          <w:tcPr>
            <w:tcW w:w="34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 per share:</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Exercise price equal to market price</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11.93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12.97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13.22</w:t>
            </w:r>
          </w:p>
        </w:tc>
        <w:tc>
          <w:tcPr>
            <w:tcW w:w="34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less than market price</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Exercise price greater than market price</w:t>
            </w:r>
          </w:p>
        </w:tc>
        <w:tc>
          <w:tcPr>
            <w:tcW w:w="5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11.50</w:t>
            </w:r>
          </w:p>
        </w:tc>
        <w:tc>
          <w:tcPr>
            <w:tcW w:w="30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13.70</w:t>
            </w:r>
          </w:p>
        </w:tc>
        <w:tc>
          <w:tcPr>
            <w:tcW w:w="30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13.65</w:t>
            </w:r>
          </w:p>
        </w:tc>
        <w:tc>
          <w:tcPr>
            <w:tcW w:w="34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has a 401(k) retirement plan (“RAM Plan”) under which U.S. employees may contribute up to 45% of their eligible pay (subject to IRS annual contribution limits) to various savings alternatives, none of which include direct investment in the Company’s common stock. Under the plan, the Company matches in cash eligible contributions from employees up to 3% of the employee’s annual eligible earnings, or $1,500, whichever is greater. The Company may provide additional contributions based on its financial performance. Contribution expense for the Company’s RAM Plan was $17.6 million, $13.7 million and $12.5 million in 2005, 2004 and 2003,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2003, the Company announced a series of cost-reduction initiatives. The restructure plan included the shutdown of the Company’s 200mm production line in Virginia; the discontinuance of certain memory products, including SRAM and TCAM; and an approximate 10% reduction in the Company’s worldwide workforce. In 2003, the Company recorded restructure charges of $109.2 million and other restructure-related charges of $7.1 million, including $50.7 million of equipment write-downs, $26.3 million of severance and other termination benefits and $18.6 million of intangible asset write downs. Substantially all of the restructure charges were in the Memory segment. The Company recorded net credits to restructure of $1.4 million and $22.5 million in 2005 and 2004, respectively, primarily from sales of equipment associated with the Company’s 200mm production line in Virginia. The Company substantially completed the restructure plan and paid essentially all costs associated with the restructure plan in 2004 and 2003.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Other operating income for 2005 includes net gains on write-downs and disposals of semiconductor equipment of $12.7 million and $12.0 million in receipts from the U.S. government in connection with anti-dumping tariffs. Other operating expense for 2004 includes losses of $17.2 million from changes in currency exchange rates. Other operating income for 2004 includes $7.2 million from the Commonwealth of Virginia for meeting investment commitments at the Virginia wafer fabrication facility and net gains of $3.9 million on write-downs and disposals of semiconductor equipment. Other operating expense for 2003 includes net losses on write-downs and disposals of semiconductor equipment of $41.5 million and losses of $10.7 million from changes in currency exchange rates. Other operating expense for 2003 is net of $14.4 million in receipts from the U.S. government in connection with anti-dumping tariffs.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(loss) before taxes and the income tax (provision) benefit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taxes: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107.7</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7"/>
        </w:trPr>
        <w:tc>
          <w:tcPr>
            <w:tcW w:w="66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540"/>
              <w:spacing w:after="0"/>
              <w:rPr>
                <w:sz w:val="20"/>
                <w:szCs w:val="20"/>
                <w:color w:val="auto"/>
              </w:rPr>
            </w:pPr>
            <w:r>
              <w:rPr>
                <w:rFonts w:ascii="Arial" w:cs="Arial" w:eastAsia="Arial" w:hAnsi="Arial"/>
                <w:sz w:val="18"/>
                <w:szCs w:val="18"/>
                <w:color w:val="auto"/>
              </w:rPr>
              <w:t>U.S. federal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600" w:type="dxa"/>
            <w:vAlign w:val="bottom"/>
          </w:tcPr>
          <w:p>
            <w:pPr>
              <w:ind w:left="54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6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540"/>
              <w:spacing w:after="0"/>
              <w:rPr>
                <w:sz w:val="20"/>
                <w:szCs w:val="20"/>
                <w:color w:val="auto"/>
              </w:rPr>
            </w:pPr>
            <w:r>
              <w:rPr>
                <w:rFonts w:ascii="Arial" w:cs="Arial" w:eastAsia="Arial" w:hAnsi="Arial"/>
                <w:sz w:val="18"/>
                <w:szCs w:val="18"/>
                <w:color w:val="auto"/>
              </w:rPr>
              <w:t>U.S. federal</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54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66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40" w:top="140" w:right="259" w:bottom="0" w:gutter="0" w:footer="0" w:header="0"/>
        </w:sectPr>
      </w:pPr>
    </w:p>
    <w:bookmarkStart w:id="44" w:name="page45"/>
    <w:bookmarkEnd w:id="44"/>
    <w:p>
      <w:pPr>
        <w:spacing w:after="0" w:line="62" w:lineRule="exact"/>
        <w:rPr>
          <w:sz w:val="20"/>
          <w:szCs w:val="20"/>
          <w:color w:val="auto"/>
        </w:rPr>
      </w:pPr>
    </w:p>
    <w:p>
      <w:pPr>
        <w:ind w:left="720"/>
        <w:spacing w:after="0"/>
        <w:tabs>
          <w:tab w:leader="none" w:pos="6580" w:val="left"/>
          <w:tab w:leader="none" w:pos="7240" w:val="left"/>
          <w:tab w:leader="none" w:pos="7880" w:val="left"/>
          <w:tab w:leader="none" w:pos="8520" w:val="left"/>
          <w:tab w:leader="none" w:pos="9140" w:val="left"/>
          <w:tab w:leader="none" w:pos="9780" w:val="left"/>
        </w:tabs>
        <w:rPr>
          <w:sz w:val="20"/>
          <w:szCs w:val="20"/>
          <w:color w:val="auto"/>
        </w:rPr>
      </w:pPr>
      <w:r>
        <w:rPr>
          <w:rFonts w:ascii="Arial" w:cs="Arial" w:eastAsia="Arial" w:hAnsi="Arial"/>
          <w:sz w:val="18"/>
          <w:szCs w:val="18"/>
          <w:color w:val="auto"/>
        </w:rPr>
        <w:t>Income tax (provision)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(10.6)</w:t>
        <w:tab/>
        <w:t>$</w:t>
      </w:r>
      <w:r>
        <w:rPr>
          <w:sz w:val="20"/>
          <w:szCs w:val="20"/>
          <w:color w:val="auto"/>
        </w:rPr>
        <w:tab/>
      </w:r>
      <w:r>
        <w:rPr>
          <w:rFonts w:ascii="Arial" w:cs="Arial" w:eastAsia="Arial" w:hAnsi="Arial"/>
          <w:sz w:val="18"/>
          <w:szCs w:val="18"/>
          <w:color w:val="auto"/>
        </w:rPr>
        <w:t>(74.8)</w:t>
        <w:tab/>
        <w:t>$</w:t>
      </w:r>
      <w:r>
        <w:rPr>
          <w:sz w:val="20"/>
          <w:szCs w:val="20"/>
          <w:color w:val="auto"/>
        </w:rPr>
        <w:tab/>
      </w:r>
      <w:r>
        <w:rPr>
          <w:rFonts w:ascii="Arial" w:cs="Arial" w:eastAsia="Arial" w:hAnsi="Arial"/>
          <w:sz w:val="16"/>
          <w:szCs w:val="16"/>
          <w:color w:val="auto"/>
        </w:rPr>
        <w:t>(73.0)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23495</wp:posOffset>
            </wp:positionV>
            <wp:extent cx="22726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72665" cy="1714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between income tax (provision) computed using the U.S. federal statutory rate and the Company’s income tax (provision)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210"/>
        </w:trPr>
        <w:tc>
          <w:tcPr>
            <w:tcW w:w="6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 income tax (provision) benefit at statutory rate</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(69.5)</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420.1</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6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operations</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6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(558.8)</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Export sales benefit</w:t>
            </w:r>
          </w:p>
        </w:tc>
        <w:tc>
          <w:tcPr>
            <w:tcW w:w="6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Resolution of tax matters</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r>
        <w:trPr>
          <w:trHeight w:val="217"/>
        </w:trPr>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660" w:type="dxa"/>
            <w:vAlign w:val="bottom"/>
            <w:tcBorders>
              <w:top w:val="single" w:sz="8" w:color="auto"/>
              <w:bottom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State taxes reflect investment tax credits of $13.7 million, $9.1 million and $16.8 million for 2005, 2004 and 2003, respectively.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basis of assets and liabilities for financial reporting and income tax purposes. The Company’s deferred tax assets and liabilities consist of the following as of the end of the periods shown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Net operating loss and credit carryforwards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1,202.0</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product and process technology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Less valuation allowance</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(1,004.3)</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Excess tax over book depreciation</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Unremitted earnings on certain subsidiaries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Product and process technology</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54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Arial" w:cs="Arial" w:eastAsia="Arial" w:hAnsi="Arial"/>
                <w:sz w:val="18"/>
                <w:szCs w:val="18"/>
                <w:color w:val="auto"/>
              </w:rPr>
              <w:t>Net deferred tax assets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7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Reported as: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deferred tax assets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Long-term deferred tax assets</w:t>
            </w:r>
          </w:p>
        </w:tc>
        <w:tc>
          <w:tcPr>
            <w:tcW w:w="3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deferred tax liabilities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70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currently records a valuation allowance against substantially all of its U.S. net deferred tax assets. As of September 1, 2005, the Company had aggregate U.S. tax net operating loss carryforwards of $2.5 billion and unused U.S. tax credit carryforwards of $140.7 million. The Company also has unused state tax net operating loss carryforwards of $1.7 billion and unused state tax credits of $137.5 million. Substantially all of the net operating loss carryforwards expire in 2022 to 2025 and substantially all of the tax credit carryforwards expire in 2013 to 2025.</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changes in valuation allowance of $24.6 million and $11.2 million in 2005 and 2004, respectively, are primarily due to uncertainties of realizing certain U.S. net operating losses and certain tax credit carryforwards. The change in the valuation allowance in 2005 and 2004 includes $1.7 million and $2.3 million, respectively, for stock plan deductions, which will be credited to additional capital if realized.</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Remaining undistributed earnings of $657.2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ectPr>
          <w:pgSz w:w="11900" w:h="16901" w:orient="portrait"/>
          <w:cols w:equalWidth="0" w:num="1">
            <w:col w:w="11400"/>
          </w:cols>
          <w:pgMar w:left="240" w:top="125" w:right="259" w:bottom="0" w:gutter="0" w:footer="0" w:header="0"/>
        </w:sectPr>
      </w:pPr>
    </w:p>
    <w:p>
      <w:pPr>
        <w:spacing w:after="0" w:line="221" w:lineRule="exact"/>
        <w:rPr>
          <w:sz w:val="20"/>
          <w:szCs w:val="20"/>
          <w:color w:val="auto"/>
        </w:rPr>
      </w:pPr>
    </w:p>
    <w:p>
      <w:pPr>
        <w:ind w:left="6980"/>
        <w:spacing w:after="0"/>
        <w:tabs>
          <w:tab w:leader="none" w:pos="8240" w:val="left"/>
          <w:tab w:leader="none" w:pos="950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3"/>
          <w:szCs w:val="13"/>
          <w:b w:val="1"/>
          <w:bCs w:val="1"/>
          <w:color w:val="auto"/>
        </w:rPr>
        <w:t>2003</w:t>
      </w:r>
    </w:p>
    <w:p>
      <w:pPr>
        <w:spacing w:after="0" w:line="20" w:lineRule="exact"/>
        <w:rPr>
          <w:sz w:val="20"/>
          <w:szCs w:val="20"/>
          <w:color w:val="auto"/>
        </w:rPr>
      </w:pPr>
    </w:p>
    <w:p>
      <w:pPr>
        <w:sectPr>
          <w:pgSz w:w="11900" w:h="16901" w:orient="portrait"/>
          <w:cols w:equalWidth="0" w:num="1">
            <w:col w:w="11400"/>
          </w:cols>
          <w:pgMar w:left="240" w:top="125" w:right="259" w:bottom="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188.0</w:t>
            </w: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Redeemable common stock accretion</w:t>
            </w:r>
          </w:p>
        </w:tc>
        <w:tc>
          <w:tcPr>
            <w:tcW w:w="3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common stock fair value adjustment</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80"/>
              <w:spacing w:after="0"/>
              <w:rPr>
                <w:sz w:val="20"/>
                <w:szCs w:val="20"/>
                <w:color w:val="auto"/>
              </w:rPr>
            </w:pPr>
            <w:r>
              <w:rPr>
                <w:rFonts w:ascii="Arial" w:cs="Arial" w:eastAsia="Arial" w:hAnsi="Arial"/>
                <w:sz w:val="18"/>
                <w:szCs w:val="18"/>
                <w:color w:val="auto"/>
              </w:rPr>
              <w:t>Net income (loss) available to common shareholders – Basic</w:t>
            </w: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156.3</w:t>
            </w:r>
          </w:p>
        </w:tc>
        <w:tc>
          <w:tcPr>
            <w:tcW w:w="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effect of assumed conversion of debt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available to common shareholders – Diluted</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 xml:space="preserve">Weighted average common shares outstanding </w:t>
            </w:r>
            <w:r>
              <w:rPr>
                <w:rFonts w:ascii="Arial" w:cs="Arial" w:eastAsia="Arial" w:hAnsi="Arial"/>
                <w:sz w:val="17"/>
                <w:szCs w:val="17"/>
                <w:color w:val="auto"/>
              </w:rPr>
              <w:t>– Basic</w:t>
            </w:r>
          </w:p>
        </w:tc>
        <w:tc>
          <w:tcPr>
            <w:tcW w:w="3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647.7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641.5</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effect of dilutive stock options and assumed conversionof debt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Weighted average common shares outstanding </w:t>
            </w:r>
            <w:r>
              <w:rPr>
                <w:rFonts w:ascii="Arial" w:cs="Arial" w:eastAsia="Arial" w:hAnsi="Arial"/>
                <w:sz w:val="17"/>
                <w:szCs w:val="17"/>
                <w:color w:val="auto"/>
              </w:rPr>
              <w:t>– Diluted</w:t>
            </w: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Earnings (loss) per share: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4342765</wp:posOffset>
            </wp:positionH>
            <wp:positionV relativeFrom="page">
              <wp:posOffset>88900</wp:posOffset>
            </wp:positionV>
            <wp:extent cx="22726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72665" cy="8255"/>
                    </a:xfrm>
                    <a:prstGeom prst="rect">
                      <a:avLst/>
                    </a:prstGeom>
                    <a:noFill/>
                  </pic:spPr>
                </pic:pic>
              </a:graphicData>
            </a:graphic>
          </wp:anchor>
        </w:drawing>
      </w:r>
    </w:p>
    <w:p>
      <w:pPr>
        <w:ind w:right="100" w:firstLine="324"/>
        <w:spacing w:after="0" w:line="264" w:lineRule="auto"/>
        <w:rPr>
          <w:sz w:val="20"/>
          <w:szCs w:val="20"/>
          <w:color w:val="auto"/>
        </w:rPr>
      </w:pPr>
      <w:r>
        <w:rPr>
          <w:rFonts w:ascii="Arial" w:cs="Arial" w:eastAsia="Arial" w:hAnsi="Arial"/>
          <w:sz w:val="18"/>
          <w:szCs w:val="18"/>
          <w:color w:val="auto"/>
        </w:rPr>
        <w:t xml:space="preserve">On September 24, 2003, the Company issued stock rights to Intel which are exchangeable into approximately 33.9 million shares of the Company’s common stock. The shares issuable pursuant to the stock rights are considered outstanding common shares in the computations of basic and diluted earnings per share. (See “Shareholders’ Equity </w:t>
      </w:r>
      <w:r>
        <w:rPr>
          <w:rFonts w:ascii="Arial" w:cs="Arial" w:eastAsia="Arial" w:hAnsi="Arial"/>
          <w:sz w:val="17"/>
          <w:szCs w:val="17"/>
          <w:color w:val="auto"/>
        </w:rPr>
        <w:t>– Stock Rights” note.)</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210"/>
        </w:trPr>
        <w:tc>
          <w:tcPr>
            <w:tcW w:w="6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117.4</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Convertible subordinated notes payable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53.7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warrants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Since 1998, the Company has participated in TECH Semiconductor Singapore Pte. Ltd. (“TECH”), a semiconductor memory manufacturing joint venture in Singapore among the Company, the Singapore Economic Development Board, Canon Inc. and Hewlett-Packard Company. As of September 1, 2005, the Company had a 39.12% ownership interest in TECH. Significant financing, investment and operating decisions for TECH typically require approval from TECH’s Board of Directors. The shareholders’ agreement for the TECH joint venture expires in 2011. Under FASB Interpretation No. 46(R), “Consolidation of Variable Interest Entities,” TECH does not qualify for consolidation.</w:t>
      </w:r>
    </w:p>
    <w:p>
      <w:pPr>
        <w:spacing w:after="0" w:line="18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$651.9 million, $453.8 million and $318.2 million for 2005, 2004 and 2003, respectively. Amortization expense resulting from the TECH supply arrangement, included in the cost of products purchased from TECH, was $11.7 million, $11.8 million and $9.6 million for 2005, 2004 and 2003, respectively. Receivables from TECH were $24.0 million and payables to TECH were $51.4 million as of September 1, 2005. Receivables from TECH were $23.8 million and payables to TECH were $56.8 million as of September 2, 2004. TECH supplied approximately 25%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megabits of memory produced by the Company in 2005. As of September 1, 2005, the Company had intangible assets with a net book value of $50.3 million relating to the supply arrangement to purchase product from TECH.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8"/>
          <w:szCs w:val="18"/>
          <w:color w:val="auto"/>
        </w:rPr>
        <w:t>In the first quarter of 2006, t</w:t>
      </w:r>
      <w:r>
        <w:rPr>
          <w:rFonts w:ascii="Arial" w:cs="Arial" w:eastAsia="Arial" w:hAnsi="Arial"/>
          <w:sz w:val="17"/>
          <w:szCs w:val="17"/>
          <w:color w:val="auto"/>
        </w:rPr>
        <w:t>he Company determined, based on the nature of its operations and products offered to customers, that its reportable</w:t>
      </w:r>
      <w:r>
        <w:rPr>
          <w:rFonts w:ascii="Arial" w:cs="Arial" w:eastAsia="Arial" w:hAnsi="Arial"/>
          <w:sz w:val="18"/>
          <w:szCs w:val="18"/>
          <w:color w:val="auto"/>
        </w:rPr>
        <w:t xml:space="preserve"> </w:t>
      </w:r>
      <w:r>
        <w:rPr>
          <w:rFonts w:ascii="Arial" w:cs="Arial" w:eastAsia="Arial" w:hAnsi="Arial"/>
          <w:sz w:val="17"/>
          <w:szCs w:val="17"/>
          <w:color w:val="auto"/>
        </w:rPr>
        <w:t>segments are Memory and Imaging. The Memory segment’s primary products are DRAM and NAND Flash and the Imaging segment’s primary product is CMOS image sensors. Segment information reported below is consistent with how it is reviewed and evaluated by the Company’s chief operating decision maker. The Company does not identify or report depreciation and amortization, capital expenditures or assets by segment. Prior to the first quarter of 2006, the Company had a single reportable segment. The information below represents the Company’s reportable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Memory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4,577.4</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4,305.5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consolidated net sales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4,880.2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4,404.2</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Imaging</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consolidated operating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r>
              <w:rPr>
                <w:rFonts w:ascii="Arial" w:cs="Arial" w:eastAsia="Arial" w:hAnsi="Arial"/>
                <w:sz w:val="18"/>
                <w:szCs w:val="18"/>
                <w:u w:val="single" w:color="auto"/>
                <w:color w:val="auto"/>
              </w:rPr>
              <w:t>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ectPr>
          <w:pgSz w:w="11900" w:h="16838" w:orient="portrait"/>
          <w:cols w:equalWidth="0" w:num="1">
            <w:col w:w="11420"/>
          </w:cols>
          <w:pgMar w:left="240" w:top="369" w:right="239" w:bottom="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color w:val="auto"/>
        </w:rPr>
        <w:t>Geographic net sales based on customer location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210"/>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1,657.4</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906.3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863.7</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612.4</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775.0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559.8</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346.4</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203.8</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r>
      <w:tr>
        <w:trPr>
          <w:trHeight w:val="230"/>
        </w:trPr>
        <w:tc>
          <w:tcPr>
            <w:tcW w:w="6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19"/>
        </w:trPr>
        <w:tc>
          <w:tcPr>
            <w:tcW w:w="6600" w:type="dxa"/>
            <w:vAlign w:val="bottom"/>
          </w:tcPr>
          <w:p>
            <w:pPr>
              <w:ind w:left="340"/>
              <w:spacing w:after="0"/>
              <w:rPr>
                <w:sz w:val="20"/>
                <w:szCs w:val="20"/>
                <w:color w:val="auto"/>
              </w:rPr>
            </w:pPr>
            <w:r>
              <w:rPr>
                <w:rFonts w:ascii="Arial" w:cs="Arial" w:eastAsia="Arial" w:hAnsi="Arial"/>
                <w:sz w:val="18"/>
                <w:szCs w:val="18"/>
                <w:color w:val="auto"/>
              </w:rPr>
              <w:t>Net property, plant and equipment by geographic area was as follows: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r>
      <w:tr>
        <w:trPr>
          <w:trHeight w:val="210"/>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3,514.2</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378.9</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460.1</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457.7</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Singapore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261.1</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272.0</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17"/>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(Amounts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First</w:t>
            </w:r>
          </w:p>
        </w:tc>
        <w:tc>
          <w:tcPr>
            <w:tcW w:w="2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Fourth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1,054.2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(127.9)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Diluted earnings (loss) per share</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First</w:t>
            </w:r>
          </w:p>
        </w:tc>
        <w:tc>
          <w:tcPr>
            <w:tcW w:w="26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387.9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90.9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Diluted earnings (loss) per share</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75"/>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7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Micron Technology, Inc.</w:t>
      </w:r>
    </w:p>
    <w:p>
      <w:pPr>
        <w:spacing w:after="0" w:line="21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have completed an integrated audit of Micron Technology, Inc.’s 2005 consolidated financial statements and of its internal control over financial reporting as of September 1, 2005 and audits of its 2004 and 2003 consolidated financial statements in accordance with the standards of the Public Company Accounting Oversight Board (United States). Our opinions, based on our audits, are presented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and financial statement schedule</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our opinion, the consolidated financial statements listed in the accompanying index present fairly, in all material respects, the financial position of Micron Technology, Inc. and its subsidiaries at September 1, 2005 and 2004, and the results of their operations and their cash flows for each of the three years in the period ended September 1, 2005, in conformity with accounting principles generally accepted in the United States of America. In addition, in our opinion, the financial statement schedule listed in the index appearing under Item 8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ectPr>
          <w:pgSz w:w="11900" w:h="16838" w:orient="portrait"/>
          <w:cols w:equalWidth="0" w:num="1">
            <w:col w:w="11440"/>
          </w:cols>
          <w:pgMar w:left="240" w:top="125" w:right="219" w:bottom="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 xml:space="preserve">Also, in our opinion, management’s assessment, included in Management’s Report on Internal Control Over Financial Reporting (not presented herein) appearing under Item 9A Controls and Procedures in the Company’s Annual Report on Form 10-K for the year ended September 1, 2005 that the Company maintained effective internal control over financial reporting as of September 1, 2005, based on criteria established in </w:t>
      </w:r>
      <w:r>
        <w:rPr>
          <w:rFonts w:ascii="Arial" w:cs="Arial" w:eastAsia="Arial" w:hAnsi="Arial"/>
          <w:sz w:val="17"/>
          <w:szCs w:val="17"/>
          <w:i w:val="1"/>
          <w:iCs w:val="1"/>
          <w:color w:val="auto"/>
        </w:rPr>
        <w:t>Internal Control -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(COSO), is fairly stated, in all material respects,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those criteria. Furthermore, in our opinion, the Company maintained, in all material respects, effective internal control over financial reporting as of September 1, 2005,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8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3, 2005, except as to the “Segment Information” footnote, as to which the date is February 9, 2006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Charged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(Credited) to</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Deductions/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Costs and</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9"/>
              </w:rPr>
              <w:t>Year ended September 1, 2005</w:t>
            </w:r>
          </w:p>
        </w:tc>
        <w:tc>
          <w:tcPr>
            <w:tcW w:w="2040" w:type="dxa"/>
            <w:vAlign w:val="bottom"/>
            <w:tcBorders>
              <w:top w:val="single" w:sz="8" w:color="CCEEFF"/>
            </w:tcBorders>
            <w:gridSpan w:val="3"/>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September 2, 2004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August 28, 2003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Allowance for Obsolete Inventory</w:t>
            </w:r>
          </w:p>
        </w:tc>
        <w:tc>
          <w:tcPr>
            <w:tcW w:w="202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September 1, 2005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September 2, 2004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August 28, 2003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Deferred Tax Asset Valuation Allowance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Borders>
              <w:top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rPr>
              <w:t>Year ended September 1, 2005</w:t>
            </w:r>
          </w:p>
        </w:tc>
        <w:tc>
          <w:tcPr>
            <w:tcW w:w="15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2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September 2, 2004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August 23, 2003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allowance for obsolete inventory excludes any charges for write-downs of work in process and finished goods inventories to their estimated market values. See “Item 7. Management’s Discussion and Analysis of Financial Condition and Results of Operations” and “Item 8. Financial Statements and Supplementary Data – Notes to Consolidated Financial Statements.”</w:t>
      </w:r>
    </w:p>
    <w:p>
      <w:pPr>
        <w:sectPr>
          <w:pgSz w:w="11900" w:h="16838" w:orient="portrait"/>
          <w:cols w:equalWidth="0" w:num="1">
            <w:col w:w="11400"/>
          </w:cols>
          <w:pgMar w:left="240" w:top="121"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121"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lowerLetter"/>
      <w:start w:val="9"/>
    </w:lvl>
  </w:abstractNum>
  <w:abstractNum w:abstractNumId="2">
    <w:nsid w:val="79E2A9E3"/>
    <w:multiLevelType w:val="hybridMultilevel"/>
    <w:lvl w:ilvl="0">
      <w:lvlJc w:val="left"/>
      <w:lvlText w:val="(%1)"/>
      <w:numFmt w:val="lowerLetter"/>
      <w:start w:val="2"/>
    </w:lvl>
  </w:abstractNum>
  <w:abstractNum w:abstractNumId="3">
    <w:nsid w:val="7545E146"/>
    <w:multiLevelType w:val="hybridMultilevel"/>
    <w:lvl w:ilvl="0">
      <w:lvlJc w:val="left"/>
      <w:lvlText w:val="(%1)"/>
      <w:numFmt w:val="lowerRoman"/>
      <w:start w:val="3"/>
    </w:lvl>
  </w:abstractNum>
  <w:abstractNum w:abstractNumId="4">
    <w:nsid w:val="515F007C"/>
    <w:multiLevelType w:val="hybridMultilevel"/>
    <w:lvl w:ilvl="0">
      <w:lvlJc w:val="left"/>
      <w:lvlText w:val="(%1)"/>
      <w:numFmt w:val="lowerLetter"/>
      <w:start w:val="3"/>
    </w:lvl>
  </w:abstractNum>
  <w:abstractNum w:abstractNumId="5">
    <w:nsid w:val="5BD062C2"/>
    <w:multiLevelType w:val="hybridMultilevel"/>
    <w:lvl w:ilvl="0">
      <w:lvlJc w:val="left"/>
      <w:lvlText w:val="(%1)"/>
      <w:numFmt w:val="lowerLetter"/>
      <w:start w:val="35"/>
    </w:lvl>
  </w:abstractNum>
  <w:abstractNum w:abstractNumId="6">
    <w:nsid w:val="12200854"/>
    <w:multiLevelType w:val="hybridMultilevel"/>
    <w:lvl w:ilvl="0">
      <w:lvlJc w:val="left"/>
      <w:lvlText w:val="%1"/>
      <w:numFmt w:val="lowerLetter"/>
      <w:start w:val="1"/>
    </w:lvl>
    <w:lvl w:ilvl="1">
      <w:lvlJc w:val="left"/>
      <w:lvlText w:val="(%2)"/>
      <w:numFmt w:val="lowerLetter"/>
      <w:start w:val="1"/>
    </w:lvl>
  </w:abstractNum>
  <w:abstractNum w:abstractNumId="7">
    <w:nsid w:val="4DB127F8"/>
    <w:multiLevelType w:val="hybridMultilevel"/>
    <w:lvl w:ilvl="0">
      <w:lvlJc w:val="left"/>
      <w:lvlText w:val="(%1)"/>
      <w:numFmt w:val="lowerLetter"/>
      <w:start w:val="9"/>
    </w:lvl>
    <w:lvl w:ilvl="1">
      <w:lvlJc w:val="left"/>
      <w:lvlText w:val="(%2)"/>
      <w:numFmt w:val="lowerLetter"/>
      <w:start w:val="2"/>
    </w:lvl>
  </w:abstractNum>
  <w:abstractNum w:abstractNumId="8">
    <w:nsid w:val="216231B"/>
    <w:multiLevelType w:val="hybridMultilevel"/>
    <w:lvl w:ilvl="0">
      <w:lvlJc w:val="left"/>
      <w:lvlText w:val="(%1)"/>
      <w:numFmt w:val="lowerLetter"/>
      <w:start w:val="35"/>
    </w:lvl>
    <w:lvl w:ilvl="1">
      <w:lvlJc w:val="left"/>
      <w:lvlText w:val="%2"/>
      <w:numFmt w:val="lowerLetter"/>
      <w:start w:val="1"/>
    </w:lvl>
  </w:abstractNum>
  <w:abstractNum w:abstractNumId="9">
    <w:nsid w:val="1F16E9E8"/>
    <w:multiLevelType w:val="hybridMultilevel"/>
    <w:lvl w:ilvl="0">
      <w:lvlJc w:val="left"/>
      <w:lvlText w:val="%1"/>
      <w:numFmt w:val="upperLetter"/>
      <w:start w:val="1"/>
    </w:lvl>
    <w:lvl w:ilvl="1">
      <w:lvlJc w:val="left"/>
      <w:lvlText w:val="(%2)"/>
      <w:numFmt w:val="lowerLetter"/>
      <w:start w:val="3"/>
    </w:lvl>
  </w:abstractNum>
  <w:abstractNum w:abstractNumId="10">
    <w:nsid w:val="1190CDE7"/>
    <w:multiLevelType w:val="hybridMultilevel"/>
    <w:lvl w:ilvl="0">
      <w:lvlJc w:val="left"/>
      <w:lvlText w:val="(%1)"/>
      <w:numFmt w:val="upperLetter"/>
      <w:start w:val="3"/>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2019-12-13T13:30:18Z</dcterms:created>
  <dcterms:modified xsi:type="dcterms:W3CDTF">2019-12-13T13:30:18Z</dcterms:modified>
</cp:coreProperties>
</file>