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3,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April 3, 2014, the Company announced its financial results for the second quarter ended February 27, 2014.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April 3, 2014</w:t>
            </w:r>
          </w:p>
        </w:tc>
      </w:tr>
      <w:tr>
        <w:trPr>
          <w:trHeight w:val="860"/>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240" w:type="dxa"/>
            <w:vAlign w:val="bottom"/>
          </w:tcPr>
          <w:p>
            <w:pPr>
              <w:spacing w:after="0"/>
              <w:rPr>
                <w:sz w:val="20"/>
                <w:szCs w:val="20"/>
                <w:color w:val="auto"/>
              </w:rPr>
            </w:pPr>
            <w:r>
              <w:rPr>
                <w:rFonts w:ascii="Arial" w:cs="Arial" w:eastAsia="Arial" w:hAnsi="Arial"/>
                <w:sz w:val="18"/>
                <w:szCs w:val="18"/>
                <w:color w:val="auto"/>
              </w:rPr>
              <w:t>Date:  April 3, 2014</w:t>
            </w:r>
          </w:p>
        </w:tc>
        <w:tc>
          <w:tcPr>
            <w:tcW w:w="3540" w:type="dxa"/>
            <w:vAlign w:val="bottom"/>
          </w:tcPr>
          <w:p>
            <w:pPr>
              <w:ind w:left="270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240" w:type="dxa"/>
            <w:vAlign w:val="bottom"/>
          </w:tcPr>
          <w:p>
            <w:pPr>
              <w:spacing w:after="0"/>
              <w:rPr>
                <w:sz w:val="17"/>
                <w:szCs w:val="17"/>
                <w:color w:val="auto"/>
              </w:rPr>
            </w:pPr>
          </w:p>
        </w:tc>
        <w:tc>
          <w:tcPr>
            <w:tcW w:w="3540" w:type="dxa"/>
            <w:vAlign w:val="bottom"/>
          </w:tcPr>
          <w:p>
            <w:pPr>
              <w:ind w:left="270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240" w:type="dxa"/>
            <w:vAlign w:val="bottom"/>
          </w:tcPr>
          <w:p>
            <w:pPr>
              <w:spacing w:after="0"/>
              <w:rPr>
                <w:sz w:val="18"/>
                <w:szCs w:val="18"/>
                <w:color w:val="auto"/>
              </w:rPr>
            </w:pPr>
          </w:p>
        </w:tc>
        <w:tc>
          <w:tcPr>
            <w:tcW w:w="3540" w:type="dxa"/>
            <w:vAlign w:val="bottom"/>
          </w:tcPr>
          <w:p>
            <w:pPr>
              <w:ind w:left="270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424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APRIL 3, 2014</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on April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819150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3080" w:type="dxa"/>
            <w:vAlign w:val="bottom"/>
          </w:tcPr>
          <w:p>
            <w:pPr>
              <w:spacing w:after="0"/>
              <w:rPr>
                <w:sz w:val="20"/>
                <w:szCs w:val="20"/>
                <w:color w:val="auto"/>
              </w:rPr>
            </w:pPr>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740" w:type="dxa"/>
            <w:vAlign w:val="bottom"/>
          </w:tcPr>
          <w:p>
            <w:pPr>
              <w:ind w:left="820"/>
              <w:spacing w:after="0"/>
              <w:rPr>
                <w:sz w:val="20"/>
                <w:szCs w:val="20"/>
                <w:color w:val="auto"/>
              </w:rPr>
            </w:pPr>
            <w:r>
              <w:rPr>
                <w:rFonts w:ascii="Arial" w:cs="Arial" w:eastAsia="Arial" w:hAnsi="Arial"/>
                <w:sz w:val="18"/>
                <w:szCs w:val="18"/>
                <w:color w:val="auto"/>
              </w:rPr>
              <w:t>Kipp A. Bedard</w:t>
            </w:r>
          </w:p>
        </w:tc>
        <w:tc>
          <w:tcPr>
            <w:tcW w:w="3080" w:type="dxa"/>
            <w:vAlign w:val="bottom"/>
          </w:tcPr>
          <w:p>
            <w:pPr>
              <w:ind w:left="1300"/>
              <w:spacing w:after="0"/>
              <w:rPr>
                <w:sz w:val="20"/>
                <w:szCs w:val="20"/>
                <w:color w:val="auto"/>
              </w:rPr>
            </w:pPr>
            <w:r>
              <w:rPr>
                <w:rFonts w:ascii="Arial" w:cs="Arial" w:eastAsia="Arial" w:hAnsi="Arial"/>
                <w:sz w:val="18"/>
                <w:szCs w:val="18"/>
                <w:color w:val="auto"/>
              </w:rPr>
              <w:t>Daniel Francisco</w:t>
            </w:r>
          </w:p>
        </w:tc>
      </w:tr>
      <w:tr>
        <w:trPr>
          <w:trHeight w:val="216"/>
        </w:trPr>
        <w:tc>
          <w:tcPr>
            <w:tcW w:w="1500" w:type="dxa"/>
            <w:vAlign w:val="bottom"/>
          </w:tcPr>
          <w:p>
            <w:pPr>
              <w:spacing w:after="0"/>
              <w:rPr>
                <w:sz w:val="18"/>
                <w:szCs w:val="18"/>
                <w:color w:val="auto"/>
              </w:rPr>
            </w:pPr>
          </w:p>
        </w:tc>
        <w:tc>
          <w:tcPr>
            <w:tcW w:w="3740" w:type="dxa"/>
            <w:vAlign w:val="bottom"/>
          </w:tcPr>
          <w:p>
            <w:pPr>
              <w:ind w:left="820"/>
              <w:spacing w:after="0"/>
              <w:rPr>
                <w:sz w:val="20"/>
                <w:szCs w:val="20"/>
                <w:color w:val="auto"/>
              </w:rPr>
            </w:pPr>
            <w:r>
              <w:rPr>
                <w:rFonts w:ascii="Arial" w:cs="Arial" w:eastAsia="Arial" w:hAnsi="Arial"/>
                <w:sz w:val="18"/>
                <w:szCs w:val="18"/>
                <w:color w:val="auto"/>
              </w:rPr>
              <w:t>Investor Relations</w:t>
            </w:r>
          </w:p>
        </w:tc>
        <w:tc>
          <w:tcPr>
            <w:tcW w:w="3080" w:type="dxa"/>
            <w:vAlign w:val="bottom"/>
          </w:tcPr>
          <w:p>
            <w:pPr>
              <w:ind w:left="1300"/>
              <w:spacing w:after="0"/>
              <w:rPr>
                <w:sz w:val="20"/>
                <w:szCs w:val="20"/>
                <w:color w:val="auto"/>
              </w:rPr>
            </w:pPr>
            <w:r>
              <w:rPr>
                <w:rFonts w:ascii="Arial" w:cs="Arial" w:eastAsia="Arial" w:hAnsi="Arial"/>
                <w:sz w:val="18"/>
                <w:szCs w:val="18"/>
                <w:color w:val="auto"/>
              </w:rPr>
              <w:t>Media Relations</w:t>
            </w:r>
          </w:p>
        </w:tc>
      </w:tr>
      <w:tr>
        <w:trPr>
          <w:trHeight w:val="216"/>
        </w:trPr>
        <w:tc>
          <w:tcPr>
            <w:tcW w:w="1500" w:type="dxa"/>
            <w:vAlign w:val="bottom"/>
          </w:tcPr>
          <w:p>
            <w:pPr>
              <w:spacing w:after="0"/>
              <w:rPr>
                <w:sz w:val="18"/>
                <w:szCs w:val="18"/>
                <w:color w:val="auto"/>
              </w:rPr>
            </w:pPr>
          </w:p>
        </w:tc>
        <w:tc>
          <w:tcPr>
            <w:tcW w:w="3740" w:type="dxa"/>
            <w:vAlign w:val="bottom"/>
          </w:tcPr>
          <w:p>
            <w:pPr>
              <w:ind w:left="820"/>
              <w:spacing w:after="0"/>
              <w:rPr>
                <w:sz w:val="20"/>
                <w:szCs w:val="20"/>
                <w:color w:val="auto"/>
              </w:rPr>
            </w:pPr>
            <w:r>
              <w:rPr>
                <w:rFonts w:ascii="Arial" w:cs="Arial" w:eastAsia="Arial" w:hAnsi="Arial"/>
                <w:sz w:val="18"/>
                <w:szCs w:val="18"/>
                <w:color w:val="auto"/>
              </w:rPr>
              <w:t>kbedard@micron.com</w:t>
            </w:r>
          </w:p>
        </w:tc>
        <w:tc>
          <w:tcPr>
            <w:tcW w:w="3080" w:type="dxa"/>
            <w:vAlign w:val="bottom"/>
          </w:tcPr>
          <w:p>
            <w:pPr>
              <w:ind w:left="130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1500" w:type="dxa"/>
            <w:vAlign w:val="bottom"/>
          </w:tcPr>
          <w:p>
            <w:pPr>
              <w:spacing w:after="0"/>
              <w:rPr>
                <w:sz w:val="20"/>
                <w:szCs w:val="20"/>
                <w:color w:val="auto"/>
              </w:rPr>
            </w:pPr>
          </w:p>
        </w:tc>
        <w:tc>
          <w:tcPr>
            <w:tcW w:w="3740" w:type="dxa"/>
            <w:vAlign w:val="bottom"/>
          </w:tcPr>
          <w:p>
            <w:pPr>
              <w:ind w:left="820"/>
              <w:spacing w:after="0"/>
              <w:rPr>
                <w:sz w:val="20"/>
                <w:szCs w:val="20"/>
                <w:color w:val="auto"/>
              </w:rPr>
            </w:pPr>
            <w:r>
              <w:rPr>
                <w:rFonts w:ascii="Arial" w:cs="Arial" w:eastAsia="Arial" w:hAnsi="Arial"/>
                <w:sz w:val="18"/>
                <w:szCs w:val="18"/>
                <w:color w:val="auto"/>
              </w:rPr>
              <w:t>(208) 368-4465</w:t>
            </w:r>
          </w:p>
        </w:tc>
        <w:tc>
          <w:tcPr>
            <w:tcW w:w="3080" w:type="dxa"/>
            <w:vAlign w:val="bottom"/>
          </w:tcPr>
          <w:p>
            <w:pPr>
              <w:ind w:left="1300"/>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REPORTS RESULTS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OF FISCAL 2014</w:t>
      </w:r>
    </w:p>
    <w:p>
      <w:pPr>
        <w:spacing w:after="0" w:line="200" w:lineRule="exact"/>
        <w:rPr>
          <w:sz w:val="20"/>
          <w:szCs w:val="20"/>
          <w:color w:val="auto"/>
        </w:rPr>
      </w:pPr>
    </w:p>
    <w:p>
      <w:pPr>
        <w:spacing w:after="0" w:line="277" w:lineRule="exact"/>
        <w:rPr>
          <w:sz w:val="20"/>
          <w:szCs w:val="20"/>
          <w:color w:val="auto"/>
        </w:rPr>
      </w:pPr>
    </w:p>
    <w:p>
      <w:pPr>
        <w:jc w:val="both"/>
        <w:ind w:right="200" w:firstLine="324"/>
        <w:spacing w:after="0" w:line="266"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April 3, 2014 – Micron Technology, Inc., (NASDAQ: MU) today announced results of operations for its second quarter of fiscal 2014,</w:t>
      </w:r>
      <w:r>
        <w:rPr>
          <w:rFonts w:ascii="Arial" w:cs="Arial" w:eastAsia="Arial" w:hAnsi="Arial"/>
          <w:sz w:val="18"/>
          <w:szCs w:val="18"/>
          <w:b w:val="1"/>
          <w:bCs w:val="1"/>
          <w:color w:val="auto"/>
        </w:rPr>
        <w:t xml:space="preserve"> </w:t>
      </w:r>
      <w:r>
        <w:rPr>
          <w:rFonts w:ascii="Arial" w:cs="Arial" w:eastAsia="Arial" w:hAnsi="Arial"/>
          <w:sz w:val="18"/>
          <w:szCs w:val="18"/>
          <w:color w:val="auto"/>
        </w:rPr>
        <w:t>which ended February 27, 2014. Revenues in the second quarter of fiscal 2014 were $4.11 billion and were 2 percent higher compared to the first quarter of fiscal 2014 and 98 percent higher compared to the second quarter of fiscal 2013.</w:t>
      </w:r>
    </w:p>
    <w:p>
      <w:pPr>
        <w:spacing w:after="0" w:line="200" w:lineRule="exact"/>
        <w:rPr>
          <w:sz w:val="20"/>
          <w:szCs w:val="20"/>
          <w:color w:val="auto"/>
        </w:rPr>
      </w:pPr>
    </w:p>
    <w:p>
      <w:pPr>
        <w:spacing w:after="0" w:line="246" w:lineRule="exact"/>
        <w:rPr>
          <w:sz w:val="20"/>
          <w:szCs w:val="20"/>
          <w:color w:val="auto"/>
        </w:rPr>
      </w:pPr>
    </w:p>
    <w:p>
      <w:pPr>
        <w:ind w:right="20" w:firstLine="324"/>
        <w:spacing w:after="0" w:line="228" w:lineRule="auto"/>
        <w:rPr>
          <w:sz w:val="20"/>
          <w:szCs w:val="20"/>
          <w:color w:val="auto"/>
        </w:rPr>
      </w:pPr>
      <w:r>
        <w:rPr>
          <w:rFonts w:ascii="Arial" w:cs="Arial" w:eastAsia="Arial" w:hAnsi="Arial"/>
          <w:sz w:val="18"/>
          <w:szCs w:val="18"/>
          <w:b w:val="1"/>
          <w:bCs w:val="1"/>
          <w:color w:val="auto"/>
        </w:rPr>
        <w:t xml:space="preserve">GAAP Income and Per Share Data </w:t>
      </w:r>
      <w:r>
        <w:rPr>
          <w:rFonts w:ascii="Arial" w:cs="Arial" w:eastAsia="Arial" w:hAnsi="Arial"/>
          <w:sz w:val="18"/>
          <w:szCs w:val="18"/>
          <w:color w:val="auto"/>
        </w:rPr>
        <w:t>– On a GAAP</w:t>
      </w:r>
      <w:r>
        <w:rPr>
          <w:rFonts w:ascii="Arial" w:cs="Arial" w:eastAsia="Arial" w:hAnsi="Arial"/>
          <w:sz w:val="25"/>
          <w:szCs w:val="25"/>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basis, net income attributable to Micron shareholders in the second quarter of fiscal 2014 was $731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or $0.61 per diluted share, compared to net income of $358 million, or $0.30 per diluted share, in the first quarter of fiscal 2014 and a net loss of ($286) million, or ($0.28) per diluted share, in the second quarter of fiscal 2013.</w:t>
      </w:r>
    </w:p>
    <w:p>
      <w:pPr>
        <w:spacing w:after="0" w:line="225" w:lineRule="exact"/>
        <w:rPr>
          <w:sz w:val="20"/>
          <w:szCs w:val="20"/>
          <w:color w:val="auto"/>
        </w:rPr>
      </w:pPr>
    </w:p>
    <w:p>
      <w:pPr>
        <w:ind w:right="40" w:firstLine="324"/>
        <w:spacing w:after="0" w:line="228" w:lineRule="auto"/>
        <w:rPr>
          <w:sz w:val="20"/>
          <w:szCs w:val="20"/>
          <w:color w:val="auto"/>
        </w:rPr>
      </w:pPr>
      <w:r>
        <w:rPr>
          <w:rFonts w:ascii="Arial" w:cs="Arial" w:eastAsia="Arial" w:hAnsi="Arial"/>
          <w:sz w:val="18"/>
          <w:szCs w:val="18"/>
          <w:b w:val="1"/>
          <w:bCs w:val="1"/>
          <w:color w:val="auto"/>
        </w:rPr>
        <w:t xml:space="preserve">Non-GAAP Income and Per Share Data </w:t>
      </w:r>
      <w:r>
        <w:rPr>
          <w:rFonts w:ascii="Arial" w:cs="Arial" w:eastAsia="Arial" w:hAnsi="Arial"/>
          <w:sz w:val="18"/>
          <w:szCs w:val="18"/>
          <w:color w:val="auto"/>
        </w:rPr>
        <w:t>– On a non-GAAP</w:t>
      </w:r>
      <w:r>
        <w:rPr>
          <w:rFonts w:ascii="Arial" w:cs="Arial" w:eastAsia="Arial" w:hAnsi="Arial"/>
          <w:sz w:val="25"/>
          <w:szCs w:val="25"/>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basis, net income attributable to Micron shareholders in the second quarter of fiscal 2014</w:t>
      </w:r>
      <w:r>
        <w:rPr>
          <w:rFonts w:ascii="Arial" w:cs="Arial" w:eastAsia="Arial" w:hAnsi="Arial"/>
          <w:sz w:val="18"/>
          <w:szCs w:val="18"/>
          <w:b w:val="1"/>
          <w:bCs w:val="1"/>
          <w:color w:val="auto"/>
        </w:rPr>
        <w:t xml:space="preserve"> </w:t>
      </w:r>
      <w:r>
        <w:rPr>
          <w:rFonts w:ascii="Arial" w:cs="Arial" w:eastAsia="Arial" w:hAnsi="Arial"/>
          <w:sz w:val="18"/>
          <w:szCs w:val="18"/>
          <w:color w:val="auto"/>
        </w:rPr>
        <w:t>was $989 million, or $0.85 per diluted share, compared to net income of $881 million, or $0.77 per diluted share, in the first quarter of fiscal 2014. For a reconciliation of GAAP to non-GAAP results, see the accompanying financial tables and footnotes.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Revenues from sales of Trade NAND Flash products were 11 percent higher in the second quarter of fiscal 2014 compared to the first quarter of fiscal 2014 primarily due to a 35 percent increase in sales volume offset by an 18 percent decrease in average selling prices. Revenues from sales of DRAM products were essentially unchanged in the second quarter of fiscal 2014 compared to the first quarter of fiscal 2014 as both sales volumes and average selling prices remained stable. The company’s overall consolidated gross margin was 34 percent in the second quarter of fiscal 2014 compared to 32 percent in the first quarter of fiscal 2014 as a result of a higher DRAM gross margin.</w:t>
      </w:r>
    </w:p>
    <w:p>
      <w:pPr>
        <w:spacing w:after="0" w:line="21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Cash flows from operations for the second quarter of fiscal 2014 were $1.39 billion, while investments in capital expenditures were $565 million. The company ended the second fiscal quarter with cash and marketable investments of $5.06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ind w:firstLine="324"/>
        <w:spacing w:after="0" w:line="288" w:lineRule="auto"/>
        <w:rPr>
          <w:sz w:val="20"/>
          <w:szCs w:val="20"/>
          <w:color w:val="auto"/>
        </w:rPr>
      </w:pPr>
      <w:r>
        <w:rPr>
          <w:rFonts w:ascii="Arial" w:cs="Arial" w:eastAsia="Arial" w:hAnsi="Arial"/>
          <w:sz w:val="16"/>
          <w:szCs w:val="16"/>
          <w:color w:val="auto"/>
        </w:rPr>
        <w:t xml:space="preserve">The company will host a conference call Thursday, April 3 at 2:30 p.m. MDT to discuss its financial and operating results. The call, audio, slides, other operational and financial information, and guidance will be available online at </w:t>
      </w:r>
      <w:r>
        <w:rPr>
          <w:rFonts w:ascii="Arial" w:cs="Arial" w:eastAsia="Arial" w:hAnsi="Arial"/>
          <w:sz w:val="16"/>
          <w:szCs w:val="16"/>
          <w:u w:val="single" w:color="auto"/>
          <w:color w:val="auto"/>
        </w:rPr>
        <w:t>http://investors.micron.com/events.cfm</w:t>
      </w:r>
      <w:r>
        <w:rPr>
          <w:rFonts w:ascii="Arial" w:cs="Arial" w:eastAsia="Arial" w:hAnsi="Arial"/>
          <w:sz w:val="16"/>
          <w:szCs w:val="16"/>
          <w:color w:val="auto"/>
        </w:rPr>
        <w:t>. A webcast replay will be available on the company’s website until April 10, 2015. A taped audio replay of the conference call will also be available at (404) 537-3406 (conference number:</w:t>
      </w:r>
    </w:p>
    <w:p>
      <w:pPr>
        <w:spacing w:after="0"/>
        <w:rPr>
          <w:sz w:val="20"/>
          <w:szCs w:val="20"/>
          <w:color w:val="auto"/>
        </w:rPr>
      </w:pPr>
      <w:r>
        <w:rPr>
          <w:rFonts w:ascii="Arial" w:cs="Arial" w:eastAsia="Arial" w:hAnsi="Arial"/>
          <w:sz w:val="18"/>
          <w:szCs w:val="18"/>
          <w:color w:val="auto"/>
        </w:rPr>
        <w:t>12756761) beginning at 5:30 p.m. MDT Thursday, April 3, 2014 and continuing until 5:30 p.m. MDT on Thursday, April 10, 2014.</w:t>
      </w:r>
    </w:p>
    <w:p>
      <w:pPr>
        <w:spacing w:after="0" w:line="238"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164" w:lineRule="exact"/>
        <w:rPr>
          <w:sz w:val="20"/>
          <w:szCs w:val="20"/>
          <w:color w:val="auto"/>
        </w:rPr>
      </w:pPr>
    </w:p>
    <w:p>
      <w:pPr>
        <w:ind w:left="520" w:hanging="188"/>
        <w:spacing w:after="0"/>
        <w:tabs>
          <w:tab w:leader="none" w:pos="520" w:val="left"/>
        </w:tabs>
        <w:numPr>
          <w:ilvl w:val="0"/>
          <w:numId w:val="1"/>
        </w:numPr>
        <w:rPr>
          <w:rFonts w:ascii="Arial" w:cs="Arial" w:eastAsia="Arial" w:hAnsi="Arial"/>
          <w:sz w:val="23"/>
          <w:szCs w:val="23"/>
          <w:i w:val="1"/>
          <w:iCs w:val="1"/>
          <w:color w:val="auto"/>
          <w:vertAlign w:val="superscript"/>
        </w:rPr>
      </w:pPr>
      <w:r>
        <w:rPr>
          <w:rFonts w:ascii="Arial" w:cs="Arial" w:eastAsia="Arial" w:hAnsi="Arial"/>
          <w:sz w:val="17"/>
          <w:szCs w:val="17"/>
          <w:i w:val="1"/>
          <w:iCs w:val="1"/>
          <w:color w:val="auto"/>
        </w:rPr>
        <w:t>GAAP represents U.S. Generally Accepted Accounting Principles.</w:t>
      </w:r>
    </w:p>
    <w:p>
      <w:pPr>
        <w:spacing w:after="0" w:line="1" w:lineRule="exact"/>
        <w:rPr>
          <w:rFonts w:ascii="Arial" w:cs="Arial" w:eastAsia="Arial" w:hAnsi="Arial"/>
          <w:sz w:val="23"/>
          <w:szCs w:val="23"/>
          <w:i w:val="1"/>
          <w:iCs w:val="1"/>
          <w:color w:val="auto"/>
          <w:vertAlign w:val="superscript"/>
        </w:rPr>
      </w:pPr>
    </w:p>
    <w:p>
      <w:pPr>
        <w:ind w:right="160" w:firstLine="332"/>
        <w:spacing w:after="0" w:line="254" w:lineRule="auto"/>
        <w:tabs>
          <w:tab w:leader="none" w:pos="516" w:val="left"/>
        </w:tabs>
        <w:numPr>
          <w:ilvl w:val="0"/>
          <w:numId w:val="1"/>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Non-GAAP represents GAAP excluding the impact of certain activities which the company’s management excludes in analyzing the company’s operating results and understanding trends in the company’s earnings. Non-GAAP also includes the impact on shares used in per share calculations of the company’s outstanding capped call transactions. For a reconciliation of GAAP to non-GAAP results, see the accompanying financial tables and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6" w:name="page7"/>
    <w:bookmarkEnd w:id="6"/>
    <w:p>
      <w:pPr>
        <w:jc w:val="center"/>
        <w:ind w:right="2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300" w:type="dxa"/>
            <w:vAlign w:val="bottom"/>
            <w:gridSpan w:val="8"/>
          </w:tcPr>
          <w:p>
            <w:pPr>
              <w:jc w:val="right"/>
              <w:ind w:right="220"/>
              <w:spacing w:after="0"/>
              <w:rPr>
                <w:sz w:val="20"/>
                <w:szCs w:val="20"/>
                <w:color w:val="auto"/>
              </w:rPr>
            </w:pPr>
            <w:r>
              <w:rPr>
                <w:rFonts w:ascii="Arial" w:cs="Arial" w:eastAsia="Arial" w:hAnsi="Arial"/>
                <w:sz w:val="18"/>
                <w:szCs w:val="18"/>
                <w:b w:val="1"/>
                <w:bCs w:val="1"/>
                <w:color w:val="auto"/>
                <w:w w:val="92"/>
              </w:rPr>
              <w:t>(in millions except per share amounts)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2nd Qtr.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1st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2nd Qtr.</w:t>
            </w:r>
          </w:p>
        </w:tc>
        <w:tc>
          <w:tcPr>
            <w:tcW w:w="180" w:type="dxa"/>
            <w:vAlign w:val="bottom"/>
          </w:tcPr>
          <w:p>
            <w:pPr>
              <w:spacing w:after="0"/>
              <w:rPr>
                <w:sz w:val="24"/>
                <w:szCs w:val="2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Feb. 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Feb. 28,</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Feb. 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Feb.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1,712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Restructure and asset impairments (1)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 (2)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non-operating income (expense), net (3)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4"/>
              </w:rPr>
              <w:t>Equity in net income (loss) of equity method investees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 (loss) attributable to Micron</w:t>
            </w:r>
          </w:p>
        </w:tc>
        <w:tc>
          <w:tcPr>
            <w:tcW w:w="6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731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887"/>
        </w:trPr>
        <w:tc>
          <w:tcPr>
            <w:tcW w:w="2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CONSOLIDATED FINANCIAL SUMMARY, Continued</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 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Aug.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restricted cash (5)</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marketable investments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20,615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Current debt (3)(5)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Micron shareholders’ equity (3)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10,006</w:t>
            </w: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Feb. 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Feb.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ind w:right="60" w:firstLine="324"/>
        <w:spacing w:after="0" w:line="259" w:lineRule="auto"/>
        <w:rPr>
          <w:sz w:val="20"/>
          <w:szCs w:val="20"/>
          <w:color w:val="auto"/>
        </w:rPr>
      </w:pPr>
      <w:r>
        <w:rPr>
          <w:rFonts w:ascii="Arial" w:cs="Arial" w:eastAsia="Arial" w:hAnsi="Arial"/>
          <w:sz w:val="18"/>
          <w:szCs w:val="18"/>
          <w:color w:val="auto"/>
        </w:rPr>
        <w:t>On July 31, 2013, the company acquired Elpida Memory, Inc. (“Elpida”) and an 89% interest in Rexchip Electronics Corporation, now known as Micron Memory Taiwan Co., Ltd. (“MMT”), for an aggregate of $949 million in cash (collectively, the “Elpida Acquisition”). Elpida’s assets include, among others: a 300mm DRAM wafer fabrication facility located in Hiroshima, Japan and an assembly and test facility located in Akita, Japan. MMT’s assets include a 300mm DRAM wafer fabrication facility located in Taichung City, Taiwan.</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Restructure and asset impairments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940" w:type="dxa"/>
            <w:vAlign w:val="bottom"/>
          </w:tcPr>
          <w:p>
            <w:pPr>
              <w:jc w:val="center"/>
              <w:ind w:left="150"/>
              <w:spacing w:after="0"/>
              <w:rPr>
                <w:sz w:val="20"/>
                <w:szCs w:val="20"/>
                <w:color w:val="auto"/>
              </w:rPr>
            </w:pPr>
            <w:r>
              <w:rPr>
                <w:rFonts w:ascii="Arial" w:cs="Arial" w:eastAsia="Arial" w:hAnsi="Arial"/>
                <w:sz w:val="18"/>
                <w:szCs w:val="18"/>
                <w:b w:val="1"/>
                <w:bCs w:val="1"/>
                <w:color w:val="auto"/>
                <w:w w:val="95"/>
              </w:rPr>
              <w:t>2nd Qtr.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1st Qtr.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2nd Qtr.</w:t>
            </w:r>
          </w:p>
        </w:tc>
        <w:tc>
          <w:tcPr>
            <w:tcW w:w="180" w:type="dxa"/>
            <w:vAlign w:val="bottom"/>
          </w:tcPr>
          <w:p>
            <w:pPr>
              <w:spacing w:after="0"/>
              <w:rPr>
                <w:sz w:val="18"/>
                <w:szCs w:val="18"/>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700" w:type="dxa"/>
            <w:vAlign w:val="bottom"/>
          </w:tcPr>
          <w:p>
            <w:pPr>
              <w:spacing w:after="0"/>
              <w:rPr>
                <w:sz w:val="18"/>
                <w:szCs w:val="18"/>
                <w:color w:val="auto"/>
              </w:rPr>
            </w:pPr>
          </w:p>
        </w:tc>
        <w:tc>
          <w:tcPr>
            <w:tcW w:w="9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Feb. 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Nov. 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Feb. 28,</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Feb. 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Feb. 28,</w:t>
            </w:r>
          </w:p>
        </w:tc>
      </w:tr>
      <w:tr>
        <w:trPr>
          <w:trHeight w:val="241"/>
        </w:trPr>
        <w:tc>
          <w:tcPr>
            <w:tcW w:w="4700" w:type="dxa"/>
            <w:vAlign w:val="bottom"/>
          </w:tcPr>
          <w:p>
            <w:pPr>
              <w:spacing w:after="0"/>
              <w:rPr>
                <w:sz w:val="20"/>
                <w:szCs w:val="20"/>
                <w:color w:val="auto"/>
              </w:rPr>
            </w:pPr>
          </w:p>
        </w:tc>
        <w:tc>
          <w:tcPr>
            <w:tcW w:w="9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impairment of MIT assets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Gain on termination of lease to Transform</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0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160" w:type="dxa"/>
            <w:vAlign w:val="bottom"/>
          </w:tcPr>
          <w:p>
            <w:pPr>
              <w:spacing w:after="0"/>
              <w:rPr>
                <w:sz w:val="18"/>
                <w:szCs w:val="18"/>
                <w:color w:val="auto"/>
              </w:rPr>
            </w:pP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
        </w:trPr>
        <w:tc>
          <w:tcPr>
            <w:tcW w:w="4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During the second quarter of fiscal 2013, the company reached an agreement to sell Micron Technology Italia, Srl., (“MIT”) a wholly-owned subsidiary, including MIT’s 200 millimeter semiconductor wafer fabrication facility assets in Avezzano, Italy. The assets and liabilities of MIT were classified as held for sale in the second quarter of fiscal 2013 and were written down to their estimated fair values. As a result, in the second quarter of fiscal 2013, the company recorded an impairment loss of $62 million.</w:t>
      </w:r>
    </w:p>
    <w:p>
      <w:pPr>
        <w:spacing w:after="0" w:line="214"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Restructure for the first quarter of fiscal 2013 included a gain of $25 million resulting from the termination of a lease by Transform Solar to a portion of the company’s manufacturing facilities in Boise, Idaho.</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Other operating (income) expense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2nd Qtr.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1st Qtr.</w:t>
            </w:r>
          </w:p>
        </w:tc>
        <w:tc>
          <w:tcPr>
            <w:tcW w:w="1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2nd Qtr.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3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Feb. 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Nov. 28,</w:t>
            </w:r>
          </w:p>
        </w:tc>
        <w:tc>
          <w:tcPr>
            <w:tcW w:w="1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Feb. 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Feb. 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Feb. 28,</w:t>
            </w:r>
          </w:p>
        </w:tc>
      </w:tr>
      <w:tr>
        <w:trPr>
          <w:trHeight w:val="241"/>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Rambus settlement</w:t>
            </w:r>
          </w:p>
        </w:tc>
        <w:tc>
          <w:tcPr>
            <w:tcW w:w="24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00" w:type="dxa"/>
            <w:vAlign w:val="bottom"/>
          </w:tcPr>
          <w:p>
            <w:pPr>
              <w:ind w:left="34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7"/>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460"/>
        <w:spacing w:after="0" w:line="264" w:lineRule="auto"/>
        <w:rPr>
          <w:sz w:val="20"/>
          <w:szCs w:val="20"/>
          <w:color w:val="auto"/>
        </w:rPr>
      </w:pPr>
      <w:r>
        <w:rPr>
          <w:rFonts w:ascii="Arial" w:cs="Arial" w:eastAsia="Arial" w:hAnsi="Arial"/>
          <w:sz w:val="18"/>
          <w:szCs w:val="18"/>
          <w:color w:val="auto"/>
        </w:rPr>
        <w:t>Other operating expense for the first quarter of fiscal 2014 included a charge to accrue a liability in connection with the company’s settlement of all pending litigation between it and Rambus, Inc., including all antitrust and patent matters. The amount accrued represented the discounted value of amounts due under the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(3) Other non-operating income (expense)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2nd Qtr.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1st Qtr.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2nd Qtr.</w:t>
            </w:r>
          </w:p>
        </w:tc>
        <w:tc>
          <w:tcPr>
            <w:tcW w:w="180" w:type="dxa"/>
            <w:vAlign w:val="bottom"/>
          </w:tcPr>
          <w:p>
            <w:pPr>
              <w:spacing w:after="0"/>
              <w:rPr>
                <w:sz w:val="18"/>
                <w:szCs w:val="18"/>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Feb. 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Feb. 28,</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Feb. 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Feb. 28,</w:t>
            </w:r>
          </w:p>
        </w:tc>
      </w:tr>
      <w:tr>
        <w:trPr>
          <w:trHeight w:val="241"/>
        </w:trPr>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restructure of debt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Adjustment to gain on acquisition of Elpida</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Gain (loss) from changes in currency exchange rates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7"/>
        </w:trPr>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In the first and second quarters of fiscal 2014, the company initiated a series of actions to restructure its debt, which resulted in aggregate non-operating losses of $80 million and $155 million in the second quarter and first six months of fiscal 2014,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Exchange Transactions</w:t>
      </w:r>
    </w:p>
    <w:p>
      <w:pPr>
        <w:spacing w:after="0" w:line="256"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In November 2013, in a series of separate non-cash transactions, the company exchanged portions of its 2027 Notes, 2031A Notes and 2031B Notes (collectively, the “Exchanged Notes”) into 3.00% Convertible Senior Notes due 2043 (the “2043G Notes”). In connection with the issuance of the 2043G Notes, the company recorded $627 million of debt and $173 million of additional capital. The net effect of the Exchange Transactions was an increase to the carrying value of the company’s debt of $282 million and a decrease in the company’s additional capital of ($238) million in the first quarter of fiscal 2014. In connection with the Exchange Transactions, which were accounted for as extinguishments, the company recognized aggregate non-operating losses of $38 million in the first quarter of fiscal 2014.</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Debt Conversions and Settlements</w:t>
      </w:r>
    </w:p>
    <w:p>
      <w:pPr>
        <w:spacing w:after="0" w:line="256"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In November 2013, the company announced the termination of the conversion rights for its remaining 2027 Notes, effective on December 13, 2013. During the first and second quarters of fiscal 2014, substantially all of the holders of the company’s 2027 Notes exercised their option to convert their notes and, in each case, the company elected to settle the conversion amount entirely in cash. In the second quarter of fiscal 2014, the company settled the conversion amounts for $179 million in cash. The net effect of the redemption of the 2027 Notes was a decrease in the carrying value of the company’s debt of ($80) million and a decrease in the company’s additional capital of ($58) million in the first six months of fiscal 2014. In connection with these actions, the company recognized non-operating losses of $19 million and $41 million in the second quarter and first six months of fiscal 2014, respectively.</w:t>
      </w:r>
    </w:p>
    <w:p>
      <w:pPr>
        <w:spacing w:after="0" w:line="216" w:lineRule="exact"/>
        <w:rPr>
          <w:sz w:val="20"/>
          <w:szCs w:val="20"/>
          <w:color w:val="auto"/>
        </w:rPr>
      </w:pPr>
    </w:p>
    <w:p>
      <w:pPr>
        <w:ind w:left="660" w:right="80"/>
        <w:spacing w:after="0" w:line="257" w:lineRule="auto"/>
        <w:rPr>
          <w:sz w:val="20"/>
          <w:szCs w:val="20"/>
          <w:color w:val="auto"/>
        </w:rPr>
      </w:pPr>
      <w:r>
        <w:rPr>
          <w:rFonts w:ascii="Arial" w:cs="Arial" w:eastAsia="Arial" w:hAnsi="Arial"/>
          <w:sz w:val="18"/>
          <w:szCs w:val="18"/>
          <w:color w:val="auto"/>
        </w:rPr>
        <w:t>In November 2013, the company called for the redemption of its remaining 2031A Notes on December 7, 2013. During the first and second quarters of fiscal 2014, substantially all of the holders of the company’s 2031A Notes exercised their option to convert their notes and, in each case, the company elected to settle the conversion amount entirely in cash. In the second quarter of fiscal 2014, the company settled the conversion amounts for $440 million in cash. In connection with these actions, the company recognized non-operating losses of $50 million and $65 million in the second quarter and first six months of fiscal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p>
      <w:pPr>
        <w:ind w:left="320" w:right="220"/>
        <w:spacing w:after="0" w:line="259" w:lineRule="auto"/>
        <w:rPr>
          <w:sz w:val="20"/>
          <w:szCs w:val="20"/>
          <w:color w:val="auto"/>
        </w:rPr>
      </w:pPr>
      <w:r>
        <w:rPr>
          <w:rFonts w:ascii="Arial" w:cs="Arial" w:eastAsia="Arial" w:hAnsi="Arial"/>
          <w:sz w:val="18"/>
          <w:szCs w:val="18"/>
          <w:color w:val="auto"/>
        </w:rPr>
        <w:t>In January 2014, the company called for the redemption of its remaining 2014 Notes on March 3, 2014. During the second quarter of fiscal 2014, holders of a majority of the company’s 2014 Notes exercised their option to convert their notes and, in each case, the company elected to settle the conversion amount entirely in cash. As a result of its elections, the company reclassified from additional capital to current debt $309 million, representing the equity component of the converted notes.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Cash Repurchases</w:t>
      </w:r>
    </w:p>
    <w:p>
      <w:pPr>
        <w:spacing w:after="0" w:line="256" w:lineRule="exact"/>
        <w:rPr>
          <w:sz w:val="20"/>
          <w:szCs w:val="20"/>
          <w:color w:val="auto"/>
        </w:rPr>
      </w:pPr>
    </w:p>
    <w:p>
      <w:pPr>
        <w:ind w:left="320" w:right="320"/>
        <w:spacing w:after="0" w:line="302" w:lineRule="auto"/>
        <w:rPr>
          <w:sz w:val="20"/>
          <w:szCs w:val="20"/>
          <w:color w:val="auto"/>
        </w:rPr>
      </w:pPr>
      <w:r>
        <w:rPr>
          <w:rFonts w:ascii="Arial" w:cs="Arial" w:eastAsia="Arial" w:hAnsi="Arial"/>
          <w:sz w:val="16"/>
          <w:szCs w:val="16"/>
          <w:color w:val="auto"/>
        </w:rPr>
        <w:t>In January 2014, the company repurchased $164 million in aggregate principal amount of its 2031B Notes, 2032C Notes and 2032D Notes in privately-negotiated transactions for an aggregate of $407 million in cash. The net effect of the Cash Repurchases was a decrease in the carrying value of the company’s debt of ($135) million and a decrease in the company’s additional capital of ($262) million in the second quarter of fiscal 2014. In connection with these actions, the company recognized non-operating losses of $11 million in the second quarter of fiscal 2014.</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Issuance of Non-Convertible Notes</w:t>
      </w:r>
    </w:p>
    <w:p>
      <w:pPr>
        <w:spacing w:after="0" w:line="256" w:lineRule="exact"/>
        <w:rPr>
          <w:sz w:val="20"/>
          <w:szCs w:val="20"/>
          <w:color w:val="auto"/>
        </w:rPr>
      </w:pPr>
    </w:p>
    <w:p>
      <w:pPr>
        <w:ind w:left="320" w:right="80"/>
        <w:spacing w:after="0" w:line="273" w:lineRule="auto"/>
        <w:rPr>
          <w:sz w:val="20"/>
          <w:szCs w:val="20"/>
          <w:color w:val="auto"/>
        </w:rPr>
      </w:pPr>
      <w:r>
        <w:rPr>
          <w:rFonts w:ascii="Arial" w:cs="Arial" w:eastAsia="Arial" w:hAnsi="Arial"/>
          <w:sz w:val="17"/>
          <w:szCs w:val="17"/>
          <w:color w:val="auto"/>
        </w:rPr>
        <w:t>2019 Notes – On December 20, 2013, the company issued $462 million in aggregate principal amount of 1.258% Secured Notes due January 2019 (the “2019 Notes”), which are collateralized by certain equipment and mature on January 15, 2019. The principal amount of the 2019 Notes is payable in 10 consecutive semi-annual installments payable in January and July of each year, commencing in July 2014. In connection with the issuance of the 2019 Notes, the company paid a guarantee fee of $23 million, which will be amortized over the term of the 2019 Notes. The 2019 Notes contains covenants which are customary for financings of this type, including negative covenants that limit or restrict the company’s ability to create liens or dispose of the equipment collateralizing the 2019 Notes.</w:t>
      </w:r>
    </w:p>
    <w:p>
      <w:pPr>
        <w:spacing w:after="0" w:line="205" w:lineRule="exact"/>
        <w:rPr>
          <w:sz w:val="20"/>
          <w:szCs w:val="20"/>
          <w:color w:val="auto"/>
        </w:rPr>
      </w:pPr>
    </w:p>
    <w:p>
      <w:pPr>
        <w:ind w:left="320"/>
        <w:spacing w:after="0" w:line="291" w:lineRule="auto"/>
        <w:rPr>
          <w:sz w:val="20"/>
          <w:szCs w:val="20"/>
          <w:color w:val="auto"/>
        </w:rPr>
      </w:pPr>
      <w:r>
        <w:rPr>
          <w:rFonts w:ascii="Arial" w:cs="Arial" w:eastAsia="Arial" w:hAnsi="Arial"/>
          <w:sz w:val="16"/>
          <w:szCs w:val="16"/>
          <w:color w:val="auto"/>
        </w:rPr>
        <w:t>2022 Notes – On February 5, 2014, the company issued $600 million in aggregate principal amount of 5.875% Senior Notes due February 2022 (the “2022 Notes”). Issuance costs for the 2022 Notes totaled $14 million. The 2022 Notes contain covenants that, among other things, limit, in certain circumstances, the company’s ability and/or the ability of the company’s domestic restricted subsidiaries (which are generally subsidiaries in the U.S. in which the company owns at least 80% of the voting stock) to (1) create or incur certain liens and enter into sale and lease-back transactions, (2) create, assume, incur or guarantee certain additional secured indebtedness and unsecured indebtedness of certain of the company’s domestic restricted subsidiaries, and (3) consolidate with or merge with or into, or convey, transfer or lease all or substantially all of the company’s assets, to another entity. These covenants are subject to a number of limitations, exceptions and qualifications.</w:t>
      </w:r>
    </w:p>
    <w:p>
      <w:pPr>
        <w:spacing w:after="0" w:line="1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Elpida Acquisition, the company recorded net assets of $2,601 million and noncontrolling interests of $168 million. Because the fair value of the net assets acquired less noncontrolling interests exceeded the company’s purchase price, the company recognized a gain on the acquisition of $1,484 million. In the second quarter of fiscal 2014, the provisional amounts as of the acquisition date were adjusted, primarily for pre-petition liabilities. As a result, the company recorded a non-operating expense of $33 million in the second quarter of fiscal 2014 for these measurement period adjustments.</w:t>
      </w:r>
    </w:p>
    <w:p>
      <w:pPr>
        <w:spacing w:after="0" w:line="21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Gain (loss) from changes in currency exchange rates in the second quarter and first six months of fiscal 2013 included currency losses of $120 million and $178 million, respectively, from changes in the market value of currency hedges executed in connection with the company’s acquisition of Elpida and MMT.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396875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11" w:name="page12"/>
    <w:bookmarkEnd w:id="11"/>
    <w:p>
      <w:pPr>
        <w:jc w:val="both"/>
        <w:ind w:left="308" w:hanging="308"/>
        <w:spacing w:after="0" w:line="272" w:lineRule="auto"/>
        <w:tabs>
          <w:tab w:leader="none" w:pos="308"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Income taxes for the second quarter and first six months of fiscal 2014 included $55 million and $128 million, respectively, related to the utilization of deferred tax assets as a result of Elpida’s and MMT’s operations. Income taxes for the second quarter of fiscal 2013 included tax benefits related to two non-U.S. jurisdictions of $10 million for the favorable resolution of certain prior year tax matters, which was previously reserved as an uncertain tax position, and $9 million for a favorable change in tax law applicable to prior years. Remaining taxes for the second quarters and first six months of fiscal 2014 and 2013 primarily reflect taxes on the company’s non-U.S. operations. The company has a full valuation allowance for its net deferred tax asset associated with its U.S. operations. The provision (benefit) for taxes on U.S. operations for the second quarters and first six months of fiscal 2014 and 2013 was substantially offset by changes in the valuation allowance.</w:t>
      </w:r>
    </w:p>
    <w:p>
      <w:pPr>
        <w:spacing w:after="0" w:line="204" w:lineRule="exact"/>
        <w:rPr>
          <w:rFonts w:ascii="Arial" w:cs="Arial" w:eastAsia="Arial" w:hAnsi="Arial"/>
          <w:sz w:val="17"/>
          <w:szCs w:val="17"/>
          <w:color w:val="auto"/>
        </w:rPr>
      </w:pPr>
    </w:p>
    <w:p>
      <w:pPr>
        <w:ind w:left="308" w:hanging="308"/>
        <w:spacing w:after="0" w:line="277" w:lineRule="auto"/>
        <w:tabs>
          <w:tab w:leader="none" w:pos="308"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first quarter of fiscal 2014, the company made the first Elpida creditor installment payment of $534 million from funds that had been held in a current restricted cash account since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544195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8"/>
          </w:cols>
          <w:pgMar w:left="272" w:top="517" w:right="239" w:bottom="1440" w:gutter="0" w:footer="0" w:header="0"/>
        </w:sectPr>
      </w:pPr>
    </w:p>
    <w:bookmarkStart w:id="12" w:name="page13"/>
    <w:bookmarkEnd w:id="12"/>
    <w:p>
      <w:pPr>
        <w:jc w:val="center"/>
        <w:ind w:right="2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840" w:type="dxa"/>
            <w:vAlign w:val="bottom"/>
            <w:gridSpan w:val="2"/>
          </w:tcPr>
          <w:p>
            <w:pPr>
              <w:jc w:val="right"/>
              <w:ind w:right="1800"/>
              <w:spacing w:after="0"/>
              <w:rPr>
                <w:sz w:val="20"/>
                <w:szCs w:val="20"/>
                <w:color w:val="auto"/>
              </w:rPr>
            </w:pPr>
            <w:r>
              <w:rPr>
                <w:rFonts w:ascii="Arial" w:cs="Arial" w:eastAsia="Arial" w:hAnsi="Arial"/>
                <w:sz w:val="18"/>
                <w:szCs w:val="18"/>
                <w:b w:val="1"/>
                <w:bCs w:val="1"/>
                <w:color w:val="auto"/>
                <w:w w:val="91"/>
              </w:rPr>
              <w:t>(in millions except per share amounts)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2nd Qtr.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1st Qtr.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Nov.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attributable to Micron</w:t>
            </w:r>
          </w:p>
        </w:tc>
        <w:tc>
          <w:tcPr>
            <w:tcW w:w="4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Non-GAAP adjustments: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Flow-through of Elpida inventory step up</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Rambus settlement</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Restructure and asset impairments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Amortization of debt discount and other costs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Loss on restructure of debt</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Adjustment to gain on acquisition of Elpida</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7"/>
              </w:rPr>
              <w:t>(Gain) loss from changes in currency exchange rates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Estimated tax effects of above items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Non-cash taxes from Elpida purchase accounting</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non-GAAP adjustments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attributable to Micron</w:t>
            </w:r>
          </w:p>
        </w:tc>
        <w:tc>
          <w:tcPr>
            <w:tcW w:w="4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1"/>
              </w:rPr>
              <w:t>Number of shares used in diluted per share calculations: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Effect of capped calls</w:t>
            </w: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Non-GAAP</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4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Effects of above</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Non-GAAP</w:t>
            </w:r>
          </w:p>
        </w:tc>
        <w:tc>
          <w:tcPr>
            <w:tcW w:w="4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The table above sets forth non-GAAP net income attributable to Micron, diluted shares and diluted earnings per share. The adjustments above may or may not be infrequent or nonrecurring in nature but are a result of periodic or non-core operating activities of the company. The company believes this non-GAAP information is significant to understanding trends and is important in analyzing the company’s operating results and earnings. The company is providing this information to investors to assist in performing analyses of the company’s operating results. When evaluating performance and making decisions on how to allocate company resources, management uses this non-GAAP information and believes investors should have access to similar data when making their investment decisions. The presentation of these adjusted amounts vary from numbers presented in accordance with U.S. GAAP and therefore may not be comparable to amounts reported by other companies.</w:t>
      </w:r>
    </w:p>
    <w:p>
      <w:pPr>
        <w:spacing w:after="0" w:line="20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company’s management excludes the following items in analyzing the company’s operating results and understanding trends in the company’s earnings:</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Flow-through of inventory step up values recorded in connection with the company’s acquisition of Elpida;</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Rambus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the company’s convertible debt and the Elpida installment debt;</w:t>
      </w: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on restructure of debt;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gain on acquisition of Elpida;</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loss from changes in currency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tax effects of above items;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Non-cash taxes resulting from utilization of deferred tax assets recorded in connection with the company’s acquisition of Elpida.</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Non-GAAP diluted shares include the impact of the company’s outstanding capped call transactions, which are anti-dilutive in GAAP earnings per share but are expected to mitigate the dilutive effect of the company’s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2019-12-05T20:13:39Z</dcterms:created>
  <dcterms:modified xsi:type="dcterms:W3CDTF">2019-12-05T20:13:39Z</dcterms:modified>
</cp:coreProperties>
</file>