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8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FORM 10-Q</w:t>
      </w:r>
    </w:p>
    <w:tbl>
      <w:tblPr>
        <w:tblW w:w="9420" w:type="dxa"/>
        <w:jc w:val="center"/>
        <w:tblInd w:w="0" w:type="dxa"/>
        <w:tblLayout w:type="fixed"/>
        <w:tblCellMar>
          <w:top w:w="28" w:type="dxa"/>
          <w:left w:w="28" w:type="dxa"/>
          <w:bottom w:w="28" w:type="dxa"/>
          <w:right w:w="28" w:type="dxa"/>
        </w:tblCellMar>
      </w:tblPr>
      <w:tblGrid>
        <w:gridCol w:w="314"/>
        <w:gridCol w:w="277"/>
        <w:gridCol w:w="279"/>
        <w:gridCol w:w="2504"/>
        <w:gridCol w:w="2504"/>
        <w:gridCol w:w="3542"/>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(Mark One)</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QUARTERLY REPORT PURSUANT TO SECTION 13 OR 15(d) OF THE</w:t>
            </w:r>
            <w:r>
              <w:rPr>
                <w:color w:val="000000"/>
              </w:rPr>
              <w:t> </w:t>
            </w:r>
            <w:r>
              <w:rPr>
                <w:rFonts w:ascii="Arial Narrow;sans-serif" w:hAnsi="Arial Narrow;sans-serif"/>
                <w:b/>
                <w:color w:val="000000"/>
                <w:sz w:val="20"/>
              </w:rPr>
              <w:t>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quarterly period ended November 27, 2025</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OR</w:t>
      </w:r>
    </w:p>
    <w:tbl>
      <w:tblPr>
        <w:tblW w:w="8862" w:type="dxa"/>
        <w:jc w:val="center"/>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1-10658</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Micron Technology,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9381" w:type="dxa"/>
        <w:jc w:val="center"/>
        <w:tblInd w:w="0" w:type="dxa"/>
        <w:tblLayout w:type="fixed"/>
        <w:tblCellMar>
          <w:top w:w="28" w:type="dxa"/>
          <w:left w:w="28" w:type="dxa"/>
          <w:bottom w:w="28" w:type="dxa"/>
          <w:right w:w="28" w:type="dxa"/>
        </w:tblCellMar>
      </w:tblPr>
      <w:tblGrid>
        <w:gridCol w:w="1355"/>
        <w:gridCol w:w="1191"/>
        <w:gridCol w:w="1203"/>
        <w:gridCol w:w="109"/>
        <w:gridCol w:w="109"/>
        <w:gridCol w:w="109"/>
        <w:gridCol w:w="449"/>
        <w:gridCol w:w="449"/>
        <w:gridCol w:w="451"/>
        <w:gridCol w:w="109"/>
        <w:gridCol w:w="109"/>
        <w:gridCol w:w="109"/>
        <w:gridCol w:w="1060"/>
        <w:gridCol w:w="1060"/>
        <w:gridCol w:w="1509"/>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75-1618004</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(IRS Employer Identification No.)</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8000 S. Federal Way, Boise, Idaho 83716-9632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(208) 368-4000</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Registrant’s telephone number, including area code</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tbl>
      <w:tblPr>
        <w:tblW w:w="10205" w:type="dxa"/>
        <w:jc w:val="center"/>
        <w:tblInd w:w="0" w:type="dxa"/>
        <w:tblLayout w:type="fixed"/>
        <w:tblCellMar>
          <w:top w:w="28" w:type="dxa"/>
          <w:left w:w="28" w:type="dxa"/>
          <w:bottom w:w="28" w:type="dxa"/>
          <w:right w:w="28" w:type="dxa"/>
        </w:tblCellMar>
      </w:tblPr>
      <w:tblGrid>
        <w:gridCol w:w="932"/>
        <w:gridCol w:w="468"/>
        <w:gridCol w:w="468"/>
        <w:gridCol w:w="868"/>
        <w:gridCol w:w="468"/>
        <w:gridCol w:w="468"/>
        <w:gridCol w:w="1095"/>
        <w:gridCol w:w="468"/>
        <w:gridCol w:w="468"/>
        <w:gridCol w:w="754"/>
        <w:gridCol w:w="468"/>
        <w:gridCol w:w="468"/>
        <w:gridCol w:w="468"/>
        <w:gridCol w:w="468"/>
        <w:gridCol w:w="468"/>
        <w:gridCol w:w="125"/>
        <w:gridCol w:w="125"/>
        <w:gridCol w:w="126"/>
        <w:gridCol w:w="109"/>
        <w:gridCol w:w="109"/>
        <w:gridCol w:w="109"/>
        <w:gridCol w:w="109"/>
        <w:gridCol w:w="109"/>
        <w:gridCol w:w="109"/>
        <w:gridCol w:w="109"/>
        <w:gridCol w:w="109"/>
        <w:gridCol w:w="160"/>
      </w:tblGrid>
      <w:tr>
        <w:trPr/>
        <w:tc>
          <w:tcPr>
            <w:tcW w:w="9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79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No</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7" w:type="dxa"/>
            <w:gridSpan w:val="15"/>
            <w:tcBorders/>
            <w:tcMar>
              <w:top w:w="0" w:type="dxa"/>
              <w:left w:w="0" w:type="dxa"/>
              <w:bottom w:w="0" w:type="dxa"/>
              <w:right w:w="0" w:type="dxa"/>
            </w:tcMar>
            <w:vAlign w:val="center"/>
          </w:tcPr>
          <w:p>
            <w:pPr>
              <w:pStyle w:val="TableContents"/>
              <w:bidi w:val="0"/>
              <w:spacing w:lineRule="auto" w:line="288" w:before="0" w:after="120"/>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No</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Large Accelerated Filer</w:t>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Accelerated Filer</w:t>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Non-Accelerated Filer</w:t>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Smaller Reporting Company</w:t>
            </w:r>
          </w:p>
        </w:tc>
        <w:tc>
          <w:tcPr>
            <w:tcW w:w="28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Emerging Growth Company</w:t>
            </w:r>
          </w:p>
        </w:tc>
      </w:tr>
      <w:tr>
        <w:trPr/>
        <w:tc>
          <w:tcPr>
            <w:tcW w:w="186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81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7" w:type="dxa"/>
            <w:gridSpan w:val="24"/>
            <w:tcBorders/>
            <w:tcMar>
              <w:top w:w="0" w:type="dxa"/>
              <w:left w:w="0" w:type="dxa"/>
              <w:bottom w:w="0" w:type="dxa"/>
              <w:right w:w="0" w:type="dxa"/>
            </w:tcMar>
            <w:vAlign w:val="center"/>
          </w:tcPr>
          <w:p>
            <w:pPr>
              <w:pStyle w:val="TableContents"/>
              <w:bidi w:val="0"/>
              <w:spacing w:lineRule="auto" w:line="288" w:before="60" w:after="120"/>
              <w:jc w:val="left"/>
              <w:rPr>
                <w:rFonts w:ascii="Arial Narrow;sans-serif" w:hAnsi="Arial Narrow;sans-serif"/>
                <w:b w:val="false"/>
                <w:color w:val="000000"/>
                <w:sz w:val="20"/>
              </w:rPr>
            </w:pPr>
            <w:r>
              <w:rPr>
                <w:rFonts w:ascii="Arial Narrow;sans-serif" w:hAnsi="Arial Narrow;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7" w:type="dxa"/>
            <w:gridSpan w:val="15"/>
            <w:tcBorders/>
            <w:tcMar>
              <w:top w:w="0" w:type="dxa"/>
              <w:left w:w="0" w:type="dxa"/>
              <w:bottom w:w="0" w:type="dxa"/>
              <w:right w:w="0" w:type="dxa"/>
            </w:tcMar>
            <w:vAlign w:val="center"/>
          </w:tcPr>
          <w:p>
            <w:pPr>
              <w:pStyle w:val="TableContents"/>
              <w:bidi w:val="0"/>
              <w:spacing w:lineRule="auto" w:line="288" w:before="0" w:after="120"/>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 shell company (as defined in Rule 12b-2 of the Exchange Act).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No</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jc w:val="left"/>
        <w:rPr>
          <w:rFonts w:ascii="Arial Narrow;sans-serif" w:hAnsi="Arial Narrow;sans-serif"/>
          <w:b w:val="false"/>
          <w:color w:val="000000"/>
          <w:sz w:val="20"/>
        </w:rPr>
      </w:pPr>
      <w:r>
        <w:rPr>
          <w:rFonts w:ascii="Arial Narrow;sans-serif" w:hAnsi="Arial Narrow;sans-serif"/>
          <w:b w:val="false"/>
          <w:color w:val="000000"/>
          <w:sz w:val="20"/>
        </w:rPr>
        <w:t>The number of outstanding shares of the registrant’s common stock as of December 10, 2025 was 1,125,509,261.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Table of Contents</w:t>
      </w:r>
    </w:p>
    <w:tbl>
      <w:tblPr>
        <w:tblW w:w="7953" w:type="dxa"/>
        <w:jc w:val="left"/>
        <w:tblInd w:w="0" w:type="dxa"/>
        <w:tblLayout w:type="fixed"/>
        <w:tblCellMar>
          <w:top w:w="28" w:type="dxa"/>
          <w:left w:w="28" w:type="dxa"/>
          <w:bottom w:w="28" w:type="dxa"/>
          <w:right w:w="28" w:type="dxa"/>
        </w:tblCellMar>
      </w:tblPr>
      <w:tblGrid>
        <w:gridCol w:w="448"/>
        <w:gridCol w:w="394"/>
        <w:gridCol w:w="394"/>
        <w:gridCol w:w="2095"/>
        <w:gridCol w:w="2095"/>
        <w:gridCol w:w="2155"/>
        <w:gridCol w:w="109"/>
        <w:gridCol w:w="109"/>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1" w:type="dxa"/>
            <w:gridSpan w:val="6"/>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6">
              <w:r>
                <w:rPr>
                  <w:rStyle w:val="InternetLink"/>
                  <w:rFonts w:ascii="Arial Narrow;sans-serif" w:hAnsi="Arial Narrow;sans-serif"/>
                  <w:b w:val="false"/>
                  <w:strike w:val="false"/>
                  <w:dstrike w:val="false"/>
                  <w:color w:val="000000"/>
                  <w:sz w:val="20"/>
                  <w:u w:val="none"/>
                  <w:effect w:val="none"/>
                </w:rPr>
                <w:t>Introduction</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6">
              <w:r>
                <w:rPr>
                  <w:rStyle w:val="InternetLink"/>
                  <w:rFonts w:ascii="Arial Narrow;sans-serif" w:hAnsi="Arial Narrow;sans-serif"/>
                  <w:b w:val="false"/>
                  <w:strike w:val="false"/>
                  <w:dstrike w:val="false"/>
                  <w:color w:val="000000"/>
                  <w:sz w:val="20"/>
                  <w:u w:val="none"/>
                  <w:effect w:val="none"/>
                </w:rPr>
                <w:t>3</w:t>
              </w:r>
            </w:hyperlink>
          </w:p>
        </w:tc>
      </w:tr>
      <w:tr>
        <w:trPr/>
        <w:tc>
          <w:tcPr>
            <w:tcW w:w="758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70">
              <w:r>
                <w:rPr>
                  <w:rStyle w:val="InternetLink"/>
                  <w:rFonts w:ascii="Arial Narrow;sans-serif" w:hAnsi="Arial Narrow;sans-serif"/>
                  <w:b/>
                  <w:strike w:val="false"/>
                  <w:dstrike w:val="false"/>
                  <w:color w:val="000080"/>
                  <w:sz w:val="20"/>
                  <w:u w:val="single"/>
                  <w:effect w:val="none"/>
                </w:rPr>
                <w:t>PART</w:t>
              </w:r>
            </w:hyperlink>
            <w:hyperlink w:anchor="i9dc85175196a4870ae925c7907d401ce_70">
              <w:r>
                <w:rPr>
                  <w:rStyle w:val="InternetLink"/>
                  <w:rFonts w:ascii="Arial Narrow;sans-serif" w:hAnsi="Arial Narrow;sans-serif"/>
                  <w:b/>
                  <w:strike w:val="false"/>
                  <w:dstrike w:val="false"/>
                  <w:color w:val="000080"/>
                  <w:sz w:val="20"/>
                  <w:u w:val="single"/>
                  <w:effect w:val="none"/>
                </w:rPr>
                <w:t xml:space="preserve"> I</w:t>
              </w:r>
            </w:hyperlink>
            <w:hyperlink w:anchor="i9dc85175196a4870ae925c7907d401ce_70">
              <w:r>
                <w:rPr>
                  <w:rStyle w:val="InternetLink"/>
                  <w:rFonts w:ascii="Arial Narrow;sans-serif" w:hAnsi="Arial Narrow;sans-serif"/>
                  <w:b/>
                  <w:strike w:val="false"/>
                  <w:dstrike w:val="false"/>
                  <w:color w:val="000080"/>
                  <w:sz w:val="20"/>
                  <w:u w:val="single"/>
                  <w:effect w:val="none"/>
                </w:rPr>
                <w:t>. Financial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03">
              <w:r>
                <w:rPr>
                  <w:rStyle w:val="InternetLink"/>
                  <w:rFonts w:ascii="Arial Narrow;sans-serif" w:hAnsi="Arial Narrow;sans-serif"/>
                  <w:b w:val="false"/>
                  <w:strike w:val="false"/>
                  <w:dstrike w:val="false"/>
                  <w:color w:val="000080"/>
                  <w:sz w:val="20"/>
                  <w:u w:val="single"/>
                  <w:effect w:val="none"/>
                </w:rPr>
                <w:t xml:space="preserve">Item </w:t>
              </w:r>
            </w:hyperlink>
            <w:hyperlink w:anchor="i9dc85175196a4870ae925c7907d401ce_103">
              <w:r>
                <w:rPr>
                  <w:rStyle w:val="InternetLink"/>
                  <w:rFonts w:ascii="Arial Narrow;sans-serif" w:hAnsi="Arial Narrow;sans-serif"/>
                  <w:b w:val="false"/>
                  <w:strike w:val="false"/>
                  <w:dstrike w:val="false"/>
                  <w:color w:val="000080"/>
                  <w:sz w:val="20"/>
                  <w:u w:val="single"/>
                  <w:effect w:val="none"/>
                </w:rPr>
                <w:t>1</w:t>
              </w:r>
            </w:hyperlink>
            <w:hyperlink w:anchor="i9dc85175196a4870ae925c7907d401ce_103">
              <w:r>
                <w:rPr>
                  <w:rStyle w:val="InternetLink"/>
                  <w:rFonts w:ascii="Arial Narrow;sans-serif" w:hAnsi="Arial Narrow;sans-serif"/>
                  <w:b w:val="false"/>
                  <w:strike w:val="false"/>
                  <w:dstrike w:val="false"/>
                  <w:color w:val="000080"/>
                  <w:sz w:val="20"/>
                  <w:u w:val="single"/>
                  <w:effect w:val="none"/>
                </w:rPr>
                <w:t>.</w:t>
              </w:r>
            </w:hyperlink>
          </w:p>
        </w:tc>
        <w:tc>
          <w:tcPr>
            <w:tcW w:w="634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03">
              <w:r>
                <w:rPr>
                  <w:rStyle w:val="InternetLink"/>
                  <w:rFonts w:ascii="Arial Narrow;sans-serif" w:hAnsi="Arial Narrow;sans-serif"/>
                  <w:b w:val="false"/>
                  <w:strike w:val="false"/>
                  <w:dstrike w:val="false"/>
                  <w:color w:val="000080"/>
                  <w:sz w:val="20"/>
                  <w:u w:val="single"/>
                  <w:effect w:val="none"/>
                </w:rPr>
                <w:t>Financial Statements</w:t>
              </w:r>
            </w:hyperlink>
            <w:hyperlink w:anchor="i9dc85175196a4870ae925c7907d401ce_103">
              <w:r>
                <w:rPr>
                  <w:rStyle w:val="InternetLink"/>
                  <w:rFonts w:ascii="Arial Narrow;sans-serif" w:hAnsi="Arial Narrow;sans-serif"/>
                  <w:b w:val="false"/>
                  <w:strike w:val="false"/>
                  <w:dstrike w:val="false"/>
                  <w:color w:val="000080"/>
                  <w:sz w:val="20"/>
                  <w:u w:val="single"/>
                  <w:effect w:val="none"/>
                </w:rPr>
                <w:t>:</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03">
              <w:r>
                <w:rPr>
                  <w:rStyle w:val="InternetLink"/>
                  <w:rFonts w:ascii="Arial Narrow;sans-serif" w:hAnsi="Arial Narrow;sans-serif"/>
                  <w:b w:val="false"/>
                  <w:strike w:val="false"/>
                  <w:dstrike w:val="false"/>
                  <w:color w:val="000000"/>
                  <w:sz w:val="20"/>
                  <w:u w:val="none"/>
                  <w:effect w:val="none"/>
                </w:rPr>
                <w:t>5</w:t>
              </w:r>
            </w:hyperlink>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06">
              <w:r>
                <w:rPr>
                  <w:rStyle w:val="InternetLink"/>
                  <w:rFonts w:ascii="Arial Narrow;sans-serif" w:hAnsi="Arial Narrow;sans-serif"/>
                  <w:b w:val="false"/>
                  <w:strike w:val="false"/>
                  <w:dstrike w:val="false"/>
                  <w:color w:val="000000"/>
                  <w:sz w:val="20"/>
                  <w:u w:val="none"/>
                  <w:effect w:val="none"/>
                </w:rPr>
                <w:t>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06">
              <w:r>
                <w:rPr>
                  <w:rStyle w:val="InternetLink"/>
                  <w:rFonts w:ascii="Arial Narrow;sans-serif" w:hAnsi="Arial Narrow;sans-serif"/>
                  <w:b w:val="false"/>
                  <w:strike w:val="false"/>
                  <w:dstrike w:val="false"/>
                  <w:color w:val="000000"/>
                  <w:sz w:val="20"/>
                  <w:u w:val="none"/>
                  <w:effect w:val="none"/>
                </w:rPr>
                <w:t>5</w:t>
              </w:r>
            </w:hyperlink>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09">
              <w:r>
                <w:rPr>
                  <w:rStyle w:val="InternetLink"/>
                  <w:rFonts w:ascii="Arial Narrow;sans-serif" w:hAnsi="Arial Narrow;sans-serif"/>
                  <w:b w:val="false"/>
                  <w:strike w:val="false"/>
                  <w:dstrike w:val="false"/>
                  <w:color w:val="000000"/>
                  <w:sz w:val="20"/>
                  <w:u w:val="none"/>
                  <w:effect w:val="none"/>
                </w:rPr>
                <w:t>Consolidated Statements of Comprehensive Income</w:t>
              </w:r>
            </w:hyperlink>
            <w:r>
              <w:rPr>
                <w:rFonts w:ascii="Arial Narrow;sans-serif" w:hAnsi="Arial Narrow;sans-serif"/>
                <w:b w:val="false"/>
                <w:color w:val="000000"/>
                <w:sz w:val="20"/>
              </w:rPr>
              <w:t xml:space="preserve"> (Loss)</w:t>
            </w:r>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09">
              <w:r>
                <w:rPr>
                  <w:rStyle w:val="InternetLink"/>
                  <w:rFonts w:ascii="Arial Narrow;sans-serif" w:hAnsi="Arial Narrow;sans-serif"/>
                  <w:b w:val="false"/>
                  <w:strike w:val="false"/>
                  <w:dstrike w:val="false"/>
                  <w:color w:val="000000"/>
                  <w:sz w:val="20"/>
                  <w:u w:val="none"/>
                  <w:effect w:val="none"/>
                </w:rPr>
                <w:t>6</w:t>
              </w:r>
            </w:hyperlink>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12">
              <w:r>
                <w:rPr>
                  <w:rStyle w:val="InternetLink"/>
                  <w:rFonts w:ascii="Arial Narrow;sans-serif" w:hAnsi="Arial Narrow;sans-serif"/>
                  <w:b w:val="false"/>
                  <w:strike w:val="false"/>
                  <w:dstrike w:val="false"/>
                  <w:color w:val="000000"/>
                  <w:sz w:val="20"/>
                  <w:u w:val="none"/>
                  <w:effect w:val="none"/>
                </w:rPr>
                <w:t>Consolidated Balance Sheets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12">
              <w:r>
                <w:rPr>
                  <w:rStyle w:val="InternetLink"/>
                  <w:rFonts w:ascii="Arial Narrow;sans-serif" w:hAnsi="Arial Narrow;sans-serif"/>
                  <w:b w:val="false"/>
                  <w:strike w:val="false"/>
                  <w:dstrike w:val="false"/>
                  <w:color w:val="000000"/>
                  <w:sz w:val="20"/>
                  <w:u w:val="none"/>
                  <w:effect w:val="none"/>
                </w:rPr>
                <w:t>7</w:t>
              </w:r>
            </w:hyperlink>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15">
              <w:r>
                <w:rPr>
                  <w:rStyle w:val="InternetLink"/>
                  <w:rFonts w:ascii="Arial Narrow;sans-serif" w:hAnsi="Arial Narrow;sans-serif"/>
                  <w:b w:val="false"/>
                  <w:strike w:val="false"/>
                  <w:dstrike w:val="false"/>
                  <w:color w:val="000000"/>
                  <w:sz w:val="20"/>
                  <w:u w:val="none"/>
                  <w:effect w:val="none"/>
                </w:rPr>
                <w:t>Consolidated Statements of Changes in Equity</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15">
              <w:r>
                <w:rPr>
                  <w:rStyle w:val="InternetLink"/>
                  <w:rFonts w:ascii="Arial Narrow;sans-serif" w:hAnsi="Arial Narrow;sans-serif"/>
                  <w:b w:val="false"/>
                  <w:strike w:val="false"/>
                  <w:dstrike w:val="false"/>
                  <w:color w:val="000000"/>
                  <w:sz w:val="20"/>
                  <w:u w:val="none"/>
                  <w:effect w:val="none"/>
                </w:rPr>
                <w:t>8</w:t>
              </w:r>
            </w:hyperlink>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18">
              <w:r>
                <w:rPr>
                  <w:rStyle w:val="InternetLink"/>
                  <w:rFonts w:ascii="Arial Narrow;sans-serif" w:hAnsi="Arial Narrow;sans-serif"/>
                  <w:b w:val="false"/>
                  <w:strike w:val="false"/>
                  <w:dstrike w:val="false"/>
                  <w:color w:val="000000"/>
                  <w:sz w:val="20"/>
                  <w:u w:val="none"/>
                  <w:effect w:val="none"/>
                </w:rPr>
                <w:t>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18">
              <w:r>
                <w:rPr>
                  <w:rStyle w:val="InternetLink"/>
                  <w:rFonts w:ascii="Arial Narrow;sans-serif" w:hAnsi="Arial Narrow;sans-serif"/>
                  <w:b w:val="false"/>
                  <w:strike w:val="false"/>
                  <w:dstrike w:val="false"/>
                  <w:color w:val="000000"/>
                  <w:sz w:val="20"/>
                  <w:u w:val="none"/>
                  <w:effect w:val="none"/>
                </w:rPr>
                <w:t>9</w:t>
              </w:r>
            </w:hyperlink>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21">
              <w:r>
                <w:rPr>
                  <w:rStyle w:val="InternetLink"/>
                  <w:rFonts w:ascii="Arial Narrow;sans-serif" w:hAnsi="Arial Narrow;sans-serif"/>
                  <w:b w:val="false"/>
                  <w:strike w:val="false"/>
                  <w:dstrike w:val="false"/>
                  <w:color w:val="000000"/>
                  <w:sz w:val="20"/>
                  <w:u w:val="none"/>
                  <w:effect w:val="none"/>
                </w:rPr>
                <w:t>Notes to Consolidated Financial Statements</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21">
              <w:r>
                <w:rPr>
                  <w:rStyle w:val="InternetLink"/>
                  <w:rFonts w:ascii="Arial Narrow;sans-serif" w:hAnsi="Arial Narrow;sans-serif"/>
                  <w:b w:val="false"/>
                  <w:strike w:val="false"/>
                  <w:dstrike w:val="false"/>
                  <w:color w:val="000000"/>
                  <w:sz w:val="20"/>
                  <w:u w:val="none"/>
                  <w:effect w:val="none"/>
                </w:rPr>
                <w:t>10</w:t>
              </w:r>
            </w:hyperlink>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79">
              <w:r>
                <w:rPr>
                  <w:rStyle w:val="InternetLink"/>
                  <w:rFonts w:ascii="Arial Narrow;sans-serif" w:hAnsi="Arial Narrow;sans-serif"/>
                  <w:b w:val="false"/>
                  <w:strike w:val="false"/>
                  <w:dstrike w:val="false"/>
                  <w:color w:val="000080"/>
                  <w:sz w:val="20"/>
                  <w:u w:val="single"/>
                  <w:effect w:val="none"/>
                </w:rPr>
                <w:t xml:space="preserve">Item </w:t>
              </w:r>
            </w:hyperlink>
            <w:hyperlink w:anchor="i9dc85175196a4870ae925c7907d401ce_79">
              <w:r>
                <w:rPr>
                  <w:rStyle w:val="InternetLink"/>
                  <w:rFonts w:ascii="Arial Narrow;sans-serif" w:hAnsi="Arial Narrow;sans-serif"/>
                  <w:b w:val="false"/>
                  <w:strike w:val="false"/>
                  <w:dstrike w:val="false"/>
                  <w:color w:val="000080"/>
                  <w:sz w:val="20"/>
                  <w:u w:val="single"/>
                  <w:effect w:val="none"/>
                </w:rPr>
                <w:t>2</w:t>
              </w:r>
            </w:hyperlink>
            <w:hyperlink w:anchor="i9dc85175196a4870ae925c7907d401ce_79">
              <w:r>
                <w:rPr>
                  <w:rStyle w:val="InternetLink"/>
                  <w:rFonts w:ascii="Arial Narrow;sans-serif" w:hAnsi="Arial Narrow;sans-serif"/>
                  <w:b w:val="false"/>
                  <w:strike w:val="false"/>
                  <w:dstrike w:val="false"/>
                  <w:color w:val="000080"/>
                  <w:sz w:val="20"/>
                  <w:u w:val="single"/>
                  <w:effect w:val="none"/>
                </w:rPr>
                <w:t>.</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79">
              <w:r>
                <w:rPr>
                  <w:rStyle w:val="InternetLink"/>
                  <w:rFonts w:ascii="Arial Narrow;sans-serif" w:hAnsi="Arial Narrow;sans-serif"/>
                  <w:b w:val="false"/>
                  <w:strike w:val="false"/>
                  <w:dstrike w:val="false"/>
                  <w:color w:val="000000"/>
                  <w:sz w:val="20"/>
                  <w:u w:val="none"/>
                  <w:effect w:val="non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79">
              <w:r>
                <w:rPr>
                  <w:rStyle w:val="InternetLink"/>
                  <w:rFonts w:ascii="Arial Narrow;sans-serif" w:hAnsi="Arial Narrow;sans-serif"/>
                  <w:b w:val="false"/>
                  <w:strike w:val="false"/>
                  <w:dstrike w:val="false"/>
                  <w:color w:val="000000"/>
                  <w:sz w:val="20"/>
                  <w:u w:val="none"/>
                  <w:effect w:val="none"/>
                </w:rPr>
                <w:t>26</w:t>
              </w:r>
            </w:hyperlink>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82">
              <w:r>
                <w:rPr>
                  <w:rStyle w:val="InternetLink"/>
                  <w:rFonts w:ascii="Arial Narrow;sans-serif" w:hAnsi="Arial Narrow;sans-serif"/>
                  <w:b w:val="false"/>
                  <w:strike w:val="false"/>
                  <w:dstrike w:val="false"/>
                  <w:color w:val="000000"/>
                  <w:sz w:val="20"/>
                  <w:u w:val="none"/>
                  <w:effect w:val="none"/>
                </w:rPr>
                <w:t>Results of Operations</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82">
              <w:r>
                <w:rPr>
                  <w:rStyle w:val="InternetLink"/>
                  <w:rFonts w:ascii="Arial Narrow;sans-serif" w:hAnsi="Arial Narrow;sans-serif"/>
                  <w:b w:val="false"/>
                  <w:strike w:val="false"/>
                  <w:dstrike w:val="false"/>
                  <w:color w:val="000000"/>
                  <w:sz w:val="20"/>
                  <w:u w:val="none"/>
                  <w:effect w:val="none"/>
                </w:rPr>
                <w:t>28</w:t>
              </w:r>
            </w:hyperlink>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88">
              <w:r>
                <w:rPr>
                  <w:rStyle w:val="InternetLink"/>
                  <w:rFonts w:ascii="Arial Narrow;sans-serif" w:hAnsi="Arial Narrow;sans-serif"/>
                  <w:b w:val="false"/>
                  <w:strike w:val="false"/>
                  <w:dstrike w:val="false"/>
                  <w:color w:val="000000"/>
                  <w:sz w:val="20"/>
                  <w:u w:val="none"/>
                  <w:effect w:val="none"/>
                </w:rPr>
                <w:t>Liquidity and Capital Resources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88">
              <w:r>
                <w:rPr>
                  <w:rStyle w:val="InternetLink"/>
                  <w:rFonts w:ascii="Arial Narrow;sans-serif" w:hAnsi="Arial Narrow;sans-serif"/>
                  <w:b w:val="false"/>
                  <w:strike w:val="false"/>
                  <w:dstrike w:val="false"/>
                  <w:color w:val="000000"/>
                  <w:sz w:val="20"/>
                  <w:u w:val="none"/>
                  <w:effect w:val="none"/>
                </w:rPr>
                <w:t>31</w:t>
              </w:r>
            </w:hyperlink>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00">
              <w:r>
                <w:rPr>
                  <w:rStyle w:val="InternetLink"/>
                  <w:rFonts w:ascii="Arial Narrow;sans-serif" w:hAnsi="Arial Narrow;sans-serif"/>
                  <w:b w:val="false"/>
                  <w:strike w:val="false"/>
                  <w:dstrike w:val="false"/>
                  <w:color w:val="000080"/>
                  <w:sz w:val="20"/>
                  <w:u w:val="single"/>
                  <w:effect w:val="none"/>
                </w:rPr>
                <w:t xml:space="preserve">Item </w:t>
              </w:r>
            </w:hyperlink>
            <w:hyperlink w:anchor="i9dc85175196a4870ae925c7907d401ce_100">
              <w:r>
                <w:rPr>
                  <w:rStyle w:val="InternetLink"/>
                  <w:rFonts w:ascii="Arial Narrow;sans-serif" w:hAnsi="Arial Narrow;sans-serif"/>
                  <w:b w:val="false"/>
                  <w:strike w:val="false"/>
                  <w:dstrike w:val="false"/>
                  <w:color w:val="000080"/>
                  <w:sz w:val="20"/>
                  <w:u w:val="single"/>
                  <w:effect w:val="none"/>
                </w:rPr>
                <w:t>3</w:t>
              </w:r>
            </w:hyperlink>
            <w:hyperlink w:anchor="i9dc85175196a4870ae925c7907d401ce_100">
              <w:r>
                <w:rPr>
                  <w:rStyle w:val="InternetLink"/>
                  <w:rFonts w:ascii="Arial Narrow;sans-serif" w:hAnsi="Arial Narrow;sans-serif"/>
                  <w:b w:val="false"/>
                  <w:strike w:val="false"/>
                  <w:dstrike w:val="false"/>
                  <w:color w:val="000080"/>
                  <w:sz w:val="20"/>
                  <w:u w:val="single"/>
                  <w:effect w:val="none"/>
                </w:rPr>
                <w:t>.</w:t>
              </w:r>
            </w:hyperlink>
          </w:p>
        </w:tc>
        <w:tc>
          <w:tcPr>
            <w:tcW w:w="634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00">
              <w:r>
                <w:rPr>
                  <w:rStyle w:val="InternetLink"/>
                  <w:rFonts w:ascii="Arial Narrow;sans-serif" w:hAnsi="Arial Narrow;sans-serif"/>
                  <w:b w:val="false"/>
                  <w:strike w:val="false"/>
                  <w:dstrike w:val="false"/>
                  <w:color w:val="000080"/>
                  <w:sz w:val="20"/>
                  <w:u w:val="single"/>
                  <w:effect w:val="none"/>
                </w:rPr>
                <w:t xml:space="preserve">Quantitative and Qualitative Disclosures </w:t>
              </w:r>
            </w:hyperlink>
            <w:hyperlink w:anchor="i9dc85175196a4870ae925c7907d401ce_100">
              <w:r>
                <w:rPr>
                  <w:rStyle w:val="InternetLink"/>
                  <w:rFonts w:ascii="Arial Narrow;sans-serif" w:hAnsi="Arial Narrow;sans-serif"/>
                  <w:b w:val="false"/>
                  <w:strike w:val="false"/>
                  <w:dstrike w:val="false"/>
                  <w:color w:val="000080"/>
                  <w:sz w:val="20"/>
                  <w:u w:val="single"/>
                  <w:effect w:val="none"/>
                </w:rPr>
                <w:t>a</w:t>
              </w:r>
            </w:hyperlink>
            <w:hyperlink w:anchor="i9dc85175196a4870ae925c7907d401ce_100">
              <w:r>
                <w:rPr>
                  <w:rStyle w:val="InternetLink"/>
                  <w:rFonts w:ascii="Arial Narrow;sans-serif" w:hAnsi="Arial Narrow;sans-serif"/>
                  <w:b w:val="false"/>
                  <w:strike w:val="false"/>
                  <w:dstrike w:val="false"/>
                  <w:color w:val="000080"/>
                  <w:sz w:val="20"/>
                  <w:u w:val="single"/>
                  <w:effect w:val="none"/>
                </w:rPr>
                <w:t>bout Market Risk</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100">
              <w:r>
                <w:rPr>
                  <w:rStyle w:val="InternetLink"/>
                  <w:rFonts w:ascii="Arial Narrow;sans-serif" w:hAnsi="Arial Narrow;sans-serif"/>
                  <w:b w:val="false"/>
                  <w:strike w:val="false"/>
                  <w:dstrike w:val="false"/>
                  <w:color w:val="000000"/>
                  <w:sz w:val="20"/>
                  <w:u w:val="none"/>
                  <w:effect w:val="none"/>
                </w:rPr>
                <w:t>34</w:t>
              </w:r>
            </w:hyperlink>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223">
              <w:r>
                <w:rPr>
                  <w:rStyle w:val="InternetLink"/>
                  <w:rFonts w:ascii="Arial Narrow;sans-serif" w:hAnsi="Arial Narrow;sans-serif"/>
                  <w:b w:val="false"/>
                  <w:strike w:val="false"/>
                  <w:dstrike w:val="false"/>
                  <w:color w:val="000080"/>
                  <w:sz w:val="20"/>
                  <w:u w:val="single"/>
                  <w:effect w:val="none"/>
                </w:rPr>
                <w:t>Item</w:t>
              </w:r>
            </w:hyperlink>
            <w:hyperlink w:anchor="i9dc85175196a4870ae925c7907d401ce_223">
              <w:r>
                <w:rPr>
                  <w:rStyle w:val="InternetLink"/>
                  <w:rFonts w:ascii="Arial Narrow;sans-serif" w:hAnsi="Arial Narrow;sans-serif"/>
                  <w:b w:val="false"/>
                  <w:strike w:val="false"/>
                  <w:dstrike w:val="false"/>
                  <w:color w:val="000080"/>
                  <w:sz w:val="20"/>
                  <w:u w:val="single"/>
                  <w:effect w:val="none"/>
                </w:rPr>
                <w:t xml:space="preserve"> 4</w:t>
              </w:r>
            </w:hyperlink>
            <w:hyperlink w:anchor="i9dc85175196a4870ae925c7907d401ce_223">
              <w:r>
                <w:rPr>
                  <w:rStyle w:val="InternetLink"/>
                  <w:rFonts w:ascii="Arial Narrow;sans-serif" w:hAnsi="Arial Narrow;sans-serif"/>
                  <w:b w:val="false"/>
                  <w:strike w:val="false"/>
                  <w:dstrike w:val="false"/>
                  <w:color w:val="000080"/>
                  <w:sz w:val="20"/>
                  <w:u w:val="single"/>
                  <w:effect w:val="none"/>
                </w:rPr>
                <w:t>.</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223">
              <w:r>
                <w:rPr>
                  <w:rStyle w:val="InternetLink"/>
                  <w:rFonts w:ascii="Arial Narrow;sans-serif" w:hAnsi="Arial Narrow;sans-serif"/>
                  <w:b w:val="false"/>
                  <w:strike w:val="false"/>
                  <w:dstrike w:val="false"/>
                  <w:color w:val="000000"/>
                  <w:sz w:val="20"/>
                  <w:u w:val="none"/>
                  <w:effect w:val="non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223">
              <w:r>
                <w:rPr>
                  <w:rStyle w:val="InternetLink"/>
                  <w:rFonts w:ascii="Arial Narrow;sans-serif" w:hAnsi="Arial Narrow;sans-serif"/>
                  <w:b w:val="false"/>
                  <w:strike w:val="false"/>
                  <w:dstrike w:val="false"/>
                  <w:color w:val="000000"/>
                  <w:sz w:val="20"/>
                  <w:u w:val="none"/>
                  <w:effect w:val="none"/>
                </w:rPr>
                <w:t>34</w:t>
              </w:r>
            </w:hyperlink>
          </w:p>
        </w:tc>
      </w:tr>
      <w:tr>
        <w:trPr/>
        <w:tc>
          <w:tcPr>
            <w:tcW w:w="7581" w:type="dxa"/>
            <w:gridSpan w:val="6"/>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19">
              <w:r>
                <w:rPr>
                  <w:rStyle w:val="InternetLink"/>
                  <w:rFonts w:ascii="Arial Narrow;sans-serif" w:hAnsi="Arial Narrow;sans-serif"/>
                  <w:b/>
                  <w:strike w:val="false"/>
                  <w:dstrike w:val="false"/>
                  <w:color w:val="000080"/>
                  <w:sz w:val="20"/>
                  <w:u w:val="single"/>
                  <w:effect w:val="none"/>
                </w:rPr>
                <w:t xml:space="preserve">PART </w:t>
              </w:r>
            </w:hyperlink>
            <w:hyperlink w:anchor="i9dc85175196a4870ae925c7907d401ce_19">
              <w:r>
                <w:rPr>
                  <w:rStyle w:val="InternetLink"/>
                  <w:rFonts w:ascii="Arial Narrow;sans-serif" w:hAnsi="Arial Narrow;sans-serif"/>
                  <w:b/>
                  <w:strike w:val="false"/>
                  <w:dstrike w:val="false"/>
                  <w:color w:val="000080"/>
                  <w:sz w:val="20"/>
                  <w:u w:val="single"/>
                  <w:effect w:val="none"/>
                </w:rPr>
                <w:t>II. Other Information</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64">
              <w:r>
                <w:rPr>
                  <w:rStyle w:val="InternetLink"/>
                  <w:rFonts w:ascii="Arial Narrow;sans-serif" w:hAnsi="Arial Narrow;sans-serif"/>
                  <w:b w:val="false"/>
                  <w:strike w:val="false"/>
                  <w:dstrike w:val="false"/>
                  <w:color w:val="000080"/>
                  <w:sz w:val="20"/>
                  <w:u w:val="single"/>
                  <w:effect w:val="none"/>
                </w:rPr>
                <w:t xml:space="preserve">Item </w:t>
              </w:r>
            </w:hyperlink>
            <w:hyperlink w:anchor="i9dc85175196a4870ae925c7907d401ce_64">
              <w:r>
                <w:rPr>
                  <w:rStyle w:val="InternetLink"/>
                  <w:rFonts w:ascii="Arial Narrow;sans-serif" w:hAnsi="Arial Narrow;sans-serif"/>
                  <w:b w:val="false"/>
                  <w:strike w:val="false"/>
                  <w:dstrike w:val="false"/>
                  <w:color w:val="000080"/>
                  <w:sz w:val="20"/>
                  <w:u w:val="single"/>
                  <w:effect w:val="none"/>
                </w:rPr>
                <w:t>1</w:t>
              </w:r>
            </w:hyperlink>
            <w:hyperlink w:anchor="i9dc85175196a4870ae925c7907d401ce_64">
              <w:r>
                <w:rPr>
                  <w:rStyle w:val="InternetLink"/>
                  <w:rFonts w:ascii="Arial Narrow;sans-serif" w:hAnsi="Arial Narrow;sans-serif"/>
                  <w:b w:val="false"/>
                  <w:strike w:val="false"/>
                  <w:dstrike w:val="false"/>
                  <w:color w:val="000080"/>
                  <w:sz w:val="20"/>
                  <w:u w:val="single"/>
                  <w:effect w:val="none"/>
                </w:rPr>
                <w:t>.</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64">
              <w:r>
                <w:rPr>
                  <w:rStyle w:val="InternetLink"/>
                  <w:rFonts w:ascii="Arial Narrow;sans-serif" w:hAnsi="Arial Narrow;sans-serif"/>
                  <w:b w:val="false"/>
                  <w:strike w:val="false"/>
                  <w:dstrike w:val="false"/>
                  <w:color w:val="000000"/>
                  <w:sz w:val="20"/>
                  <w:u w:val="none"/>
                  <w:effect w:val="non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64">
              <w:r>
                <w:rPr>
                  <w:rStyle w:val="InternetLink"/>
                  <w:rFonts w:ascii="Arial Narrow;sans-serif" w:hAnsi="Arial Narrow;sans-serif"/>
                  <w:b w:val="false"/>
                  <w:strike w:val="false"/>
                  <w:dstrike w:val="false"/>
                  <w:color w:val="000000"/>
                  <w:sz w:val="20"/>
                  <w:u w:val="none"/>
                  <w:effect w:val="none"/>
                </w:rPr>
                <w:t>35</w:t>
              </w:r>
            </w:hyperlink>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52">
              <w:r>
                <w:rPr>
                  <w:rStyle w:val="InternetLink"/>
                  <w:rFonts w:ascii="Arial Narrow;sans-serif" w:hAnsi="Arial Narrow;sans-serif"/>
                  <w:b w:val="false"/>
                  <w:strike w:val="false"/>
                  <w:dstrike w:val="false"/>
                  <w:color w:val="000000"/>
                  <w:sz w:val="20"/>
                  <w:u w:val="none"/>
                  <w:effect w:val="none"/>
                </w:rPr>
                <w:t>Item 1A.</w:t>
              </w:r>
            </w:hyperlink>
          </w:p>
        </w:tc>
        <w:tc>
          <w:tcPr>
            <w:tcW w:w="634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52">
              <w:r>
                <w:rPr>
                  <w:rStyle w:val="InternetLink"/>
                  <w:rFonts w:ascii="Arial Narrow;sans-serif" w:hAnsi="Arial Narrow;sans-serif"/>
                  <w:b w:val="false"/>
                  <w:strike w:val="false"/>
                  <w:dstrike w:val="false"/>
                  <w:color w:val="000000"/>
                  <w:sz w:val="20"/>
                  <w:u w:val="none"/>
                  <w:effect w:val="none"/>
                </w:rPr>
                <w:t>Risk Factors</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52">
              <w:r>
                <w:rPr>
                  <w:rStyle w:val="InternetLink"/>
                  <w:rFonts w:ascii="Arial Narrow;sans-serif" w:hAnsi="Arial Narrow;sans-serif"/>
                  <w:b w:val="false"/>
                  <w:strike w:val="false"/>
                  <w:dstrike w:val="false"/>
                  <w:color w:val="000000"/>
                  <w:sz w:val="20"/>
                  <w:u w:val="none"/>
                  <w:effect w:val="none"/>
                </w:rPr>
                <w:t>36</w:t>
              </w:r>
            </w:hyperlink>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73">
              <w:r>
                <w:rPr>
                  <w:rStyle w:val="InternetLink"/>
                  <w:rFonts w:ascii="Arial Narrow;sans-serif" w:hAnsi="Arial Narrow;sans-serif"/>
                  <w:b w:val="false"/>
                  <w:strike w:val="false"/>
                  <w:dstrike w:val="false"/>
                  <w:color w:val="000080"/>
                  <w:sz w:val="20"/>
                  <w:u w:val="single"/>
                  <w:effect w:val="none"/>
                </w:rPr>
                <w:t>Item</w:t>
              </w:r>
            </w:hyperlink>
            <w:hyperlink w:anchor="i9dc85175196a4870ae925c7907d401ce_73">
              <w:r>
                <w:rPr>
                  <w:rStyle w:val="InternetLink"/>
                  <w:rFonts w:ascii="Arial Narrow;sans-serif" w:hAnsi="Arial Narrow;sans-serif"/>
                  <w:b w:val="false"/>
                  <w:strike w:val="false"/>
                  <w:dstrike w:val="false"/>
                  <w:color w:val="000080"/>
                  <w:sz w:val="20"/>
                  <w:u w:val="single"/>
                  <w:effect w:val="none"/>
                </w:rPr>
                <w:t xml:space="preserve"> 2</w:t>
              </w:r>
            </w:hyperlink>
            <w:hyperlink w:anchor="i9dc85175196a4870ae925c7907d401ce_73">
              <w:r>
                <w:rPr>
                  <w:rStyle w:val="InternetLink"/>
                  <w:rFonts w:ascii="Arial Narrow;sans-serif" w:hAnsi="Arial Narrow;sans-serif"/>
                  <w:b w:val="false"/>
                  <w:strike w:val="false"/>
                  <w:dstrike w:val="false"/>
                  <w:color w:val="000080"/>
                  <w:sz w:val="20"/>
                  <w:u w:val="single"/>
                  <w:effect w:val="none"/>
                </w:rPr>
                <w:t>.</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73">
              <w:r>
                <w:rPr>
                  <w:rStyle w:val="InternetLink"/>
                  <w:rFonts w:ascii="Arial Narrow;sans-serif" w:hAnsi="Arial Narrow;sans-serif"/>
                  <w:b w:val="false"/>
                  <w:strike w:val="false"/>
                  <w:dstrike w:val="false"/>
                  <w:color w:val="000080"/>
                  <w:sz w:val="20"/>
                  <w:u w:val="single"/>
                  <w:effect w:val="none"/>
                </w:rPr>
                <w:t>U</w:t>
              </w:r>
            </w:hyperlink>
            <w:hyperlink w:anchor="i9dc85175196a4870ae925c7907d401ce_73">
              <w:r>
                <w:rPr>
                  <w:rStyle w:val="InternetLink"/>
                  <w:rFonts w:ascii="Arial Narrow;sans-serif" w:hAnsi="Arial Narrow;sans-serif"/>
                  <w:b w:val="false"/>
                  <w:strike w:val="false"/>
                  <w:dstrike w:val="false"/>
                  <w:color w:val="000080"/>
                  <w:sz w:val="20"/>
                  <w:u w:val="single"/>
                  <w:effect w:val="none"/>
                </w:rPr>
                <w:t>nregistered S</w:t>
              </w:r>
            </w:hyperlink>
            <w:hyperlink w:anchor="i9dc85175196a4870ae925c7907d401ce_73">
              <w:r>
                <w:rPr>
                  <w:rStyle w:val="InternetLink"/>
                  <w:rFonts w:ascii="Arial Narrow;sans-serif" w:hAnsi="Arial Narrow;sans-serif"/>
                  <w:b w:val="false"/>
                  <w:strike w:val="false"/>
                  <w:dstrike w:val="false"/>
                  <w:color w:val="000080"/>
                  <w:sz w:val="20"/>
                  <w:u w:val="single"/>
                  <w:effect w:val="none"/>
                </w:rPr>
                <w:t>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73">
              <w:r>
                <w:rPr>
                  <w:rStyle w:val="InternetLink"/>
                  <w:rFonts w:ascii="Arial Narrow;sans-serif" w:hAnsi="Arial Narrow;sans-serif"/>
                  <w:b w:val="false"/>
                  <w:strike w:val="false"/>
                  <w:dstrike w:val="false"/>
                  <w:color w:val="000000"/>
                  <w:sz w:val="20"/>
                  <w:u w:val="none"/>
                  <w:effect w:val="none"/>
                </w:rPr>
                <w:t>59</w:t>
              </w:r>
            </w:hyperlink>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226">
              <w:r>
                <w:rPr>
                  <w:rStyle w:val="InternetLink"/>
                  <w:rFonts w:ascii="Arial Narrow;sans-serif" w:hAnsi="Arial Narrow;sans-serif"/>
                  <w:b w:val="false"/>
                  <w:strike w:val="false"/>
                  <w:dstrike w:val="false"/>
                  <w:color w:val="000080"/>
                  <w:sz w:val="20"/>
                  <w:u w:val="single"/>
                  <w:effect w:val="none"/>
                </w:rPr>
                <w:t xml:space="preserve">Item </w:t>
              </w:r>
            </w:hyperlink>
            <w:hyperlink w:anchor="i9dc85175196a4870ae925c7907d401ce_226">
              <w:r>
                <w:rPr>
                  <w:rStyle w:val="InternetLink"/>
                  <w:rFonts w:ascii="Arial Narrow;sans-serif" w:hAnsi="Arial Narrow;sans-serif"/>
                  <w:b w:val="false"/>
                  <w:strike w:val="false"/>
                  <w:dstrike w:val="false"/>
                  <w:color w:val="000080"/>
                  <w:sz w:val="20"/>
                  <w:u w:val="single"/>
                  <w:effect w:val="none"/>
                </w:rPr>
                <w:t>5</w:t>
              </w:r>
            </w:hyperlink>
            <w:hyperlink w:anchor="i9dc85175196a4870ae925c7907d401ce_226">
              <w:r>
                <w:rPr>
                  <w:rStyle w:val="InternetLink"/>
                  <w:rFonts w:ascii="Arial Narrow;sans-serif" w:hAnsi="Arial Narrow;sans-serif"/>
                  <w:b w:val="false"/>
                  <w:strike w:val="false"/>
                  <w:dstrike w:val="false"/>
                  <w:color w:val="000080"/>
                  <w:sz w:val="20"/>
                  <w:u w:val="single"/>
                  <w:effect w:val="none"/>
                </w:rPr>
                <w:t>.</w:t>
              </w:r>
            </w:hyperlink>
          </w:p>
        </w:tc>
        <w:tc>
          <w:tcPr>
            <w:tcW w:w="634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226">
              <w:r>
                <w:rPr>
                  <w:rStyle w:val="InternetLink"/>
                  <w:rFonts w:ascii="Arial Narrow;sans-serif" w:hAnsi="Arial Narrow;sans-serif"/>
                  <w:b w:val="false"/>
                  <w:strike w:val="false"/>
                  <w:dstrike w:val="false"/>
                  <w:color w:val="000000"/>
                  <w:sz w:val="20"/>
                  <w:u w:val="none"/>
                  <w:effect w:val="none"/>
                </w:rPr>
                <w:t>Other Information</w:t>
              </w:r>
            </w:hyperlink>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226">
              <w:r>
                <w:rPr>
                  <w:rStyle w:val="InternetLink"/>
                  <w:rFonts w:ascii="Arial Narrow;sans-serif" w:hAnsi="Arial Narrow;sans-serif"/>
                  <w:b w:val="false"/>
                  <w:strike w:val="false"/>
                  <w:dstrike w:val="false"/>
                  <w:color w:val="000000"/>
                  <w:sz w:val="20"/>
                  <w:u w:val="none"/>
                  <w:effect w:val="none"/>
                </w:rPr>
                <w:t>59</w:t>
              </w:r>
            </w:hyperlink>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262">
              <w:r>
                <w:rPr>
                  <w:rStyle w:val="InternetLink"/>
                  <w:rFonts w:ascii="Arial Narrow;sans-serif" w:hAnsi="Arial Narrow;sans-serif"/>
                  <w:b w:val="false"/>
                  <w:strike w:val="false"/>
                  <w:dstrike w:val="false"/>
                  <w:color w:val="000080"/>
                  <w:sz w:val="20"/>
                  <w:u w:val="single"/>
                  <w:effect w:val="none"/>
                </w:rPr>
                <w:t xml:space="preserve">Item </w:t>
              </w:r>
            </w:hyperlink>
            <w:hyperlink w:anchor="i9dc85175196a4870ae925c7907d401ce_262">
              <w:r>
                <w:rPr>
                  <w:rStyle w:val="InternetLink"/>
                  <w:rFonts w:ascii="Arial Narrow;sans-serif" w:hAnsi="Arial Narrow;sans-serif"/>
                  <w:b w:val="false"/>
                  <w:strike w:val="false"/>
                  <w:dstrike w:val="false"/>
                  <w:color w:val="000080"/>
                  <w:sz w:val="20"/>
                  <w:u w:val="single"/>
                  <w:effect w:val="none"/>
                </w:rPr>
                <w:t>6</w:t>
              </w:r>
            </w:hyperlink>
            <w:hyperlink w:anchor="i9dc85175196a4870ae925c7907d401ce_262">
              <w:r>
                <w:rPr>
                  <w:rStyle w:val="InternetLink"/>
                  <w:rFonts w:ascii="Arial Narrow;sans-serif" w:hAnsi="Arial Narrow;sans-serif"/>
                  <w:b w:val="false"/>
                  <w:strike w:val="false"/>
                  <w:dstrike w:val="false"/>
                  <w:color w:val="000080"/>
                  <w:sz w:val="20"/>
                  <w:u w:val="single"/>
                  <w:effect w:val="none"/>
                </w:rPr>
                <w:t>.</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262">
              <w:r>
                <w:rPr>
                  <w:rStyle w:val="InternetLink"/>
                  <w:rFonts w:ascii="Arial Narrow;sans-serif" w:hAnsi="Arial Narrow;sans-serif"/>
                  <w:b w:val="false"/>
                  <w:strike w:val="false"/>
                  <w:dstrike w:val="false"/>
                  <w:color w:val="000000"/>
                  <w:sz w:val="20"/>
                  <w:u w:val="none"/>
                  <w:effect w:val="non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262">
              <w:r>
                <w:rPr>
                  <w:rStyle w:val="InternetLink"/>
                  <w:rFonts w:ascii="Arial Narrow;sans-serif" w:hAnsi="Arial Narrow;sans-serif"/>
                  <w:b w:val="false"/>
                  <w:strike w:val="false"/>
                  <w:dstrike w:val="false"/>
                  <w:color w:val="000000"/>
                  <w:sz w:val="20"/>
                  <w:u w:val="none"/>
                  <w:effect w:val="none"/>
                </w:rPr>
                <w:t>60</w:t>
              </w:r>
            </w:hyperlink>
          </w:p>
        </w:tc>
      </w:tr>
      <w:tr>
        <w:trPr/>
        <w:tc>
          <w:tcPr>
            <w:tcW w:w="1236"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9dc85175196a4870ae925c7907d401ce_268">
              <w:r>
                <w:rPr>
                  <w:rStyle w:val="InternetLink"/>
                  <w:rFonts w:ascii="Arial Narrow;sans-serif" w:hAnsi="Arial Narrow;sans-serif"/>
                  <w:b w:val="false"/>
                  <w:strike w:val="false"/>
                  <w:dstrike w:val="false"/>
                  <w:color w:val="000000"/>
                  <w:sz w:val="20"/>
                  <w:u w:val="none"/>
                  <w:effect w:val="none"/>
                </w:rPr>
                <w:t>Signatures</w:t>
              </w:r>
            </w:hyperlink>
          </w:p>
        </w:tc>
        <w:tc>
          <w:tcPr>
            <w:tcW w:w="634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right"/>
              <w:rPr/>
            </w:pPr>
            <w:hyperlink w:anchor="i9dc85175196a4870ae925c7907d401ce_268">
              <w:r>
                <w:rPr>
                  <w:rStyle w:val="InternetLink"/>
                  <w:rFonts w:ascii="Arial Narrow;sans-serif" w:hAnsi="Arial Narrow;sans-serif"/>
                  <w:b w:val="false"/>
                  <w:strike w:val="false"/>
                  <w:dstrike w:val="false"/>
                  <w:color w:val="000000"/>
                  <w:sz w:val="20"/>
                  <w:u w:val="none"/>
                  <w:effect w:val="none"/>
                </w:rPr>
                <w:t>61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7495"/>
                <wp:effectExtent l="0" t="0" r="0" b="0"/>
                <wp:wrapNone/>
                <wp:docPr id="2" name="Frame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866775" cy="180975"/>
                                          </a:xfrm>
                                          <a:prstGeom prst="rect">
                                            <a:avLst/>
                                          </a:prstGeom>
                                        </pic:spPr>
                                      </pic:pic>
                                    </a:graphicData>
                                  </a:graphic>
                                </wp:inline>
                              </w:drawing>
                            </w:r>
                            <w:bookmarkStart w:id="0" w:name="i-1"/>
                            <w:bookmarkEnd w:id="0"/>
                            <w:r>
                              <w:rPr>
                                <w:color w:val="000000"/>
                              </w:rPr>
                              <w:t xml:space="preserve"> </w:t>
                            </w:r>
                            <w:r>
                              <w:rPr>
                                <w:rFonts w:ascii="Arial;sans-serif" w:hAnsi="Arial;sans-serif"/>
                                <w:b/>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866775" cy="180975"/>
                                    </a:xfrm>
                                    <a:prstGeom prst="rect">
                                      <a:avLst/>
                                    </a:prstGeom>
                                  </pic:spPr>
                                </pic:pic>
                              </a:graphicData>
                            </a:graphic>
                          </wp:inline>
                        </w:drawing>
                      </w:r>
                      <w:bookmarkStart w:id="1" w:name="i-1"/>
                      <w:bookmarkEnd w:id="1"/>
                      <w:r>
                        <w:rPr>
                          <w:color w:val="000000"/>
                        </w:rPr>
                        <w:t xml:space="preserve"> </w:t>
                      </w:r>
                      <w:r>
                        <w:rPr>
                          <w:rFonts w:ascii="Arial;sans-serif" w:hAnsi="Arial;sans-serif"/>
                          <w:b/>
                          <w:color w:val="000000"/>
                          <w:sz w:val="18"/>
                        </w:rPr>
                        <w:t>2</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76" w:before="0" w:after="0"/>
        <w:jc w:val="left"/>
        <w:rPr>
          <w:rFonts w:ascii="Arial Narrow;sans-serif" w:hAnsi="Arial Narrow;sans-serif"/>
          <w:b/>
          <w:color w:val="000000"/>
          <w:sz w:val="44"/>
        </w:rPr>
      </w:pPr>
      <w:r>
        <w:rPr>
          <w:rFonts w:ascii="Arial Narrow;sans-serif" w:hAnsi="Arial Narrow;sans-serif"/>
          <w:b/>
          <w:color w:val="000000"/>
          <w:sz w:val="44"/>
        </w:rPr>
        <w:t>Definitions of Commonly Used Terms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used herein, “we,” “our,” “us,” and similar terms include Micron Technology, Inc. and its consolidated subsidiaries, unless the context indicates otherwise. All period references are to our fiscal periods unless otherwise indicated. Abbreviations, acronyms, or terms that are commonly used or found in multiple locations throughout this report and include the following:</w:t>
      </w:r>
    </w:p>
    <w:tbl>
      <w:tblPr>
        <w:tblW w:w="10205" w:type="dxa"/>
        <w:jc w:val="left"/>
        <w:tblInd w:w="0" w:type="dxa"/>
        <w:tblLayout w:type="fixed"/>
        <w:tblCellMar>
          <w:top w:w="28" w:type="dxa"/>
          <w:left w:w="28" w:type="dxa"/>
          <w:bottom w:w="28" w:type="dxa"/>
          <w:right w:w="28" w:type="dxa"/>
        </w:tblCellMar>
      </w:tblPr>
      <w:tblGrid>
        <w:gridCol w:w="456"/>
        <w:gridCol w:w="377"/>
        <w:gridCol w:w="386"/>
        <w:gridCol w:w="1191"/>
        <w:gridCol w:w="1186"/>
        <w:gridCol w:w="1191"/>
        <w:gridCol w:w="109"/>
        <w:gridCol w:w="109"/>
        <w:gridCol w:w="109"/>
        <w:gridCol w:w="504"/>
        <w:gridCol w:w="504"/>
        <w:gridCol w:w="492"/>
        <w:gridCol w:w="1102"/>
        <w:gridCol w:w="1033"/>
        <w:gridCol w:w="1456"/>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Term</w:t>
            </w:r>
          </w:p>
        </w:tc>
        <w:tc>
          <w:tcPr>
            <w:tcW w:w="3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Definition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Term</w:t>
            </w:r>
          </w:p>
        </w:tc>
        <w:tc>
          <w:tcPr>
            <w:tcW w:w="3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Definition</w:t>
            </w:r>
          </w:p>
        </w:tc>
      </w:tr>
      <w:tr>
        <w:trPr/>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 Notes</w:t>
            </w:r>
          </w:p>
        </w:tc>
        <w:tc>
          <w:tcPr>
            <w:tcW w:w="356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5.375% Senior Notes due April 2028, repaid October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AI</w:t>
            </w:r>
          </w:p>
        </w:tc>
        <w:tc>
          <w:tcPr>
            <w:tcW w:w="3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Artificial intelligence</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 A Notes</w:t>
            </w:r>
          </w:p>
        </w:tc>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5.327% Senior Notes due 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CAC</w:t>
            </w:r>
          </w:p>
        </w:tc>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China’s Cyberspace Administration</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 B Notes</w:t>
            </w:r>
          </w:p>
        </w:tc>
        <w:tc>
          <w:tcPr>
            <w:tcW w:w="356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6.750% Senior Notes due November 2029, repaid October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CHIPS Act</w:t>
            </w:r>
          </w:p>
        </w:tc>
        <w:tc>
          <w:tcPr>
            <w:tcW w:w="3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U.S. CHIPS and Science Act of 2022</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 Term Loan A</w:t>
            </w:r>
          </w:p>
        </w:tc>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Senior Term Loan A due January 2029, repaid October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DDR</w:t>
            </w:r>
          </w:p>
        </w:tc>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Double data rate DRAM</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 Notes</w:t>
            </w:r>
          </w:p>
        </w:tc>
        <w:tc>
          <w:tcPr>
            <w:tcW w:w="35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4.663% Senior Notes due February 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EBITDA</w:t>
            </w:r>
          </w:p>
        </w:tc>
        <w:tc>
          <w:tcPr>
            <w:tcW w:w="3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before interest, taxes, depreciation, and amortization</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2031 Notes</w:t>
            </w:r>
          </w:p>
        </w:tc>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5.300% Senior Notes due January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EUV</w:t>
            </w:r>
          </w:p>
        </w:tc>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Extreme ultraviolet lithography</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2032 Green Bonds</w:t>
            </w:r>
          </w:p>
        </w:tc>
        <w:tc>
          <w:tcPr>
            <w:tcW w:w="35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2.703% Senior Notes due April 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HBM</w:t>
            </w:r>
          </w:p>
        </w:tc>
        <w:tc>
          <w:tcPr>
            <w:tcW w:w="3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High-bandwidth memory</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2032 Notes</w:t>
            </w:r>
          </w:p>
        </w:tc>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5.650% Senior Notes due November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Micron</w:t>
            </w:r>
          </w:p>
        </w:tc>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Micron Technology, Inc. (Parent Company)</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2033 A Notes</w:t>
            </w:r>
          </w:p>
        </w:tc>
        <w:tc>
          <w:tcPr>
            <w:tcW w:w="35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5.875% Senior Notes due February 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OEM</w:t>
            </w:r>
          </w:p>
        </w:tc>
        <w:tc>
          <w:tcPr>
            <w:tcW w:w="3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Original equipment manufacturer</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2033 B Notes</w:t>
            </w:r>
          </w:p>
        </w:tc>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5.875% Senior Notes due September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R&amp;D</w:t>
            </w:r>
          </w:p>
        </w:tc>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2035 A Notes</w:t>
            </w:r>
          </w:p>
        </w:tc>
        <w:tc>
          <w:tcPr>
            <w:tcW w:w="35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5.800% Senior Notes due January 2035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Revolving Credit Facility</w:t>
            </w:r>
          </w:p>
        </w:tc>
        <w:tc>
          <w:tcPr>
            <w:tcW w:w="3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$3.5 billion Revolving Credit Facility due March 2030</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2035 B Notes</w:t>
            </w:r>
          </w:p>
        </w:tc>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6.050% Senior Notes due November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SOFR</w:t>
            </w:r>
          </w:p>
        </w:tc>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Secured Overnight Financing Rate</w:t>
            </w:r>
          </w:p>
        </w:tc>
      </w:tr>
      <w:tr>
        <w:trPr/>
        <w:tc>
          <w:tcPr>
            <w:tcW w:w="1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2041 Notes</w:t>
            </w:r>
          </w:p>
        </w:tc>
        <w:tc>
          <w:tcPr>
            <w:tcW w:w="35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3.366% Senior Notes due November 2041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SSD</w:t>
            </w:r>
          </w:p>
        </w:tc>
        <w:tc>
          <w:tcPr>
            <w:tcW w:w="35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Solid state drive</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2051 Notes</w:t>
            </w:r>
          </w:p>
        </w:tc>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3.477% Senior Notes due November 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Micron Technology, Inc. is an industry leader in innovative memory and storage solutions transforming how the world uses information to enrich life for all. With a relentless focus on our customers, technology leadership,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Micron®, Crucial®, any associated logos, and all other Micron trademarks are the property of Micron. Other product names or trademarks that are not owned by Micron are for identification purposes only and may be the trademarks of their respective owners.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Available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 and others should note that we announce material, non-public information through a variety of means, including our investor relations website (investors.micron.com), filings with the U.S. Securities and Exchange Commission (“SEC”), press releases, public conference calls, blog posts (micron.com/about/blog), posts on X (@MicronTech),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 Web links throughout this document are inactive textual references provided for convenience only, and the content on the referenced websites is not incorporated herein by reference and does not constitute a part of this Quarterly Report on Form 10-Q.</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Forward-Looking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regarding expected production ramp of certain products; plans to invest in research and development, including the plans to implement EUV lithography; anticipated technological developments and improvements in our products; potential change and impact in our effective tax rate; the timing for construction, expansion, and ramping of production for our facilities, including new memory manufacturing fabs in the United States; receipt, timing, and utilization of government incentives and our ability to satisfy conditions attached to these incentives; the payment of future cash dividends; market conditions and profitability in our industry; future demand for our products and factors that may impact such demand, including developments in AI; the potential impact of business, economic, political, legal, and regulatory developments upon our global operations, including tariffs and trade regulations;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II. Other Information,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7495"/>
                <wp:effectExtent l="0" t="0" r="0" b="0"/>
                <wp:wrapNone/>
                <wp:docPr id="6" name="Frame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866775" cy="180975"/>
                                          </a:xfrm>
                                          <a:prstGeom prst="rect">
                                            <a:avLst/>
                                          </a:prstGeom>
                                        </pic:spPr>
                                      </pic:pic>
                                    </a:graphicData>
                                  </a:graphic>
                                </wp:inline>
                              </w:drawing>
                            </w:r>
                            <w:bookmarkStart w:id="2" w:name="i-2"/>
                            <w:bookmarkEnd w:id="2"/>
                            <w:r>
                              <w:rPr>
                                <w:color w:val="000000"/>
                              </w:rPr>
                              <w:t xml:space="preserve"> </w:t>
                            </w:r>
                            <w:r>
                              <w:rPr>
                                <w:rFonts w:ascii="Arial;sans-serif" w:hAnsi="Arial;sans-serif"/>
                                <w:b/>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5"/>
                                    <a:stretch>
                                      <a:fillRect/>
                                    </a:stretch>
                                  </pic:blipFill>
                                  <pic:spPr bwMode="auto">
                                    <a:xfrm>
                                      <a:off x="0" y="0"/>
                                      <a:ext cx="866775" cy="180975"/>
                                    </a:xfrm>
                                    <a:prstGeom prst="rect">
                                      <a:avLst/>
                                    </a:prstGeom>
                                  </pic:spPr>
                                </pic:pic>
                              </a:graphicData>
                            </a:graphic>
                          </wp:inline>
                        </w:drawing>
                      </w:r>
                      <w:bookmarkStart w:id="3" w:name="i-2"/>
                      <w:bookmarkEnd w:id="3"/>
                      <w:r>
                        <w:rPr>
                          <w:color w:val="000000"/>
                        </w:rPr>
                        <w:t xml:space="preserve"> </w:t>
                      </w:r>
                      <w:r>
                        <w:rPr>
                          <w:rFonts w:ascii="Arial;sans-serif" w:hAnsi="Arial;sans-serif"/>
                          <w:b/>
                          <w:color w:val="000000"/>
                          <w:sz w:val="18"/>
                        </w:rPr>
                        <w:t>4</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32"/>
        </w:rPr>
      </w:pPr>
      <w:r>
        <w:rPr>
          <w:rFonts w:ascii="Arial Narrow;sans-serif" w:hAnsi="Arial Narrow;sans-serif"/>
          <w:b/>
          <w:color w:val="000000"/>
          <w:sz w:val="3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Micron Technology, Inc.</w: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Consolidated Statements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6300" w:type="dxa"/>
        <w:jc w:val="left"/>
        <w:tblInd w:w="0" w:type="dxa"/>
        <w:tblLayout w:type="fixed"/>
        <w:tblCellMar>
          <w:top w:w="28" w:type="dxa"/>
          <w:left w:w="28" w:type="dxa"/>
          <w:bottom w:w="28" w:type="dxa"/>
          <w:right w:w="28" w:type="dxa"/>
        </w:tblCellMar>
      </w:tblPr>
      <w:tblGrid>
        <w:gridCol w:w="1418"/>
        <w:gridCol w:w="1243"/>
        <w:gridCol w:w="1254"/>
        <w:gridCol w:w="241"/>
        <w:gridCol w:w="795"/>
        <w:gridCol w:w="134"/>
        <w:gridCol w:w="262"/>
        <w:gridCol w:w="745"/>
        <w:gridCol w:w="208"/>
      </w:tblGrid>
      <w:tr>
        <w:trPr/>
        <w:tc>
          <w:tcPr>
            <w:tcW w:w="141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3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13,643 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8,709 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goods sold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1036"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7,646 </w:t>
            </w:r>
          </w:p>
        </w:tc>
        <w:tc>
          <w:tcPr>
            <w:tcW w:w="13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3,348 </w:t>
            </w:r>
          </w:p>
        </w:tc>
        <w:tc>
          <w:tcPr>
            <w:tcW w:w="208"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1,171 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(income) expense, net</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non-operating income (expense),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6,061 </w:t>
            </w:r>
          </w:p>
        </w:tc>
        <w:tc>
          <w:tcPr>
            <w:tcW w:w="13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2,152 </w:t>
            </w:r>
          </w:p>
        </w:tc>
        <w:tc>
          <w:tcPr>
            <w:tcW w:w="208"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(provision) benefit</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Equity in net income (loss) of equity method investees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241"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5,240 </w:t>
            </w:r>
          </w:p>
        </w:tc>
        <w:tc>
          <w:tcPr>
            <w:tcW w:w="13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1,870 </w:t>
            </w:r>
          </w:p>
        </w:tc>
        <w:tc>
          <w:tcPr>
            <w:tcW w:w="208"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Number of shares used in per share calculations</w:t>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1,138 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Micron Technology, Inc.</w: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Consolidated Statements of Comprehensive Income (Loss)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5774" w:type="dxa"/>
        <w:jc w:val="center"/>
        <w:tblInd w:w="0" w:type="dxa"/>
        <w:tblLayout w:type="fixed"/>
        <w:tblCellMar>
          <w:top w:w="28" w:type="dxa"/>
          <w:left w:w="28" w:type="dxa"/>
          <w:bottom w:w="28" w:type="dxa"/>
          <w:right w:w="28" w:type="dxa"/>
        </w:tblCellMar>
      </w:tblPr>
      <w:tblGrid>
        <w:gridCol w:w="1227"/>
        <w:gridCol w:w="1076"/>
        <w:gridCol w:w="1086"/>
        <w:gridCol w:w="266"/>
        <w:gridCol w:w="755"/>
        <w:gridCol w:w="149"/>
        <w:gridCol w:w="262"/>
        <w:gridCol w:w="745"/>
        <w:gridCol w:w="208"/>
      </w:tblGrid>
      <w:tr>
        <w:trPr/>
        <w:tc>
          <w:tcPr>
            <w:tcW w:w="122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3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2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5,240 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 net of tax</w:t>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Gains (losses) on derivative instruments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gains (losses) on investments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comprehensive income</w:t>
            </w:r>
          </w:p>
        </w:tc>
        <w:tc>
          <w:tcPr>
            <w:tcW w:w="26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5,149 </w:t>
            </w:r>
          </w:p>
        </w:tc>
        <w:tc>
          <w:tcPr>
            <w:tcW w:w="149"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1,783 </w:t>
            </w:r>
          </w:p>
        </w:tc>
        <w:tc>
          <w:tcPr>
            <w:tcW w:w="20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7495"/>
                <wp:effectExtent l="0" t="0" r="0" b="0"/>
                <wp:wrapNone/>
                <wp:docPr id="10" name="Frame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6"/>
                                          <a:stretch>
                                            <a:fillRect/>
                                          </a:stretch>
                                        </pic:blipFill>
                                        <pic:spPr bwMode="auto">
                                          <a:xfrm>
                                            <a:off x="0" y="0"/>
                                            <a:ext cx="866775" cy="180975"/>
                                          </a:xfrm>
                                          <a:prstGeom prst="rect">
                                            <a:avLst/>
                                          </a:prstGeom>
                                        </pic:spPr>
                                      </pic:pic>
                                    </a:graphicData>
                                  </a:graphic>
                                </wp:inline>
                              </w:drawing>
                            </w:r>
                            <w:bookmarkStart w:id="4" w:name="i-3"/>
                            <w:bookmarkEnd w:id="4"/>
                            <w:r>
                              <w:rPr>
                                <w:color w:val="000000"/>
                              </w:rPr>
                              <w:t xml:space="preserve"> </w:t>
                            </w:r>
                            <w:r>
                              <w:rPr>
                                <w:rFonts w:ascii="Arial;sans-serif" w:hAnsi="Arial;sans-serif"/>
                                <w:b/>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7"/>
                                    <a:stretch>
                                      <a:fillRect/>
                                    </a:stretch>
                                  </pic:blipFill>
                                  <pic:spPr bwMode="auto">
                                    <a:xfrm>
                                      <a:off x="0" y="0"/>
                                      <a:ext cx="866775" cy="180975"/>
                                    </a:xfrm>
                                    <a:prstGeom prst="rect">
                                      <a:avLst/>
                                    </a:prstGeom>
                                  </pic:spPr>
                                </pic:pic>
                              </a:graphicData>
                            </a:graphic>
                          </wp:inline>
                        </w:drawing>
                      </w:r>
                      <w:bookmarkStart w:id="5" w:name="i-3"/>
                      <w:bookmarkEnd w:id="5"/>
                      <w:r>
                        <w:rPr>
                          <w:color w:val="000000"/>
                        </w:rPr>
                        <w:t xml:space="preserve"> </w:t>
                      </w:r>
                      <w:r>
                        <w:rPr>
                          <w:rFonts w:ascii="Arial;sans-serif" w:hAnsi="Arial;sans-serif"/>
                          <w:b/>
                          <w:color w:val="000000"/>
                          <w:sz w:val="18"/>
                        </w:rPr>
                        <w:t>6</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Micron Technology, Inc.</w: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Consolidated Balance Sheets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par value amounts)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53"/>
        <w:gridCol w:w="2518"/>
        <w:gridCol w:w="2546"/>
        <w:gridCol w:w="223"/>
        <w:gridCol w:w="738"/>
        <w:gridCol w:w="124"/>
        <w:gridCol w:w="196"/>
        <w:gridCol w:w="649"/>
        <w:gridCol w:w="158"/>
      </w:tblGrid>
      <w:tr>
        <w:trPr/>
        <w:tc>
          <w:tcPr>
            <w:tcW w:w="3053"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w:t>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8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08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Short-term investments</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Receivables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Inventories</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8,205 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8,355 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current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96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29,665 </w:t>
            </w:r>
          </w:p>
        </w:tc>
        <w:tc>
          <w:tcPr>
            <w:tcW w:w="12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28,841 </w:t>
            </w:r>
          </w:p>
        </w:tc>
        <w:tc>
          <w:tcPr>
            <w:tcW w:w="158"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marketable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plant, and equipment</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48,477 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46,590 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1,150 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1,150 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223"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8"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85,971 </w:t>
            </w:r>
          </w:p>
        </w:tc>
        <w:tc>
          <w:tcPr>
            <w:tcW w:w="12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9"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82,798 </w:t>
            </w:r>
          </w:p>
        </w:tc>
        <w:tc>
          <w:tcPr>
            <w:tcW w:w="158"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equity</w:t>
            </w:r>
          </w:p>
        </w:tc>
        <w:tc>
          <w:tcPr>
            <w:tcW w:w="108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 and accrued expenses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debt</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current liabilities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96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12,060 </w:t>
            </w:r>
          </w:p>
        </w:tc>
        <w:tc>
          <w:tcPr>
            <w:tcW w:w="12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11,454 </w:t>
            </w:r>
          </w:p>
        </w:tc>
        <w:tc>
          <w:tcPr>
            <w:tcW w:w="158"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operating lease liabilities</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669 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701 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unearned government incentives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liabilities</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1,443 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27,165 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Commitments and contingencies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Shareholders’ equity</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Common stock, $0.10 par value, 3,000</w:t>
            </w:r>
            <w:r>
              <w:rPr>
                <w:color w:val="000000"/>
              </w:rPr>
              <w:t> </w:t>
            </w:r>
            <w:r>
              <w:rPr>
                <w:rFonts w:ascii="Arial Narrow;sans-serif" w:hAnsi="Arial Narrow;sans-serif"/>
                <w:b w:val="false"/>
                <w:color w:val="000000"/>
                <w:sz w:val="20"/>
              </w:rPr>
              <w:t>shares authorized, 1,271</w:t>
            </w:r>
            <w:r>
              <w:rPr>
                <w:color w:val="000000"/>
              </w:rPr>
              <w:t> </w:t>
            </w:r>
            <w:r>
              <w:rPr>
                <w:rFonts w:ascii="Arial Narrow;sans-serif" w:hAnsi="Arial Narrow;sans-serif"/>
                <w:b w:val="false"/>
                <w:color w:val="000000"/>
                <w:sz w:val="20"/>
              </w:rPr>
              <w:t>shares issued and 1,126</w:t>
            </w:r>
            <w:r>
              <w:rPr>
                <w:color w:val="000000"/>
              </w:rPr>
              <w:t> </w:t>
            </w:r>
            <w:r>
              <w:rPr>
                <w:rFonts w:ascii="Arial Narrow;sans-serif" w:hAnsi="Arial Narrow;sans-serif"/>
                <w:b w:val="false"/>
                <w:color w:val="000000"/>
                <w:sz w:val="20"/>
              </w:rPr>
              <w:t>outstanding (1,266</w:t>
            </w:r>
            <w:r>
              <w:rPr>
                <w:color w:val="000000"/>
              </w:rPr>
              <w:t> </w:t>
            </w:r>
            <w:r>
              <w:rPr>
                <w:rFonts w:ascii="Arial Narrow;sans-serif" w:hAnsi="Arial Narrow;sans-serif"/>
                <w:b w:val="false"/>
                <w:color w:val="000000"/>
                <w:sz w:val="20"/>
              </w:rPr>
              <w:t>shares issued and 1,122</w:t>
            </w:r>
            <w:r>
              <w:rPr>
                <w:color w:val="000000"/>
              </w:rPr>
              <w:t> </w:t>
            </w:r>
            <w:r>
              <w:rPr>
                <w:rFonts w:ascii="Arial Narrow;sans-serif" w:hAnsi="Arial Narrow;sans-serif"/>
                <w:b w:val="false"/>
                <w:color w:val="000000"/>
                <w:sz w:val="20"/>
              </w:rPr>
              <w:t>outstanding as of August 28, 2025)</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capital</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53,344 </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48,583 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Treasury stock, 145 shares held (144 shares as of August 28, 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income (loss)</w:t>
            </w:r>
          </w:p>
        </w:tc>
        <w:tc>
          <w:tcPr>
            <w:tcW w:w="96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w:t>
            </w:r>
          </w:p>
        </w:tc>
        <w:tc>
          <w:tcPr>
            <w:tcW w:w="12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equity</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54,165 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equity</w:t>
            </w:r>
          </w:p>
        </w:tc>
        <w:tc>
          <w:tcPr>
            <w:tcW w:w="223"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85,971 </w:t>
            </w:r>
          </w:p>
        </w:tc>
        <w:tc>
          <w:tcPr>
            <w:tcW w:w="124"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9"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82,798 </w:t>
            </w:r>
          </w:p>
        </w:tc>
        <w:tc>
          <w:tcPr>
            <w:tcW w:w="15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Micron Technology, Inc.</w: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Consolidated Statements of Changes in Equity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88"/>
        <w:gridCol w:w="582"/>
        <w:gridCol w:w="584"/>
        <w:gridCol w:w="252"/>
        <w:gridCol w:w="252"/>
        <w:gridCol w:w="253"/>
        <w:gridCol w:w="216"/>
        <w:gridCol w:w="448"/>
        <w:gridCol w:w="116"/>
        <w:gridCol w:w="228"/>
        <w:gridCol w:w="754"/>
        <w:gridCol w:w="127"/>
        <w:gridCol w:w="230"/>
        <w:gridCol w:w="760"/>
        <w:gridCol w:w="128"/>
        <w:gridCol w:w="216"/>
        <w:gridCol w:w="653"/>
        <w:gridCol w:w="120"/>
        <w:gridCol w:w="466"/>
        <w:gridCol w:w="1039"/>
        <w:gridCol w:w="260"/>
        <w:gridCol w:w="299"/>
        <w:gridCol w:w="988"/>
        <w:gridCol w:w="246"/>
      </w:tblGrid>
      <w:tr>
        <w:trPr/>
        <w:tc>
          <w:tcPr>
            <w:tcW w:w="9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Common Stock</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Additional Capital</w:t>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Retained Earnings</w:t>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Treasury Stock</w:t>
            </w:r>
          </w:p>
        </w:tc>
        <w:tc>
          <w:tcPr>
            <w:tcW w:w="17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 Other Comprehensive</w:t>
              <w:br/>
              <w:t>Income (Loss)</w:t>
            </w:r>
          </w:p>
        </w:tc>
        <w:tc>
          <w:tcPr>
            <w:tcW w:w="15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Shareholders’ Equity</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w:t>
              <w:br/>
              <w:t>of Shares</w:t>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Amount</w:t>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c>
          <w:tcPr>
            <w:tcW w:w="1765" w:type="dxa"/>
            <w:gridSpan w:val="3"/>
            <w:vMerge w:val="continue"/>
            <w:tcBorders/>
            <w:tcMar>
              <w:top w:w="0" w:type="dxa"/>
              <w:left w:w="0" w:type="dxa"/>
              <w:bottom w:w="0" w:type="dxa"/>
              <w:right w:w="0" w:type="dxa"/>
            </w:tcMar>
            <w:vAlign w:val="center"/>
          </w:tcPr>
          <w:p>
            <w:pPr>
              <w:pStyle w:val="Normal"/>
              <w:bidi w:val="0"/>
              <w:jc w:val="left"/>
              <w:rPr/>
            </w:pPr>
            <w:r>
              <w:rPr/>
            </w:r>
          </w:p>
        </w:tc>
        <w:tc>
          <w:tcPr>
            <w:tcW w:w="15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August 28, 2025</w:t>
            </w:r>
          </w:p>
        </w:tc>
        <w:tc>
          <w:tcPr>
            <w:tcW w:w="75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1,266</w:t>
            </w:r>
          </w:p>
        </w:tc>
        <w:tc>
          <w:tcPr>
            <w:tcW w:w="21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4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13,339 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48,583 </w:t>
            </w:r>
          </w:p>
        </w:tc>
        <w:tc>
          <w:tcPr>
            <w:tcW w:w="12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(7,852)</w:t>
            </w:r>
          </w:p>
        </w:tc>
        <w:tc>
          <w:tcPr>
            <w:tcW w:w="12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w:t>
            </w:r>
          </w:p>
        </w:tc>
        <w:tc>
          <w:tcPr>
            <w:tcW w:w="2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54,165 </w:t>
            </w:r>
          </w:p>
        </w:tc>
        <w:tc>
          <w:tcPr>
            <w:tcW w:w="2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 net</w:t>
            </w:r>
          </w:p>
        </w:tc>
        <w:tc>
          <w:tcPr>
            <w:tcW w:w="5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w:t>
            </w:r>
          </w:p>
        </w:tc>
        <w:tc>
          <w:tcPr>
            <w:tcW w:w="2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w:t>
            </w:r>
          </w:p>
        </w:tc>
        <w:tc>
          <w:tcPr>
            <w:tcW w:w="2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Stock issued under equity compensation plans</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 expense</w:t>
            </w:r>
          </w:p>
        </w:tc>
        <w:tc>
          <w:tcPr>
            <w:tcW w:w="5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290 </w:t>
            </w:r>
          </w:p>
        </w:tc>
        <w:tc>
          <w:tcPr>
            <w:tcW w:w="2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of stock – repurchase program</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Repurchase of stock – withholdings on employee equity awards</w:t>
            </w:r>
          </w:p>
        </w:tc>
        <w:tc>
          <w:tcPr>
            <w:tcW w:w="75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66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w:t>
            </w:r>
          </w:p>
        </w:tc>
        <w:tc>
          <w:tcPr>
            <w:tcW w:w="12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w:t>
            </w:r>
          </w:p>
        </w:tc>
        <w:tc>
          <w:tcPr>
            <w:tcW w:w="2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Dividends and dividend equivalents declared ($0.115 per share)</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November 27, 2025</w:t>
            </w:r>
          </w:p>
        </w:tc>
        <w:tc>
          <w:tcPr>
            <w:tcW w:w="757" w:type="dxa"/>
            <w:gridSpan w:val="3"/>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1,271</w:t>
            </w:r>
          </w:p>
        </w:tc>
        <w:tc>
          <w:tcPr>
            <w:tcW w:w="21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4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11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13,610 </w:t>
            </w:r>
          </w:p>
        </w:tc>
        <w:tc>
          <w:tcPr>
            <w:tcW w:w="127"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0"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53,344 </w:t>
            </w:r>
          </w:p>
        </w:tc>
        <w:tc>
          <w:tcPr>
            <w:tcW w:w="12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3"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(8,152)</w:t>
            </w:r>
          </w:p>
        </w:tc>
        <w:tc>
          <w:tcPr>
            <w:tcW w:w="120"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9"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w:t>
            </w:r>
          </w:p>
        </w:tc>
        <w:tc>
          <w:tcPr>
            <w:tcW w:w="260"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58,806 </w:t>
            </w:r>
          </w:p>
        </w:tc>
        <w:tc>
          <w:tcPr>
            <w:tcW w:w="24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8"/>
        <w:gridCol w:w="582"/>
        <w:gridCol w:w="584"/>
        <w:gridCol w:w="252"/>
        <w:gridCol w:w="252"/>
        <w:gridCol w:w="253"/>
        <w:gridCol w:w="216"/>
        <w:gridCol w:w="448"/>
        <w:gridCol w:w="116"/>
        <w:gridCol w:w="228"/>
        <w:gridCol w:w="754"/>
        <w:gridCol w:w="127"/>
        <w:gridCol w:w="230"/>
        <w:gridCol w:w="760"/>
        <w:gridCol w:w="128"/>
        <w:gridCol w:w="216"/>
        <w:gridCol w:w="653"/>
        <w:gridCol w:w="120"/>
        <w:gridCol w:w="466"/>
        <w:gridCol w:w="1039"/>
        <w:gridCol w:w="260"/>
        <w:gridCol w:w="299"/>
        <w:gridCol w:w="988"/>
        <w:gridCol w:w="246"/>
      </w:tblGrid>
      <w:tr>
        <w:trPr/>
        <w:tc>
          <w:tcPr>
            <w:tcW w:w="9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Common Stock</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Additional Capital</w:t>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Retained Earnings</w:t>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Treasury Stock</w:t>
            </w:r>
          </w:p>
        </w:tc>
        <w:tc>
          <w:tcPr>
            <w:tcW w:w="17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 Other Comprehensive</w:t>
              <w:br/>
              <w:t>Income (Loss)</w:t>
            </w:r>
          </w:p>
        </w:tc>
        <w:tc>
          <w:tcPr>
            <w:tcW w:w="15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Shareholders’ Equity</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w:t>
              <w:br/>
              <w:t>of Shares</w:t>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Amount</w:t>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c>
          <w:tcPr>
            <w:tcW w:w="1765" w:type="dxa"/>
            <w:gridSpan w:val="3"/>
            <w:vMerge w:val="continue"/>
            <w:tcBorders/>
            <w:tcMar>
              <w:top w:w="0" w:type="dxa"/>
              <w:left w:w="0" w:type="dxa"/>
              <w:bottom w:w="0" w:type="dxa"/>
              <w:right w:w="0" w:type="dxa"/>
            </w:tcMar>
            <w:vAlign w:val="center"/>
          </w:tcPr>
          <w:p>
            <w:pPr>
              <w:pStyle w:val="Normal"/>
              <w:bidi w:val="0"/>
              <w:jc w:val="left"/>
              <w:rPr/>
            </w:pPr>
            <w:r>
              <w:rPr/>
            </w:r>
          </w:p>
        </w:tc>
        <w:tc>
          <w:tcPr>
            <w:tcW w:w="15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August 29, 2024</w:t>
            </w:r>
          </w:p>
        </w:tc>
        <w:tc>
          <w:tcPr>
            <w:tcW w:w="75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w:t>
            </w:r>
          </w:p>
        </w:tc>
        <w:tc>
          <w:tcPr>
            <w:tcW w:w="21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4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12,115 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40,877 </w:t>
            </w:r>
          </w:p>
        </w:tc>
        <w:tc>
          <w:tcPr>
            <w:tcW w:w="12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(7,852)</w:t>
            </w:r>
          </w:p>
        </w:tc>
        <w:tc>
          <w:tcPr>
            <w:tcW w:w="12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w:t>
            </w:r>
          </w:p>
        </w:tc>
        <w:tc>
          <w:tcPr>
            <w:tcW w:w="2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45,131 </w:t>
            </w:r>
          </w:p>
        </w:tc>
        <w:tc>
          <w:tcPr>
            <w:tcW w:w="2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 net</w:t>
            </w:r>
          </w:p>
        </w:tc>
        <w:tc>
          <w:tcPr>
            <w:tcW w:w="5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2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2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Stock issued under equity compensation plans</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 expense</w:t>
            </w:r>
          </w:p>
        </w:tc>
        <w:tc>
          <w:tcPr>
            <w:tcW w:w="5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2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Repurchase of stock – withholdings on employee equity awards</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Dividends and dividend equivalents declared ($0.115 per share)</w:t>
            </w:r>
          </w:p>
        </w:tc>
        <w:tc>
          <w:tcPr>
            <w:tcW w:w="5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w:t>
            </w:r>
          </w:p>
        </w:tc>
        <w:tc>
          <w:tcPr>
            <w:tcW w:w="12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w:t>
            </w:r>
          </w:p>
        </w:tc>
        <w:tc>
          <w:tcPr>
            <w:tcW w:w="24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November 28, 2024</w:t>
            </w:r>
          </w:p>
        </w:tc>
        <w:tc>
          <w:tcPr>
            <w:tcW w:w="7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1,258</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42,427 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(7,852)</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46,797 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7495"/>
                <wp:effectExtent l="0" t="0" r="0" b="0"/>
                <wp:wrapNone/>
                <wp:docPr id="14" name="Frame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8"/>
                                          <a:stretch>
                                            <a:fillRect/>
                                          </a:stretch>
                                        </pic:blipFill>
                                        <pic:spPr bwMode="auto">
                                          <a:xfrm>
                                            <a:off x="0" y="0"/>
                                            <a:ext cx="866775" cy="180975"/>
                                          </a:xfrm>
                                          <a:prstGeom prst="rect">
                                            <a:avLst/>
                                          </a:prstGeom>
                                        </pic:spPr>
                                      </pic:pic>
                                    </a:graphicData>
                                  </a:graphic>
                                </wp:inline>
                              </w:drawing>
                            </w:r>
                            <w:bookmarkStart w:id="6" w:name="i-4"/>
                            <w:bookmarkEnd w:id="6"/>
                            <w:r>
                              <w:rPr>
                                <w:color w:val="000000"/>
                              </w:rPr>
                              <w:t xml:space="preserve"> </w:t>
                            </w:r>
                            <w:r>
                              <w:rPr>
                                <w:rFonts w:ascii="Arial;sans-serif" w:hAnsi="Arial;sans-serif"/>
                                <w:b/>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9"/>
                                    <a:stretch>
                                      <a:fillRect/>
                                    </a:stretch>
                                  </pic:blipFill>
                                  <pic:spPr bwMode="auto">
                                    <a:xfrm>
                                      <a:off x="0" y="0"/>
                                      <a:ext cx="866775" cy="180975"/>
                                    </a:xfrm>
                                    <a:prstGeom prst="rect">
                                      <a:avLst/>
                                    </a:prstGeom>
                                  </pic:spPr>
                                </pic:pic>
                              </a:graphicData>
                            </a:graphic>
                          </wp:inline>
                        </w:drawing>
                      </w:r>
                      <w:bookmarkStart w:id="7" w:name="i-4"/>
                      <w:bookmarkEnd w:id="7"/>
                      <w:r>
                        <w:rPr>
                          <w:color w:val="000000"/>
                        </w:rPr>
                        <w:t xml:space="preserve"> </w:t>
                      </w:r>
                      <w:r>
                        <w:rPr>
                          <w:rFonts w:ascii="Arial;sans-serif" w:hAnsi="Arial;sans-serif"/>
                          <w:b/>
                          <w:color w:val="000000"/>
                          <w:sz w:val="18"/>
                        </w:rPr>
                        <w:t>8</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Micron Technology, Inc.</w: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Consolidated Statements of Cash Flows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9218" w:type="dxa"/>
        <w:jc w:val="left"/>
        <w:tblInd w:w="0" w:type="dxa"/>
        <w:tblLayout w:type="fixed"/>
        <w:tblCellMar>
          <w:top w:w="28" w:type="dxa"/>
          <w:left w:w="28" w:type="dxa"/>
          <w:bottom w:w="28" w:type="dxa"/>
          <w:right w:w="28" w:type="dxa"/>
        </w:tblCellMar>
      </w:tblPr>
      <w:tblGrid>
        <w:gridCol w:w="2396"/>
        <w:gridCol w:w="2099"/>
        <w:gridCol w:w="2120"/>
        <w:gridCol w:w="266"/>
        <w:gridCol w:w="755"/>
        <w:gridCol w:w="149"/>
        <w:gridCol w:w="266"/>
        <w:gridCol w:w="755"/>
        <w:gridCol w:w="149"/>
        <w:gridCol w:w="109"/>
        <w:gridCol w:w="154"/>
      </w:tblGrid>
      <w:tr>
        <w:trPr/>
        <w:tc>
          <w:tcPr>
            <w:tcW w:w="239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from operating activities</w:t>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Adjustments to reconcile net income to net cash provided by operating activities:</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expense and amortization of intangible assets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operating assets and 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Receivables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(871)</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(817)</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Inventories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 and accrued expenses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current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noncurrent liabilities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547 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w:t>
            </w:r>
          </w:p>
        </w:tc>
        <w:tc>
          <w:tcPr>
            <w:tcW w:w="102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8,411 </w:t>
            </w:r>
          </w:p>
        </w:tc>
        <w:tc>
          <w:tcPr>
            <w:tcW w:w="14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3,244 </w:t>
            </w:r>
          </w:p>
        </w:tc>
        <w:tc>
          <w:tcPr>
            <w:tcW w:w="14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from investing activities</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Expenditures for property, plant, and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Purchases of available-for-sale securities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Proceeds from government incentives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Proceeds from maturities and sales of available-for-sale securities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cash used for investing activities</w:t>
            </w:r>
          </w:p>
        </w:tc>
        <w:tc>
          <w:tcPr>
            <w:tcW w:w="102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(4,594)</w:t>
            </w:r>
          </w:p>
        </w:tc>
        <w:tc>
          <w:tcPr>
            <w:tcW w:w="14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(3,148)</w:t>
            </w:r>
          </w:p>
        </w:tc>
        <w:tc>
          <w:tcPr>
            <w:tcW w:w="14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from financing activities</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Repayments of debt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Repurchases of common stock - withholdings on employee equity awards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Repurchases of common stock - repurchase program</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 of dividends to shareholders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cash used for financing activities</w:t>
            </w:r>
          </w:p>
        </w:tc>
        <w:tc>
          <w:tcPr>
            <w:tcW w:w="102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(3,745)</w:t>
            </w:r>
          </w:p>
        </w:tc>
        <w:tc>
          <w:tcPr>
            <w:tcW w:w="14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w:t>
            </w:r>
          </w:p>
        </w:tc>
        <w:tc>
          <w:tcPr>
            <w:tcW w:w="14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changes in currency exchange rates on cash, cash equivalents, and restricted cash</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(decrease) in cash, cash equivalents, and restricted cash</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cash equivalents, and restricted cash at beginning of period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cash equivalents, and restricted cash at end of period</w:t>
            </w:r>
          </w:p>
        </w:tc>
        <w:tc>
          <w:tcPr>
            <w:tcW w:w="26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9,732 </w:t>
            </w:r>
          </w:p>
        </w:tc>
        <w:tc>
          <w:tcPr>
            <w:tcW w:w="149"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6,697 </w:t>
            </w:r>
          </w:p>
        </w:tc>
        <w:tc>
          <w:tcPr>
            <w:tcW w:w="149"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9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9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Micron Technology, Inc.</w:t>
      </w: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NOTES TO CONSOLIDATED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tabular amounts in millions, except per share amounts)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 discussion of our significant accounting policies, see Part II, Item 8. Financial Statements and Supplementary Data, Notes to Consolidated Financial Statements, Note 1. Significant Accounting Policies of our Annual Report on Form 10-K for the year ended August 28, 2025. There have been no changes to our significant accounting policies since our Annual Report on Form 10-K for the year ended August 28,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Basis of Presentation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28, 2025.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prior-period amounts to conform to current-period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fiscal year is the 52- or 53-week period ending on the Thursday closest to August 31. Fiscal year 2026 contains 53 weeks and fiscal year 2025 contains 52 weeks. Our fourth quarter of fiscal year 2026 contains 14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2. Recently Issued Accounting Standards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December 2023, the FASB issued ASU 2023-09 (ASC Topic 740), </w:t>
      </w:r>
      <w:r>
        <w:rPr>
          <w:rFonts w:ascii="Arial;sans-serif" w:hAnsi="Arial;sans-serif"/>
          <w:b w:val="false"/>
          <w:i/>
          <w:color w:val="000000"/>
          <w:sz w:val="20"/>
        </w:rPr>
        <w:t>Improvements to Income Tax Disclosures</w:t>
      </w:r>
      <w:r>
        <w:rPr>
          <w:rFonts w:ascii="Arial;sans-serif" w:hAnsi="Arial;sans-serif"/>
          <w:b w:val="false"/>
          <w:color w:val="000000"/>
          <w:sz w:val="20"/>
        </w:rPr>
        <w:t>. This ASU requires disaggregated income tax disclosures on the rate reconciliation and income taxes paid. This ASU will be effective for our annual reporting for 2026 on a prospective basis, with retrospective application permitted. Adoption of this new guidance will result in expanded disclosures in the Notes to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November 2024, the FASB issued ASU 2024-03 (ASC Topic 220), </w:t>
      </w:r>
      <w:r>
        <w:rPr>
          <w:rFonts w:ascii="Arial;sans-serif" w:hAnsi="Arial;sans-serif"/>
          <w:b w:val="false"/>
          <w:i/>
          <w:color w:val="000000"/>
          <w:sz w:val="20"/>
        </w:rPr>
        <w:t>Disaggregation of Income Statement Expenses</w:t>
      </w:r>
      <w:r>
        <w:rPr>
          <w:rFonts w:ascii="Arial;sans-serif" w:hAnsi="Arial;sans-serif"/>
          <w:b w:val="false"/>
          <w:color w:val="000000"/>
          <w:sz w:val="20"/>
        </w:rPr>
        <w:t>. This ASU requires disclosure of certain expenses in the notes to the financial statements. This ASU will be effective for our annual reporting for 2028 on a prospective basis, with retrospective application permitted. Adoption of this new guidance will result in expanded disclosures in the Notes to Consolidated Financial Statements.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In September 2025, the FASB issued ASU 2025-06 (ASC Topic 350), </w:t>
      </w:r>
      <w:r>
        <w:rPr>
          <w:rFonts w:ascii="Arial;sans-serif" w:hAnsi="Arial;sans-serif"/>
          <w:b w:val="false"/>
          <w:i/>
          <w:color w:val="000000"/>
          <w:sz w:val="20"/>
        </w:rPr>
        <w:t>Targeted Improvements to the Accounting for Internal-Use Software</w:t>
      </w:r>
      <w:r>
        <w:rPr>
          <w:rFonts w:ascii="Arial;sans-serif" w:hAnsi="Arial;sans-serif"/>
          <w:b w:val="false"/>
          <w:color w:val="000000"/>
          <w:sz w:val="20"/>
        </w:rPr>
        <w:t>. This ASU makes targeted improvements to the accounting for internal-use software and will be effective for the first quarter of 2029, with early adoption permitted. This ASU provides for adoption on a prospective basis, with retrospective or modified retrospective application permitted. We are evaluating the timing and effects of our adoption of this new guidance on our financial statements.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In December 2025, the FASB issued ASU 2025-10 (ASC Topic 832), </w:t>
      </w:r>
      <w:r>
        <w:rPr>
          <w:rFonts w:ascii="Arial;sans-serif" w:hAnsi="Arial;sans-serif"/>
          <w:b w:val="false"/>
          <w:i/>
          <w:color w:val="000000"/>
          <w:sz w:val="20"/>
        </w:rPr>
        <w:t>Accounting for Government Grants Received by Business Entities</w:t>
      </w:r>
      <w:r>
        <w:rPr>
          <w:rFonts w:ascii="Arial;sans-serif" w:hAnsi="Arial;sans-serif"/>
          <w:b w:val="false"/>
          <w:color w:val="000000"/>
          <w:sz w:val="20"/>
        </w:rPr>
        <w:t xml:space="preserve">. This ASU establishes the accounting and presentation for government grants received by a business entity. The ASU will be effective for the first quarter of 2030, with early adoption permitted. This ASU provides for adoption either on a modified prospective, modified retrospective, or retrospective basis. We are evaluating the timing and effects of our adoption of this new guidance on our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7495"/>
                <wp:effectExtent l="0" t="0" r="0" b="0"/>
                <wp:wrapNone/>
                <wp:docPr id="18" name="Frame1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10"/>
                                          <a:stretch>
                                            <a:fillRect/>
                                          </a:stretch>
                                        </pic:blipFill>
                                        <pic:spPr bwMode="auto">
                                          <a:xfrm>
                                            <a:off x="0" y="0"/>
                                            <a:ext cx="866775" cy="180975"/>
                                          </a:xfrm>
                                          <a:prstGeom prst="rect">
                                            <a:avLst/>
                                          </a:prstGeom>
                                        </pic:spPr>
                                      </pic:pic>
                                    </a:graphicData>
                                  </a:graphic>
                                </wp:inline>
                              </w:drawing>
                            </w:r>
                            <w:bookmarkStart w:id="8" w:name="i-5"/>
                            <w:bookmarkEnd w:id="8"/>
                            <w:r>
                              <w:rPr>
                                <w:color w:val="000000"/>
                              </w:rPr>
                              <w:t xml:space="preserve"> </w:t>
                            </w:r>
                            <w:r>
                              <w:rPr>
                                <w:rFonts w:ascii="Arial;sans-serif" w:hAnsi="Arial;sans-serif"/>
                                <w:b/>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11"/>
                                    <a:stretch>
                                      <a:fillRect/>
                                    </a:stretch>
                                  </pic:blipFill>
                                  <pic:spPr bwMode="auto">
                                    <a:xfrm>
                                      <a:off x="0" y="0"/>
                                      <a:ext cx="866775" cy="180975"/>
                                    </a:xfrm>
                                    <a:prstGeom prst="rect">
                                      <a:avLst/>
                                    </a:prstGeom>
                                  </pic:spPr>
                                </pic:pic>
                              </a:graphicData>
                            </a:graphic>
                          </wp:inline>
                        </w:drawing>
                      </w:r>
                      <w:bookmarkStart w:id="9" w:name="i-5"/>
                      <w:bookmarkEnd w:id="9"/>
                      <w:r>
                        <w:rPr>
                          <w:color w:val="000000"/>
                        </w:rPr>
                        <w:t xml:space="preserve"> </w:t>
                      </w:r>
                      <w:r>
                        <w:rPr>
                          <w:rFonts w:ascii="Arial;sans-serif" w:hAnsi="Arial;sans-serif"/>
                          <w:b/>
                          <w:color w:val="000000"/>
                          <w:sz w:val="18"/>
                        </w:rPr>
                        <w:t>10</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3. Variable Interest Entities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Certain third-party special purpose entities (the “Lease SPEs”) facilitate equipment lease financing transactions between us and various financial institutions. Neither we nor the financial institutions have an equity interest in the Lease SPEs, which are variable interest entities. The arrangements are financing vehicles and we do not bear any significant risks from variable interests with the Lease SPEs. We do not have the power to direct the activities of the Lease SPEs that most significantly impact their economic performance and, as such, we do not consolidate them. We had approximately $1.51 billion and $1.58 billion of financial lease liabilities and right-of-use assets under these arrangements as of November 27, 2025 and August 28,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4. Cash and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of our short-term investments and long-term marketable investments were classified as available for sale as of the dates noted below. Cash and cash equivalents and the fair values of our available-for-sale securities, which approximated amortized costs, were as follows:</w:t>
      </w:r>
    </w:p>
    <w:tbl>
      <w:tblPr>
        <w:tblW w:w="10205" w:type="dxa"/>
        <w:jc w:val="left"/>
        <w:tblInd w:w="0" w:type="dxa"/>
        <w:tblLayout w:type="fixed"/>
        <w:tblCellMar>
          <w:top w:w="28" w:type="dxa"/>
          <w:left w:w="28" w:type="dxa"/>
          <w:bottom w:w="28" w:type="dxa"/>
          <w:right w:w="28" w:type="dxa"/>
        </w:tblCellMar>
      </w:tblPr>
      <w:tblGrid>
        <w:gridCol w:w="619"/>
        <w:gridCol w:w="354"/>
        <w:gridCol w:w="195"/>
        <w:gridCol w:w="246"/>
        <w:gridCol w:w="702"/>
        <w:gridCol w:w="138"/>
        <w:gridCol w:w="296"/>
        <w:gridCol w:w="639"/>
        <w:gridCol w:w="166"/>
        <w:gridCol w:w="266"/>
        <w:gridCol w:w="757"/>
        <w:gridCol w:w="149"/>
        <w:gridCol w:w="199"/>
        <w:gridCol w:w="656"/>
        <w:gridCol w:w="110"/>
        <w:gridCol w:w="109"/>
        <w:gridCol w:w="109"/>
        <w:gridCol w:w="109"/>
        <w:gridCol w:w="246"/>
        <w:gridCol w:w="702"/>
        <w:gridCol w:w="138"/>
        <w:gridCol w:w="296"/>
        <w:gridCol w:w="639"/>
        <w:gridCol w:w="166"/>
        <w:gridCol w:w="266"/>
        <w:gridCol w:w="757"/>
        <w:gridCol w:w="149"/>
        <w:gridCol w:w="199"/>
        <w:gridCol w:w="656"/>
        <w:gridCol w:w="172"/>
      </w:tblGrid>
      <w:tr>
        <w:trPr/>
        <w:tc>
          <w:tcPr>
            <w:tcW w:w="61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November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August 28, 2025</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Cash and Cash Equivalents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Short-term Investments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Long-term Marketable Investments</w:t>
            </w:r>
            <w:r>
              <w:rPr>
                <w:rFonts w:ascii="Arial Narrow;sans-serif" w:hAnsi="Arial Narrow;sans-serif"/>
                <w:b w:val="false"/>
                <w:color w:val="000000"/>
                <w:sz w:val="13"/>
              </w:rPr>
              <w:t>(1)</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Cash and Cash Equivalents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Short-term Investments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Long-term Marketable Investments</w:t>
            </w:r>
            <w:r>
              <w:rPr>
                <w:rFonts w:ascii="Arial Narrow;sans-serif" w:hAnsi="Arial Narrow;sans-serif"/>
                <w:b w:val="false"/>
                <w:color w:val="000000"/>
                <w:sz w:val="13"/>
              </w:rPr>
              <w:t>(1)</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Fair Value</w:t>
            </w:r>
          </w:p>
        </w:tc>
      </w:tr>
      <w:tr>
        <w:trPr/>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w:t>
            </w:r>
          </w:p>
        </w:tc>
        <w:tc>
          <w:tcPr>
            <w:tcW w:w="24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8,441 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8,441 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7,875 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7,875 </w:t>
            </w:r>
          </w:p>
        </w:tc>
        <w:tc>
          <w:tcPr>
            <w:tcW w:w="17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Level 1</w:t>
            </w:r>
            <w:r>
              <w:rPr>
                <w:rFonts w:ascii="Arial Narrow;sans-serif" w:hAnsi="Arial Narrow;sans-serif"/>
                <w:b w:val="false"/>
                <w:color w:val="000000"/>
                <w:sz w:val="13"/>
              </w:rPr>
              <w:t>(2)</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funds</w:t>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410 </w:t>
            </w:r>
          </w:p>
        </w:tc>
        <w:tc>
          <w:tcPr>
            <w:tcW w:w="17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Level 2</w:t>
            </w:r>
            <w:r>
              <w:rPr>
                <w:rFonts w:ascii="Arial Narrow;sans-serif" w:hAnsi="Arial Narrow;sans-serif"/>
                <w:b w:val="false"/>
                <w:color w:val="000000"/>
                <w:sz w:val="13"/>
              </w:rPr>
              <w:t>(3)</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Certificates of deposit</w:t>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919 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925 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1,292 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1,298 </w:t>
            </w:r>
          </w:p>
        </w:tc>
        <w:tc>
          <w:tcPr>
            <w:tcW w:w="17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Corporate bonds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Asset-backed securities</w:t>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552 </w:t>
            </w:r>
          </w:p>
        </w:tc>
        <w:tc>
          <w:tcPr>
            <w:tcW w:w="17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Government securities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Commercial paper</w:t>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11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16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17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9,731 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11,936 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 Narrow;sans-serif" w:hAnsi="Arial Narrow;sans-serif"/>
                <w:b w:val="false"/>
                <w:color w:val="000000"/>
                <w:sz w:val="20"/>
              </w:rPr>
              <w:t>Restricted cash</w:t>
            </w:r>
            <w:r>
              <w:rPr>
                <w:rFonts w:ascii="Arial Narrow;sans-serif" w:hAnsi="Arial Narrow;sans-serif"/>
                <w:b w:val="false"/>
                <w:color w:val="000000"/>
                <w:sz w:val="13"/>
              </w:rPr>
              <w:t>(4)</w:t>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1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cash equivalents, and restricted cash</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9,732 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i/>
          <w:color w:val="000000"/>
          <w:sz w:val="13"/>
        </w:rPr>
        <w:t>(1)</w:t>
      </w:r>
      <w:r>
        <w:rPr>
          <w:rFonts w:ascii="Arial;sans-serif" w:hAnsi="Arial;sans-serif"/>
          <w:b w:val="false"/>
          <w:i/>
          <w:color w:val="000000"/>
          <w:sz w:val="20"/>
        </w:rPr>
        <w:t>The maturities of long-term marketable investments primarily range from</w:t>
      </w:r>
      <w:r>
        <w:rPr>
          <w:color w:val="000000"/>
        </w:rPr>
        <w:t xml:space="preserve"> </w:t>
      </w:r>
      <w:r>
        <w:rPr>
          <w:rFonts w:ascii="Arial;sans-serif" w:hAnsi="Arial;sans-serif"/>
          <w:b w:val="false"/>
          <w:i/>
          <w:color w:val="000000"/>
          <w:sz w:val="20"/>
        </w:rPr>
        <w:t>one to</w:t>
      </w:r>
      <w:r>
        <w:rPr>
          <w:color w:val="000000"/>
        </w:rPr>
        <w:t xml:space="preserve"> </w:t>
      </w:r>
      <w:r>
        <w:rPr>
          <w:rFonts w:ascii="Arial;sans-serif" w:hAnsi="Arial;sans-serif"/>
          <w:b w:val="false"/>
          <w:i/>
          <w:color w:val="000000"/>
          <w:sz w:val="20"/>
        </w:rPr>
        <w:t>five years, except for asset-backed securities which are not due at a single maturity date.</w:t>
      </w:r>
    </w:p>
    <w:p>
      <w:pPr>
        <w:pStyle w:val="TextBody"/>
        <w:bidi w:val="0"/>
        <w:spacing w:lineRule="auto" w:line="288" w:before="0" w:after="0"/>
        <w:ind w:left="0" w:right="0" w:hanging="270"/>
        <w:jc w:val="left"/>
        <w:rPr/>
      </w:pPr>
      <w:r>
        <w:rPr>
          <w:rFonts w:ascii="Arial;sans-serif" w:hAnsi="Arial;sans-serif"/>
          <w:b w:val="false"/>
          <w:color w:val="000000"/>
          <w:sz w:val="13"/>
        </w:rPr>
        <w:t>(2)</w:t>
      </w:r>
      <w:r>
        <w:rPr>
          <w:rFonts w:ascii="Arial;sans-serif" w:hAnsi="Arial;sans-serif"/>
          <w:b w:val="false"/>
          <w:i/>
          <w:color w:val="000000"/>
          <w:sz w:val="20"/>
        </w:rPr>
        <w:t>The fair value of Level 1 securities is measured based on quoted prices in active markets for identical assets.</w:t>
      </w:r>
    </w:p>
    <w:p>
      <w:pPr>
        <w:pStyle w:val="TextBody"/>
        <w:bidi w:val="0"/>
        <w:spacing w:lineRule="auto" w:line="288" w:before="0" w:after="0"/>
        <w:ind w:left="0" w:right="0" w:hanging="270"/>
        <w:jc w:val="left"/>
        <w:rPr/>
      </w:pPr>
      <w:r>
        <w:rPr>
          <w:rFonts w:ascii="Arial;sans-serif" w:hAnsi="Arial;sans-serif"/>
          <w:b w:val="false"/>
          <w:i/>
          <w:color w:val="000000"/>
          <w:sz w:val="13"/>
        </w:rPr>
        <w:t>(3)</w:t>
      </w:r>
      <w:r>
        <w:rPr>
          <w:rFonts w:ascii="Arial;sans-serif" w:hAnsi="Arial;sans-serif"/>
          <w:b w:val="false"/>
          <w:i/>
          <w:color w:val="000000"/>
          <w:sz w:val="20"/>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November 27, 2025 or August 28, 2025.</w:t>
      </w:r>
    </w:p>
    <w:p>
      <w:pPr>
        <w:pStyle w:val="TextBody"/>
        <w:bidi w:val="0"/>
        <w:spacing w:lineRule="auto" w:line="288" w:before="0" w:after="0"/>
        <w:ind w:left="0" w:right="0" w:hanging="270"/>
        <w:jc w:val="left"/>
        <w:rPr/>
      </w:pPr>
      <w:r>
        <w:rPr>
          <w:rFonts w:ascii="Arial;sans-serif" w:hAnsi="Arial;sans-serif"/>
          <w:b w:val="false"/>
          <w:i/>
          <w:color w:val="000000"/>
          <w:sz w:val="13"/>
        </w:rPr>
        <w:t>(4)</w:t>
      </w:r>
      <w:r>
        <w:rPr>
          <w:rFonts w:ascii="Arial;sans-serif" w:hAnsi="Arial;sans-serif"/>
          <w:b w:val="false"/>
          <w:i/>
          <w:color w:val="000000"/>
          <w:sz w:val="20"/>
        </w:rPr>
        <w:t xml:space="preserve">Restricted cash is included in other current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Gross realized gains and losses from sales of available-for-sale securities were not material for any period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Non-marketable Equity Investments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amounts included in the table above, we had $183 million and $194 million of non-marketable equity investments without a readily determinable fair value that were included in other noncurrent assets as of November 27, 2025 and August 28, 2025, respectively. Our non-marketable equity investments are recorded at cost minus impairment, if any, adjusted for qualifying observable price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2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11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11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5. Receivables</w:t>
      </w:r>
    </w:p>
    <w:tbl>
      <w:tblPr>
        <w:tblW w:w="3974" w:type="dxa"/>
        <w:jc w:val="left"/>
        <w:tblInd w:w="0" w:type="dxa"/>
        <w:tblLayout w:type="fixed"/>
        <w:tblCellMar>
          <w:top w:w="28" w:type="dxa"/>
          <w:left w:w="28" w:type="dxa"/>
          <w:bottom w:w="28" w:type="dxa"/>
          <w:right w:w="28" w:type="dxa"/>
        </w:tblCellMar>
      </w:tblPr>
      <w:tblGrid>
        <w:gridCol w:w="652"/>
        <w:gridCol w:w="572"/>
        <w:gridCol w:w="576"/>
        <w:gridCol w:w="241"/>
        <w:gridCol w:w="795"/>
        <w:gridCol w:w="134"/>
        <w:gridCol w:w="217"/>
        <w:gridCol w:w="617"/>
        <w:gridCol w:w="170"/>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receivables</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8,009 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7,163 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Government incentives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and other taxes</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10,184 </w:t>
            </w:r>
          </w:p>
        </w:tc>
        <w:tc>
          <w:tcPr>
            <w:tcW w:w="134"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9,265 </w:t>
            </w:r>
          </w:p>
        </w:tc>
        <w:tc>
          <w:tcPr>
            <w:tcW w:w="170"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6. Inventories</w:t>
      </w:r>
    </w:p>
    <w:tbl>
      <w:tblPr>
        <w:tblW w:w="4243" w:type="dxa"/>
        <w:jc w:val="left"/>
        <w:tblInd w:w="0" w:type="dxa"/>
        <w:tblLayout w:type="fixed"/>
        <w:tblCellMar>
          <w:top w:w="28" w:type="dxa"/>
          <w:left w:w="28" w:type="dxa"/>
          <w:bottom w:w="28" w:type="dxa"/>
          <w:right w:w="28" w:type="dxa"/>
        </w:tblCellMar>
      </w:tblPr>
      <w:tblGrid>
        <w:gridCol w:w="750"/>
        <w:gridCol w:w="657"/>
        <w:gridCol w:w="662"/>
        <w:gridCol w:w="266"/>
        <w:gridCol w:w="755"/>
        <w:gridCol w:w="149"/>
        <w:gridCol w:w="217"/>
        <w:gridCol w:w="617"/>
        <w:gridCol w:w="170"/>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Finished goods</w:t>
            </w:r>
          </w:p>
        </w:tc>
        <w:tc>
          <w:tcPr>
            <w:tcW w:w="2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1,142 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Work in process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Raw materials and supplies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871 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860 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8,205 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7. Property, Plant, and Equipment</w:t>
      </w:r>
    </w:p>
    <w:tbl>
      <w:tblPr>
        <w:tblW w:w="4154" w:type="dxa"/>
        <w:jc w:val="left"/>
        <w:tblInd w:w="0" w:type="dxa"/>
        <w:tblLayout w:type="fixed"/>
        <w:tblCellMar>
          <w:top w:w="28" w:type="dxa"/>
          <w:left w:w="28" w:type="dxa"/>
          <w:bottom w:w="28" w:type="dxa"/>
          <w:right w:w="28" w:type="dxa"/>
        </w:tblCellMar>
      </w:tblPr>
      <w:tblGrid>
        <w:gridCol w:w="805"/>
        <w:gridCol w:w="704"/>
        <w:gridCol w:w="471"/>
        <w:gridCol w:w="241"/>
        <w:gridCol w:w="795"/>
        <w:gridCol w:w="134"/>
        <w:gridCol w:w="197"/>
        <w:gridCol w:w="652"/>
        <w:gridCol w:w="155"/>
      </w:tblGrid>
      <w:tr>
        <w:trPr/>
        <w:tc>
          <w:tcPr>
            <w:tcW w:w="80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1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Buildings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Equipment</w:t>
            </w:r>
            <w:r>
              <w:rPr>
                <w:rFonts w:ascii="Arial Narrow;sans-serif" w:hAnsi="Arial Narrow;sans-serif"/>
                <w:b w:val="false"/>
                <w:color w:val="000000"/>
                <w:sz w:val="13"/>
              </w:rPr>
              <w:t>(1)</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82,839 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79,934 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Construction in progress</w:t>
            </w:r>
            <w:r>
              <w:rPr>
                <w:rFonts w:ascii="Arial Narrow;sans-serif" w:hAnsi="Arial Narrow;sans-serif"/>
                <w:b w:val="false"/>
                <w:color w:val="000000"/>
                <w:sz w:val="13"/>
              </w:rPr>
              <w:t>(2)</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Software</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1,678 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1,651 </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113,490 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109,696 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depreciation</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(65,013)</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(63,106)</w:t>
            </w:r>
          </w:p>
        </w:tc>
        <w:tc>
          <w:tcPr>
            <w:tcW w:w="1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48,477 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rFonts w:ascii="Arial;sans-serif" w:hAnsi="Arial;sans-serif"/>
          <w:b w:val="false"/>
          <w:i/>
          <w:color w:val="000000"/>
          <w:sz w:val="13"/>
        </w:rPr>
        <w:t>(1)</w:t>
      </w:r>
      <w:r>
        <w:rPr>
          <w:rFonts w:ascii="Arial;sans-serif" w:hAnsi="Arial;sans-serif"/>
          <w:b w:val="false"/>
          <w:i/>
          <w:color w:val="000000"/>
          <w:sz w:val="20"/>
        </w:rPr>
        <w:t>Includes costs related to equipment not placed into service of $3.88 billion as of November 27, 2025 and $4.05 billion as of August 28, 2025.</w:t>
      </w:r>
    </w:p>
    <w:p>
      <w:pPr>
        <w:pStyle w:val="TextBody"/>
        <w:bidi w:val="0"/>
        <w:spacing w:lineRule="auto" w:line="288" w:before="0" w:after="0"/>
        <w:ind w:left="0" w:right="0" w:hanging="270"/>
        <w:jc w:val="left"/>
        <w:rPr/>
      </w:pPr>
      <w:r>
        <w:rPr>
          <w:rFonts w:ascii="Arial;sans-serif" w:hAnsi="Arial;sans-serif"/>
          <w:b w:val="false"/>
          <w:i/>
          <w:color w:val="000000"/>
          <w:sz w:val="13"/>
        </w:rPr>
        <w:t>(2)</w:t>
      </w:r>
      <w:r>
        <w:rPr>
          <w:rFonts w:ascii="Arial;sans-serif" w:hAnsi="Arial;sans-serif"/>
          <w:b w:val="false"/>
          <w:i/>
          <w:color w:val="000000"/>
          <w:sz w:val="20"/>
        </w:rPr>
        <w:t>Primarily includes building-related construction and tool installation.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November 19, 2025, we finalized an incentive arrangement for the enhancement and modernization of our Singapore manufacturing facilities, under which we will receive government support for qualified capital spending and labor costs. The incentive arrangement may be subject to reduction, recapture, or termination if certain conditions are not met. Terms and conditions are subject to the confidentiality provisions of the incentive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7495"/>
                <wp:effectExtent l="0" t="0" r="0" b="0"/>
                <wp:wrapNone/>
                <wp:docPr id="22" name="Frame1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12"/>
                                          <a:stretch>
                                            <a:fillRect/>
                                          </a:stretch>
                                        </pic:blipFill>
                                        <pic:spPr bwMode="auto">
                                          <a:xfrm>
                                            <a:off x="0" y="0"/>
                                            <a:ext cx="866775" cy="180975"/>
                                          </a:xfrm>
                                          <a:prstGeom prst="rect">
                                            <a:avLst/>
                                          </a:prstGeom>
                                        </pic:spPr>
                                      </pic:pic>
                                    </a:graphicData>
                                  </a:graphic>
                                </wp:inline>
                              </w:drawing>
                            </w:r>
                            <w:bookmarkStart w:id="10" w:name="i-6"/>
                            <w:bookmarkEnd w:id="10"/>
                            <w:r>
                              <w:rPr>
                                <w:color w:val="000000"/>
                              </w:rPr>
                              <w:t xml:space="preserve"> </w:t>
                            </w:r>
                            <w:r>
                              <w:rPr>
                                <w:rFonts w:ascii="Arial;sans-serif" w:hAnsi="Arial;sans-serif"/>
                                <w:b/>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13"/>
                                    <a:stretch>
                                      <a:fillRect/>
                                    </a:stretch>
                                  </pic:blipFill>
                                  <pic:spPr bwMode="auto">
                                    <a:xfrm>
                                      <a:off x="0" y="0"/>
                                      <a:ext cx="866775" cy="180975"/>
                                    </a:xfrm>
                                    <a:prstGeom prst="rect">
                                      <a:avLst/>
                                    </a:prstGeom>
                                  </pic:spPr>
                                </pic:pic>
                              </a:graphicData>
                            </a:graphic>
                          </wp:inline>
                        </w:drawing>
                      </w:r>
                      <w:bookmarkStart w:id="11" w:name="i-6"/>
                      <w:bookmarkEnd w:id="11"/>
                      <w:r>
                        <w:rPr>
                          <w:color w:val="000000"/>
                        </w:rPr>
                        <w:t xml:space="preserve"> </w:t>
                      </w:r>
                      <w:r>
                        <w:rPr>
                          <w:rFonts w:ascii="Arial;sans-serif" w:hAnsi="Arial;sans-serif"/>
                          <w:b/>
                          <w:color w:val="000000"/>
                          <w:sz w:val="18"/>
                        </w:rPr>
                        <w:t>12</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8. Leases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lease cost are presented below:</w:t>
      </w:r>
    </w:p>
    <w:tbl>
      <w:tblPr>
        <w:tblW w:w="4859" w:type="dxa"/>
        <w:jc w:val="left"/>
        <w:tblInd w:w="0" w:type="dxa"/>
        <w:tblLayout w:type="fixed"/>
        <w:tblCellMar>
          <w:top w:w="28" w:type="dxa"/>
          <w:left w:w="28" w:type="dxa"/>
          <w:bottom w:w="28" w:type="dxa"/>
          <w:right w:w="28" w:type="dxa"/>
        </w:tblCellMar>
      </w:tblPr>
      <w:tblGrid>
        <w:gridCol w:w="896"/>
        <w:gridCol w:w="786"/>
        <w:gridCol w:w="793"/>
        <w:gridCol w:w="315"/>
        <w:gridCol w:w="678"/>
        <w:gridCol w:w="176"/>
        <w:gridCol w:w="308"/>
        <w:gridCol w:w="663"/>
        <w:gridCol w:w="24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2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lease cost</w:t>
            </w:r>
          </w:p>
        </w:tc>
        <w:tc>
          <w:tcPr>
            <w:tcW w:w="116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right-of-use asset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on lease liability</w:t>
            </w:r>
          </w:p>
        </w:tc>
        <w:tc>
          <w:tcPr>
            <w:tcW w:w="99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38 </w:t>
            </w:r>
          </w:p>
        </w:tc>
        <w:tc>
          <w:tcPr>
            <w:tcW w:w="1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24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Operating lease cost</w:t>
            </w:r>
            <w:r>
              <w:rPr>
                <w:rFonts w:ascii="Arial Narrow;sans-serif" w:hAnsi="Arial Narrow;sans-serif"/>
                <w:b w:val="false"/>
                <w:color w:val="000000"/>
                <w:sz w:val="13"/>
              </w:rPr>
              <w:t>(1)</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186 </w:t>
            </w:r>
          </w:p>
        </w:tc>
        <w:tc>
          <w:tcPr>
            <w:tcW w:w="17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3"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124 </w:t>
            </w:r>
          </w:p>
        </w:tc>
        <w:tc>
          <w:tcPr>
            <w:tcW w:w="244"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3"/>
        </w:rPr>
        <w:t>(1)</w:t>
      </w:r>
      <w:r>
        <w:rPr>
          <w:rFonts w:ascii="Arial;sans-serif" w:hAnsi="Arial;sans-serif"/>
          <w:b w:val="false"/>
          <w:i/>
          <w:color w:val="000000"/>
          <w:sz w:val="20"/>
        </w:rPr>
        <w:t>Includes short-term and variable lease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cash flow information related to leases was as follows:</w:t>
      </w:r>
    </w:p>
    <w:tbl>
      <w:tblPr>
        <w:tblW w:w="6464" w:type="dxa"/>
        <w:jc w:val="left"/>
        <w:tblInd w:w="0" w:type="dxa"/>
        <w:tblLayout w:type="fixed"/>
        <w:tblCellMar>
          <w:top w:w="28" w:type="dxa"/>
          <w:left w:w="28" w:type="dxa"/>
          <w:bottom w:w="28" w:type="dxa"/>
          <w:right w:w="28" w:type="dxa"/>
        </w:tblCellMar>
      </w:tblPr>
      <w:tblGrid>
        <w:gridCol w:w="1477"/>
        <w:gridCol w:w="1295"/>
        <w:gridCol w:w="1307"/>
        <w:gridCol w:w="360"/>
        <w:gridCol w:w="608"/>
        <w:gridCol w:w="202"/>
        <w:gridCol w:w="349"/>
        <w:gridCol w:w="590"/>
        <w:gridCol w:w="276"/>
      </w:tblGrid>
      <w:tr>
        <w:trPr/>
        <w:tc>
          <w:tcPr>
            <w:tcW w:w="147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4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flows used for operating activities</w:t>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Finance leases</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leases</w:t>
            </w:r>
          </w:p>
        </w:tc>
        <w:tc>
          <w:tcPr>
            <w:tcW w:w="96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20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2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flows used for financing activities – Finance leases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Non-cash acquisitions of right-of-use assets</w:t>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leases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leases</w:t>
            </w:r>
          </w:p>
        </w:tc>
        <w:tc>
          <w:tcPr>
            <w:tcW w:w="96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0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balance sheet information related to leases was as follows:</w:t>
      </w:r>
    </w:p>
    <w:tbl>
      <w:tblPr>
        <w:tblW w:w="8477" w:type="dxa"/>
        <w:jc w:val="center"/>
        <w:tblInd w:w="0" w:type="dxa"/>
        <w:tblLayout w:type="fixed"/>
        <w:tblCellMar>
          <w:top w:w="28" w:type="dxa"/>
          <w:left w:w="28" w:type="dxa"/>
          <w:bottom w:w="28" w:type="dxa"/>
          <w:right w:w="28" w:type="dxa"/>
        </w:tblCellMar>
      </w:tblPr>
      <w:tblGrid>
        <w:gridCol w:w="2266"/>
        <w:gridCol w:w="1995"/>
        <w:gridCol w:w="2008"/>
        <w:gridCol w:w="231"/>
        <w:gridCol w:w="655"/>
        <w:gridCol w:w="284"/>
        <w:gridCol w:w="196"/>
        <w:gridCol w:w="556"/>
        <w:gridCol w:w="286"/>
      </w:tblGrid>
      <w:tr>
        <w:trPr/>
        <w:tc>
          <w:tcPr>
            <w:tcW w:w="226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6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Finance lease right-of-use assets (included in property, plant, and equipment)</w:t>
            </w:r>
          </w:p>
        </w:tc>
        <w:tc>
          <w:tcPr>
            <w:tcW w:w="23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2,910 </w:t>
            </w:r>
          </w:p>
        </w:tc>
        <w:tc>
          <w:tcPr>
            <w:tcW w:w="28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3,004 </w:t>
            </w:r>
          </w:p>
        </w:tc>
        <w:tc>
          <w:tcPr>
            <w:tcW w:w="28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operating lease liabilities (included in accounts payable and accrued expenses)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Weighted-average remaining lease term (in years)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Finance leases</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1038"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leases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r>
      <w:tr>
        <w:trPr/>
        <w:tc>
          <w:tcPr>
            <w:tcW w:w="62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Weighted-average discount rate</w:t>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Finance leases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626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leases</w:t>
            </w:r>
          </w:p>
        </w:tc>
        <w:tc>
          <w:tcPr>
            <w:tcW w:w="88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4.33 </w:t>
            </w:r>
          </w:p>
        </w:tc>
        <w:tc>
          <w:tcPr>
            <w:tcW w:w="28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4.26 </w:t>
            </w:r>
          </w:p>
        </w:tc>
        <w:tc>
          <w:tcPr>
            <w:tcW w:w="2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2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13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13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November 27, 2025, maturities of lease liabilities by fiscal year were as follows:</w:t>
      </w:r>
    </w:p>
    <w:tbl>
      <w:tblPr>
        <w:tblW w:w="4500" w:type="dxa"/>
        <w:jc w:val="left"/>
        <w:tblInd w:w="0" w:type="dxa"/>
        <w:tblLayout w:type="fixed"/>
        <w:tblCellMar>
          <w:top w:w="28" w:type="dxa"/>
          <w:left w:w="28" w:type="dxa"/>
          <w:bottom w:w="28" w:type="dxa"/>
          <w:right w:w="28" w:type="dxa"/>
        </w:tblCellMar>
      </w:tblPr>
      <w:tblGrid>
        <w:gridCol w:w="593"/>
        <w:gridCol w:w="519"/>
        <w:gridCol w:w="523"/>
        <w:gridCol w:w="304"/>
        <w:gridCol w:w="862"/>
        <w:gridCol w:w="169"/>
        <w:gridCol w:w="388"/>
        <w:gridCol w:w="835"/>
        <w:gridCol w:w="307"/>
      </w:tblGrid>
      <w:tr>
        <w:trPr/>
        <w:tc>
          <w:tcPr>
            <w:tcW w:w="5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Finance Leases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Operating Leases</w:t>
            </w:r>
          </w:p>
        </w:tc>
      </w:tr>
      <w:tr>
        <w:trPr/>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Remainder of 2026</w:t>
            </w:r>
          </w:p>
        </w:tc>
        <w:tc>
          <w:tcPr>
            <w:tcW w:w="304"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6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507 </w:t>
            </w:r>
          </w:p>
        </w:tc>
        <w:tc>
          <w:tcPr>
            <w:tcW w:w="16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30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116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637 </w:t>
            </w:r>
          </w:p>
        </w:tc>
        <w:tc>
          <w:tcPr>
            <w:tcW w:w="16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86 </w:t>
            </w:r>
          </w:p>
        </w:tc>
        <w:tc>
          <w:tcPr>
            <w:tcW w:w="30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w:t>
            </w:r>
          </w:p>
        </w:tc>
        <w:tc>
          <w:tcPr>
            <w:tcW w:w="116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335 </w:t>
            </w:r>
          </w:p>
        </w:tc>
        <w:tc>
          <w:tcPr>
            <w:tcW w:w="16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30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2031 and thereafter</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Less imputed interest</w:t>
            </w:r>
          </w:p>
        </w:tc>
        <w:tc>
          <w:tcPr>
            <w:tcW w:w="116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(423)</w:t>
            </w:r>
          </w:p>
        </w:tc>
        <w:tc>
          <w:tcPr>
            <w:tcW w:w="16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(297)</w:t>
            </w:r>
          </w:p>
        </w:tc>
        <w:tc>
          <w:tcPr>
            <w:tcW w:w="30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737 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above excludes obligations for leases that have been executed but have not yet commenced. As of November 27, 2025, excluded obligations consisted of $1.13 billion of finance lease obligations over a weighted-average period of 15 years for gas supply arrangements deemed to contain embedded leases. We will recognize right-of-use assets and associated lease liabilities at the time such assets become available for our use.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9. Accounts Payable and Accrued Expenses</w:t>
      </w:r>
    </w:p>
    <w:tbl>
      <w:tblPr>
        <w:tblW w:w="4498" w:type="dxa"/>
        <w:jc w:val="left"/>
        <w:tblInd w:w="0" w:type="dxa"/>
        <w:tblLayout w:type="fixed"/>
        <w:tblCellMar>
          <w:top w:w="28" w:type="dxa"/>
          <w:left w:w="28" w:type="dxa"/>
          <w:bottom w:w="28" w:type="dxa"/>
          <w:right w:w="28" w:type="dxa"/>
        </w:tblCellMar>
      </w:tblPr>
      <w:tblGrid>
        <w:gridCol w:w="840"/>
        <w:gridCol w:w="741"/>
        <w:gridCol w:w="743"/>
        <w:gridCol w:w="266"/>
        <w:gridCol w:w="755"/>
        <w:gridCol w:w="149"/>
        <w:gridCol w:w="217"/>
        <w:gridCol w:w="617"/>
        <w:gridCol w:w="170"/>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August 28,</w:t>
              <w:br/>
              <w:t>2025</w:t>
            </w:r>
          </w:p>
        </w:tc>
      </w:tr>
      <w:tr>
        <w:trPr/>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w:t>
            </w:r>
          </w:p>
        </w:tc>
        <w:tc>
          <w:tcPr>
            <w:tcW w:w="2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3,227 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3,132 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plant, and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Salaries, wages, and benefits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1,120 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1,116 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and other taxes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382 </w:t>
            </w:r>
          </w:p>
        </w:tc>
        <w:tc>
          <w:tcPr>
            <w:tcW w:w="170"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9,796 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7495"/>
                <wp:effectExtent l="0" t="0" r="0" b="0"/>
                <wp:wrapNone/>
                <wp:docPr id="26" name="Frame1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14"/>
                                          <a:stretch>
                                            <a:fillRect/>
                                          </a:stretch>
                                        </pic:blipFill>
                                        <pic:spPr bwMode="auto">
                                          <a:xfrm>
                                            <a:off x="0" y="0"/>
                                            <a:ext cx="866775" cy="180975"/>
                                          </a:xfrm>
                                          <a:prstGeom prst="rect">
                                            <a:avLst/>
                                          </a:prstGeom>
                                        </pic:spPr>
                                      </pic:pic>
                                    </a:graphicData>
                                  </a:graphic>
                                </wp:inline>
                              </w:drawing>
                            </w:r>
                            <w:bookmarkStart w:id="12" w:name="i-7"/>
                            <w:bookmarkEnd w:id="12"/>
                            <w:r>
                              <w:rPr>
                                <w:color w:val="000000"/>
                              </w:rPr>
                              <w:t xml:space="preserve"> </w:t>
                            </w:r>
                            <w:r>
                              <w:rPr>
                                <w:rFonts w:ascii="Arial;sans-serif" w:hAnsi="Arial;sans-serif"/>
                                <w:b/>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15"/>
                                    <a:stretch>
                                      <a:fillRect/>
                                    </a:stretch>
                                  </pic:blipFill>
                                  <pic:spPr bwMode="auto">
                                    <a:xfrm>
                                      <a:off x="0" y="0"/>
                                      <a:ext cx="866775" cy="180975"/>
                                    </a:xfrm>
                                    <a:prstGeom prst="rect">
                                      <a:avLst/>
                                    </a:prstGeom>
                                  </pic:spPr>
                                </pic:pic>
                              </a:graphicData>
                            </a:graphic>
                          </wp:inline>
                        </w:drawing>
                      </w:r>
                      <w:bookmarkStart w:id="13" w:name="i-7"/>
                      <w:bookmarkEnd w:id="13"/>
                      <w:r>
                        <w:rPr>
                          <w:color w:val="000000"/>
                        </w:rPr>
                        <w:t xml:space="preserve"> </w:t>
                      </w:r>
                      <w:r>
                        <w:rPr>
                          <w:rFonts w:ascii="Arial;sans-serif" w:hAnsi="Arial;sans-serif"/>
                          <w:b/>
                          <w:color w:val="000000"/>
                          <w:sz w:val="18"/>
                        </w:rPr>
                        <w:t>14</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10. Debt</w:t>
      </w:r>
    </w:p>
    <w:tbl>
      <w:tblPr>
        <w:tblW w:w="9876" w:type="dxa"/>
        <w:jc w:val="left"/>
        <w:tblInd w:w="0" w:type="dxa"/>
        <w:tblLayout w:type="fixed"/>
        <w:tblCellMar>
          <w:top w:w="28" w:type="dxa"/>
          <w:left w:w="28" w:type="dxa"/>
          <w:bottom w:w="28" w:type="dxa"/>
          <w:right w:w="28" w:type="dxa"/>
        </w:tblCellMar>
      </w:tblPr>
      <w:tblGrid>
        <w:gridCol w:w="691"/>
        <w:gridCol w:w="605"/>
        <w:gridCol w:w="609"/>
        <w:gridCol w:w="278"/>
        <w:gridCol w:w="278"/>
        <w:gridCol w:w="537"/>
        <w:gridCol w:w="285"/>
        <w:gridCol w:w="285"/>
        <w:gridCol w:w="630"/>
        <w:gridCol w:w="196"/>
        <w:gridCol w:w="421"/>
        <w:gridCol w:w="109"/>
        <w:gridCol w:w="201"/>
        <w:gridCol w:w="662"/>
        <w:gridCol w:w="113"/>
        <w:gridCol w:w="196"/>
        <w:gridCol w:w="646"/>
        <w:gridCol w:w="109"/>
        <w:gridCol w:w="109"/>
        <w:gridCol w:w="109"/>
        <w:gridCol w:w="109"/>
        <w:gridCol w:w="196"/>
        <w:gridCol w:w="421"/>
        <w:gridCol w:w="109"/>
        <w:gridCol w:w="201"/>
        <w:gridCol w:w="662"/>
        <w:gridCol w:w="113"/>
        <w:gridCol w:w="196"/>
        <w:gridCol w:w="64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November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August 28, 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Carrying Amount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Stated Rate</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Effective Rate</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Current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Long-Term</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Current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Long-Term</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 A Notes</w:t>
            </w:r>
          </w:p>
        </w:tc>
        <w:tc>
          <w:tcPr>
            <w:tcW w:w="55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5.327 </w:t>
            </w:r>
          </w:p>
        </w:tc>
        <w:tc>
          <w:tcPr>
            <w:tcW w:w="53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5.40 </w:t>
            </w:r>
          </w:p>
        </w:tc>
        <w:tc>
          <w:tcPr>
            <w:tcW w:w="63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2030 Notes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4.663 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4.73 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2031 Notes</w:t>
            </w:r>
          </w:p>
        </w:tc>
        <w:tc>
          <w:tcPr>
            <w:tcW w:w="55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5.300 </w:t>
            </w:r>
          </w:p>
        </w:tc>
        <w:tc>
          <w:tcPr>
            <w:tcW w:w="53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5.41 </w:t>
            </w:r>
          </w:p>
        </w:tc>
        <w:tc>
          <w:tcPr>
            <w:tcW w:w="63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995 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995 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995 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2032 Green Bonds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2.703 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2032 Notes</w:t>
            </w:r>
          </w:p>
        </w:tc>
        <w:tc>
          <w:tcPr>
            <w:tcW w:w="55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5.650 </w:t>
            </w:r>
          </w:p>
        </w:tc>
        <w:tc>
          <w:tcPr>
            <w:tcW w:w="53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5.79 </w:t>
            </w:r>
          </w:p>
        </w:tc>
        <w:tc>
          <w:tcPr>
            <w:tcW w:w="63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2033 A Notes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5.875 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2033 B Notes</w:t>
            </w:r>
          </w:p>
        </w:tc>
        <w:tc>
          <w:tcPr>
            <w:tcW w:w="55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5.875 </w:t>
            </w:r>
          </w:p>
        </w:tc>
        <w:tc>
          <w:tcPr>
            <w:tcW w:w="53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6.01 </w:t>
            </w:r>
          </w:p>
        </w:tc>
        <w:tc>
          <w:tcPr>
            <w:tcW w:w="63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892 </w:t>
            </w:r>
          </w:p>
        </w:tc>
        <w:tc>
          <w:tcPr>
            <w:tcW w:w="154" w:type="dxa"/>
            <w:tcBorders/>
            <w:shd w:fill="D1D2D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2035 A Notes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5.90 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2035 B Notes</w:t>
            </w:r>
          </w:p>
        </w:tc>
        <w:tc>
          <w:tcPr>
            <w:tcW w:w="55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6.050 </w:t>
            </w:r>
          </w:p>
        </w:tc>
        <w:tc>
          <w:tcPr>
            <w:tcW w:w="53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6.14 </w:t>
            </w:r>
          </w:p>
        </w:tc>
        <w:tc>
          <w:tcPr>
            <w:tcW w:w="63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1,241 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1,241 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1,241 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2041 Notes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3.366 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2051 Notes</w:t>
            </w:r>
          </w:p>
        </w:tc>
        <w:tc>
          <w:tcPr>
            <w:tcW w:w="55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3.477 </w:t>
            </w:r>
          </w:p>
        </w:tc>
        <w:tc>
          <w:tcPr>
            <w:tcW w:w="53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3.52 </w:t>
            </w:r>
          </w:p>
        </w:tc>
        <w:tc>
          <w:tcPr>
            <w:tcW w:w="63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496 </w:t>
            </w:r>
          </w:p>
        </w:tc>
        <w:tc>
          <w:tcPr>
            <w:tcW w:w="154" w:type="dxa"/>
            <w:tcBorders/>
            <w:shd w:fill="D1D2D4"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 Notes</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 Term Loan A</w:t>
            </w:r>
          </w:p>
        </w:tc>
        <w:tc>
          <w:tcPr>
            <w:tcW w:w="1093"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120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982 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982 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 B Notes</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Finance lease obligations</w:t>
            </w:r>
          </w:p>
        </w:tc>
        <w:tc>
          <w:tcPr>
            <w:tcW w:w="1093"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57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4.86 </w:t>
            </w:r>
          </w:p>
        </w:tc>
        <w:tc>
          <w:tcPr>
            <w:tcW w:w="630"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2,343 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2,484 </w:t>
            </w:r>
          </w:p>
        </w:tc>
        <w:tc>
          <w:tcPr>
            <w:tcW w:w="113"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3,044 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color w:val="000000"/>
              </w:rPr>
            </w:pPr>
            <w:r>
              <w:rPr>
                <w:color w:val="000000"/>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11,187 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14,017 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Debt Activity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presents the effects of debt prepayment activity in the first three months of 2026:</w:t>
      </w:r>
    </w:p>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532"/>
        <w:gridCol w:w="467"/>
        <w:gridCol w:w="470"/>
        <w:gridCol w:w="484"/>
        <w:gridCol w:w="484"/>
        <w:gridCol w:w="486"/>
        <w:gridCol w:w="367"/>
        <w:gridCol w:w="1183"/>
        <w:gridCol w:w="204"/>
        <w:gridCol w:w="465"/>
        <w:gridCol w:w="1497"/>
        <w:gridCol w:w="258"/>
        <w:gridCol w:w="302"/>
        <w:gridCol w:w="975"/>
        <w:gridCol w:w="237"/>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Transaction Date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Decrease in Principal</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Decrease in Carrying Value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Decrease in Cash</w:t>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Prepayments</w:t>
            </w:r>
          </w:p>
        </w:tc>
        <w:tc>
          <w:tcPr>
            <w:tcW w:w="14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2028 Notes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October 24, 2025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 B Notes</w:t>
            </w:r>
          </w:p>
        </w:tc>
        <w:tc>
          <w:tcPr>
            <w:tcW w:w="145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October 24, 2025</w:t>
            </w:r>
          </w:p>
        </w:tc>
        <w:tc>
          <w:tcPr>
            <w:tcW w:w="155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(1,159)</w:t>
            </w:r>
          </w:p>
        </w:tc>
        <w:tc>
          <w:tcPr>
            <w:tcW w:w="20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w:t>
            </w:r>
          </w:p>
        </w:tc>
        <w:tc>
          <w:tcPr>
            <w:tcW w:w="2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(1,276)</w:t>
            </w:r>
          </w:p>
        </w:tc>
        <w:tc>
          <w:tcPr>
            <w:tcW w:w="23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2029 Term Loan A</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October 27, 2025</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83"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(2,685)</w:t>
            </w:r>
          </w:p>
        </w:tc>
        <w:tc>
          <w:tcPr>
            <w:tcW w:w="204"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97"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(2,691)</w:t>
            </w:r>
          </w:p>
        </w:tc>
        <w:tc>
          <w:tcPr>
            <w:tcW w:w="25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(2,822)</w:t>
            </w:r>
          </w:p>
        </w:tc>
        <w:tc>
          <w:tcPr>
            <w:tcW w:w="237"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first quarter of 2026, we recognized a $130 million loss in other non-operating income (expense) in connection with these prepayments.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Revolving Credit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November 27, 2025, no amounts were outstanding under the Revolving Credit Facility and $3.50 billion was available to us. Under the Revolving Credit Facility, borrowing would generally bear interest at a rate equal to adjusted term SOFR plus 0.875% to 1.50%, depending on our corporate credit ratings. Any amounts outstanding under the Revolving Credit Facility would mature on March 12, 2030 and amounts borrowed may be prepaid without penalty. Any obligations under the Revolving Credit Facility would be unsecured.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Revolving Credit Facility requires us to maintain, on a consolidated basis, a net leverage ratio of total net indebtedness to adjusted EBITDA, as defined in the Revolving Credit Facility agreement and calculated as of the last day of each fiscal quarter, not to exceed 3.25 to 1.00, subject to a temporary four fiscal quarter increase in such maximum ratio to 3.75 to 1.00 following certain material acquisitions.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29"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15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15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Maturities of Notes Payable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November 27, 2025, maturities of notes payable by fiscal year were as follows:</w:t>
      </w:r>
    </w:p>
    <w:tbl>
      <w:tblPr>
        <w:tblW w:w="4025" w:type="dxa"/>
        <w:jc w:val="left"/>
        <w:tblInd w:w="0" w:type="dxa"/>
        <w:tblLayout w:type="fixed"/>
        <w:tblCellMar>
          <w:top w:w="28" w:type="dxa"/>
          <w:left w:w="28" w:type="dxa"/>
          <w:bottom w:w="28" w:type="dxa"/>
          <w:right w:w="28" w:type="dxa"/>
        </w:tblCellMar>
      </w:tblPr>
      <w:tblGrid>
        <w:gridCol w:w="1131"/>
        <w:gridCol w:w="990"/>
        <w:gridCol w:w="998"/>
        <w:gridCol w:w="196"/>
        <w:gridCol w:w="55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Remainder of 2026</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796 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2031 and 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Unamortized issuance costs and discounts</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11.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currently a party to legal actions other than those described below arising from the normal course of business, none of which are expected to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Patent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April 28, 2021, Netlist, Inc. (“Netlist”) filed two patent infringement actions against Micron, Micron Semiconductor Products, Inc. (“MSP”), and Micron Technology Texas, LLC (“MTEC”) in the U.S. District Court for the Western District of Texas (“W.D. Tex.”).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(Deutschland) GmbH (“MSG”) in Düsseldorf Regional Court alleging that two German patents are infringed by certain of our LRDIMMs. The complaint seeks damages, costs, and injunctive relief. In rulings issued on March 7, 2024 and November 7, 2024, the Federal Patent Court in Germany declared both patents invalid. Netlist has appealed those rulings.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patents—U.S. Patent No. 7,619,912 (“the ‘912 patent”) and U.S. Patent No. 11,093,417 (“the ‘417 patent”)—and found that Micron should pay $425 million for infringement of the ‘912 patent and $20 million for infringement of the ‘417 patent. On July 9, 2025, Micron filed a notice that it will appeal the judgment. On April 17, 2024, the Patent Trial and Appeal Board (“PTAB”) of the United States Patent and Trademark Office (“USPTO”) issued a final written decision (“FWD”) finding unpatentable the sole asserted claim of the ‘912 patent. On September 10, 2024, Netlist filed a notice that it will appeal the ruling that the ‘912 patent is unpatentable to the U.S. Court of Appeals for the Federal Circuit (“Federal Circuit”). On July 30, 2024, the USPTO issued a FWD finding unpatentable all asserted claims of the ‘417 patent. On December 10, 2024, Netlist filed a notice that it will appeal the ruling that the ‘417 patent is unpatentable to the Federal Circuit.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7495"/>
                <wp:effectExtent l="0" t="0" r="0" b="0"/>
                <wp:wrapNone/>
                <wp:docPr id="30" name="Frame1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8" descr=""/>
                                          <pic:cNvPicPr>
                                            <a:picLocks noChangeAspect="1" noChangeArrowheads="1"/>
                                          </pic:cNvPicPr>
                                        </pic:nvPicPr>
                                        <pic:blipFill>
                                          <a:blip r:embed="rId16"/>
                                          <a:stretch>
                                            <a:fillRect/>
                                          </a:stretch>
                                        </pic:blipFill>
                                        <pic:spPr bwMode="auto">
                                          <a:xfrm>
                                            <a:off x="0" y="0"/>
                                            <a:ext cx="866775" cy="180975"/>
                                          </a:xfrm>
                                          <a:prstGeom prst="rect">
                                            <a:avLst/>
                                          </a:prstGeom>
                                        </pic:spPr>
                                      </pic:pic>
                                    </a:graphicData>
                                  </a:graphic>
                                </wp:inline>
                              </w:drawing>
                            </w:r>
                            <w:bookmarkStart w:id="14" w:name="i-8"/>
                            <w:bookmarkEnd w:id="14"/>
                            <w:r>
                              <w:rPr>
                                <w:color w:val="000000"/>
                              </w:rPr>
                              <w:t xml:space="preserve"> </w:t>
                            </w:r>
                            <w:r>
                              <w:rPr>
                                <w:rFonts w:ascii="Arial;sans-serif" w:hAnsi="Arial;sans-serif"/>
                                <w:b/>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3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8" descr=""/>
                                    <pic:cNvPicPr>
                                      <a:picLocks noChangeAspect="1" noChangeArrowheads="1"/>
                                    </pic:cNvPicPr>
                                  </pic:nvPicPr>
                                  <pic:blipFill>
                                    <a:blip r:embed="rId17"/>
                                    <a:stretch>
                                      <a:fillRect/>
                                    </a:stretch>
                                  </pic:blipFill>
                                  <pic:spPr bwMode="auto">
                                    <a:xfrm>
                                      <a:off x="0" y="0"/>
                                      <a:ext cx="866775" cy="180975"/>
                                    </a:xfrm>
                                    <a:prstGeom prst="rect">
                                      <a:avLst/>
                                    </a:prstGeom>
                                  </pic:spPr>
                                </pic:pic>
                              </a:graphicData>
                            </a:graphic>
                          </wp:inline>
                        </w:drawing>
                      </w:r>
                      <w:bookmarkStart w:id="15" w:name="i-8"/>
                      <w:bookmarkEnd w:id="15"/>
                      <w:r>
                        <w:rPr>
                          <w:color w:val="000000"/>
                        </w:rPr>
                        <w:t xml:space="preserve"> </w:t>
                      </w:r>
                      <w:r>
                        <w:rPr>
                          <w:rFonts w:ascii="Arial;sans-serif" w:hAnsi="Arial;sans-serif"/>
                          <w:b/>
                          <w:color w:val="000000"/>
                          <w:sz w:val="18"/>
                        </w:rPr>
                        <w:t>16</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19, 2025, Netlist filed a complaint against Micron, MSP, and MTEC in E.D. Tex. alleging that one U.S. patent is infringed by our HBM products. On July 8, 2025, Netlist amended the complaint to allege that one additional U.S. patent is infringed by certain of our DIMMs. On July 28, 2025, Netlist filed an additional complaint against Micron, MSP, and MTEC in E.D. Tex. alleging that one U.S. patent is infringed by certain of our DIMMs. These complaints seek damages, attorneys’ fees, and other equitable relief.</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January 23, 2023, Besang Inc. filed a patent infringement complaint against Micron in E.D. Tex. The complaint alleges that one U.S. patent is infringed by certain of our 3D NAND and SSD products. The complaint seeks an injunction, damages, attorneys’ fees, and costs. On September 17, 2025, the District Court issued a judgment that the accused products do not infringe the asserted patent. On October 17, 2025, Besang filed a notice that it will appeal the District Court’s judgment.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November 9, 2023, Yangtze Memory Technologies Company, Ltd. (“YMTC”) filed a patent infringement complaint against Micron and one of its subsidiaries in the U.S. District Court for the Northern District of California (“N.D. Cal.”). The complaint alleges that eight U.S. patents are infringed by certain of our 3D NAND products. The complaint seeks an injunction, damages, attorneys’ fees, and costs. On January 22, 2024, Micron Semiconductor (Shanghai) Co., Ltd. (“MSS”) was served with three patent infringement complaints filed by YMTC in Beijing Intellectual Property Court and on February 27, 2024, Micron was served with the same complaints. The complaints assert that Micron and MSS infringed three Chinese patents owned by YMTC by importing, selling, offering for sale, and assisting others to sell certain 3D NAND products and SSDs in China. The complaint seeks an injunction, damages, attorneys’ fees, and costs. On July 12, 2024, YMTC filed a second complaint against Micron and its subsidiary in N.D. Cal. The second complaint alleges that eleven U.S. patents are infringed by certain of our 3D NAND and DDR5 DRAM products. The complaint seeks an injunction, damages, attorneys’ fees, and costs. On September 11, 2024, MSS was served with five patent infringement complaints filed by YMTC in Shanghai Intellectual Property Court. The complaints assert that Micron and MSS infringed five Chinese patents owned by YMTC by importing, selling, offering for sale, and assisting others to sell certain 3D NAND products and SSDs in China. The complaint seeks an injunction, damages, attorneys’ fees, and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6, 2025, YMTC filed several patent infringement complaints against Micron and certain of its subsidiaries alleging that the Company’s manufacture, importation, sale, offering for sale, and/or assisting others to sell certain NAND and DRAM products infringe certain patents owned by YMTC. Specifically, YMTC filed the following complaints: A patent infringement complaint against Micron, MSP, and MTEC in E.D. Tex. alleging that seven patents are infringed by certain of our 3D NAND products and one patent is infringed by certain of our LPDRAM products; a patent infringement complaint in the London Chancery Division of the English High Court against Micron and Micron Europe Limited (“MEL”) alleging that three patents are infringed by certain of our NAND and DRAM products; three complaints against Micron and various combinations of subsidiaries including MEL, MSP, MSG, and Micron Semiconductor France SAS in the Unified Patent Court in Dusseldorf, Germany, alleging that three patents are infringed by certain of our 3D NAND and LPDRAM products; and five complaints against Micron, MEL, and MSG in Munich Regional Court in Munich, Germany, alleging that five patents are infringed by certain of our 3D NAND products. Each of the complaints filed against us by YMTC on October 6, 2025, seeks an injunction, attorneys’ fees, damages, and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16, 2024, Palisade Technologies, LLP filed a patent infringement lawsuit against Micron and MSP in W.D. Tex. The complaint alleges that five U.S. patents are infringed by certain of our DRAM, NAND, 3D NAND, and SSD products. The complaint seeks an injunction, damages, attorneys’ fees, and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June 30, 2025, Advanced Memory Technologies, LLC (“AMT”) filed a patent infringement lawsuit against Micron in W.D. Tex. alleging that four U.S. Patents are infringed by certain of our DRAM and NAND products. On November 4, 2025, AMT amended the complaint to allege that a fifth patent is infringed by certain of our DRAM products. The complaint seeks an injunction, damages, attorneys’ fees, and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above lawsuits pertain to substantially all of our DRAM, NAND, and other memory and storage products we manufacture, which account for substantially all of our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33"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17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17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Securities Class Action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January 9, 2025, a putative class action complaint was filed against Micron and certain individual officers in the U.S. District Court for the Southern District of Florida for alleged violations of the Securities Exchange Act of 1934. On April 3, 2025, the case was transferred to the United States District Court for the District of Idaho (“D. Idaho”), and on May 23, 2025, an amended complaint was filed in D. Idaho. The amended complaint alleges defendants made materially false or misleading statements during a putative class period from March 29, 2023 to December 18, 2024, regarding industry supply and demand dynamics and the demand for Micron's products. The amended complaint seeks unspecified compensatory damages, attorneys’ fees and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Shareholder Derivative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20, 2025, a shareholder derivative complaint was filed by a purported shareholder against certain individual directors and officers of Micron, allegedly on behalf of and for the benefit of Micron, in D. Idaho. On February 21, 2025, a similar derivative complaint was filed by another purported shareholder in the same court against certain individual directors and officers of Micron. The complaints allege violations of the Securities Exchange Act of 1934, breach of fiduciary duty, unjust enrichment, insider trading, abuse of control, and waste of corporate assets. The complaints are based on substantially the same allegedly false or misleading statements asserted in the securities putative class action. The complaints seek various unspecified damages allegedly suffered by Micron, restitution, attorneys’ fees and costs and other relief. On April 28, 2025, the complaints were consolidated and on May 14, 2025, the action was stayed until the earlier of the issuance of a final decision on all motions to dismiss the securities putative class action matter or a final resolution of the putative class action matter.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September 8, 2025, a shareholder derivative complaint was filed by a purported shareholder against certain individual directors and officers of Micron, allegedly on behalf of and for the benefit of Micron, in the United States District Court for the District of Delaware. The complaint is substantially similar to the derivative suits pending in D. Idaho. The action is stayed until the earlier of the issuance of a final decision on all motions to dismiss the securities putative class action matter or a final resolution of the putative class action matter.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Other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June 7, 2025, YMTC filed a complaint against Micron and DCI Group AZ, LLC in the U.S. District Court for the District of Columbia. The complaint alleges that the defendants engaged in false advertising, product disparagement, and unfair competition regarding YMTC’s 3D NAND flash products in violation of the Lanham Act. The complaint seeks injunctive relief, damages, disgorgement of profits, attorneys’ fees, and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Contingency Assessment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We ar</w:t>
      </w:r>
      <w:r>
        <w:rPr>
          <w:rFonts w:ascii="Arial;sans-serif" w:hAnsi="Arial;sans-serif"/>
          <w:b w:val="false"/>
          <w:color w:val="000000"/>
          <w:sz w:val="20"/>
        </w:rPr>
        <w:t>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7495"/>
                <wp:effectExtent l="0" t="0" r="0" b="0"/>
                <wp:wrapNone/>
                <wp:docPr id="34" name="Frame1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3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9" descr=""/>
                                          <pic:cNvPicPr>
                                            <a:picLocks noChangeAspect="1" noChangeArrowheads="1"/>
                                          </pic:cNvPicPr>
                                        </pic:nvPicPr>
                                        <pic:blipFill>
                                          <a:blip r:embed="rId18"/>
                                          <a:stretch>
                                            <a:fillRect/>
                                          </a:stretch>
                                        </pic:blipFill>
                                        <pic:spPr bwMode="auto">
                                          <a:xfrm>
                                            <a:off x="0" y="0"/>
                                            <a:ext cx="866775" cy="180975"/>
                                          </a:xfrm>
                                          <a:prstGeom prst="rect">
                                            <a:avLst/>
                                          </a:prstGeom>
                                        </pic:spPr>
                                      </pic:pic>
                                    </a:graphicData>
                                  </a:graphic>
                                </wp:inline>
                              </w:drawing>
                            </w:r>
                            <w:bookmarkStart w:id="16" w:name="i-9"/>
                            <w:bookmarkEnd w:id="16"/>
                            <w:r>
                              <w:rPr>
                                <w:color w:val="000000"/>
                              </w:rPr>
                              <w:t xml:space="preserve"> </w:t>
                            </w:r>
                            <w:r>
                              <w:rPr>
                                <w:rFonts w:ascii="Arial;sans-serif" w:hAnsi="Arial;sans-serif"/>
                                <w:b/>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3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9" descr=""/>
                                    <pic:cNvPicPr>
                                      <a:picLocks noChangeAspect="1" noChangeArrowheads="1"/>
                                    </pic:cNvPicPr>
                                  </pic:nvPicPr>
                                  <pic:blipFill>
                                    <a:blip r:embed="rId19"/>
                                    <a:stretch>
                                      <a:fillRect/>
                                    </a:stretch>
                                  </pic:blipFill>
                                  <pic:spPr bwMode="auto">
                                    <a:xfrm>
                                      <a:off x="0" y="0"/>
                                      <a:ext cx="866775" cy="180975"/>
                                    </a:xfrm>
                                    <a:prstGeom prst="rect">
                                      <a:avLst/>
                                    </a:prstGeom>
                                  </pic:spPr>
                                </pic:pic>
                              </a:graphicData>
                            </a:graphic>
                          </wp:inline>
                        </w:drawing>
                      </w:r>
                      <w:bookmarkStart w:id="17" w:name="i-9"/>
                      <w:bookmarkEnd w:id="17"/>
                      <w:r>
                        <w:rPr>
                          <w:color w:val="000000"/>
                        </w:rPr>
                        <w:t xml:space="preserve"> </w:t>
                      </w:r>
                      <w:r>
                        <w:rPr>
                          <w:rFonts w:ascii="Arial;sans-serif" w:hAnsi="Arial;sans-serif"/>
                          <w:b/>
                          <w:color w:val="000000"/>
                          <w:sz w:val="18"/>
                        </w:rPr>
                        <w:t>18</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12.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Common Stock Repurchases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In the first quarter of 2026, we repurchased 1.3 million shares of our common stock for $300 million. Through November 27, 2025, we had repurchased an aggregate of $7.49 billion under the authorization. Amounts repurchased are included in treasury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Dividends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first quarter of 2026, we declared and paid dividends of $0.115 per share. On December 17, 2025, our Board of Directors declared a quarterly dividend of $0.115 per share, payable in cash on January 14, 2026, to shareholders of record as of the close of business on December 29,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Accumulated Other Comprehensive Income (Loss)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accumulated other comprehensive income (loss) by component for the three months ended November 27, 2025 were as follows:</w:t>
      </w:r>
    </w:p>
    <w:tbl>
      <w:tblPr>
        <w:tblW w:w="10205" w:type="dxa"/>
        <w:jc w:val="left"/>
        <w:tblInd w:w="0" w:type="dxa"/>
        <w:tblLayout w:type="fixed"/>
        <w:tblCellMar>
          <w:top w:w="28" w:type="dxa"/>
          <w:left w:w="28" w:type="dxa"/>
          <w:bottom w:w="28" w:type="dxa"/>
          <w:right w:w="28" w:type="dxa"/>
        </w:tblCellMar>
      </w:tblPr>
      <w:tblGrid>
        <w:gridCol w:w="991"/>
        <w:gridCol w:w="723"/>
        <w:gridCol w:w="726"/>
        <w:gridCol w:w="453"/>
        <w:gridCol w:w="1012"/>
        <w:gridCol w:w="255"/>
        <w:gridCol w:w="610"/>
        <w:gridCol w:w="798"/>
        <w:gridCol w:w="341"/>
        <w:gridCol w:w="464"/>
        <w:gridCol w:w="784"/>
        <w:gridCol w:w="259"/>
        <w:gridCol w:w="690"/>
        <w:gridCol w:w="901"/>
        <w:gridCol w:w="387"/>
        <w:gridCol w:w="196"/>
        <w:gridCol w:w="453"/>
        <w:gridCol w:w="162"/>
      </w:tblGrid>
      <w:tr>
        <w:trPr/>
        <w:tc>
          <w:tcPr>
            <w:tcW w:w="99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Gains (Losses) on Derivative Instruments</w:t>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Unrealized Gains (Losses) on Investments</w:t>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Pension Liability Adjustments</w:t>
            </w:r>
          </w:p>
        </w:tc>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Cumulative Foreign Currency Translation Adjustment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 August 28, 2025</w:t>
            </w:r>
          </w:p>
        </w:tc>
        <w:tc>
          <w:tcPr>
            <w:tcW w:w="453"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w:t>
            </w:r>
          </w:p>
        </w:tc>
        <w:tc>
          <w:tcPr>
            <w:tcW w:w="2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w:t>
            </w:r>
          </w:p>
        </w:tc>
        <w:tc>
          <w:tcPr>
            <w:tcW w:w="3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25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38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 before reclassifications</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Amount reclassified out of accumulated other comprehensive income (loss)</w:t>
            </w:r>
          </w:p>
        </w:tc>
        <w:tc>
          <w:tcPr>
            <w:tcW w:w="146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25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16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Tax effects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465"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w:t>
            </w:r>
          </w:p>
        </w:tc>
        <w:tc>
          <w:tcPr>
            <w:tcW w:w="255"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341"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w:t>
            </w:r>
          </w:p>
        </w:tc>
        <w:tc>
          <w:tcPr>
            <w:tcW w:w="162"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 November 27, 2025</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13.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estimated fair values and carrying values of our outstanding debt instruments were as follows:</w:t>
      </w:r>
    </w:p>
    <w:tbl>
      <w:tblPr>
        <w:tblW w:w="6487" w:type="dxa"/>
        <w:jc w:val="left"/>
        <w:tblInd w:w="0" w:type="dxa"/>
        <w:tblLayout w:type="fixed"/>
        <w:tblCellMar>
          <w:top w:w="28" w:type="dxa"/>
          <w:left w:w="28" w:type="dxa"/>
          <w:bottom w:w="28" w:type="dxa"/>
          <w:right w:w="28" w:type="dxa"/>
        </w:tblCellMar>
      </w:tblPr>
      <w:tblGrid>
        <w:gridCol w:w="788"/>
        <w:gridCol w:w="692"/>
        <w:gridCol w:w="695"/>
        <w:gridCol w:w="232"/>
        <w:gridCol w:w="658"/>
        <w:gridCol w:w="129"/>
        <w:gridCol w:w="232"/>
        <w:gridCol w:w="658"/>
        <w:gridCol w:w="129"/>
        <w:gridCol w:w="109"/>
        <w:gridCol w:w="109"/>
        <w:gridCol w:w="109"/>
        <w:gridCol w:w="196"/>
        <w:gridCol w:w="646"/>
        <w:gridCol w:w="109"/>
        <w:gridCol w:w="196"/>
        <w:gridCol w:w="64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November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August 28, 2025</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Fair</w:t>
              <w:br/>
              <w:t>Value</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Fair</w:t>
              <w:br/>
              <w:t>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Carrying</w:t>
              <w:br/>
              <w:t>Value</w:t>
            </w:r>
          </w:p>
        </w:tc>
      </w:tr>
      <w:tr>
        <w:trPr/>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Notes payable and term loan</w:t>
            </w:r>
          </w:p>
        </w:tc>
        <w:tc>
          <w:tcPr>
            <w:tcW w:w="23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8,887 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8,844 </w:t>
            </w:r>
          </w:p>
        </w:tc>
        <w:tc>
          <w:tcPr>
            <w:tcW w:w="12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11,533 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values of our debt instruments were estimated based on Level 2 inputs, including the trading price of our notes when available, discounted cash flows, and interest rates based on similar debt issued by parties with credit ratings similar to ours.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37"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19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19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14. Derivative Instruments</w:t>
      </w:r>
    </w:p>
    <w:tbl>
      <w:tblPr>
        <w:tblW w:w="8848" w:type="dxa"/>
        <w:jc w:val="left"/>
        <w:tblInd w:w="0" w:type="dxa"/>
        <w:tblLayout w:type="fixed"/>
        <w:tblCellMar>
          <w:top w:w="28" w:type="dxa"/>
          <w:left w:w="28" w:type="dxa"/>
          <w:bottom w:w="28" w:type="dxa"/>
          <w:right w:w="28" w:type="dxa"/>
        </w:tblCellMar>
      </w:tblPr>
      <w:tblGrid>
        <w:gridCol w:w="1598"/>
        <w:gridCol w:w="1401"/>
        <w:gridCol w:w="1410"/>
        <w:gridCol w:w="599"/>
        <w:gridCol w:w="1705"/>
        <w:gridCol w:w="336"/>
        <w:gridCol w:w="235"/>
        <w:gridCol w:w="397"/>
        <w:gridCol w:w="132"/>
        <w:gridCol w:w="202"/>
        <w:gridCol w:w="512"/>
        <w:gridCol w:w="321"/>
      </w:tblGrid>
      <w:tr>
        <w:trPr/>
        <w:tc>
          <w:tcPr>
            <w:tcW w:w="159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4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Notional or Contractual Amount</w:t>
            </w:r>
          </w:p>
        </w:tc>
        <w:tc>
          <w:tcPr>
            <w:tcW w:w="1799"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Fair Value</w:t>
            </w:r>
            <w:r>
              <w:rPr>
                <w:rFonts w:ascii="Arial Narrow;sans-serif" w:hAnsi="Arial Narrow;sans-serif"/>
                <w:b/>
                <w:color w:val="000000"/>
                <w:sz w:val="13"/>
              </w:rPr>
              <w:t>(1)</w:t>
            </w:r>
            <w:r>
              <w:rPr>
                <w:color w:val="000000"/>
              </w:rPr>
              <w:t xml:space="preserve"> </w:t>
            </w:r>
            <w:r>
              <w:rPr>
                <w:rFonts w:ascii="Arial Narrow;sans-serif" w:hAnsi="Arial Narrow;sans-serif"/>
                <w:b/>
                <w:color w:val="000000"/>
                <w:sz w:val="20"/>
              </w:rPr>
              <w:t>of</w:t>
            </w:r>
          </w:p>
        </w:tc>
      </w:tr>
      <w:tr>
        <w:trPr/>
        <w:tc>
          <w:tcPr>
            <w:tcW w:w="4409" w:type="dxa"/>
            <w:gridSpan w:val="3"/>
            <w:vMerge w:val="continue"/>
            <w:tcBorders/>
            <w:tcMar>
              <w:top w:w="0" w:type="dxa"/>
              <w:left w:w="0" w:type="dxa"/>
              <w:bottom w:w="0" w:type="dxa"/>
              <w:right w:w="0" w:type="dxa"/>
            </w:tcMar>
            <w:vAlign w:val="center"/>
          </w:tcPr>
          <w:p>
            <w:pPr>
              <w:pStyle w:val="Normal"/>
              <w:bidi w:val="0"/>
              <w:jc w:val="left"/>
              <w:rPr/>
            </w:pPr>
            <w:r>
              <w:rPr/>
            </w:r>
          </w:p>
        </w:tc>
        <w:tc>
          <w:tcPr>
            <w:tcW w:w="2640" w:type="dxa"/>
            <w:gridSpan w:val="3"/>
            <w:vMerge w:val="continue"/>
            <w:tcBorders/>
            <w:tcMar>
              <w:top w:w="0" w:type="dxa"/>
              <w:left w:w="0" w:type="dxa"/>
              <w:bottom w:w="0" w:type="dxa"/>
              <w:right w:w="0" w:type="dxa"/>
            </w:tcMar>
            <w:vAlign w:val="center"/>
          </w:tcPr>
          <w:p>
            <w:pPr>
              <w:pStyle w:val="Normal"/>
              <w:bidi w:val="0"/>
              <w:jc w:val="left"/>
              <w:rPr/>
            </w:pPr>
            <w:r>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Assets</w:t>
            </w:r>
            <w:r>
              <w:rPr>
                <w:rFonts w:ascii="Arial Narrow;sans-serif" w:hAnsi="Arial Narrow;sans-serif"/>
                <w:b/>
                <w:color w:val="000000"/>
                <w:sz w:val="13"/>
              </w:rPr>
              <w:t>(2)</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Liabilities</w:t>
            </w:r>
            <w:r>
              <w:rPr>
                <w:rFonts w:ascii="Arial Narrow;sans-serif" w:hAnsi="Arial Narrow;sans-serif"/>
                <w:b/>
                <w:color w:val="000000"/>
                <w:sz w:val="13"/>
              </w:rPr>
              <w:t>(3)</w:t>
            </w:r>
          </w:p>
        </w:tc>
      </w:tr>
      <w:tr>
        <w:trPr/>
        <w:tc>
          <w:tcPr>
            <w:tcW w:w="4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 November 27, 2025</w:t>
            </w:r>
          </w:p>
        </w:tc>
        <w:tc>
          <w:tcPr>
            <w:tcW w:w="26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Derivative instruments with hedge accounting designation</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 Narrow;sans-serif" w:hAnsi="Arial Narrow;sans-serif"/>
                <w:b w:val="false"/>
                <w:color w:val="000000"/>
                <w:sz w:val="20"/>
              </w:rPr>
            </w:pPr>
            <w:r>
              <w:rPr>
                <w:rFonts w:ascii="Arial Narrow;sans-serif" w:hAnsi="Arial Narrow;sans-serif"/>
                <w:b w:val="false"/>
                <w:color w:val="000000"/>
                <w:sz w:val="20"/>
              </w:rPr>
              <w:t>Cash flow currency hedges</w:t>
            </w:r>
          </w:p>
        </w:tc>
        <w:tc>
          <w:tcPr>
            <w:tcW w:w="59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0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3,200 </w:t>
            </w:r>
          </w:p>
        </w:tc>
        <w:tc>
          <w:tcPr>
            <w:tcW w:w="33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9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3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w:t>
            </w:r>
          </w:p>
        </w:tc>
        <w:tc>
          <w:tcPr>
            <w:tcW w:w="321" w:type="dxa"/>
            <w:tcBorders/>
            <w:shd w:fill="D1D2D4"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flow commodity hedges</w:t>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 Narrow;sans-serif" w:hAnsi="Arial Narrow;sans-serif"/>
                <w:b w:val="false"/>
                <w:color w:val="000000"/>
                <w:sz w:val="20"/>
              </w:rPr>
            </w:pPr>
            <w:r>
              <w:rPr>
                <w:rFonts w:ascii="Arial Narrow;sans-serif" w:hAnsi="Arial Narrow;sans-serif"/>
                <w:b w:val="false"/>
                <w:color w:val="000000"/>
                <w:sz w:val="20"/>
              </w:rPr>
              <w:t>Fair value currency hedges</w:t>
            </w:r>
          </w:p>
        </w:tc>
        <w:tc>
          <w:tcPr>
            <w:tcW w:w="23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1,654 </w:t>
            </w:r>
          </w:p>
        </w:tc>
        <w:tc>
          <w:tcPr>
            <w:tcW w:w="33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3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32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Derivative instruments without hedge accounting designation</w:t>
            </w:r>
          </w:p>
        </w:tc>
        <w:tc>
          <w:tcPr>
            <w:tcW w:w="26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 Narrow;sans-serif" w:hAnsi="Arial Narrow;sans-serif"/>
                <w:b w:val="false"/>
                <w:color w:val="000000"/>
                <w:sz w:val="20"/>
              </w:rPr>
            </w:pPr>
            <w:r>
              <w:rPr>
                <w:rFonts w:ascii="Arial Narrow;sans-serif" w:hAnsi="Arial Narrow;sans-serif"/>
                <w:b w:val="false"/>
                <w:color w:val="000000"/>
                <w:sz w:val="20"/>
              </w:rPr>
              <w:t>Non-designated currency hedges</w:t>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4,953 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97"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29 </w:t>
            </w:r>
          </w:p>
        </w:tc>
        <w:tc>
          <w:tcPr>
            <w:tcW w:w="132"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2"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w:t>
            </w:r>
          </w:p>
        </w:tc>
        <w:tc>
          <w:tcPr>
            <w:tcW w:w="321"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 of August 28, 2025</w:t>
            </w:r>
          </w:p>
        </w:tc>
        <w:tc>
          <w:tcPr>
            <w:tcW w:w="26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Derivative instruments with hedge accounting designation</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 Narrow;sans-serif" w:hAnsi="Arial Narrow;sans-serif"/>
                <w:b w:val="false"/>
                <w:color w:val="000000"/>
                <w:sz w:val="20"/>
              </w:rPr>
            </w:pPr>
            <w:r>
              <w:rPr>
                <w:rFonts w:ascii="Arial Narrow;sans-serif" w:hAnsi="Arial Narrow;sans-serif"/>
                <w:b w:val="false"/>
                <w:color w:val="000000"/>
                <w:sz w:val="20"/>
              </w:rPr>
              <w:t>Cash flow currency hedges</w:t>
            </w:r>
          </w:p>
        </w:tc>
        <w:tc>
          <w:tcPr>
            <w:tcW w:w="59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0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3,271 </w:t>
            </w:r>
          </w:p>
        </w:tc>
        <w:tc>
          <w:tcPr>
            <w:tcW w:w="33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97"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3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w:t>
            </w:r>
          </w:p>
        </w:tc>
        <w:tc>
          <w:tcPr>
            <w:tcW w:w="321" w:type="dxa"/>
            <w:tcBorders/>
            <w:shd w:fill="D1D2D4"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flow commodity hedges</w:t>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Fair value currency hedges</w:t>
            </w:r>
          </w:p>
        </w:tc>
        <w:tc>
          <w:tcPr>
            <w:tcW w:w="230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3,049 </w:t>
            </w:r>
          </w:p>
        </w:tc>
        <w:tc>
          <w:tcPr>
            <w:tcW w:w="33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3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w:t>
            </w:r>
          </w:p>
        </w:tc>
        <w:tc>
          <w:tcPr>
            <w:tcW w:w="32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Derivative instruments without hedge accounting designation</w:t>
            </w:r>
          </w:p>
        </w:tc>
        <w:tc>
          <w:tcPr>
            <w:tcW w:w="26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 Narrow;sans-serif" w:hAnsi="Arial Narrow;sans-serif"/>
                <w:b w:val="false"/>
                <w:color w:val="000000"/>
                <w:sz w:val="20"/>
              </w:rPr>
            </w:pPr>
            <w:r>
              <w:rPr>
                <w:rFonts w:ascii="Arial Narrow;sans-serif" w:hAnsi="Arial Narrow;sans-serif"/>
                <w:b w:val="false"/>
                <w:color w:val="000000"/>
                <w:sz w:val="20"/>
              </w:rPr>
              <w:t>Non-designated currency hedges</w:t>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97"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132"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2"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w:t>
            </w:r>
          </w:p>
        </w:tc>
        <w:tc>
          <w:tcPr>
            <w:tcW w:w="321"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i/>
          <w:color w:val="000000"/>
          <w:sz w:val="13"/>
        </w:rPr>
        <w:t>(1)</w:t>
      </w:r>
      <w:r>
        <w:rPr>
          <w:rFonts w:ascii="Arial;sans-serif" w:hAnsi="Arial;sans-serif"/>
          <w:b w:val="false"/>
          <w:i/>
          <w:color w:val="000000"/>
          <w:sz w:val="20"/>
        </w:rPr>
        <w:t xml:space="preserve">Forward and swap contracts are measured at fair value based on market-based observable inputs including market spot and forward rates, interest rates, and credit-risk spreads (Level 2). </w:t>
      </w:r>
    </w:p>
    <w:p>
      <w:pPr>
        <w:pStyle w:val="TextBody"/>
        <w:bidi w:val="0"/>
        <w:spacing w:lineRule="auto" w:line="288" w:before="0" w:after="0"/>
        <w:ind w:left="0" w:right="0" w:hanging="270"/>
        <w:jc w:val="left"/>
        <w:rPr/>
      </w:pPr>
      <w:r>
        <w:rPr>
          <w:rFonts w:ascii="Arial;sans-serif" w:hAnsi="Arial;sans-serif"/>
          <w:b w:val="false"/>
          <w:i/>
          <w:color w:val="000000"/>
          <w:sz w:val="13"/>
        </w:rPr>
        <w:t>(2)</w:t>
      </w:r>
      <w:r>
        <w:rPr>
          <w:rFonts w:ascii="Arial;sans-serif" w:hAnsi="Arial;sans-serif"/>
          <w:b w:val="false"/>
          <w:i/>
          <w:color w:val="000000"/>
          <w:sz w:val="20"/>
        </w:rPr>
        <w:t>Included in receivables and other noncurrent assets.</w:t>
      </w:r>
    </w:p>
    <w:p>
      <w:pPr>
        <w:pStyle w:val="TextBody"/>
        <w:bidi w:val="0"/>
        <w:spacing w:lineRule="auto" w:line="288" w:before="0" w:after="0"/>
        <w:ind w:left="0" w:right="0" w:hanging="270"/>
        <w:jc w:val="left"/>
        <w:rPr/>
      </w:pPr>
      <w:r>
        <w:rPr>
          <w:rFonts w:ascii="Arial;sans-serif" w:hAnsi="Arial;sans-serif"/>
          <w:b w:val="false"/>
          <w:i/>
          <w:color w:val="000000"/>
          <w:sz w:val="13"/>
        </w:rPr>
        <w:t>(3)</w:t>
      </w:r>
      <w:r>
        <w:rPr>
          <w:rFonts w:ascii="Arial;sans-serif" w:hAnsi="Arial;sans-serif"/>
          <w:b w:val="false"/>
          <w:i/>
          <w:color w:val="000000"/>
          <w:sz w:val="20"/>
        </w:rPr>
        <w:t>Included in accounts payable and accrued expenses and other noncurrent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Derivative Instruments with Hedge Accounting Designation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Cash Flow Hedges:</w:t>
      </w:r>
      <w:r>
        <w:rPr>
          <w:color w:val="000000"/>
        </w:rPr>
        <w:t xml:space="preserve"> </w:t>
      </w:r>
      <w:r>
        <w:rPr>
          <w:rFonts w:ascii="Arial;sans-serif" w:hAnsi="Arial;sans-serif"/>
          <w:b w:val="false"/>
          <w:color w:val="000000"/>
          <w:sz w:val="20"/>
        </w:rPr>
        <w:t>We utilize forward contracts that generally mature within two years designated as cash flow hedges to minimize our exposure to changes in currency exchange rates or commodity prices for certain capital expenditures and manufacturing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effects of cash flow hedging activities were as follows:</w:t>
      </w:r>
    </w:p>
    <w:tbl>
      <w:tblPr>
        <w:tblW w:w="10205" w:type="dxa"/>
        <w:jc w:val="left"/>
        <w:tblInd w:w="0" w:type="dxa"/>
        <w:tblLayout w:type="fixed"/>
        <w:tblCellMar>
          <w:top w:w="28" w:type="dxa"/>
          <w:left w:w="28" w:type="dxa"/>
          <w:bottom w:w="28" w:type="dxa"/>
          <w:right w:w="28" w:type="dxa"/>
        </w:tblCellMar>
      </w:tblPr>
      <w:tblGrid>
        <w:gridCol w:w="2870"/>
        <w:gridCol w:w="2495"/>
        <w:gridCol w:w="2507"/>
        <w:gridCol w:w="302"/>
        <w:gridCol w:w="672"/>
        <w:gridCol w:w="168"/>
        <w:gridCol w:w="295"/>
        <w:gridCol w:w="658"/>
        <w:gridCol w:w="238"/>
      </w:tblGrid>
      <w:tr>
        <w:trPr/>
        <w:tc>
          <w:tcPr>
            <w:tcW w:w="287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7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7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from cash flow hedges in accumulated other comprehensive income (loss)</w:t>
            </w:r>
          </w:p>
        </w:tc>
        <w:tc>
          <w:tcPr>
            <w:tcW w:w="30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w:t>
            </w:r>
          </w:p>
        </w:tc>
        <w:tc>
          <w:tcPr>
            <w:tcW w:w="16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w:t>
            </w:r>
          </w:p>
        </w:tc>
        <w:tc>
          <w:tcPr>
            <w:tcW w:w="2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excluded from effectiveness testing in cost of goods sold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reclassified from accumulated other comprehensive income (loss) to earnings, primarily to cost of goods sold</w:t>
            </w:r>
          </w:p>
        </w:tc>
        <w:tc>
          <w:tcPr>
            <w:tcW w:w="974"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6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w:t>
            </w:r>
          </w:p>
        </w:tc>
        <w:tc>
          <w:tcPr>
            <w:tcW w:w="23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November 27, 2025, we expect to reclassify $40 million of pre-tax losses related to cash flow hedges from accumulated other comprehensive income (loss) into earnings in the next 12 months.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i/>
          <w:color w:val="000000"/>
          <w:sz w:val="20"/>
        </w:rPr>
        <w:t>Fair Value Hedges:</w:t>
      </w:r>
      <w:r>
        <w:rPr>
          <w:color w:val="000000"/>
        </w:rPr>
        <w:t xml:space="preserve"> </w:t>
      </w:r>
      <w:r>
        <w:rPr>
          <w:rFonts w:ascii="Arial;sans-serif" w:hAnsi="Arial;sans-serif"/>
          <w:b w:val="false"/>
          <w:color w:val="000000"/>
          <w:sz w:val="20"/>
        </w:rPr>
        <w:t xml:space="preserve">We utilize currency forward contracts that generally mature within one year designated as fair value hedges to minimize our exposure to changes in currency exchange rates for non-U.S.-dollar-denominated cash and investments in debt securities. The fair value of our hedged cash and investments in debt securities was $1.66 billion as of November 27, 2025. The changes in the fair values of derivatives designated as fair value hedges and the offsetting changes in the underlying fair values of the hedged items are both recognized in earnings.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7495"/>
                <wp:effectExtent l="0" t="0" r="0" b="0"/>
                <wp:wrapNone/>
                <wp:docPr id="38" name="Frame2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3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0" descr=""/>
                                          <pic:cNvPicPr>
                                            <a:picLocks noChangeAspect="1" noChangeArrowheads="1"/>
                                          </pic:cNvPicPr>
                                        </pic:nvPicPr>
                                        <pic:blipFill>
                                          <a:blip r:embed="rId20"/>
                                          <a:stretch>
                                            <a:fillRect/>
                                          </a:stretch>
                                        </pic:blipFill>
                                        <pic:spPr bwMode="auto">
                                          <a:xfrm>
                                            <a:off x="0" y="0"/>
                                            <a:ext cx="866775" cy="180975"/>
                                          </a:xfrm>
                                          <a:prstGeom prst="rect">
                                            <a:avLst/>
                                          </a:prstGeom>
                                        </pic:spPr>
                                      </pic:pic>
                                    </a:graphicData>
                                  </a:graphic>
                                </wp:inline>
                              </w:drawing>
                            </w:r>
                            <w:bookmarkStart w:id="18" w:name="i-10"/>
                            <w:bookmarkEnd w:id="18"/>
                            <w:r>
                              <w:rPr>
                                <w:color w:val="000000"/>
                              </w:rPr>
                              <w:t xml:space="preserve"> </w:t>
                            </w:r>
                            <w:r>
                              <w:rPr>
                                <w:rFonts w:ascii="Arial;sans-serif" w:hAnsi="Arial;sans-serif"/>
                                <w:b/>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4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0" descr=""/>
                                    <pic:cNvPicPr>
                                      <a:picLocks noChangeAspect="1" noChangeArrowheads="1"/>
                                    </pic:cNvPicPr>
                                  </pic:nvPicPr>
                                  <pic:blipFill>
                                    <a:blip r:embed="rId21"/>
                                    <a:stretch>
                                      <a:fillRect/>
                                    </a:stretch>
                                  </pic:blipFill>
                                  <pic:spPr bwMode="auto">
                                    <a:xfrm>
                                      <a:off x="0" y="0"/>
                                      <a:ext cx="866775" cy="180975"/>
                                    </a:xfrm>
                                    <a:prstGeom prst="rect">
                                      <a:avLst/>
                                    </a:prstGeom>
                                  </pic:spPr>
                                </pic:pic>
                              </a:graphicData>
                            </a:graphic>
                          </wp:inline>
                        </w:drawing>
                      </w:r>
                      <w:bookmarkStart w:id="19" w:name="i-10"/>
                      <w:bookmarkEnd w:id="19"/>
                      <w:r>
                        <w:rPr>
                          <w:color w:val="000000"/>
                        </w:rPr>
                        <w:t xml:space="preserve"> </w:t>
                      </w:r>
                      <w:r>
                        <w:rPr>
                          <w:rFonts w:ascii="Arial;sans-serif" w:hAnsi="Arial;sans-serif"/>
                          <w:b/>
                          <w:color w:val="000000"/>
                          <w:sz w:val="18"/>
                        </w:rPr>
                        <w:t>20</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We recognized gains of $68 million and $96 million for the first quarters of 2026 and 2025, respectively, for changes in the fair values of our fair value currency hedges and offsetting losses of $66 million and $97 million for the first quarters of 2026 and 2025, respectively, for changes in the underlying fair values of the hedged items in other non-operating income (expense).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Derivative Instruments without Hedge Accounting Designation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Currency Derivatives:</w:t>
      </w:r>
      <w:r>
        <w:rPr>
          <w:color w:val="000000"/>
        </w:rPr>
        <w:t xml:space="preserve"> </w:t>
      </w:r>
      <w:r>
        <w:rPr>
          <w:rFonts w:ascii="Arial;sans-serif" w:hAnsi="Arial;sans-serif"/>
          <w:b w:val="false"/>
          <w:color w:val="000000"/>
          <w:sz w:val="20"/>
        </w:rPr>
        <w:t xml:space="preserve">We generally utilize a rolling hedge strategy with currency forward contracts that mature within three months to 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recognized losses of $76 million and $56 million for derivative instruments without hedge accounting designation for the first quarters of 2026 and 2025, respectively. We do not use derivative instruments for speculative purposes.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15. Equity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November 27, 2025, 48 million shares of our common stock were available for future awards under our equity compensation plans, including 7 million shares approved for issuance under our employee stock purchase plan (“ESPP”).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Restricted Stock and Restricted Stock Units (“Restricted Stock Awards”)</w:t>
      </w:r>
    </w:p>
    <w:p>
      <w:pPr>
        <w:pStyle w:val="TextBody"/>
        <w:bidi w:val="0"/>
        <w:spacing w:before="0" w:after="0"/>
        <w:jc w:val="left"/>
        <w:rPr/>
      </w:pPr>
      <w:r>
        <w:rPr/>
      </w:r>
    </w:p>
    <w:tbl>
      <w:tblPr>
        <w:tblW w:w="6045" w:type="dxa"/>
        <w:jc w:val="left"/>
        <w:tblInd w:w="0" w:type="dxa"/>
        <w:tblLayout w:type="fixed"/>
        <w:tblCellMar>
          <w:top w:w="28" w:type="dxa"/>
          <w:left w:w="28" w:type="dxa"/>
          <w:bottom w:w="28" w:type="dxa"/>
          <w:right w:w="28" w:type="dxa"/>
        </w:tblCellMar>
      </w:tblPr>
      <w:tblGrid>
        <w:gridCol w:w="1325"/>
        <w:gridCol w:w="1162"/>
        <w:gridCol w:w="1173"/>
        <w:gridCol w:w="241"/>
        <w:gridCol w:w="795"/>
        <w:gridCol w:w="134"/>
        <w:gridCol w:w="239"/>
        <w:gridCol w:w="788"/>
        <w:gridCol w:w="188"/>
      </w:tblGrid>
      <w:tr>
        <w:trPr/>
        <w:tc>
          <w:tcPr>
            <w:tcW w:w="132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3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Restricted stock award shares granted</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12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Weighted-average grant-date fair value per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Stock-based Compensation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Stock-based compensation expense recognized in our statements of operations is presented below. Stock-based compensation expense of $106 million and $96 million was capitalized and remained in inventory as of November 27, 2025 and August 28, 2025, respectively. </w:t>
      </w:r>
    </w:p>
    <w:p>
      <w:pPr>
        <w:pStyle w:val="TextBody"/>
        <w:bidi w:val="0"/>
        <w:spacing w:before="0" w:after="0"/>
        <w:jc w:val="left"/>
        <w:rPr/>
      </w:pPr>
      <w:r>
        <w:rPr/>
      </w:r>
    </w:p>
    <w:tbl>
      <w:tblPr>
        <w:tblW w:w="6299" w:type="dxa"/>
        <w:jc w:val="left"/>
        <w:tblInd w:w="0" w:type="dxa"/>
        <w:tblLayout w:type="fixed"/>
        <w:tblCellMar>
          <w:top w:w="28" w:type="dxa"/>
          <w:left w:w="28" w:type="dxa"/>
          <w:bottom w:w="28" w:type="dxa"/>
          <w:right w:w="28" w:type="dxa"/>
        </w:tblCellMar>
      </w:tblPr>
      <w:tblGrid>
        <w:gridCol w:w="1418"/>
        <w:gridCol w:w="1243"/>
        <w:gridCol w:w="1254"/>
        <w:gridCol w:w="315"/>
        <w:gridCol w:w="678"/>
        <w:gridCol w:w="176"/>
        <w:gridCol w:w="308"/>
        <w:gridCol w:w="663"/>
        <w:gridCol w:w="244"/>
      </w:tblGrid>
      <w:tr>
        <w:trPr/>
        <w:tc>
          <w:tcPr>
            <w:tcW w:w="141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3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 expense by caption</w:t>
            </w:r>
          </w:p>
        </w:tc>
        <w:tc>
          <w:tcPr>
            <w:tcW w:w="116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goods sold</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w:t>
            </w:r>
          </w:p>
        </w:tc>
        <w:tc>
          <w:tcPr>
            <w:tcW w:w="99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106 </w:t>
            </w:r>
          </w:p>
        </w:tc>
        <w:tc>
          <w:tcPr>
            <w:tcW w:w="1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24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280 </w:t>
            </w:r>
          </w:p>
        </w:tc>
        <w:tc>
          <w:tcPr>
            <w:tcW w:w="176"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3" w:type="dxa"/>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217 </w:t>
            </w:r>
          </w:p>
        </w:tc>
        <w:tc>
          <w:tcPr>
            <w:tcW w:w="24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 expense by type of award</w:t>
            </w:r>
          </w:p>
        </w:tc>
        <w:tc>
          <w:tcPr>
            <w:tcW w:w="116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Restricted stock awards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ESPP</w:t>
            </w:r>
          </w:p>
        </w:tc>
        <w:tc>
          <w:tcPr>
            <w:tcW w:w="99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28 </w:t>
            </w:r>
          </w:p>
        </w:tc>
        <w:tc>
          <w:tcPr>
            <w:tcW w:w="1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24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4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21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21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November 27, 2025, $2.57 billion of total unrecognized compensation costs for unvested awards, before the effect of any future forfeitures, was expected to be recognized through the first quarter of 2030, resulting in a weighted-average period of 1.4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16. Revenue and Customer Contract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Revenue by Technology</w:t>
      </w:r>
    </w:p>
    <w:p>
      <w:pPr>
        <w:pStyle w:val="TextBody"/>
        <w:bidi w:val="0"/>
        <w:spacing w:before="0" w:after="0"/>
        <w:jc w:val="left"/>
        <w:rPr/>
      </w:pPr>
      <w:r>
        <w:rPr/>
      </w:r>
    </w:p>
    <w:tbl>
      <w:tblPr>
        <w:tblW w:w="4139" w:type="dxa"/>
        <w:jc w:val="left"/>
        <w:tblInd w:w="0" w:type="dxa"/>
        <w:tblLayout w:type="fixed"/>
        <w:tblCellMar>
          <w:top w:w="28" w:type="dxa"/>
          <w:left w:w="28" w:type="dxa"/>
          <w:bottom w:w="28" w:type="dxa"/>
          <w:right w:w="28" w:type="dxa"/>
        </w:tblCellMar>
      </w:tblPr>
      <w:tblGrid>
        <w:gridCol w:w="635"/>
        <w:gridCol w:w="557"/>
        <w:gridCol w:w="562"/>
        <w:gridCol w:w="241"/>
        <w:gridCol w:w="795"/>
        <w:gridCol w:w="134"/>
        <w:gridCol w:w="262"/>
        <w:gridCol w:w="745"/>
        <w:gridCol w:w="208"/>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DRAM</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10,812 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6,400 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NAND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(primarily NOR)</w:t>
            </w:r>
          </w:p>
        </w:tc>
        <w:tc>
          <w:tcPr>
            <w:tcW w:w="10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88 </w:t>
            </w:r>
          </w:p>
        </w:tc>
        <w:tc>
          <w:tcPr>
            <w:tcW w:w="13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8,709 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See Item 1. Financial Statements, Notes to Consolidated Financial Statements, Note 20. Segment and Other Information for disclosure of disaggregated revenue by market segment.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November 27, 2025 and August 28, 2025, other current liabilities included $1.64 billion and $1.19 billion, respectively, for estimates of consideration payable to customers including estimates for pricing adjustments and returns.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17. Other Non-Operating Income (Expense), Net</w:t>
      </w:r>
    </w:p>
    <w:tbl>
      <w:tblPr>
        <w:tblW w:w="6253" w:type="dxa"/>
        <w:jc w:val="left"/>
        <w:tblInd w:w="0" w:type="dxa"/>
        <w:tblLayout w:type="fixed"/>
        <w:tblCellMar>
          <w:top w:w="28" w:type="dxa"/>
          <w:left w:w="28" w:type="dxa"/>
          <w:bottom w:w="28" w:type="dxa"/>
          <w:right w:w="28" w:type="dxa"/>
        </w:tblCellMar>
      </w:tblPr>
      <w:tblGrid>
        <w:gridCol w:w="1402"/>
        <w:gridCol w:w="1228"/>
        <w:gridCol w:w="1240"/>
        <w:gridCol w:w="309"/>
        <w:gridCol w:w="688"/>
        <w:gridCol w:w="172"/>
        <w:gridCol w:w="314"/>
        <w:gridCol w:w="652"/>
        <w:gridCol w:w="248"/>
      </w:tblGrid>
      <w:tr>
        <w:trPr/>
        <w:tc>
          <w:tcPr>
            <w:tcW w:w="140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3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on debt prepayments</w:t>
            </w:r>
          </w:p>
        </w:tc>
        <w:tc>
          <w:tcPr>
            <w:tcW w:w="30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w:t>
            </w:r>
          </w:p>
        </w:tc>
        <w:tc>
          <w:tcPr>
            <w:tcW w:w="17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Gain (loss) from changes in currency exchange rates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9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7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4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7495"/>
                <wp:effectExtent l="0" t="0" r="0" b="0"/>
                <wp:wrapNone/>
                <wp:docPr id="42" name="Frame2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4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1" descr=""/>
                                          <pic:cNvPicPr>
                                            <a:picLocks noChangeAspect="1" noChangeArrowheads="1"/>
                                          </pic:cNvPicPr>
                                        </pic:nvPicPr>
                                        <pic:blipFill>
                                          <a:blip r:embed="rId22"/>
                                          <a:stretch>
                                            <a:fillRect/>
                                          </a:stretch>
                                        </pic:blipFill>
                                        <pic:spPr bwMode="auto">
                                          <a:xfrm>
                                            <a:off x="0" y="0"/>
                                            <a:ext cx="866775" cy="180975"/>
                                          </a:xfrm>
                                          <a:prstGeom prst="rect">
                                            <a:avLst/>
                                          </a:prstGeom>
                                        </pic:spPr>
                                      </pic:pic>
                                    </a:graphicData>
                                  </a:graphic>
                                </wp:inline>
                              </w:drawing>
                            </w:r>
                            <w:bookmarkStart w:id="20" w:name="i-11"/>
                            <w:bookmarkEnd w:id="20"/>
                            <w:r>
                              <w:rPr>
                                <w:color w:val="000000"/>
                              </w:rPr>
                              <w:t xml:space="preserve"> </w:t>
                            </w:r>
                            <w:r>
                              <w:rPr>
                                <w:rFonts w:ascii="Arial;sans-serif" w:hAnsi="Arial;sans-serif"/>
                                <w:b/>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23"/>
                                    <a:stretch>
                                      <a:fillRect/>
                                    </a:stretch>
                                  </pic:blipFill>
                                  <pic:spPr bwMode="auto">
                                    <a:xfrm>
                                      <a:off x="0" y="0"/>
                                      <a:ext cx="866775" cy="180975"/>
                                    </a:xfrm>
                                    <a:prstGeom prst="rect">
                                      <a:avLst/>
                                    </a:prstGeom>
                                  </pic:spPr>
                                </pic:pic>
                              </a:graphicData>
                            </a:graphic>
                          </wp:inline>
                        </w:drawing>
                      </w:r>
                      <w:bookmarkStart w:id="21" w:name="i-11"/>
                      <w:bookmarkEnd w:id="21"/>
                      <w:r>
                        <w:rPr>
                          <w:color w:val="000000"/>
                        </w:rPr>
                        <w:t xml:space="preserve"> </w:t>
                      </w:r>
                      <w:r>
                        <w:rPr>
                          <w:rFonts w:ascii="Arial;sans-serif" w:hAnsi="Arial;sans-serif"/>
                          <w:b/>
                          <w:color w:val="000000"/>
                          <w:sz w:val="18"/>
                        </w:rPr>
                        <w:t>22</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18.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income tax (provision) benefit consisted of the following:</w:t>
      </w:r>
    </w:p>
    <w:tbl>
      <w:tblPr>
        <w:tblW w:w="4605" w:type="dxa"/>
        <w:jc w:val="left"/>
        <w:tblInd w:w="0" w:type="dxa"/>
        <w:tblLayout w:type="fixed"/>
        <w:tblCellMar>
          <w:top w:w="28" w:type="dxa"/>
          <w:left w:w="28" w:type="dxa"/>
          <w:bottom w:w="28" w:type="dxa"/>
          <w:right w:w="28" w:type="dxa"/>
        </w:tblCellMar>
      </w:tblPr>
      <w:tblGrid>
        <w:gridCol w:w="804"/>
        <w:gridCol w:w="705"/>
        <w:gridCol w:w="711"/>
        <w:gridCol w:w="231"/>
        <w:gridCol w:w="655"/>
        <w:gridCol w:w="284"/>
        <w:gridCol w:w="229"/>
        <w:gridCol w:w="651"/>
        <w:gridCol w:w="335"/>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2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23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6,061 </w:t>
            </w:r>
          </w:p>
        </w:tc>
        <w:tc>
          <w:tcPr>
            <w:tcW w:w="28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2,152 </w:t>
            </w:r>
          </w:p>
        </w:tc>
        <w:tc>
          <w:tcPr>
            <w:tcW w:w="33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(provision) benefit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Effective tax rate</w:t>
            </w:r>
          </w:p>
        </w:tc>
        <w:tc>
          <w:tcPr>
            <w:tcW w:w="88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13.7 </w:t>
            </w:r>
          </w:p>
        </w:tc>
        <w:tc>
          <w:tcPr>
            <w:tcW w:w="28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80"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13.2 </w:t>
            </w:r>
          </w:p>
        </w:tc>
        <w:tc>
          <w:tcPr>
            <w:tcW w:w="33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change in our effective tax rate for the first quarter of 2026 as compared to the first quarter of 2025 was primarily due to the 15% minimum tax Pillar Two Model Rules (“Pillar Two”). Singapore enacted legislation to implement Pillar Two, effective for us in 2026, which largely offsets the benefit from our Singapore tax incentive arrangements.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noncurrent liabilities included $1.16 billion and $648 million related to income taxes payable as of November 27, 2025 and August 28,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19. Earnings Per Share</w:t>
      </w:r>
    </w:p>
    <w:tbl>
      <w:tblPr>
        <w:tblW w:w="6554" w:type="dxa"/>
        <w:jc w:val="left"/>
        <w:tblInd w:w="0" w:type="dxa"/>
        <w:tblLayout w:type="fixed"/>
        <w:tblCellMar>
          <w:top w:w="28" w:type="dxa"/>
          <w:left w:w="28" w:type="dxa"/>
          <w:bottom w:w="28" w:type="dxa"/>
          <w:right w:w="28" w:type="dxa"/>
        </w:tblCellMar>
      </w:tblPr>
      <w:tblGrid>
        <w:gridCol w:w="1509"/>
        <w:gridCol w:w="1324"/>
        <w:gridCol w:w="1336"/>
        <w:gridCol w:w="266"/>
        <w:gridCol w:w="755"/>
        <w:gridCol w:w="149"/>
        <w:gridCol w:w="262"/>
        <w:gridCol w:w="745"/>
        <w:gridCol w:w="208"/>
      </w:tblGrid>
      <w:tr>
        <w:trPr/>
        <w:tc>
          <w:tcPr>
            <w:tcW w:w="15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4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 – Basic and Diluted</w:t>
            </w:r>
          </w:p>
        </w:tc>
        <w:tc>
          <w:tcPr>
            <w:tcW w:w="2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5,240 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Weighted-average common shares outstanding – Basic</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1,111 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20"/>
              </w:rPr>
            </w:pPr>
            <w:r>
              <w:rPr>
                <w:rFonts w:ascii="Arial Narrow;sans-serif" w:hAnsi="Arial Narrow;sans-serif"/>
                <w:b w:val="false"/>
                <w:color w:val="000000"/>
                <w:sz w:val="20"/>
              </w:rPr>
              <w:t>Dilutive effect of equity compensation plans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Weighted-average common shares outstanding – Diluted</w:t>
            </w:r>
          </w:p>
        </w:tc>
        <w:tc>
          <w:tcPr>
            <w:tcW w:w="102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1,138 </w:t>
            </w:r>
          </w:p>
        </w:tc>
        <w:tc>
          <w:tcPr>
            <w:tcW w:w="14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1,122 </w:t>
            </w:r>
          </w:p>
        </w:tc>
        <w:tc>
          <w:tcPr>
            <w:tcW w:w="208"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117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Antidilutive potential common shares excluded from the computation of diluted earnings per share, that could dilute basic earnings per share in the future, were not material for the first quarter of 2026 and 2 million shares for the first quarter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4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23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23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Note 20. Segment and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information reported herein is consistent with the way our Chief Executive Officer, who is our Chief Operating Decision Maker (“CODM”), assesses the performance of our segments based on segment revenue, cost of goods sold, operating expenses, and operating income. The segment information reported herein is regularly provided to and reviewed and evaluated by our CODM to budget, forecast, and decide how to allocate resources for capital investments, human capital, and other strategic investments across our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the following four business units, which are based on market segments and our reportable segments:</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i/>
          <w:color w:val="000000"/>
          <w:sz w:val="20"/>
        </w:rPr>
        <w:t xml:space="preserve">Cloud Memory Business Unit (“CMBU”): </w:t>
      </w:r>
      <w:r>
        <w:rPr>
          <w:rFonts w:ascii="Arial;sans-serif" w:hAnsi="Arial;sans-serif"/>
          <w:b w:val="false"/>
          <w:color w:val="000000"/>
          <w:sz w:val="20"/>
        </w:rPr>
        <w:t xml:space="preserve">Focused on memory solutions for large hyperscale cloud customers, and HBM for all data center customers. </w:t>
      </w:r>
    </w:p>
    <w:p>
      <w:pPr>
        <w:pStyle w:val="TextBody"/>
        <w:bidi w:val="0"/>
        <w:spacing w:lineRule="auto" w:line="288" w:before="0" w:after="60"/>
        <w:ind w:left="0" w:right="0" w:hanging="360"/>
        <w:jc w:val="left"/>
        <w:rPr/>
      </w:pPr>
      <w:r>
        <w:rPr>
          <w:color w:val="000000"/>
        </w:rPr>
        <w:t>•</w:t>
      </w:r>
      <w:r>
        <w:rPr>
          <w:rFonts w:ascii="Arial;sans-serif" w:hAnsi="Arial;sans-serif"/>
          <w:b/>
          <w:i/>
          <w:color w:val="000000"/>
          <w:sz w:val="20"/>
        </w:rPr>
        <w:t xml:space="preserve">Core Data Center Business Unit (“CDBU”): </w:t>
      </w:r>
      <w:r>
        <w:rPr>
          <w:rFonts w:ascii="Arial;sans-serif" w:hAnsi="Arial;sans-serif"/>
          <w:b w:val="false"/>
          <w:color w:val="000000"/>
          <w:sz w:val="20"/>
        </w:rPr>
        <w:t>Focused on memory solutions for mid-tier cloud, enterprise, and OEM data center customers and storage solutions for all data center customers.</w:t>
      </w:r>
    </w:p>
    <w:p>
      <w:pPr>
        <w:pStyle w:val="TextBody"/>
        <w:bidi w:val="0"/>
        <w:spacing w:lineRule="auto" w:line="288" w:before="0" w:after="60"/>
        <w:ind w:left="0" w:right="0" w:hanging="360"/>
        <w:jc w:val="left"/>
        <w:rPr/>
      </w:pPr>
      <w:r>
        <w:rPr>
          <w:color w:val="000000"/>
        </w:rPr>
        <w:t>•</w:t>
      </w:r>
      <w:r>
        <w:rPr>
          <w:rFonts w:ascii="Arial;sans-serif" w:hAnsi="Arial;sans-serif"/>
          <w:b/>
          <w:i/>
          <w:color w:val="000000"/>
          <w:sz w:val="20"/>
        </w:rPr>
        <w:t xml:space="preserve">Mobile and Client Business Unit (“MCBU”): </w:t>
      </w:r>
      <w:r>
        <w:rPr>
          <w:rFonts w:ascii="Arial;sans-serif" w:hAnsi="Arial;sans-serif"/>
          <w:b w:val="false"/>
          <w:color w:val="000000"/>
          <w:sz w:val="20"/>
        </w:rPr>
        <w:t>Focused on memory and storage solutions for the mobile and client segments.</w:t>
      </w:r>
    </w:p>
    <w:p>
      <w:pPr>
        <w:pStyle w:val="TextBody"/>
        <w:bidi w:val="0"/>
        <w:spacing w:lineRule="auto" w:line="288" w:before="0" w:after="60"/>
        <w:ind w:left="0" w:right="0" w:hanging="360"/>
        <w:jc w:val="left"/>
        <w:rPr/>
      </w:pPr>
      <w:r>
        <w:rPr>
          <w:color w:val="000000"/>
        </w:rPr>
        <w:t>•</w:t>
      </w:r>
      <w:r>
        <w:rPr>
          <w:rFonts w:ascii="Arial;sans-serif" w:hAnsi="Arial;sans-serif"/>
          <w:b/>
          <w:i/>
          <w:color w:val="000000"/>
          <w:sz w:val="20"/>
        </w:rPr>
        <w:t xml:space="preserve">Automotive and Embedded Business Unit (“AEBU”): </w:t>
      </w:r>
      <w:r>
        <w:rPr>
          <w:rFonts w:ascii="Arial;sans-serif" w:hAnsi="Arial;sans-serif"/>
          <w:b w:val="false"/>
          <w:color w:val="000000"/>
          <w:sz w:val="20"/>
        </w:rPr>
        <w:t>Focused on memory and storage solutions for the automotive, industrial, and consumer segments.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other operations do not meet the thresholds of a reportable segment and are reported under All Other. 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Certain income and expenses are not allocated to segments because our CODM does not consider these amounts in the assessment of the performance of our segments. The unallocated amounts primarily include stock-based compensation. We do not identify or report internally our assets (other than goodwill) or capital expenditures by segment, nor do we allocate gains and losses from equity method investments, interest, other non-operating income or expense items, or taxes to segments.</w:t>
      </w:r>
    </w:p>
    <w:p>
      <w:pPr>
        <w:pStyle w:val="TextBody"/>
        <w:bidi w:val="0"/>
        <w:spacing w:before="0" w:after="0"/>
        <w:jc w:val="left"/>
        <w:rPr/>
      </w:pPr>
      <w:r>
        <w:rPr/>
      </w:r>
    </w:p>
    <w:tbl>
      <w:tblPr>
        <w:tblW w:w="9570" w:type="dxa"/>
        <w:jc w:val="left"/>
        <w:tblInd w:w="0" w:type="dxa"/>
        <w:tblLayout w:type="fixed"/>
        <w:tblCellMar>
          <w:top w:w="28" w:type="dxa"/>
          <w:left w:w="28" w:type="dxa"/>
          <w:bottom w:w="28" w:type="dxa"/>
          <w:right w:w="28" w:type="dxa"/>
        </w:tblCellMar>
      </w:tblPr>
      <w:tblGrid>
        <w:gridCol w:w="1190"/>
        <w:gridCol w:w="1045"/>
        <w:gridCol w:w="1050"/>
        <w:gridCol w:w="196"/>
        <w:gridCol w:w="556"/>
        <w:gridCol w:w="109"/>
        <w:gridCol w:w="196"/>
        <w:gridCol w:w="556"/>
        <w:gridCol w:w="109"/>
        <w:gridCol w:w="196"/>
        <w:gridCol w:w="556"/>
        <w:gridCol w:w="109"/>
        <w:gridCol w:w="196"/>
        <w:gridCol w:w="556"/>
        <w:gridCol w:w="109"/>
        <w:gridCol w:w="285"/>
        <w:gridCol w:w="351"/>
        <w:gridCol w:w="158"/>
        <w:gridCol w:w="277"/>
        <w:gridCol w:w="618"/>
        <w:gridCol w:w="156"/>
        <w:gridCol w:w="196"/>
        <w:gridCol w:w="64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Three months ended November</w:t>
            </w:r>
            <w:r>
              <w:rPr>
                <w:color w:val="000000"/>
              </w:rPr>
              <w:t> </w:t>
            </w:r>
            <w:r>
              <w:rPr>
                <w:rFonts w:ascii="Arial Narrow;sans-serif" w:hAnsi="Arial Narrow;sans-serif"/>
                <w:b/>
                <w:color w:val="000000"/>
                <w:sz w:val="20"/>
              </w:rPr>
              <w:t>27, 2025</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CMBU</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CDBU</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MCBU</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AEBU</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All Other</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Unallocated</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5,284 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2,379 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5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13,643 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goods sold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3,467 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2,285 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778 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58"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w:t>
            </w:r>
          </w:p>
        </w:tc>
        <w:tc>
          <w:tcPr>
            <w:tcW w:w="156"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7,646 </w:t>
            </w:r>
          </w:p>
        </w:tc>
        <w:tc>
          <w:tcPr>
            <w:tcW w:w="15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1,171 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(income) expense, net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65" w:type="dxa"/>
        <w:jc w:val="left"/>
        <w:tblInd w:w="0" w:type="dxa"/>
        <w:tblLayout w:type="fixed"/>
        <w:tblCellMar>
          <w:top w:w="28" w:type="dxa"/>
          <w:left w:w="28" w:type="dxa"/>
          <w:bottom w:w="28" w:type="dxa"/>
          <w:right w:w="28" w:type="dxa"/>
        </w:tblCellMar>
      </w:tblPr>
      <w:tblGrid>
        <w:gridCol w:w="1185"/>
        <w:gridCol w:w="1039"/>
        <w:gridCol w:w="1045"/>
        <w:gridCol w:w="196"/>
        <w:gridCol w:w="556"/>
        <w:gridCol w:w="109"/>
        <w:gridCol w:w="196"/>
        <w:gridCol w:w="556"/>
        <w:gridCol w:w="109"/>
        <w:gridCol w:w="196"/>
        <w:gridCol w:w="556"/>
        <w:gridCol w:w="109"/>
        <w:gridCol w:w="196"/>
        <w:gridCol w:w="556"/>
        <w:gridCol w:w="109"/>
        <w:gridCol w:w="219"/>
        <w:gridCol w:w="454"/>
        <w:gridCol w:w="122"/>
        <w:gridCol w:w="277"/>
        <w:gridCol w:w="618"/>
        <w:gridCol w:w="156"/>
        <w:gridCol w:w="196"/>
        <w:gridCol w:w="55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 November 28, 2024</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CMBU</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CDBU</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MCBU</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AEBU</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All Other</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Unallocated</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2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8,709 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goods sold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1,355 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1,143 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122"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w:t>
            </w:r>
          </w:p>
        </w:tc>
        <w:tc>
          <w:tcPr>
            <w:tcW w:w="156"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3,348 </w:t>
            </w:r>
          </w:p>
        </w:tc>
        <w:tc>
          <w:tcPr>
            <w:tcW w:w="15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2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1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888 </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(income) expense, net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122"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15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7495"/>
                <wp:effectExtent l="0" t="0" r="0" b="0"/>
                <wp:wrapNone/>
                <wp:docPr id="46" name="Frame2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4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2" descr=""/>
                                          <pic:cNvPicPr>
                                            <a:picLocks noChangeAspect="1" noChangeArrowheads="1"/>
                                          </pic:cNvPicPr>
                                        </pic:nvPicPr>
                                        <pic:blipFill>
                                          <a:blip r:embed="rId24"/>
                                          <a:stretch>
                                            <a:fillRect/>
                                          </a:stretch>
                                        </pic:blipFill>
                                        <pic:spPr bwMode="auto">
                                          <a:xfrm>
                                            <a:off x="0" y="0"/>
                                            <a:ext cx="866775" cy="180975"/>
                                          </a:xfrm>
                                          <a:prstGeom prst="rect">
                                            <a:avLst/>
                                          </a:prstGeom>
                                        </pic:spPr>
                                      </pic:pic>
                                    </a:graphicData>
                                  </a:graphic>
                                </wp:inline>
                              </w:drawing>
                            </w:r>
                            <w:bookmarkStart w:id="22" w:name="i-12"/>
                            <w:bookmarkEnd w:id="22"/>
                            <w:r>
                              <w:rPr>
                                <w:color w:val="000000"/>
                              </w:rPr>
                              <w:t xml:space="preserve"> </w:t>
                            </w:r>
                            <w:r>
                              <w:rPr>
                                <w:rFonts w:ascii="Arial;sans-serif" w:hAnsi="Arial;sans-serif"/>
                                <w:b/>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4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2" descr=""/>
                                    <pic:cNvPicPr>
                                      <a:picLocks noChangeAspect="1" noChangeArrowheads="1"/>
                                    </pic:cNvPicPr>
                                  </pic:nvPicPr>
                                  <pic:blipFill>
                                    <a:blip r:embed="rId25"/>
                                    <a:stretch>
                                      <a:fillRect/>
                                    </a:stretch>
                                  </pic:blipFill>
                                  <pic:spPr bwMode="auto">
                                    <a:xfrm>
                                      <a:off x="0" y="0"/>
                                      <a:ext cx="866775" cy="180975"/>
                                    </a:xfrm>
                                    <a:prstGeom prst="rect">
                                      <a:avLst/>
                                    </a:prstGeom>
                                  </pic:spPr>
                                </pic:pic>
                              </a:graphicData>
                            </a:graphic>
                          </wp:inline>
                        </w:drawing>
                      </w:r>
                      <w:bookmarkStart w:id="23" w:name="i-12"/>
                      <w:bookmarkEnd w:id="23"/>
                      <w:r>
                        <w:rPr>
                          <w:color w:val="000000"/>
                        </w:rPr>
                        <w:t xml:space="preserve"> </w:t>
                      </w:r>
                      <w:r>
                        <w:rPr>
                          <w:rFonts w:ascii="Arial;sans-serif" w:hAnsi="Arial;sans-serif"/>
                          <w:b/>
                          <w:color w:val="000000"/>
                          <w:sz w:val="18"/>
                        </w:rPr>
                        <w:t>24</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presents the unallocated amounts:</w:t>
      </w:r>
    </w:p>
    <w:tbl>
      <w:tblPr>
        <w:tblW w:w="5308" w:type="dxa"/>
        <w:jc w:val="left"/>
        <w:tblInd w:w="0" w:type="dxa"/>
        <w:tblLayout w:type="fixed"/>
        <w:tblCellMar>
          <w:top w:w="28" w:type="dxa"/>
          <w:left w:w="28" w:type="dxa"/>
          <w:bottom w:w="28" w:type="dxa"/>
          <w:right w:w="28" w:type="dxa"/>
        </w:tblCellMar>
      </w:tblPr>
      <w:tblGrid>
        <w:gridCol w:w="1058"/>
        <w:gridCol w:w="930"/>
        <w:gridCol w:w="936"/>
        <w:gridCol w:w="315"/>
        <w:gridCol w:w="678"/>
        <w:gridCol w:w="176"/>
        <w:gridCol w:w="308"/>
        <w:gridCol w:w="663"/>
        <w:gridCol w:w="244"/>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w:t>
            </w:r>
          </w:p>
        </w:tc>
        <w:tc>
          <w:tcPr>
            <w:tcW w:w="116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Cost of goods sold:</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31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90 </w:t>
            </w:r>
          </w:p>
        </w:tc>
        <w:tc>
          <w:tcPr>
            <w:tcW w:w="24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76"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93 </w:t>
            </w:r>
          </w:p>
        </w:tc>
        <w:tc>
          <w:tcPr>
            <w:tcW w:w="24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99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106 </w:t>
            </w:r>
          </w:p>
        </w:tc>
        <w:tc>
          <w:tcPr>
            <w:tcW w:w="1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24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76"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24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993"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17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operating (income) expense, net:</w:t>
            </w:r>
          </w:p>
        </w:tc>
        <w:tc>
          <w:tcPr>
            <w:tcW w:w="116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76"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unallocated amounts</w:t>
            </w:r>
          </w:p>
        </w:tc>
        <w:tc>
          <w:tcPr>
            <w:tcW w:w="31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283 </w:t>
            </w:r>
          </w:p>
        </w:tc>
        <w:tc>
          <w:tcPr>
            <w:tcW w:w="17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3"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244"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Depreciation and amortization expense included in operating income was as follows:</w:t>
      </w:r>
    </w:p>
    <w:tbl>
      <w:tblPr>
        <w:tblW w:w="4139" w:type="dxa"/>
        <w:jc w:val="left"/>
        <w:tblInd w:w="0" w:type="dxa"/>
        <w:tblLayout w:type="fixed"/>
        <w:tblCellMar>
          <w:top w:w="28" w:type="dxa"/>
          <w:left w:w="28" w:type="dxa"/>
          <w:bottom w:w="28" w:type="dxa"/>
          <w:right w:w="28" w:type="dxa"/>
        </w:tblCellMar>
      </w:tblPr>
      <w:tblGrid>
        <w:gridCol w:w="635"/>
        <w:gridCol w:w="557"/>
        <w:gridCol w:w="562"/>
        <w:gridCol w:w="266"/>
        <w:gridCol w:w="755"/>
        <w:gridCol w:w="149"/>
        <w:gridCol w:w="262"/>
        <w:gridCol w:w="745"/>
        <w:gridCol w:w="208"/>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CMBU</w:t>
            </w:r>
          </w:p>
        </w:tc>
        <w:tc>
          <w:tcPr>
            <w:tcW w:w="2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725 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CDBU</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MCBU</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AEBU</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 Other</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2,212 </w:t>
            </w:r>
          </w:p>
        </w:tc>
        <w:tc>
          <w:tcPr>
            <w:tcW w:w="149"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2,030 </w:t>
            </w:r>
          </w:p>
        </w:tc>
        <w:tc>
          <w:tcPr>
            <w:tcW w:w="20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from one customer was 17% and 13% (primarily included in the CMBU segment) of total revenue for the first three months of 2026 and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November 27, 2025 and August 28, 2025, CMBU, CDBU, MCBU, and AEBU had goodwill of $654 million, $109 million, $284 million, and $103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49"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25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25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This discussion should be read in conjunction with the consolidated financial statements and accompanying notes for the year ended August 28, 2025. All period references are to our fiscal periods unless otherwise indicated. Our fiscal year is the 52</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or 53-week period ending on the Thursday closest to August 31. Fiscal 2026 contains 53</w:t>
      </w:r>
      <w:r>
        <w:rPr>
          <w:color w:val="000000"/>
        </w:rPr>
        <w:t> </w:t>
      </w:r>
      <w:r>
        <w:rPr>
          <w:rFonts w:ascii="Arial;sans-serif" w:hAnsi="Arial;sans-serif"/>
          <w:b w:val="false"/>
          <w:i/>
          <w:color w:val="000000"/>
          <w:sz w:val="20"/>
        </w:rPr>
        <w:t>weeks and fiscal 2025 contains 52 weeks. All tabular dollar amounts are in millions, except per share amounts.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Micron Technology, Inc. is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R&amp;D, product development, human resources, procurement, and supply chain. For our locations in Singapore and Taiwan, this is also a combination of bringing fabrication and back-end manufacturing together. We continue to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face intense competition in the semiconductor memory and storage markets. To remain competitive, we must continuously develop and implement new products and technologies and decrease manufacturing costs in spite of inflationary pressures, changing technologies, rapid market changes, and regulatory uncertainty.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Product Technologies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DRAM:</w:t>
      </w:r>
      <w:r>
        <w:rPr>
          <w:color w:val="000000"/>
        </w:rPr>
        <w:t xml:space="preserve"> </w:t>
      </w:r>
      <w:r>
        <w:rPr>
          <w:rFonts w:ascii="Arial;sans-serif" w:hAnsi="Arial;sans-serif"/>
          <w:b w:val="false"/>
          <w:color w:val="000000"/>
          <w:sz w:val="20"/>
        </w:rPr>
        <w:t>DRAM products are dynamic random access memory semiconductor devices with low latency that provide high-speed data retrieval with a variety of performance characteristics. DRAM products lose content when power is turned off (“volatile”) and are most commonly used in the data center, client PC, graphics, industrial, mobile, and automotive markets.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NAND:</w:t>
      </w:r>
      <w:r>
        <w:rPr>
          <w:color w:val="000000"/>
        </w:rPr>
        <w:t xml:space="preserve"> </w:t>
      </w:r>
      <w:r>
        <w:rPr>
          <w:rFonts w:ascii="Arial;sans-serif" w:hAnsi="Arial;sans-serif"/>
          <w:b w:val="false"/>
          <w:color w:val="000000"/>
          <w:sz w:val="20"/>
        </w:rPr>
        <w:t>NAND products are non-volatile, re-writeable semiconductor storage devices that provide high-capacity, low-cost storage with a variety of performance characteristics. NAND is used in SSDs for the data center, client PC, consumer, and automotive markets, and in removable storage markets. Managed NAND is used in smartphones and other mobile devices, and in the consumer, automotive, and embedded markets. Low-density NAND is ideal for applications like automotive, surveillance, machine-to-machine, automation, printer, and home networking.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7495"/>
                <wp:effectExtent l="0" t="0" r="0" b="0"/>
                <wp:wrapNone/>
                <wp:docPr id="50" name="Frame2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5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3" descr=""/>
                                          <pic:cNvPicPr>
                                            <a:picLocks noChangeAspect="1" noChangeArrowheads="1"/>
                                          </pic:cNvPicPr>
                                        </pic:nvPicPr>
                                        <pic:blipFill>
                                          <a:blip r:embed="rId26"/>
                                          <a:stretch>
                                            <a:fillRect/>
                                          </a:stretch>
                                        </pic:blipFill>
                                        <pic:spPr bwMode="auto">
                                          <a:xfrm>
                                            <a:off x="0" y="0"/>
                                            <a:ext cx="866775" cy="180975"/>
                                          </a:xfrm>
                                          <a:prstGeom prst="rect">
                                            <a:avLst/>
                                          </a:prstGeom>
                                        </pic:spPr>
                                      </pic:pic>
                                    </a:graphicData>
                                  </a:graphic>
                                </wp:inline>
                              </w:drawing>
                            </w:r>
                            <w:bookmarkStart w:id="24" w:name="i-13"/>
                            <w:bookmarkEnd w:id="24"/>
                            <w:r>
                              <w:rPr>
                                <w:color w:val="000000"/>
                              </w:rPr>
                              <w:t xml:space="preserve"> </w:t>
                            </w:r>
                            <w:r>
                              <w:rPr>
                                <w:rFonts w:ascii="Arial;sans-serif" w:hAnsi="Arial;sans-serif"/>
                                <w:b/>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5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3" descr=""/>
                                    <pic:cNvPicPr>
                                      <a:picLocks noChangeAspect="1" noChangeArrowheads="1"/>
                                    </pic:cNvPicPr>
                                  </pic:nvPicPr>
                                  <pic:blipFill>
                                    <a:blip r:embed="rId27"/>
                                    <a:stretch>
                                      <a:fillRect/>
                                    </a:stretch>
                                  </pic:blipFill>
                                  <pic:spPr bwMode="auto">
                                    <a:xfrm>
                                      <a:off x="0" y="0"/>
                                      <a:ext cx="866775" cy="180975"/>
                                    </a:xfrm>
                                    <a:prstGeom prst="rect">
                                      <a:avLst/>
                                    </a:prstGeom>
                                  </pic:spPr>
                                </pic:pic>
                              </a:graphicData>
                            </a:graphic>
                          </wp:inline>
                        </w:drawing>
                      </w:r>
                      <w:bookmarkStart w:id="25" w:name="i-13"/>
                      <w:bookmarkEnd w:id="25"/>
                      <w:r>
                        <w:rPr>
                          <w:color w:val="000000"/>
                        </w:rPr>
                        <w:t xml:space="preserve"> </w:t>
                      </w:r>
                      <w:r>
                        <w:rPr>
                          <w:rFonts w:ascii="Arial;sans-serif" w:hAnsi="Arial;sans-serif"/>
                          <w:b/>
                          <w:color w:val="000000"/>
                          <w:sz w:val="18"/>
                        </w:rPr>
                        <w:t>26</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pPr>
      <w:r>
        <w:rPr>
          <w:rFonts w:ascii="Arial;sans-serif" w:hAnsi="Arial;sans-serif"/>
          <w:b/>
          <w:i/>
          <w:color w:val="000000"/>
          <w:sz w:val="20"/>
        </w:rPr>
        <w:t>NOR:</w:t>
      </w:r>
      <w:r>
        <w:rPr>
          <w:color w:val="000000"/>
        </w:rPr>
        <w:t xml:space="preserve"> </w:t>
      </w:r>
      <w:r>
        <w:rPr>
          <w:rFonts w:ascii="Arial;sans-serif" w:hAnsi="Arial;sans-serif"/>
          <w:b w:val="false"/>
          <w:color w:val="000000"/>
          <w:sz w:val="20"/>
        </w:rPr>
        <w:t>NOR products are non-volatile, re-writable semiconductor memory devices that provide fast read speeds. NOR is most commonly used for reliable code storage (e.g., boot, application, operating system, and execute-in-place code in an embedded system) and for frequently changing small data storage and is ideal for automotive, industrial, and consumer applications.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Industry Conditions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AI-driven demand is accelerating and outpacing industry supply. In the first quarter of 2026, we continued to benefit from substantial improvements in pricing and margins, reflecting strong demand growth, driven in part by the continued advancement of AI. The AI-driven growth in the data center has accelerated demand for memory and storage, at a rate greater than our ability to increase supply. This has led to decisions on supply allocation that may impact certain customers and end markets as the overall market demand for memory and storage exceeds overall industry supply. We continue to shift more of our DRAM production to HBM and high-capacity modules for the data center and hyperscale cloud markets. The transition to these higher-growth segments, together with our strong execution, robust overall industry DRAM demand, and constrained supply, has led to improved profitability across our DRAM portfolio. In the first quarter of 2026, NAND revenue increased due to significant improvements in selling prices and higher bit shipments driven by a combination of factors including tight industry supply, pricing execution, and favorable product mix. Our NAND gross margin percentage increased due to improved pricing and manufacturing cost reductions.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53"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27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27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Results</w:t>
      </w:r>
    </w:p>
    <w:p>
      <w:pPr>
        <w:pStyle w:val="TextBody"/>
        <w:bidi w:val="0"/>
        <w:spacing w:before="0" w:after="0"/>
        <w:jc w:val="left"/>
        <w:rPr/>
      </w:pPr>
      <w:r>
        <w:rPr/>
      </w:r>
    </w:p>
    <w:tbl>
      <w:tblPr>
        <w:tblW w:w="8978" w:type="dxa"/>
        <w:jc w:val="left"/>
        <w:tblInd w:w="0" w:type="dxa"/>
        <w:tblLayout w:type="fixed"/>
        <w:tblCellMar>
          <w:top w:w="28" w:type="dxa"/>
          <w:left w:w="28" w:type="dxa"/>
          <w:bottom w:w="28" w:type="dxa"/>
          <w:right w:w="28" w:type="dxa"/>
        </w:tblCellMar>
      </w:tblPr>
      <w:tblGrid>
        <w:gridCol w:w="1416"/>
        <w:gridCol w:w="1248"/>
        <w:gridCol w:w="1250"/>
        <w:gridCol w:w="196"/>
        <w:gridCol w:w="646"/>
        <w:gridCol w:w="109"/>
        <w:gridCol w:w="210"/>
        <w:gridCol w:w="211"/>
        <w:gridCol w:w="241"/>
        <w:gridCol w:w="196"/>
        <w:gridCol w:w="646"/>
        <w:gridCol w:w="109"/>
        <w:gridCol w:w="210"/>
        <w:gridCol w:w="211"/>
        <w:gridCol w:w="241"/>
        <w:gridCol w:w="196"/>
        <w:gridCol w:w="556"/>
        <w:gridCol w:w="109"/>
        <w:gridCol w:w="210"/>
        <w:gridCol w:w="211"/>
        <w:gridCol w:w="556"/>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First Quarter</w:t>
            </w:r>
          </w:p>
        </w:tc>
        <w:tc>
          <w:tcPr>
            <w:tcW w:w="1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Fourth Quarter</w:t>
            </w:r>
          </w:p>
        </w:tc>
        <w:tc>
          <w:tcPr>
            <w:tcW w:w="18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First Quarter</w:t>
            </w:r>
          </w:p>
        </w:tc>
      </w:tr>
      <w:tr>
        <w:trPr/>
        <w:tc>
          <w:tcPr>
            <w:tcW w:w="39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1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18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13,643 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8,709 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goods sold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margin</w:t>
            </w:r>
          </w:p>
        </w:tc>
        <w:tc>
          <w:tcPr>
            <w:tcW w:w="84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7,646 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3,348 </w:t>
            </w:r>
          </w:p>
        </w:tc>
        <w:tc>
          <w:tcPr>
            <w:tcW w:w="109" w:type="dxa"/>
            <w:tcBorders>
              <w:top w:val="single" w:sz="8" w:space="0" w:color="000000"/>
            </w:tcBorders>
            <w:shd w:fill="D1D2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38 </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(income) expense, net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non-operating income (expense), net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(provision)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in net income (loss) of equity method investees</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i/>
          <w:color w:val="000000"/>
          <w:sz w:val="20"/>
        </w:rPr>
        <w:t>Total Revenue:</w:t>
      </w:r>
      <w:r>
        <w:rPr>
          <w:color w:val="000000"/>
        </w:rPr>
        <w:t xml:space="preserve"> </w:t>
      </w:r>
      <w:r>
        <w:rPr>
          <w:rFonts w:ascii="Arial;sans-serif" w:hAnsi="Arial;sans-serif"/>
          <w:b w:val="false"/>
          <w:color w:val="000000"/>
          <w:sz w:val="20"/>
        </w:rPr>
        <w:t xml:space="preserve">Total revenue for the first quarter of 2026 was impacted by the factors described in the section titled “Industry Conditions” above.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 for the first quarter of 2026 increased 21% as compared to the fourth quarter of 2025 primarily due to increases in sales of both DRAM and NAND products.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Sales of DRAM products increased 20% primarily due to an approximate 20% increase in average selling prices.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Sales of NAND products increased 22% primarily due to a mid-teens percentage range increase in average selling prices and a mid-to-high single digit percentage range increase in bit shipments.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 for the first quarter of 2026 increased 57% as compared to the first quarter of 2025 primarily due to increases in sales of both DRAM and NAND products.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Sales of DRAM products increased 69% primarily due to a mid-30% range increase in average selling prices and a mid-20% range increase in bit shipments.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Sales of NAND products increased 22% primarily due to a high-20% range increase in bit shipments, partially offset by a mid-single-digit percent range decrease in average selling prices.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Consolidated Gross Margin: </w:t>
      </w:r>
      <w:r>
        <w:rPr>
          <w:rFonts w:ascii="Arial;sans-serif" w:hAnsi="Arial;sans-serif"/>
          <w:b w:val="false"/>
          <w:color w:val="000000"/>
          <w:sz w:val="20"/>
        </w:rPr>
        <w:t>Our consolidated gross margin has been impacted by the factors described in the section titled “Industry Conditions.” Our consolidated gross margin percentage increased to 56% for the first quarter of 2026 from 45% for the fourth quarter of 2025 as a result of improvements in margins for both DRAM and NAND products. DRAM and NAND margins improved primarily due to increases in average selling prices and manufacturing cost reductions driven by improvements in product and process technology.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consolidated gross margin percentage improved to 56% for the first quarter of 2026 from 38% for the first quarter of 2025 as a result of improvements in margins for both DRAM and NAND products. DRAM margins improved primarily due to increases in average selling prices; an increased mix of higher-margin products, including HBM and other high-capacity data center products; and manufacturing cost reductions driven by improvements in product and process technology. NAND margins improved primarily due to manufacturing cost reductions.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7495"/>
                <wp:effectExtent l="0" t="0" r="0" b="0"/>
                <wp:wrapNone/>
                <wp:docPr id="54" name="Frame2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5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4" descr=""/>
                                          <pic:cNvPicPr>
                                            <a:picLocks noChangeAspect="1" noChangeArrowheads="1"/>
                                          </pic:cNvPicPr>
                                        </pic:nvPicPr>
                                        <pic:blipFill>
                                          <a:blip r:embed="rId28"/>
                                          <a:stretch>
                                            <a:fillRect/>
                                          </a:stretch>
                                        </pic:blipFill>
                                        <pic:spPr bwMode="auto">
                                          <a:xfrm>
                                            <a:off x="0" y="0"/>
                                            <a:ext cx="866775" cy="180975"/>
                                          </a:xfrm>
                                          <a:prstGeom prst="rect">
                                            <a:avLst/>
                                          </a:prstGeom>
                                        </pic:spPr>
                                      </pic:pic>
                                    </a:graphicData>
                                  </a:graphic>
                                </wp:inline>
                              </w:drawing>
                            </w:r>
                            <w:bookmarkStart w:id="26" w:name="i-14"/>
                            <w:bookmarkEnd w:id="26"/>
                            <w:r>
                              <w:rPr>
                                <w:color w:val="000000"/>
                              </w:rPr>
                              <w:t xml:space="preserve"> </w:t>
                            </w:r>
                            <w:r>
                              <w:rPr>
                                <w:rFonts w:ascii="Arial;sans-serif" w:hAnsi="Arial;sans-serif"/>
                                <w:b/>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5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4" descr=""/>
                                    <pic:cNvPicPr>
                                      <a:picLocks noChangeAspect="1" noChangeArrowheads="1"/>
                                    </pic:cNvPicPr>
                                  </pic:nvPicPr>
                                  <pic:blipFill>
                                    <a:blip r:embed="rId29"/>
                                    <a:stretch>
                                      <a:fillRect/>
                                    </a:stretch>
                                  </pic:blipFill>
                                  <pic:spPr bwMode="auto">
                                    <a:xfrm>
                                      <a:off x="0" y="0"/>
                                      <a:ext cx="866775" cy="180975"/>
                                    </a:xfrm>
                                    <a:prstGeom prst="rect">
                                      <a:avLst/>
                                    </a:prstGeom>
                                  </pic:spPr>
                                </pic:pic>
                              </a:graphicData>
                            </a:graphic>
                          </wp:inline>
                        </w:drawing>
                      </w:r>
                      <w:bookmarkStart w:id="27" w:name="i-14"/>
                      <w:bookmarkEnd w:id="27"/>
                      <w:r>
                        <w:rPr>
                          <w:color w:val="000000"/>
                        </w:rPr>
                        <w:t xml:space="preserve"> </w:t>
                      </w:r>
                      <w:r>
                        <w:rPr>
                          <w:rFonts w:ascii="Arial;sans-serif" w:hAnsi="Arial;sans-serif"/>
                          <w:b/>
                          <w:color w:val="000000"/>
                          <w:sz w:val="18"/>
                        </w:rPr>
                        <w:t>28</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Revenue by Business Unit</w:t>
      </w:r>
    </w:p>
    <w:p>
      <w:pPr>
        <w:pStyle w:val="TextBody"/>
        <w:bidi w:val="0"/>
        <w:spacing w:before="0" w:after="0"/>
        <w:jc w:val="left"/>
        <w:rPr/>
      </w:pPr>
      <w:r>
        <w:rPr/>
      </w:r>
    </w:p>
    <w:tbl>
      <w:tblPr>
        <w:tblW w:w="5453" w:type="dxa"/>
        <w:jc w:val="left"/>
        <w:tblInd w:w="0" w:type="dxa"/>
        <w:tblLayout w:type="fixed"/>
        <w:tblCellMar>
          <w:top w:w="28" w:type="dxa"/>
          <w:left w:w="28" w:type="dxa"/>
          <w:bottom w:w="28" w:type="dxa"/>
          <w:right w:w="28" w:type="dxa"/>
        </w:tblCellMar>
      </w:tblPr>
      <w:tblGrid>
        <w:gridCol w:w="254"/>
        <w:gridCol w:w="224"/>
        <w:gridCol w:w="226"/>
        <w:gridCol w:w="196"/>
        <w:gridCol w:w="646"/>
        <w:gridCol w:w="109"/>
        <w:gridCol w:w="202"/>
        <w:gridCol w:w="204"/>
        <w:gridCol w:w="241"/>
        <w:gridCol w:w="196"/>
        <w:gridCol w:w="646"/>
        <w:gridCol w:w="109"/>
        <w:gridCol w:w="202"/>
        <w:gridCol w:w="204"/>
        <w:gridCol w:w="241"/>
        <w:gridCol w:w="196"/>
        <w:gridCol w:w="556"/>
        <w:gridCol w:w="109"/>
        <w:gridCol w:w="202"/>
        <w:gridCol w:w="204"/>
        <w:gridCol w:w="286"/>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First Quarter</w:t>
            </w:r>
          </w:p>
        </w:tc>
        <w:tc>
          <w:tcPr>
            <w:tcW w:w="159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Fourth Quarter</w:t>
            </w:r>
          </w:p>
        </w:tc>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First Quarter</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159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CMBU</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5,284 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4,543 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2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CDBU</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MCBU</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2,608 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2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AEBU</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All other</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4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Percentages of total revenue may not total 100% due to rounding.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revenue for each business unit for the first quarter of 2026 as compared to the fourth quarter of 2025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CMBU revenue increased 16% primarily due to increases in DRAM average selling prices and bit shipments driven by AI demand in cloud server markets.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CDBU revenue increased 51% primarily due to increases in bit shipments and average selling prices for both data center DRAM and NAND.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MCBU revenue increased 13% primarily due to increases in DRAM and NAND average selling prices, partially offset by decreases in bit shipments.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AEBU revenue increased 20% primarily due to increases in DRAM and NAND average selling prices and DRAM bit shipments.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revenue for each business unit for the first quarter of 2026 as compared to the first quarter of 2025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CMBU revenue increased 100% primarily due to increases in DRAM bit shipments and average selling prices driven by AI demand in cloud server markets for HBM, high-capacity dual in-line memory modules (“DIMMS”), and low-power server DRAM.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CDBU revenue increased 4% primarily due to increases in DRAM average selling prices and higher NAND bit shipments, partially offset by decreases in NAND average selling prices.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MCBU revenue increased 63% primarily due to increases in DRAM and NAND average selling prices and bit shipments.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AEBU revenue increased 49% primarily due to higher DRAM and NAND bit shipments and DRAM average selling prices, partially offset by decreases in NAND average selling prices.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Operating Income by Business Unit</w:t>
      </w:r>
    </w:p>
    <w:p>
      <w:pPr>
        <w:pStyle w:val="TextBody"/>
        <w:bidi w:val="0"/>
        <w:spacing w:before="0" w:after="0"/>
        <w:jc w:val="left"/>
        <w:rPr/>
      </w:pPr>
      <w:r>
        <w:rPr/>
      </w:r>
    </w:p>
    <w:tbl>
      <w:tblPr>
        <w:tblW w:w="5287" w:type="dxa"/>
        <w:jc w:val="center"/>
        <w:tblInd w:w="0" w:type="dxa"/>
        <w:tblLayout w:type="fixed"/>
        <w:tblCellMar>
          <w:top w:w="28" w:type="dxa"/>
          <w:left w:w="28" w:type="dxa"/>
          <w:bottom w:w="28" w:type="dxa"/>
          <w:right w:w="28" w:type="dxa"/>
        </w:tblCellMar>
      </w:tblPr>
      <w:tblGrid>
        <w:gridCol w:w="254"/>
        <w:gridCol w:w="224"/>
        <w:gridCol w:w="226"/>
        <w:gridCol w:w="196"/>
        <w:gridCol w:w="556"/>
        <w:gridCol w:w="109"/>
        <w:gridCol w:w="165"/>
        <w:gridCol w:w="166"/>
        <w:gridCol w:w="241"/>
        <w:gridCol w:w="196"/>
        <w:gridCol w:w="556"/>
        <w:gridCol w:w="109"/>
        <w:gridCol w:w="246"/>
        <w:gridCol w:w="249"/>
        <w:gridCol w:w="241"/>
        <w:gridCol w:w="196"/>
        <w:gridCol w:w="556"/>
        <w:gridCol w:w="109"/>
        <w:gridCol w:w="202"/>
        <w:gridCol w:w="204"/>
        <w:gridCol w:w="286"/>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First Quarter</w:t>
            </w:r>
          </w:p>
        </w:tc>
        <w:tc>
          <w:tcPr>
            <w:tcW w:w="159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Fourth Quarter</w:t>
            </w:r>
          </w:p>
        </w:tc>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First Quarter</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159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15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CMBU</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2,884 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2,170 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1,066 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2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CDBU</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MCBU</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2,017 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1,104 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2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AEBU</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All other</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w:t>
            </w:r>
          </w:p>
        </w:tc>
        <w:tc>
          <w:tcPr>
            <w:tcW w:w="24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752"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Percentages reflect operating income as a percentage of revenue for each business unit.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operating income for each business unit for the first quarter of 2026 as compared to the fourth quarter of 2025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CMBU operating income increased primarily due to increases in DRAM average selling prices, higher bit shipments, and manufacturing cost reductions.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57"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29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29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CDBU operating income increased primarily due to higher bit shipments, increases in data center average selling prices, and manufacturing cost reductions, partially offset by higher R&amp;D expenses.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MCBU operating income increased primarily due to increases in DRAM and NAND average selling prices and manufacturing cost reductions, partially offset by lower bit shipments for both DRAM and NAND.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AEBU operating income increased primarily due to increases in DRAM and NAND average selling prices, higher DRAM bit shipments, and DRAM manufacturing cost reductions.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operating income for each business unit for the first quarter of 2026 as compared to the first quarter of 2025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CMBU operating income increased primarily due to higher bit shipments, increases in average selling prices, and manufacturing cost reductions, partially offset by higher R&amp;D expenses.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CDBU operating income increased primarily due to increases in DRAM average selling prices and cost reductions, partially offset by declines in NAND average selling prices and higher R&amp;D expenses.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MCBU operating income increased primarily due to increases in average selling prices, higher bit shipments, and manufacturing cost reductions.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AEBU operating income increased primarily due to higher DRAM and NAND bit shipments, manufacturing cost reductions, and increases in DRAM average selling prices, partially offset by decreases in NAND average selling prices.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Operating Expenses and Other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Research and Development: </w:t>
      </w:r>
      <w:r>
        <w:rPr>
          <w:rFonts w:ascii="Arial;sans-serif" w:hAnsi="Arial;sans-serif"/>
          <w:b w:val="false"/>
          <w:color w:val="000000"/>
          <w:sz w:val="20"/>
        </w:rPr>
        <w:t xml:space="preserve">R&amp;D expenses vary primarily with the number of development and pre-qualification wafers processed and end-product solutions developed, personnel costs, and the cost of advanced equipment dedicated to new product and process development.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product specifications.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R&amp;D expenses for the first quarter of 2026 increased 12% as compared to the fourth quarter of 2025 and 32% as compared to the first quarter of 2025, primarily due to higher volumes of development and pre-qualification wafers and an increase in employee compensation.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Selling, General, and Administrative: </w:t>
      </w:r>
      <w:r>
        <w:rPr>
          <w:rFonts w:ascii="Arial;sans-serif" w:hAnsi="Arial;sans-serif"/>
          <w:b w:val="false"/>
          <w:color w:val="000000"/>
          <w:sz w:val="20"/>
        </w:rPr>
        <w:t xml:space="preserve">SG&amp;A expenses for the first quarter of 2026 increased 7% as compared to the fourth quarter of 2025 and 17% as compared to the first quarter of 2025, primarily due to an increase in employee compensation.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Interest Income (Expense), Net:</w:t>
      </w:r>
      <w:r>
        <w:rPr>
          <w:color w:val="000000"/>
        </w:rPr>
        <w:t xml:space="preserve"> </w:t>
      </w:r>
      <w:r>
        <w:rPr>
          <w:rFonts w:ascii="Arial;sans-serif" w:hAnsi="Arial;sans-serif"/>
          <w:b w:val="false"/>
          <w:color w:val="000000"/>
          <w:sz w:val="20"/>
        </w:rPr>
        <w:t>Interest income (expense) improved in the first quarter of 2026 as compared to the fourth quarter of 2025 primarily due to a decrease in interest expense due to lower debt balances. Interest income (expense) improved for the first quarter of 2026 as compared to the first quarter of 2025 primarily due to a decrease in interest expense due to lower debt balances and an increase in interest income due to higher cash and investments balances.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Income Taxes: </w:t>
      </w:r>
      <w:r>
        <w:rPr>
          <w:rFonts w:ascii="Arial;sans-serif" w:hAnsi="Arial;sans-serif"/>
          <w:b w:val="false"/>
          <w:color w:val="000000"/>
          <w:sz w:val="20"/>
        </w:rPr>
        <w:t>Our income tax (provision) benefit consisted of the following:</w:t>
      </w:r>
    </w:p>
    <w:tbl>
      <w:tblPr>
        <w:tblW w:w="5728" w:type="dxa"/>
        <w:jc w:val="left"/>
        <w:tblInd w:w="0" w:type="dxa"/>
        <w:tblLayout w:type="fixed"/>
        <w:tblCellMar>
          <w:top w:w="28" w:type="dxa"/>
          <w:left w:w="28" w:type="dxa"/>
          <w:bottom w:w="28" w:type="dxa"/>
          <w:right w:w="28" w:type="dxa"/>
        </w:tblCellMar>
      </w:tblPr>
      <w:tblGrid>
        <w:gridCol w:w="803"/>
        <w:gridCol w:w="705"/>
        <w:gridCol w:w="712"/>
        <w:gridCol w:w="216"/>
        <w:gridCol w:w="613"/>
        <w:gridCol w:w="265"/>
        <w:gridCol w:w="251"/>
        <w:gridCol w:w="714"/>
        <w:gridCol w:w="309"/>
        <w:gridCol w:w="215"/>
        <w:gridCol w:w="611"/>
        <w:gridCol w:w="31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First Quarter</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Fourth Quarter</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First Quarter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2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21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3"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6,061 </w:t>
            </w:r>
          </w:p>
        </w:tc>
        <w:tc>
          <w:tcPr>
            <w:tcW w:w="265"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3,631 </w:t>
            </w:r>
          </w:p>
        </w:tc>
        <w:tc>
          <w:tcPr>
            <w:tcW w:w="30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1"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2,152 </w:t>
            </w:r>
          </w:p>
        </w:tc>
        <w:tc>
          <w:tcPr>
            <w:tcW w:w="314"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(provision) benefit</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Effective tax rate</w:t>
            </w:r>
          </w:p>
        </w:tc>
        <w:tc>
          <w:tcPr>
            <w:tcW w:w="82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13.7 </w:t>
            </w:r>
          </w:p>
        </w:tc>
        <w:tc>
          <w:tcPr>
            <w:tcW w:w="26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965"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309"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26"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13.2 </w:t>
            </w:r>
          </w:p>
        </w:tc>
        <w:tc>
          <w:tcPr>
            <w:tcW w:w="314"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change in our effective tax rate for the first quarter of 2026 as compared to the fourth quarter of 2025 and the first quarter of 2025 was primarily due to the 15% minimum tax Pillar Two Model Rules (“Pillar Two”). Singapore enacted legislation to implement Pillar Two, effective for us in 2026, which largely offsets the benefit from our Singapore tax incentive arrangements.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7495"/>
                <wp:effectExtent l="0" t="0" r="0" b="0"/>
                <wp:wrapNone/>
                <wp:docPr id="58" name="Frame3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5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5" descr=""/>
                                          <pic:cNvPicPr>
                                            <a:picLocks noChangeAspect="1" noChangeArrowheads="1"/>
                                          </pic:cNvPicPr>
                                        </pic:nvPicPr>
                                        <pic:blipFill>
                                          <a:blip r:embed="rId30"/>
                                          <a:stretch>
                                            <a:fillRect/>
                                          </a:stretch>
                                        </pic:blipFill>
                                        <pic:spPr bwMode="auto">
                                          <a:xfrm>
                                            <a:off x="0" y="0"/>
                                            <a:ext cx="866775" cy="180975"/>
                                          </a:xfrm>
                                          <a:prstGeom prst="rect">
                                            <a:avLst/>
                                          </a:prstGeom>
                                        </pic:spPr>
                                      </pic:pic>
                                    </a:graphicData>
                                  </a:graphic>
                                </wp:inline>
                              </w:drawing>
                            </w:r>
                            <w:bookmarkStart w:id="28" w:name="i-15"/>
                            <w:bookmarkEnd w:id="28"/>
                            <w:r>
                              <w:rPr>
                                <w:color w:val="000000"/>
                              </w:rPr>
                              <w:t xml:space="preserve"> </w:t>
                            </w:r>
                            <w:r>
                              <w:rPr>
                                <w:rFonts w:ascii="Arial;sans-serif" w:hAnsi="Arial;sans-serif"/>
                                <w:b/>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6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5" descr=""/>
                                    <pic:cNvPicPr>
                                      <a:picLocks noChangeAspect="1" noChangeArrowheads="1"/>
                                    </pic:cNvPicPr>
                                  </pic:nvPicPr>
                                  <pic:blipFill>
                                    <a:blip r:embed="rId31"/>
                                    <a:stretch>
                                      <a:fillRect/>
                                    </a:stretch>
                                  </pic:blipFill>
                                  <pic:spPr bwMode="auto">
                                    <a:xfrm>
                                      <a:off x="0" y="0"/>
                                      <a:ext cx="866775" cy="180975"/>
                                    </a:xfrm>
                                    <a:prstGeom prst="rect">
                                      <a:avLst/>
                                    </a:prstGeom>
                                  </pic:spPr>
                                </pic:pic>
                              </a:graphicData>
                            </a:graphic>
                          </wp:inline>
                        </w:drawing>
                      </w:r>
                      <w:bookmarkStart w:id="29" w:name="i-15"/>
                      <w:bookmarkEnd w:id="29"/>
                      <w:r>
                        <w:rPr>
                          <w:color w:val="000000"/>
                        </w:rPr>
                        <w:t xml:space="preserve"> </w:t>
                      </w:r>
                      <w:r>
                        <w:rPr>
                          <w:rFonts w:ascii="Arial;sans-serif" w:hAnsi="Arial;sans-serif"/>
                          <w:b/>
                          <w:color w:val="000000"/>
                          <w:sz w:val="18"/>
                        </w:rPr>
                        <w:t>30</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 Further changes in the tax laws of foreign jurisdictions could arise as a result of the base erosion and profit-shifting project, including Pillar Two, undertaken by the Organisation for Economic Co-operation and Development. We continue to monitor for additional guidance and legislative changes related to Pillar Two in the jurisdictions where we operate.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Other:</w:t>
      </w:r>
      <w:r>
        <w:rPr>
          <w:color w:val="000000"/>
        </w:rPr>
        <w:t xml:space="preserve"> </w:t>
      </w:r>
      <w:r>
        <w:rPr>
          <w:rFonts w:ascii="Arial;sans-serif" w:hAnsi="Arial;sans-serif"/>
          <w:b w:val="false"/>
          <w:color w:val="000000"/>
          <w:sz w:val="20"/>
        </w:rPr>
        <w:t>Further information can be found in the following notes contained in Item 1. Financial Statements, Notes to Consolidated Financial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Note 10.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Note 15. Equity Compensation Plans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Note 17. Other Non-Operating Income (Expense), Net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Note 18. 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Liquidity and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$12.02 billion as of November 27, 2025, and $11.94 billion as of August 28, 2025.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November 27, 2025, $2.26 billion of our cash and marketable investments was held by our foreign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November 27, 2025, $3.50 billion was available to draw under our Revolving Credit Facility. Funding of certain significant capital projects is also dependent on the receipt of government incentives. Our incentives are conditioned upon achieving or maintaining certain outcomes and satisfying compliance requirements and are subject to reduction, termination, or clawback.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develop new product and process technology, support future growth, achieve operating efficiencies, and maintain product quality, we must continue to invest in manufacturing technologies, facilities and equipment, and R&amp;D. We estimate capital expenditures for property, plant, and equipment, net of proceeds from government incentives, to be approximately $20 billion in 2026, weighted to the second half of the year. Actual amounts for 2026 will vary depending on market conditions and may vary from quarter to quarter due to the timing of expenditures and proceeds from government incentives. As of November 27, 2025, we had purchase obligations of approximately $1.68 billion for the acquisition of property, plant, and equipment, substantially all of which is expected to be paid within one year. For a description of other contractual obligations, such as leases and debt, see Item 1. Financial Statements, Notes to Consolidated Financial Statements, Note 8. Leases, as well as Note 10. Debt.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supply capacity we generate through our proprietary product and process technology that increases bit density per wafer, we will need to add new DRAM wafer capacity to support projected memory demand in the second half of the decade. Following the enactment of the CHIPS Act, we announced plans to invest in leading-edge memory manufacturing sites in Idaho and New York, based on CHIPS Act support through grants and investment tax credits.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part of this plan, in September 2022, we broke ground on a leading-edge memory manufacturing fab in Boise, Idaho. Construction of the fab began in October 2023, with first DRAM wafer output projected in mid-calendar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31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31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June 2025, in connection with certain amendments to our CHIPS Act agreements, we announced plans for a second leading-edge memory manufacturing fab in Idaho to serve growing market demand fueled by AI. We plan to begin construction of the second Idaho fab in 2026, and expect it to be operational by the end of 2028.</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announced plan for New York includes construction of a leading-edge DRAM memory manufacturing site, consisting of up to four fabs to be built over the next 20-plus years, in Clay, New York. We continue to work with state and federal authorities for approval to start ground preparation. We plan to break ground on our first New York fab in early calendar 2026, which will provide supply in 2030 and beyond. We expect these new fabs to be key to meeting our requirements for additional wafer capacity, in line with industry demand trends and our objective of maintaining stable bit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 certain award funding to the second planned Idaho fab from the $6.1 billion grants previously awarded under the December 2024 direct funding agreements. The direct funding for up to $6.1 billion remains unchanged. On June 11, 2025, we also entered into a direct funding agreement with the U.S. Department of Commerce for up to $275 million in direct funding to expand and modernize our fab in Manassas, Virginia. The grants under the funding agreements represent total CHIPS Act grants of up to $6.4 billion in connection with our U.S. manufacturing expansion and modernization projects. In addition, we announced plans to bring advanced HBM packaging capabilities to the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CHIPS Act direct funding, we receive a 35% investment tax credit on qualified investments in U.S. semiconductor manufacturing under the CHIPS Act. We have also signed a non-binding term sheet with the State of New York that provides for up to $5.5 billion in funding for the planned four-fab facility over the next 20-plus years through a combination of tax credits for qualified capital investments and incentives for eligible new job wages.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Outside the U.S., we are investing in manufacturing technologies, facilities and equipment, and R&amp;D, and advancing our global back-end assembly and test network. These investments support our product portfolio and extend our ability to meet global market demand in the future. Planned investments and those underway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India: </w:t>
      </w:r>
      <w:r>
        <w:rPr>
          <w:rFonts w:ascii="Arial;sans-serif" w:hAnsi="Arial;sans-serif"/>
          <w:b w:val="false"/>
          <w:color w:val="000000"/>
          <w:sz w:val="20"/>
        </w:rPr>
        <w:t>our assembly and test facility in Gujarat has initiated pilot production and will ramp in 2026;</w:t>
      </w:r>
    </w:p>
    <w:p>
      <w:pPr>
        <w:pStyle w:val="TextBody"/>
        <w:bidi w:val="0"/>
        <w:spacing w:lineRule="auto" w:line="268" w:before="0" w:after="0"/>
        <w:ind w:left="0" w:right="0" w:hanging="360"/>
        <w:jc w:val="left"/>
        <w:rPr/>
      </w:pPr>
      <w:r>
        <w:rPr>
          <w:color w:val="000000"/>
        </w:rPr>
        <w:t>•</w:t>
      </w:r>
      <w:r>
        <w:rPr>
          <w:rFonts w:ascii="Arial;sans-serif" w:hAnsi="Arial;sans-serif"/>
          <w:b/>
          <w:i/>
          <w:color w:val="000000"/>
          <w:sz w:val="20"/>
        </w:rPr>
        <w:t xml:space="preserve">Japan: </w:t>
      </w:r>
      <w:r>
        <w:rPr>
          <w:rFonts w:ascii="Arial;sans-serif" w:hAnsi="Arial;sans-serif"/>
          <w:b w:val="false"/>
          <w:color w:val="000000"/>
          <w:sz w:val="20"/>
        </w:rPr>
        <w:t>we are modernizing our Hiroshima manufacturing facility to support future DRAM nodes and AI memory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Singapore:</w:t>
      </w:r>
      <w:r>
        <w:rPr>
          <w:color w:val="000000"/>
        </w:rPr>
        <w:t xml:space="preserve"> </w:t>
      </w:r>
      <w:r>
        <w:rPr>
          <w:rFonts w:ascii="Arial;sans-serif" w:hAnsi="Arial;sans-serif"/>
          <w:b w:val="false"/>
          <w:color w:val="000000"/>
          <w:sz w:val="20"/>
        </w:rPr>
        <w:t>we broke ground on an HBM advanced packaging facility to meaningfully expand our total advanced packaging capacity beginning in calendar 2027; and</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Taiwan:</w:t>
      </w:r>
      <w:r>
        <w:rPr>
          <w:color w:val="000000"/>
        </w:rPr>
        <w:t xml:space="preserve"> </w:t>
      </w:r>
      <w:r>
        <w:rPr>
          <w:rFonts w:ascii="Arial;sans-serif" w:hAnsi="Arial;sans-serif"/>
          <w:b w:val="false"/>
          <w:color w:val="000000"/>
          <w:sz w:val="20"/>
        </w:rPr>
        <w:t>we are modernizing our production capacity for DRAM and HBM products to meet rising market demand.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certain countries outside of the U.S, we receive or expect to receive, government incentives related to our investments. The amounts of these government incentives generally offset a portion of our planned investments and require us to meet certain conditions in order to receive such incentives.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Through November 27, 2025, we had repurchased an aggregate of $7.49 billion under the authorization. See Item 1. Financial Statements, Notes to Consolidated Financial Statements, Note 12.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December 17, 2025, our Board of Directors declared a quarterly dividend of $0.115 per share, payable in cash on January 14, 2026, to shareholders of record as of the close of business on December 29, 2025.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7495"/>
                <wp:effectExtent l="0" t="0" r="0" b="0"/>
                <wp:wrapNone/>
                <wp:docPr id="62" name="Frame3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6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6" descr=""/>
                                          <pic:cNvPicPr>
                                            <a:picLocks noChangeAspect="1" noChangeArrowheads="1"/>
                                          </pic:cNvPicPr>
                                        </pic:nvPicPr>
                                        <pic:blipFill>
                                          <a:blip r:embed="rId32"/>
                                          <a:stretch>
                                            <a:fillRect/>
                                          </a:stretch>
                                        </pic:blipFill>
                                        <pic:spPr bwMode="auto">
                                          <a:xfrm>
                                            <a:off x="0" y="0"/>
                                            <a:ext cx="866775" cy="180975"/>
                                          </a:xfrm>
                                          <a:prstGeom prst="rect">
                                            <a:avLst/>
                                          </a:prstGeom>
                                        </pic:spPr>
                                      </pic:pic>
                                    </a:graphicData>
                                  </a:graphic>
                                </wp:inline>
                              </w:drawing>
                            </w:r>
                            <w:bookmarkStart w:id="30" w:name="i-16"/>
                            <w:bookmarkEnd w:id="30"/>
                            <w:r>
                              <w:rPr>
                                <w:color w:val="000000"/>
                              </w:rPr>
                              <w:t xml:space="preserve"> </w:t>
                            </w:r>
                            <w:r>
                              <w:rPr>
                                <w:rFonts w:ascii="Arial;sans-serif" w:hAnsi="Arial;sans-serif"/>
                                <w:b/>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6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6" descr=""/>
                                    <pic:cNvPicPr>
                                      <a:picLocks noChangeAspect="1" noChangeArrowheads="1"/>
                                    </pic:cNvPicPr>
                                  </pic:nvPicPr>
                                  <pic:blipFill>
                                    <a:blip r:embed="rId33"/>
                                    <a:stretch>
                                      <a:fillRect/>
                                    </a:stretch>
                                  </pic:blipFill>
                                  <pic:spPr bwMode="auto">
                                    <a:xfrm>
                                      <a:off x="0" y="0"/>
                                      <a:ext cx="866775" cy="180975"/>
                                    </a:xfrm>
                                    <a:prstGeom prst="rect">
                                      <a:avLst/>
                                    </a:prstGeom>
                                  </pic:spPr>
                                </pic:pic>
                              </a:graphicData>
                            </a:graphic>
                          </wp:inline>
                        </w:drawing>
                      </w:r>
                      <w:bookmarkStart w:id="31" w:name="i-16"/>
                      <w:bookmarkEnd w:id="31"/>
                      <w:r>
                        <w:rPr>
                          <w:color w:val="000000"/>
                        </w:rPr>
                        <w:t xml:space="preserve"> </w:t>
                      </w:r>
                      <w:r>
                        <w:rPr>
                          <w:rFonts w:ascii="Arial;sans-serif" w:hAnsi="Arial;sans-serif"/>
                          <w:b/>
                          <w:color w:val="000000"/>
                          <w:sz w:val="18"/>
                        </w:rPr>
                        <w:t>32</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expect that our cash and investments, cash flows from operations, funding from government incentives, and available financing will be sufficient to meet our requirements at least through the next 12 months and thereafter for the foreseeable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Cash Flows</w:t>
      </w:r>
    </w:p>
    <w:p>
      <w:pPr>
        <w:pStyle w:val="TextBody"/>
        <w:bidi w:val="0"/>
        <w:spacing w:before="0" w:after="0"/>
        <w:jc w:val="left"/>
        <w:rPr/>
      </w:pPr>
      <w:r>
        <w:rPr/>
      </w:r>
    </w:p>
    <w:tbl>
      <w:tblPr>
        <w:tblW w:w="9000" w:type="dxa"/>
        <w:jc w:val="left"/>
        <w:tblInd w:w="0" w:type="dxa"/>
        <w:tblLayout w:type="fixed"/>
        <w:tblCellMar>
          <w:top w:w="28" w:type="dxa"/>
          <w:left w:w="28" w:type="dxa"/>
          <w:bottom w:w="28" w:type="dxa"/>
          <w:right w:w="28" w:type="dxa"/>
        </w:tblCellMar>
      </w:tblPr>
      <w:tblGrid>
        <w:gridCol w:w="2395"/>
        <w:gridCol w:w="2101"/>
        <w:gridCol w:w="2119"/>
        <w:gridCol w:w="266"/>
        <w:gridCol w:w="755"/>
        <w:gridCol w:w="149"/>
        <w:gridCol w:w="262"/>
        <w:gridCol w:w="745"/>
        <w:gridCol w:w="208"/>
      </w:tblGrid>
      <w:tr>
        <w:trPr/>
        <w:tc>
          <w:tcPr>
            <w:tcW w:w="2395"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Three months ended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27,</w:t>
              <w:br/>
              <w:t>2025</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November 28,</w:t>
              <w:br/>
              <w:t>2024</w:t>
            </w:r>
          </w:p>
        </w:tc>
      </w:tr>
      <w:tr>
        <w:trPr/>
        <w:tc>
          <w:tcPr>
            <w:tcW w:w="6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w:t>
            </w:r>
          </w:p>
        </w:tc>
        <w:tc>
          <w:tcPr>
            <w:tcW w:w="266"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8,411 </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3,244 </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cash used for investing activities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(4,594)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cash used for financing activities</w:t>
            </w:r>
          </w:p>
        </w:tc>
        <w:tc>
          <w:tcPr>
            <w:tcW w:w="1021"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(3,745)</w:t>
            </w:r>
          </w:p>
        </w:tc>
        <w:tc>
          <w:tcPr>
            <w:tcW w:w="149"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w:t>
            </w:r>
          </w:p>
        </w:tc>
        <w:tc>
          <w:tcPr>
            <w:tcW w:w="208"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changes in currency exchange rates on cash, cash equivalents, and restricted cash</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(decrease) in cash, cash equivalents, and restricted cash</w:t>
            </w:r>
          </w:p>
        </w:tc>
        <w:tc>
          <w:tcPr>
            <w:tcW w:w="266"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86 </w:t>
            </w:r>
          </w:p>
        </w:tc>
        <w:tc>
          <w:tcPr>
            <w:tcW w:w="149"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5"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w:t>
            </w:r>
          </w:p>
        </w:tc>
        <w:tc>
          <w:tcPr>
            <w:tcW w:w="208" w:type="dxa"/>
            <w:tcBorders>
              <w:top w:val="single" w:sz="8" w:space="0" w:color="000000"/>
              <w:bottom w:val="double" w:sz="8" w:space="0" w:color="000000"/>
            </w:tcBorders>
            <w:shd w:fill="D1D2D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Operating Activities:</w:t>
      </w:r>
      <w:r>
        <w:rPr>
          <w:color w:val="000000"/>
        </w:rPr>
        <w:t xml:space="preserve"> </w:t>
      </w:r>
      <w:r>
        <w:rPr>
          <w:rFonts w:ascii="Arial;sans-serif" w:hAnsi="Arial;sans-serif"/>
          <w:b w:val="false"/>
          <w:color w:val="000000"/>
          <w:sz w:val="20"/>
        </w:rPr>
        <w:t>Cash provided by operating activities reflects net income adjusted for certain non-cash items, including depreciation expense, amortization of intangible assets, and stock-based compensation, and the effects of changes in operating assets and liabilities</w:t>
      </w:r>
      <w:r>
        <w:rPr>
          <w:rFonts w:ascii="Arial;sans-serif" w:hAnsi="Arial;sans-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Th</w:t>
      </w:r>
      <w:r>
        <w:rPr>
          <w:rFonts w:ascii="Arial;sans-serif" w:hAnsi="Arial;sans-serif"/>
          <w:b w:val="false"/>
          <w:color w:val="000000"/>
          <w:sz w:val="20"/>
        </w:rPr>
        <w:t>e increase in cash provided by operating activities for the first three months of 2026 as compared to the first three months of 2025 was primarily due to higher net income in the current year adjusted for non-cash items and increases in other current liabilities and noncurrent liabilities, partially offset by an increase in receivables.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Investing Activities:</w:t>
      </w:r>
      <w:r>
        <w:rPr>
          <w:color w:val="000000"/>
        </w:rPr>
        <w:t xml:space="preserve"> </w:t>
      </w:r>
      <w:r>
        <w:rPr>
          <w:rFonts w:ascii="Arial;sans-serif" w:hAnsi="Arial;sans-serif"/>
          <w:b w:val="false"/>
          <w:color w:val="000000"/>
          <w:sz w:val="20"/>
        </w:rPr>
        <w:t>For the first three months of 2026, net cash used for investing activities consisted primarily of $5.39 billion of expenditures for property, plant, and equipment, partially offset by $878 million of proceeds from government incentives to offset capital expenditures.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For the first three months of 2025, net cash used for investing activi</w:t>
      </w:r>
      <w:r>
        <w:rPr>
          <w:rFonts w:ascii="Arial;sans-serif" w:hAnsi="Arial;sans-serif"/>
          <w:b w:val="false"/>
          <w:color w:val="000000"/>
          <w:sz w:val="20"/>
          <w:shd w:fill="FFFFFF" w:val="clear"/>
        </w:rPr>
        <w:t>ties consisted primarily of $3.21 billion of expenditures for property, plant, and equipment, partially offset by $65 million received from government incentives to offset capital expenditures and $51 million of net inflows from maturities, sales, and purchases of available-for-sale securities.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Financing Activities:</w:t>
      </w:r>
      <w:r>
        <w:rPr>
          <w:color w:val="000000"/>
        </w:rPr>
        <w:t xml:space="preserve"> </w:t>
      </w:r>
      <w:r>
        <w:rPr>
          <w:rFonts w:ascii="Arial;sans-serif" w:hAnsi="Arial;sans-serif"/>
          <w:b w:val="false"/>
          <w:color w:val="000000"/>
          <w:sz w:val="20"/>
        </w:rPr>
        <w:t>For the first three months of 2026, net cash used for financing activities consisted primarily of $2.94 billion of repayments of debt, which included the prepayment in full of the 2028 Notes, 2029 B Notes, and 2029 Term Loan A; $367 million for the repurchases of common stock for withholdings on employee equity awards; $300 million for the acquisition of 1.3 million shares of our common stock under our share repurchase authorization; and $134 million for payments of dividends to shareholders. See Item 1. Financial Statements, Notes to Consolidated Financial Statements, Note 10. Debt.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For the first three months of 2025, net cash used for financing activi</w:t>
      </w:r>
      <w:r>
        <w:rPr>
          <w:rFonts w:ascii="Arial;sans-serif" w:hAnsi="Arial;sans-serif"/>
          <w:b w:val="false"/>
          <w:color w:val="000000"/>
          <w:sz w:val="20"/>
          <w:shd w:fill="FFFFFF" w:val="clear"/>
        </w:rPr>
        <w:t>ties consisted primarily of $131 million for paym</w:t>
      </w:r>
      <w:r>
        <w:rPr>
          <w:rFonts w:ascii="Arial;sans-serif" w:hAnsi="Arial;sans-serif"/>
          <w:b w:val="false"/>
          <w:color w:val="000000"/>
          <w:sz w:val="20"/>
        </w:rPr>
        <w:t xml:space="preserve">ents of dividends to shareholders, $207 million for the repurchases of common stock for withholdings on employee equity awards, and </w:t>
      </w:r>
      <w:r>
        <w:rPr>
          <w:rFonts w:ascii="Arial;sans-serif" w:hAnsi="Arial;sans-serif"/>
          <w:b w:val="false"/>
          <w:color w:val="000000"/>
          <w:sz w:val="20"/>
          <w:shd w:fill="FFFFFF" w:val="clear"/>
        </w:rPr>
        <w:t>$84 million of repayments of debt</w:t>
      </w:r>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Critical Accounting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 discussion of our critical accounting estimates, see Part II, Item 7. Management’s Discussion and Analysis of Financial Condition and Results of Operations, Critical Accounting Estimates of our Annual Report on Form 10-K for the year ended August 28, 2025. There have been no significant changes to our critical accounting estimates since our Annual Report on Form 10-K for the year ended August 28,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6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33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33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Recently Issued Accounting Standards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Part I, Item 1. Financial Statements, Notes to Consolidated Financial Statements, Note 2. Recently Issued Accounting Standards.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further discussion about market risk and sensitivity analysis related to changes in interest rates and currency exchange rates, see Part II, Item 7A. Quantitative and Qualitative Disclosures About Market Risk in our Annual Report on Form 10-K for the year ended August 28, 2025. There have been no material changes to our market risk during the three months ended November 27,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4.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first quarter of 2026, there were no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7495"/>
                <wp:effectExtent l="0" t="0" r="0" b="0"/>
                <wp:wrapNone/>
                <wp:docPr id="66" name="Frame3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6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7" descr=""/>
                                          <pic:cNvPicPr>
                                            <a:picLocks noChangeAspect="1" noChangeArrowheads="1"/>
                                          </pic:cNvPicPr>
                                        </pic:nvPicPr>
                                        <pic:blipFill>
                                          <a:blip r:embed="rId34"/>
                                          <a:stretch>
                                            <a:fillRect/>
                                          </a:stretch>
                                        </pic:blipFill>
                                        <pic:spPr bwMode="auto">
                                          <a:xfrm>
                                            <a:off x="0" y="0"/>
                                            <a:ext cx="866775" cy="180975"/>
                                          </a:xfrm>
                                          <a:prstGeom prst="rect">
                                            <a:avLst/>
                                          </a:prstGeom>
                                        </pic:spPr>
                                      </pic:pic>
                                    </a:graphicData>
                                  </a:graphic>
                                </wp:inline>
                              </w:drawing>
                            </w:r>
                            <w:bookmarkStart w:id="32" w:name="i-17"/>
                            <w:bookmarkEnd w:id="32"/>
                            <w:r>
                              <w:rPr>
                                <w:color w:val="000000"/>
                              </w:rPr>
                              <w:t xml:space="preserve"> </w:t>
                            </w:r>
                            <w:r>
                              <w:rPr>
                                <w:rFonts w:ascii="Arial;sans-serif" w:hAnsi="Arial;sans-serif"/>
                                <w:b/>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6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7" descr=""/>
                                    <pic:cNvPicPr>
                                      <a:picLocks noChangeAspect="1" noChangeArrowheads="1"/>
                                    </pic:cNvPicPr>
                                  </pic:nvPicPr>
                                  <pic:blipFill>
                                    <a:blip r:embed="rId35"/>
                                    <a:stretch>
                                      <a:fillRect/>
                                    </a:stretch>
                                  </pic:blipFill>
                                  <pic:spPr bwMode="auto">
                                    <a:xfrm>
                                      <a:off x="0" y="0"/>
                                      <a:ext cx="866775" cy="180975"/>
                                    </a:xfrm>
                                    <a:prstGeom prst="rect">
                                      <a:avLst/>
                                    </a:prstGeom>
                                  </pic:spPr>
                                </pic:pic>
                              </a:graphicData>
                            </a:graphic>
                          </wp:inline>
                        </w:drawing>
                      </w:r>
                      <w:bookmarkStart w:id="33" w:name="i-17"/>
                      <w:bookmarkEnd w:id="33"/>
                      <w:r>
                        <w:rPr>
                          <w:color w:val="000000"/>
                        </w:rPr>
                        <w:t xml:space="preserve"> </w:t>
                      </w:r>
                      <w:r>
                        <w:rPr>
                          <w:rFonts w:ascii="Arial;sans-serif" w:hAnsi="Arial;sans-serif"/>
                          <w:b/>
                          <w:color w:val="000000"/>
                          <w:sz w:val="18"/>
                        </w:rPr>
                        <w:t>34</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32"/>
        </w:rPr>
      </w:pPr>
      <w:r>
        <w:rPr>
          <w:rFonts w:ascii="Arial Narrow;sans-serif" w:hAnsi="Arial Narrow;sans-serif"/>
          <w:b/>
          <w:color w:val="000000"/>
          <w:sz w:val="3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1. LEGAL PROCEEDINGS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 discussion of legal proceedings, see Part I. Financial Information, Item 1. Financial Statements, Notes to Consolidated Financial Statements, Note 11. Contingencies and Item 1A. Risk Factors in this Quarterly Report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 regulations require disclosure of certain proceedings related to environmental matters unless we reasonably believe that the related monetary sanctions, if any, will be less than a specified threshold. We use a threshold of $1 million for this purpose.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69"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35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35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1A.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Risk Factor Summary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Risks Related to Our Business, Operations, and Industry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volatility in average selling prices of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range of factors that may adversely affect our gross margins;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international operations, including geopolitical risks;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highly competitive nature of our industry;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develop, produce, and supply new and competitive memory and storage technologies and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realizing expected returns from capacity expansions;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achieving or maintaining certain outcomes and the compliance requirements associated with incentives from various governments;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availability and quality of materials, supplies, electrical power, gas, water, and capital equipment, or dependency on third-party service providers;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downturn or ongoing adverse conditions in regional or worldwide economies;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to our manufacturing process from operational issues, natural disasters, or other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dependency on certain customers, including international customers, and end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products that fail to meet specifications, are defective, or are incompatible with end uses;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breaches of our security systems or products, systems failures, interruptions, delays in service, catastrophic events, and resulting interruptions of our systems or those of our customers, suppliers, or business partners;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uncertainties and outcomes associated with the use and evolution of AI;</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attracting, retaining, and motivating highly skilled employees;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responsible sourcing requirements and related regulations;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sustainability and governance expectations or standards;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acquisitions and/or strategic transactions;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restructure plans may not realize expected savings or other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Risks Related to Intellectual Property and Litigation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protecting our intellectual property and retaining key employees who are knowledgeable of and develop our intellectual property;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legal, regulatory and administrative investigations, inquiries, proceedings, and claims;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claims that our products or manufacturing processes infringe or otherwise violate the intellectual property rights of others or failure to obtain or renew license agreements covering such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Risks Related to Laws and Regulations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impacts of government actions and compliance with tariffs, trade restrictions, and/or trade regulations;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tax expense and tax laws in key jurisdictions;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laws, regulations, or industry standards, including environmental considerations.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Risks Related to Capitalization and Financial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generate sufficient cash flows or obtain access to external financing;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debt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foreign currency exchange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counterparty default risk;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volatility in the trading price of our common stock;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fluctuations in the amount and frequency of our common stock repurchases and payment of cash dividends and resulting impacts.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7495"/>
                <wp:effectExtent l="0" t="0" r="0" b="0"/>
                <wp:wrapNone/>
                <wp:docPr id="70" name="Frame3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7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8" descr=""/>
                                          <pic:cNvPicPr>
                                            <a:picLocks noChangeAspect="1" noChangeArrowheads="1"/>
                                          </pic:cNvPicPr>
                                        </pic:nvPicPr>
                                        <pic:blipFill>
                                          <a:blip r:embed="rId36"/>
                                          <a:stretch>
                                            <a:fillRect/>
                                          </a:stretch>
                                        </pic:blipFill>
                                        <pic:spPr bwMode="auto">
                                          <a:xfrm>
                                            <a:off x="0" y="0"/>
                                            <a:ext cx="866775" cy="180975"/>
                                          </a:xfrm>
                                          <a:prstGeom prst="rect">
                                            <a:avLst/>
                                          </a:prstGeom>
                                        </pic:spPr>
                                      </pic:pic>
                                    </a:graphicData>
                                  </a:graphic>
                                </wp:inline>
                              </w:drawing>
                            </w:r>
                            <w:bookmarkStart w:id="34" w:name="i-18"/>
                            <w:bookmarkEnd w:id="34"/>
                            <w:r>
                              <w:rPr>
                                <w:color w:val="000000"/>
                              </w:rPr>
                              <w:t xml:space="preserve"> </w:t>
                            </w:r>
                            <w:r>
                              <w:rPr>
                                <w:rFonts w:ascii="Arial;sans-serif" w:hAnsi="Arial;sans-serif"/>
                                <w:b/>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7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8" descr=""/>
                                    <pic:cNvPicPr>
                                      <a:picLocks noChangeAspect="1" noChangeArrowheads="1"/>
                                    </pic:cNvPicPr>
                                  </pic:nvPicPr>
                                  <pic:blipFill>
                                    <a:blip r:embed="rId37"/>
                                    <a:stretch>
                                      <a:fillRect/>
                                    </a:stretch>
                                  </pic:blipFill>
                                  <pic:spPr bwMode="auto">
                                    <a:xfrm>
                                      <a:off x="0" y="0"/>
                                      <a:ext cx="866775" cy="180975"/>
                                    </a:xfrm>
                                    <a:prstGeom prst="rect">
                                      <a:avLst/>
                                    </a:prstGeom>
                                  </pic:spPr>
                                </pic:pic>
                              </a:graphicData>
                            </a:graphic>
                          </wp:inline>
                        </w:drawing>
                      </w:r>
                      <w:bookmarkStart w:id="35" w:name="i-18"/>
                      <w:bookmarkEnd w:id="35"/>
                      <w:r>
                        <w:rPr>
                          <w:color w:val="000000"/>
                        </w:rPr>
                        <w:t xml:space="preserve"> </w:t>
                      </w:r>
                      <w:r>
                        <w:rPr>
                          <w:rFonts w:ascii="Arial;sans-serif" w:hAnsi="Arial;sans-serif"/>
                          <w:b/>
                          <w:color w:val="000000"/>
                          <w:sz w:val="18"/>
                        </w:rPr>
                        <w:t>36</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Risks Related to Our Business, Operations, and Industry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Volatility in average selling prices for our semiconductor memory and storage products may adversely affect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experienced significant volatility in our average selling prices and may continue to experience such volatility in the future. In the past five years, annual percentage changes in DRAM average selling prices have ranged from plus low 40% to a minus high 40% range. In the past five years, annual percentage changes in NAND average selling prices have ranged from plus low 30% to a minus low 50% range. In some prior periods, average selling prices for our products have been below our manufacturing costs and we may experience such circumstances in the future. Significant declines in average selling prices in future periods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gross margins may be adversely affected by a range of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strategic product diversification decisions affecting product mix;</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increasing complexity of our product portfolio, which may impact operational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increasing complexity of manufacturing processes;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difficulties in transitioning to smaller line-width process technologies or additional 3D memory layers or NAND cell levels;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process complexity including number of mask layers and fabrication steps;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manufacturing yield and defect density;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technological barriers;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process technologies;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new products that may require relatively larger die sizes or advanced packaging technologies;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start-up or other costs associated with capacity expansions;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regional cost differences that may become more pronounced when we transition the manufacture of certain products within our global network;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higher costs of goods and services due to, among other things, inflationary pressures, regulatory actions, including tariffs or trade restrictions, increased input costs, or market conditions;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higher manufacturing costs per gigabit due to fabrication facility underutilization, lower wafer output, and insufficient volume to run new technology nodes to achieve cost optimization.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Many factors may result in a reduction of our output or a delay in ramping production, which have in the past and could in the future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operate in a dynamic and rapidly evolving industry where the timeframes for product transitions, facility expansions, production ramps, and supply chain shifts are increasingly compressed. To remain competitive, we must continuously develop and implement new products and technologies and decrease manufacturing costs in spite of inflationary pressures and regulatory uncertainty. As we streamline our production and shift capacity to leading-edge nodes, we face execution risks that could impact our ability to meet customer demand and maintain market coverage.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3"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37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37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can be no assurance we will be able to do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timely identify and address technology inflections and market changes;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accurately forecast demand and inventory levels of our customers or distributors;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timely ramp production as we transition our operations footprint to new fabrication facilities;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maintain operational flexibility in response to unforeseen changes in customer demand;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maintain supply scalability during downturns in the semiconductor markets in which we compete as we streamline our product portfolio to drive further fabrication efficiencies.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ability to execute on multiple transitions simultaneously, while maintaining supply continuity, quality standards, and cost competitiveness, is critical to sustaining our market position. If we do not successfully anticipate technology inflections and respond to changes in customer requirements and market changes, our business, results of operations, or financial condition could be materially adversely affected. Any misalignment between forecasted and actual demand, or delays in ramping new technologies, could result in elevated inventory levels, underutilized capacity, and gross margin pressure.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and underutilized capacity. Consequently, we may incur charges in connection with obsolete or excess inventories, or we may not fully recover our costs, which would reduce our gross margins. In addition, due to the customized nature of certain products we manufacture, we may be unable to sell certain finished goods inventories to alternative customers or manufacture in-process inventory to different specifications, which may result in excess and obsolescence charges or loss of revenue in future periods.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industry goes through cycles with demand changes that are not fully aligned to the available supply in the market. We may not be able to predict or quickly respond to trends in the dynamics of our markets and our customers or changes in customer demand, which could negatively impact our gross margin. Although AI is a relatively new demand driver for our products, it is evolving rapidly, and the expected timing and amount of investments related to AI can change significantly. As a result, it may be difficult to accurately forecast such demand and we may incur costs in anticipation of demand that ultimately does not materialize. If such demand does materialize, but is lower than expected, we may not be able to reduce our costs in response, which would adversely impact our gross margins. If demand exceeds our forecast, we may be unable to increase supply sufficiently to meet such demand, which could result in a loss of revenue or damage to customer relationships. Our inability to align supply with demand could have a material adverse effect on our business, results of operations, or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face geopolitical and other risks associated with our international operations that could materially adversely affect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our U.S. operations, a substantial portion of our operations are conducted in Taiwan, Singapore, Japan, Malaysia, China, and India, and many of our customers, suppliers, and vendors also operate internationally. In 2025, approximately one-third of our revenue was from sales to customers who have headquarters located outside the United States, while approximately 80% of our revenue in 2025 was from products shipped to customer locations outside the United States.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7495"/>
                <wp:effectExtent l="0" t="0" r="0" b="0"/>
                <wp:wrapNone/>
                <wp:docPr id="74" name="Frame3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7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9" descr=""/>
                                          <pic:cNvPicPr>
                                            <a:picLocks noChangeAspect="1" noChangeArrowheads="1"/>
                                          </pic:cNvPicPr>
                                        </pic:nvPicPr>
                                        <pic:blipFill>
                                          <a:blip r:embed="rId38"/>
                                          <a:stretch>
                                            <a:fillRect/>
                                          </a:stretch>
                                        </pic:blipFill>
                                        <pic:spPr bwMode="auto">
                                          <a:xfrm>
                                            <a:off x="0" y="0"/>
                                            <a:ext cx="866775" cy="180975"/>
                                          </a:xfrm>
                                          <a:prstGeom prst="rect">
                                            <a:avLst/>
                                          </a:prstGeom>
                                        </pic:spPr>
                                      </pic:pic>
                                    </a:graphicData>
                                  </a:graphic>
                                </wp:inline>
                              </w:drawing>
                            </w:r>
                            <w:bookmarkStart w:id="36" w:name="i-19"/>
                            <w:bookmarkEnd w:id="36"/>
                            <w:r>
                              <w:rPr>
                                <w:color w:val="000000"/>
                              </w:rPr>
                              <w:t xml:space="preserve"> </w:t>
                            </w:r>
                            <w:r>
                              <w:rPr>
                                <w:rFonts w:ascii="Arial;sans-serif" w:hAnsi="Arial;sans-serif"/>
                                <w:b/>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7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9" descr=""/>
                                    <pic:cNvPicPr>
                                      <a:picLocks noChangeAspect="1" noChangeArrowheads="1"/>
                                    </pic:cNvPicPr>
                                  </pic:nvPicPr>
                                  <pic:blipFill>
                                    <a:blip r:embed="rId39"/>
                                    <a:stretch>
                                      <a:fillRect/>
                                    </a:stretch>
                                  </pic:blipFill>
                                  <pic:spPr bwMode="auto">
                                    <a:xfrm>
                                      <a:off x="0" y="0"/>
                                      <a:ext cx="866775" cy="180975"/>
                                    </a:xfrm>
                                    <a:prstGeom prst="rect">
                                      <a:avLst/>
                                    </a:prstGeom>
                                  </pic:spPr>
                                </pic:pic>
                              </a:graphicData>
                            </a:graphic>
                          </wp:inline>
                        </w:drawing>
                      </w:r>
                      <w:bookmarkStart w:id="37" w:name="i-19"/>
                      <w:bookmarkEnd w:id="37"/>
                      <w:r>
                        <w:rPr>
                          <w:color w:val="000000"/>
                        </w:rPr>
                        <w:t xml:space="preserve"> </w:t>
                      </w:r>
                      <w:r>
                        <w:rPr>
                          <w:rFonts w:ascii="Arial;sans-serif" w:hAnsi="Arial;sans-serif"/>
                          <w:b/>
                          <w:color w:val="000000"/>
                          <w:sz w:val="18"/>
                        </w:rPr>
                        <w:t>38</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international operations are subject to a number of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sales of goods or services to one or more of our significant foreign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export and import duties, changes to import and export regulations, customs regulations and processes, and restrictions on the transfer of funds, including currency controls and global tariffs, which could negatively affect the amount and timing of payments from certain of our customers and, as a result, our cash flows;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U.S. and international laws involving international operations, including the Foreign Corrupt Practices Act of 1977, as amended, sanctions and anti-corruption laws, export and import laws, intellectual property, cybersecurity and data privacy laws, and similar rules and regulations;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theft of intellectual property;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political and economic instability, including instability resulting from domestic and international conflicts;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actions or civil unrest preventing the flow of products and materials, including delays in shipping and obtaining products and materials, cancellation of orders, or loss or damage of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public perception of governments in the regions where we operate;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problems with the transportation or delivery of products and materials;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issues arising from cultural or language differences and labor unrest;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longer payment cycles and greater difficulty in collecting accounts receivable;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trade, technical standards, and other laws in a variety of jurisdictions;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contractual and regulatory limitations on the ability to maintain flexibility with staffing levels;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to manufacturing or R&amp;D activities as a result of actions imposed by governments;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economic policies of foreign governments;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 of market share in foreign jurisdictions resulting from political and regulatory uncertainty regarding possible trade restrictions, domestic sourcing initiatives, or other government 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in staffing and managing international operations;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public health issues.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or our customers, suppliers, or vendors are impacted by any of these risks, it could have a material adverse effect on our business, results of operations, or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the U.S. government has in the past and continues to restrict American firms, including us, from selling products and software to certain of our customers and may in the future impose similar restrictions on one or more of our significant customers. We may not be able to fully prevent the unauthorized resale, diversion, or misuse of our products by third parties. These restrictions may not prohibit our competitors from selling similar products to our customers, which may result in a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Political, economic, or other actions may adversely affect our operations in Taiwan. A majority of our DRAM production output in 2025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7"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39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39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semiconductor memory and storage markets are highly competitive.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face intense competition in the semiconductor memory and storage markets from a number of companies, including Samsung Electronics Co., Ltd.; SK hynix Inc.; Kioxia Holdings Corporation; Sandisk Corporation; ChangXin Memory Technologies, Inc. (“CXMT”); and Yangtze Memory Technologies Co., Ltd. (“YMTC”). Our competitors may use aggressive pricing to obtain market share. Some of our competitors are large corporations or conglomerates that may operate in jurisdictions with lower labor and compliance costs and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Alternatively, new entrants into the memory and storage market could have a significant adverse impact on our competitive position. We operate in different jurisdictions than our competitors and may be impacted by unfavorable changes in currency exchange rates, import/export restrictions, and other trade regulations, including tariffs.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governments have provided, and may continue to provide, significant assistance, financial or otherwise, to some of our competitors or to new entrants and may intervene in support of national industries and/or competitors. As a result, we face the threat of increasing competition and DRAM and NAND oversupply due to significant investment in the semiconductor industry, including by the Chinese government and various state-owned or affiliated entities, such as CXMT and YMTC. In addition, the CAC’s decision that critical information infrastructure operators in China may not purchase Micron products had an adverse impact on our ability to compete effectively in China and elsewhere.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intend to advance our process technology to increase bit output per wafer, improve yields, and increase wafer supply. In addition, our competitors may increase capital expenditures resulting in future increases in worldwide supply. We, and some of our competitors, have plans to construct new fabrication facilities and/or ramp production at existing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competitive nature of our industry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future success depends on our ability to develop, produce, and supply new and competitive memory and storage technologies and products in a dynamic market environment.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key semiconductor memory and storage technologies face technological barriers to continue to meet long-term customer needs. These barriers include achieving acceptable yields and quality for HBM products with their multiple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7495"/>
                <wp:effectExtent l="0" t="0" r="0" b="0"/>
                <wp:wrapNone/>
                <wp:docPr id="78" name="Frame4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7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0" descr=""/>
                                          <pic:cNvPicPr>
                                            <a:picLocks noChangeAspect="1" noChangeArrowheads="1"/>
                                          </pic:cNvPicPr>
                                        </pic:nvPicPr>
                                        <pic:blipFill>
                                          <a:blip r:embed="rId40"/>
                                          <a:stretch>
                                            <a:fillRect/>
                                          </a:stretch>
                                        </pic:blipFill>
                                        <pic:spPr bwMode="auto">
                                          <a:xfrm>
                                            <a:off x="0" y="0"/>
                                            <a:ext cx="866775" cy="180975"/>
                                          </a:xfrm>
                                          <a:prstGeom prst="rect">
                                            <a:avLst/>
                                          </a:prstGeom>
                                        </pic:spPr>
                                      </pic:pic>
                                    </a:graphicData>
                                  </a:graphic>
                                </wp:inline>
                              </w:drawing>
                            </w:r>
                            <w:bookmarkStart w:id="38" w:name="i-20"/>
                            <w:bookmarkEnd w:id="38"/>
                            <w:r>
                              <w:rPr>
                                <w:color w:val="000000"/>
                              </w:rPr>
                              <w:t xml:space="preserve"> </w:t>
                            </w:r>
                            <w:r>
                              <w:rPr>
                                <w:rFonts w:ascii="Arial;sans-serif" w:hAnsi="Arial;sans-serif"/>
                                <w:b/>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8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0" descr=""/>
                                    <pic:cNvPicPr>
                                      <a:picLocks noChangeAspect="1" noChangeArrowheads="1"/>
                                    </pic:cNvPicPr>
                                  </pic:nvPicPr>
                                  <pic:blipFill>
                                    <a:blip r:embed="rId41"/>
                                    <a:stretch>
                                      <a:fillRect/>
                                    </a:stretch>
                                  </pic:blipFill>
                                  <pic:spPr bwMode="auto">
                                    <a:xfrm>
                                      <a:off x="0" y="0"/>
                                      <a:ext cx="866775" cy="180975"/>
                                    </a:xfrm>
                                    <a:prstGeom prst="rect">
                                      <a:avLst/>
                                    </a:prstGeom>
                                  </pic:spPr>
                                </pic:pic>
                              </a:graphicData>
                            </a:graphic>
                          </wp:inline>
                        </w:drawing>
                      </w:r>
                      <w:bookmarkStart w:id="39" w:name="i-20"/>
                      <w:bookmarkEnd w:id="39"/>
                      <w:r>
                        <w:rPr>
                          <w:color w:val="000000"/>
                        </w:rPr>
                        <w:t xml:space="preserve"> </w:t>
                      </w:r>
                      <w:r>
                        <w:rPr>
                          <w:rFonts w:ascii="Arial;sans-serif" w:hAnsi="Arial;sans-serif"/>
                          <w:b/>
                          <w:color w:val="000000"/>
                          <w:sz w:val="18"/>
                        </w:rPr>
                        <w:t>40</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our ability to successfully introduce new products often requires us to make product specification decisions multiple years in advance of when new products enter the market. Recent technologies, such as generative AI models have emerged, and while they have driven increased demand for HBM and other advanced products in the data center and other markets, the long-term trajectory is unknown and associated demand may fluctuate. Due to the higher performance and more complex manufacturing process, HBM requires a higher number of wafers and more cleanroom space to produce the same number of bits as conventional DRAM in the same technology node. If demand for HBM weakens and suppliers shift capacity from HBM to conventional DRAM, this could result in a significant increase in conventional DRAM supply. An oversupplied DRAM market may lead to downward pressure on pricing, which could adversely impact our financial results. Conversely, as the demand for DRAM, HBM, or any of our other products has increased and may continue to increase, we may be unable to increase supply sufficiently to meet such demand. Our ability to meet demand is influenced by numerous factors, including changes in product development cycles, cleanroom capacity, ramping technologies, and evolving customer requirements. When demand exceeds our supply, we may be unable to scale supply sufficiently, requiring us to make decisions about manufacturing priorities as well as customer and market supply allocations. These decisions could strain long-term customer relationships, lead to legal or other disputes, and limit our ability to sell product into certain end markets in the future if conditions change.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product demand may also be impacted significantly by the strategic actions of our customers. It is important that we deliver products in a timely manner that meet customer requirements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can be no assurance of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will be successful in developing competitive new semiconductor memory and storage technologies and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will be able to cost-effectively manufacture new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will be able to successfully achieve revenue targets for these technologies;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margins and cash flows generated from sales of these products will allow us to recover costs of development efforts;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will be able to establish or maintain key relationships with customers, or that we will not be prohibited from working with certain customers, for specific chip set or design requirements;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will accurately predict and design products that meet our customers’ specifications; or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will be able to introduce new products into the market and qualify them with our customers on a timely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Unsuccessful efforts to develop new memory and storage technologies and products could have a material adverse effect on our business, results of operations, or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41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41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may not be able to achieve expected returns from capacity expansions.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commenced expansion of our production capacity in the United States and in other regions where we operate. Semiconductor fabs are complex, capital-intensive projects and require specialized knowledge, expertise, experience, and skill sets to construct and operate.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construction projects are highly dependent on available sources of materials, and specialized equipment, as well as labor, skilled sub-contractors and other service providers. Increasing demand, supply constraints, inflation, tariffs, trade restrictions,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these expansions involve several risks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inability to meet capital expenditure requirements for capacity expansions, including during periods of relatively low free cash flow generation, resulting from challenging memory and storage industry conditions;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unavailability of necessary funding, which may include external sources;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realize expected grants, investment tax credits, and other government incentives, including through the CHIPS Act and other national, international, state, and local grants;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 changes in laws or provisions of grants, investment tax credits, and other government incentives, including the CHIPS Act;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and potential restrictions related to environmental and other government regulations or permits;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 restrictions on expanding in certain geographies;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complete construction as scheduled and within budget;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attract, retain and motivate key talent;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inability to timely ramp production in a cost-effective manner;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increases to our cost structure until new production is ramped to adequate scale;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insufficient customer demand to utilize our increased capacity.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we have experienced impacts from certain of the above items and, because these risks are a characteristic of our business, we expect to experience them in the future. Depending on the nature and extent of the impact from these risks, we may be unable to produce sufficient capacity in the expected timeframe which could result in delays in the completion of our construction projects and increased costs, including costs to operate these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 broad portfolio of products to address our customers’ needs, which span multiple market segments and are subject to rapid technological changes. 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Our strategic decision-making process involves careful evaluation and prioritization of investments to ensure alignment with our long-term goals. Additionally, we may choose to exit business or market segments that do not provide us with optimal returns. As we streamline our product portfolio, we may face execution risks that could impact our ability to support demand and maintain share in certain markets. Further, as we continue to optimize the efficiency of our fabrication facilities to support demand from leading edge notes, any delays in completion and ramping of new production facilities, or failure to optimize our investment choices, could significantly impact our ability to realize expected returns on our capital expenditures.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of the above factors could have a material adverse effect on our business, results of operations, or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77495"/>
                <wp:effectExtent l="0" t="0" r="0" b="0"/>
                <wp:wrapNone/>
                <wp:docPr id="82" name="Frame4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8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1" descr=""/>
                                          <pic:cNvPicPr>
                                            <a:picLocks noChangeAspect="1" noChangeArrowheads="1"/>
                                          </pic:cNvPicPr>
                                        </pic:nvPicPr>
                                        <pic:blipFill>
                                          <a:blip r:embed="rId42"/>
                                          <a:stretch>
                                            <a:fillRect/>
                                          </a:stretch>
                                        </pic:blipFill>
                                        <pic:spPr bwMode="auto">
                                          <a:xfrm>
                                            <a:off x="0" y="0"/>
                                            <a:ext cx="866775" cy="180975"/>
                                          </a:xfrm>
                                          <a:prstGeom prst="rect">
                                            <a:avLst/>
                                          </a:prstGeom>
                                        </pic:spPr>
                                      </pic:pic>
                                    </a:graphicData>
                                  </a:graphic>
                                </wp:inline>
                              </w:drawing>
                            </w:r>
                            <w:bookmarkStart w:id="40" w:name="i-21"/>
                            <w:bookmarkEnd w:id="40"/>
                            <w:r>
                              <w:rPr>
                                <w:color w:val="000000"/>
                              </w:rPr>
                              <w:t xml:space="preserve"> </w:t>
                            </w:r>
                            <w:r>
                              <w:rPr>
                                <w:rFonts w:ascii="Arial;sans-serif" w:hAnsi="Arial;sans-serif"/>
                                <w:b/>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8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1" descr=""/>
                                    <pic:cNvPicPr>
                                      <a:picLocks noChangeAspect="1" noChangeArrowheads="1"/>
                                    </pic:cNvPicPr>
                                  </pic:nvPicPr>
                                  <pic:blipFill>
                                    <a:blip r:embed="rId43"/>
                                    <a:stretch>
                                      <a:fillRect/>
                                    </a:stretch>
                                  </pic:blipFill>
                                  <pic:spPr bwMode="auto">
                                    <a:xfrm>
                                      <a:off x="0" y="0"/>
                                      <a:ext cx="866775" cy="180975"/>
                                    </a:xfrm>
                                    <a:prstGeom prst="rect">
                                      <a:avLst/>
                                    </a:prstGeom>
                                  </pic:spPr>
                                </pic:pic>
                              </a:graphicData>
                            </a:graphic>
                          </wp:inline>
                        </w:drawing>
                      </w:r>
                      <w:bookmarkStart w:id="41" w:name="i-21"/>
                      <w:bookmarkEnd w:id="41"/>
                      <w:r>
                        <w:rPr>
                          <w:color w:val="000000"/>
                        </w:rPr>
                        <w:t xml:space="preserve"> </w:t>
                      </w:r>
                      <w:r>
                        <w:rPr>
                          <w:rFonts w:ascii="Arial;sans-serif" w:hAnsi="Arial;sans-serif"/>
                          <w:b/>
                          <w:color w:val="000000"/>
                          <w:sz w:val="18"/>
                        </w:rPr>
                        <w:t>42</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incentives from various governments are conditioned upon achieving or maintaining certain outcomes and satisfying compliance requirements and are subject to reduction, termination, or clawback, and could impose certain limitations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received, and expect to receive in the future, benefits and incentives from national, state, and local governments in various regions of the world designed to encourage us to establish, maintain, or increase investment, workforce, research and development, or production in those regions. However, there is no guarantee that such government incentives and benefits will continue to be available in the future on the same terms, terms that are acceptable to us or at all and existing incentives could be modified or terminated by government authorities. In addition, we have discretion in the timing of use of certain of these incentives. If we choose to exercise such discretion due to the cyclicality of our business or other factors, we may not be able to fully utilize these incentives. Our future business plans may be impacted by obtaining these government incentives, which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We may fail to achieve these milestones, in a timely manner or at all, due to a variety of factors, some of which may be outside of our control, including a cyclical downturn in our business or global downturn. Failure to achieve such milestones could result in up to all of certain incentives being clawed back, in some cases along with interest and/or loss of project assets.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 and failure to comply could result in termination of incentive programs or clawbacks of incentive amounts received, in some cases along with interest and/or loss of project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in December 2024, we entered into direct funding agreements, providing funds for the construction of fab facilities in Idaho and New York, with the United States Department of Commerce (the “Department”) under the Department’s CHIPS Incentives Program established pursuant to the CHIPS Act. In June 2025, such agreements were subsequently amended to expand our investments, and we entered into a direct funding agreement to provide funds to expand and modernize our fab in Virginia. The awards under the direct funding agreements are subject to various conditions and we may not receive the funding expected on the same terms or at all. We cannot guarantee that we will successfully achieve or maintain outcomes or satisfy the compliance requirements to qualify for these incentives or that the granting agencies will provide or continue to provide such funding.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incentive arrangements, including the funding agreements, typically provide the granting agencies with rights to audit our compliance with their terms and obligations. Such audits could result in modifications to, or termination of, the applicable incentive program. In addition, the incentives we receive, including the funding agreements, are in some cases subject to reduction, termination, or clawback under certain circumstances, and any decrease or clawback of government incentives could have a material adverse effect on our business, results of operations, or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43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43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business, results of operations, or financial condition could be adversely affected by the availability and quality of materials, supplies, electrical power, gas, water, and capital equipment, or dependency on third-party service providers.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photoresists,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periods of shortage, we may not be able to obtain the needed supply in a timely manner or we may be required to incur increased costs in order to meet our contractual commitments and demand from our customers or experience a decrease in revenue. In addition, if any of our suppliers were to cease operations or become insolvent, this could impact their ability to provide us with necessary supplies, and we may not be able to obtain the needed supply in a timely manner or at all from other providers.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restricted export of certain of these materials and may in the future continue to restrict, expand restrictions, or stop exporting these or other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and/or our suppliers and service providers could be affected by regional conflicts, acts of war,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7495"/>
                <wp:effectExtent l="0" t="0" r="0" b="0"/>
                <wp:wrapNone/>
                <wp:docPr id="86" name="Frame4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8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2" descr=""/>
                                          <pic:cNvPicPr>
                                            <a:picLocks noChangeAspect="1" noChangeArrowheads="1"/>
                                          </pic:cNvPicPr>
                                        </pic:nvPicPr>
                                        <pic:blipFill>
                                          <a:blip r:embed="rId44"/>
                                          <a:stretch>
                                            <a:fillRect/>
                                          </a:stretch>
                                        </pic:blipFill>
                                        <pic:spPr bwMode="auto">
                                          <a:xfrm>
                                            <a:off x="0" y="0"/>
                                            <a:ext cx="866775" cy="180975"/>
                                          </a:xfrm>
                                          <a:prstGeom prst="rect">
                                            <a:avLst/>
                                          </a:prstGeom>
                                        </pic:spPr>
                                      </pic:pic>
                                    </a:graphicData>
                                  </a:graphic>
                                </wp:inline>
                              </w:drawing>
                            </w:r>
                            <w:bookmarkStart w:id="42" w:name="i-22"/>
                            <w:bookmarkEnd w:id="42"/>
                            <w:r>
                              <w:rPr>
                                <w:color w:val="000000"/>
                              </w:rPr>
                              <w:t xml:space="preserve"> </w:t>
                            </w:r>
                            <w:r>
                              <w:rPr>
                                <w:rFonts w:ascii="Arial;sans-serif" w:hAnsi="Arial;sans-serif"/>
                                <w:b/>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8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2" descr=""/>
                                    <pic:cNvPicPr>
                                      <a:picLocks noChangeAspect="1" noChangeArrowheads="1"/>
                                    </pic:cNvPicPr>
                                  </pic:nvPicPr>
                                  <pic:blipFill>
                                    <a:blip r:embed="rId45"/>
                                    <a:stretch>
                                      <a:fillRect/>
                                    </a:stretch>
                                  </pic:blipFill>
                                  <pic:spPr bwMode="auto">
                                    <a:xfrm>
                                      <a:off x="0" y="0"/>
                                      <a:ext cx="866775" cy="180975"/>
                                    </a:xfrm>
                                    <a:prstGeom prst="rect">
                                      <a:avLst/>
                                    </a:prstGeom>
                                  </pic:spPr>
                                </pic:pic>
                              </a:graphicData>
                            </a:graphic>
                          </wp:inline>
                        </w:drawing>
                      </w:r>
                      <w:bookmarkStart w:id="43" w:name="i-22"/>
                      <w:bookmarkEnd w:id="43"/>
                      <w:r>
                        <w:rPr>
                          <w:color w:val="000000"/>
                        </w:rPr>
                        <w:t xml:space="preserve"> </w:t>
                      </w:r>
                      <w:r>
                        <w:rPr>
                          <w:rFonts w:ascii="Arial;sans-serif" w:hAnsi="Arial;sans-serif"/>
                          <w:b/>
                          <w:color w:val="000000"/>
                          <w:sz w:val="18"/>
                        </w:rPr>
                        <w:t>44</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Downturns or ongoing adverse conditions in regional or worldwide economies may harm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Downturns or ongoing adverse conditions in regional or worldwide economies, due to inflation, geopolitics, changes in government borrowing or spending, trade disputes, war,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memory and storage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or ongoing adverse conditions in regional or worldwide economies could have a material adverse effect on our business, results of operations, or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45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45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If our manufacturing process is disrupted by operational issues, natural disasters, or other events, our business, results of operations, or financial condition could be materially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China, and India. As a result of the necessary interdependence within our network of manufacturing facilities, an operational disruption at one of our or a subcontractor’s facilities may have a disproportionate impact on our ability to produce many of our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there have been disruptions in our manufacturing operations as a result of power outages, improperly functioning equipment and facilities,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 significant portion of our revenue is concentrated with certain customers and end markets.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2025, over half of our total revenue came from our top ten customers. Among our end markets, approximately one-half of our total revenue was concentrated in the data center end market. A disruption in our relationship with any of our top customers or a significant decrease in demand for our data center products, or in the overall data center end market, could adversely affect our business. We could experience fluctuations in our customer base or the mix of revenue by customer or end market, as markets and strategies evolve. Demand for our products may fluctuate due to factors beyond our control. Our inability to qualify our products to meet customer or end market requirements could adversely impact our revenue. A meaningful change in inventory strategy by our top customers or in certain end markets could impact our industry bit demand growth outlook. In addition, any consolidation of our customers or consolidation of significant end markets could limit the opportunity for sale of our products. Further, if we are unable to satisfy customer demand and customers are required to purchase products from our competitors, they may shift immediate and future purchases to such competitors, which could harm our customer relationships and adversely impact our access to certain end markets. The loss of, or restrictions on our ability to sell to, one or more of our major customers or in certain end markets, or any significant reduction in orders or a shift in product mix, could have a material adverse effect on our business, results of operations, or financial condition. See Part I. Financial Information, Item 1. Financial Statements, Notes to Consolidated Financial Statements, Note 20. Segment and Other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7495"/>
                <wp:effectExtent l="0" t="0" r="0" b="0"/>
                <wp:wrapNone/>
                <wp:docPr id="90" name="Frame4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9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3" descr=""/>
                                          <pic:cNvPicPr>
                                            <a:picLocks noChangeAspect="1" noChangeArrowheads="1"/>
                                          </pic:cNvPicPr>
                                        </pic:nvPicPr>
                                        <pic:blipFill>
                                          <a:blip r:embed="rId46"/>
                                          <a:stretch>
                                            <a:fillRect/>
                                          </a:stretch>
                                        </pic:blipFill>
                                        <pic:spPr bwMode="auto">
                                          <a:xfrm>
                                            <a:off x="0" y="0"/>
                                            <a:ext cx="866775" cy="180975"/>
                                          </a:xfrm>
                                          <a:prstGeom prst="rect">
                                            <a:avLst/>
                                          </a:prstGeom>
                                        </pic:spPr>
                                      </pic:pic>
                                    </a:graphicData>
                                  </a:graphic>
                                </wp:inline>
                              </w:drawing>
                            </w:r>
                            <w:bookmarkStart w:id="44" w:name="i-23"/>
                            <w:bookmarkEnd w:id="44"/>
                            <w:r>
                              <w:rPr>
                                <w:color w:val="000000"/>
                              </w:rPr>
                              <w:t xml:space="preserve"> </w:t>
                            </w:r>
                            <w:r>
                              <w:rPr>
                                <w:rFonts w:ascii="Arial;sans-serif" w:hAnsi="Arial;sans-serif"/>
                                <w:b/>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9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3" descr=""/>
                                    <pic:cNvPicPr>
                                      <a:picLocks noChangeAspect="1" noChangeArrowheads="1"/>
                                    </pic:cNvPicPr>
                                  </pic:nvPicPr>
                                  <pic:blipFill>
                                    <a:blip r:embed="rId47"/>
                                    <a:stretch>
                                      <a:fillRect/>
                                    </a:stretch>
                                  </pic:blipFill>
                                  <pic:spPr bwMode="auto">
                                    <a:xfrm>
                                      <a:off x="0" y="0"/>
                                      <a:ext cx="866775" cy="180975"/>
                                    </a:xfrm>
                                    <a:prstGeom prst="rect">
                                      <a:avLst/>
                                    </a:prstGeom>
                                  </pic:spPr>
                                </pic:pic>
                              </a:graphicData>
                            </a:graphic>
                          </wp:inline>
                        </w:drawing>
                      </w:r>
                      <w:bookmarkStart w:id="45" w:name="i-23"/>
                      <w:bookmarkEnd w:id="45"/>
                      <w:r>
                        <w:rPr>
                          <w:color w:val="000000"/>
                        </w:rPr>
                        <w:t xml:space="preserve"> </w:t>
                      </w:r>
                      <w:r>
                        <w:rPr>
                          <w:rFonts w:ascii="Arial;sans-serif" w:hAnsi="Arial;sans-serif"/>
                          <w:b/>
                          <w:color w:val="000000"/>
                          <w:sz w:val="18"/>
                        </w:rPr>
                        <w:t>46</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Increases in sales of system solutions may increase our dependency upon specific customers and our costs to develop, qualify, and manufacture our system solutions.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development of system-level memory and storage products is dependent, in part, upon successfully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Manufacturing system-level solutions, such as SSDs, managed NAND, and HBM, typically results in higher per-unit manufacturing costs and longer cycle time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system-level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Products that fail to meet specifications, are defective, or are otherwise incompatible with end uses could impose significant costs on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pStyle w:val="TextBody"/>
        <w:bidi w:val="0"/>
        <w:spacing w:before="0" w:after="0"/>
        <w:jc w:val="left"/>
        <w:rPr/>
      </w:pPr>
      <w:r>
        <w:rPr/>
      </w:r>
    </w:p>
    <w:p>
      <w:pPr>
        <w:pStyle w:val="TextBody"/>
        <w:bidi w:val="0"/>
        <w:spacing w:lineRule="auto" w:line="288" w:before="1" w:after="283"/>
        <w:ind w:left="0" w:right="0" w:hanging="360"/>
        <w:jc w:val="left"/>
        <w:rPr/>
      </w:pPr>
      <w:r>
        <w:rPr>
          <w:color w:val="000000"/>
        </w:rPr>
        <w:t>•</w:t>
      </w:r>
      <w:r>
        <w:rPr>
          <w:rFonts w:ascii="Arial;sans-serif" w:hAnsi="Arial;sans-serif"/>
          <w:b w:val="false"/>
          <w:color w:val="000000"/>
          <w:sz w:val="20"/>
        </w:rPr>
        <w:t>we may be required or agree to compensate customers for costs incurred or damages caused by defective or incompatible products and to replace products;</w:t>
      </w:r>
    </w:p>
    <w:p>
      <w:pPr>
        <w:pStyle w:val="TextBody"/>
        <w:bidi w:val="0"/>
        <w:spacing w:lineRule="auto" w:line="288" w:before="1" w:after="283"/>
        <w:ind w:left="0" w:right="0" w:hanging="360"/>
        <w:jc w:val="left"/>
        <w:rPr/>
      </w:pPr>
      <w:r>
        <w:rPr>
          <w:color w:val="000000"/>
        </w:rPr>
        <w:t>•</w:t>
      </w:r>
      <w:r>
        <w:rPr>
          <w:rFonts w:ascii="Arial;sans-serif" w:hAnsi="Arial;sans-serif"/>
          <w:b w:val="false"/>
          <w:color w:val="000000"/>
          <w:sz w:val="20"/>
        </w:rPr>
        <w:t xml:space="preserve">we could incur a decrease in revenue or adjustment to pricing commensurate with the reimbursement of such costs or alleged damages; </w:t>
      </w:r>
    </w:p>
    <w:p>
      <w:pPr>
        <w:pStyle w:val="TextBody"/>
        <w:bidi w:val="0"/>
        <w:spacing w:lineRule="auto" w:line="288" w:before="1" w:after="283"/>
        <w:ind w:left="0" w:right="0" w:hanging="360"/>
        <w:jc w:val="left"/>
        <w:rPr/>
      </w:pPr>
      <w:r>
        <w:rPr>
          <w:color w:val="000000"/>
        </w:rPr>
        <w:t>•</w:t>
      </w:r>
      <w:r>
        <w:rPr>
          <w:rFonts w:ascii="Arial;sans-serif" w:hAnsi="Arial;sans-serif"/>
          <w:b w:val="false"/>
          <w:color w:val="000000"/>
          <w:sz w:val="20"/>
        </w:rPr>
        <w:t>we could be required to indemnify our customers or end users or we may face other claims, including litigation, which could result in increased costs in defending ourselves and/or paying resulting damages; and</w:t>
      </w:r>
    </w:p>
    <w:p>
      <w:pPr>
        <w:pStyle w:val="TextBody"/>
        <w:bidi w:val="0"/>
        <w:spacing w:lineRule="auto" w:line="288" w:before="1" w:after="283"/>
        <w:ind w:left="0" w:right="0" w:hanging="360"/>
        <w:jc w:val="left"/>
        <w:rPr/>
      </w:pPr>
      <w:r>
        <w:rPr>
          <w:color w:val="000000"/>
        </w:rPr>
        <w:t>•</w:t>
      </w:r>
      <w:r>
        <w:rPr>
          <w:rFonts w:ascii="Arial;sans-serif" w:hAnsi="Arial;sans-serif"/>
          <w:b w:val="false"/>
          <w:color w:val="000000"/>
          <w:sz w:val="20"/>
        </w:rPr>
        <w:t>we may encounter adverse publicity, which could cause a decrease in sales of our products or harm our reputation or relationships with existing or potential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of the foregoing items could have a material adverse effect on our business,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93"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47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47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a system of controls over the physical security of our facilities. We also manage and store various proprietary information and sensitive or confidential data relating to our operations. In addition, we process, store, and transmit data relating to our customers, suppliers,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 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 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such event, or the perception it has occurred, may result in significant losses and damage our reputation with customers and suppliers and may expose us to claims, demands, and litigation.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Products and the 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be compromised, breached, or circumvented by motivated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experience a cyberattack, our products are attacked, or our suppliers, third-party service providers, cloud solution providers, or sub-processors, are breached or attacked, this could harm our business by requiring us to employ additional resources to remediate the errors or defects, and could expose us to litigation, claims, and harm to our reputation.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7495"/>
                <wp:effectExtent l="0" t="0" r="0" b="0"/>
                <wp:wrapNone/>
                <wp:docPr id="94" name="Frame4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9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4" descr=""/>
                                          <pic:cNvPicPr>
                                            <a:picLocks noChangeAspect="1" noChangeArrowheads="1"/>
                                          </pic:cNvPicPr>
                                        </pic:nvPicPr>
                                        <pic:blipFill>
                                          <a:blip r:embed="rId48"/>
                                          <a:stretch>
                                            <a:fillRect/>
                                          </a:stretch>
                                        </pic:blipFill>
                                        <pic:spPr bwMode="auto">
                                          <a:xfrm>
                                            <a:off x="0" y="0"/>
                                            <a:ext cx="866775" cy="180975"/>
                                          </a:xfrm>
                                          <a:prstGeom prst="rect">
                                            <a:avLst/>
                                          </a:prstGeom>
                                        </pic:spPr>
                                      </pic:pic>
                                    </a:graphicData>
                                  </a:graphic>
                                </wp:inline>
                              </w:drawing>
                            </w:r>
                            <w:bookmarkStart w:id="46" w:name="i-24"/>
                            <w:bookmarkEnd w:id="46"/>
                            <w:r>
                              <w:rPr>
                                <w:color w:val="000000"/>
                              </w:rPr>
                              <w:t xml:space="preserve"> </w:t>
                            </w:r>
                            <w:r>
                              <w:rPr>
                                <w:rFonts w:ascii="Arial;sans-serif" w:hAnsi="Arial;sans-serif"/>
                                <w:b/>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9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4" descr=""/>
                                    <pic:cNvPicPr>
                                      <a:picLocks noChangeAspect="1" noChangeArrowheads="1"/>
                                    </pic:cNvPicPr>
                                  </pic:nvPicPr>
                                  <pic:blipFill>
                                    <a:blip r:embed="rId49"/>
                                    <a:stretch>
                                      <a:fillRect/>
                                    </a:stretch>
                                  </pic:blipFill>
                                  <pic:spPr bwMode="auto">
                                    <a:xfrm>
                                      <a:off x="0" y="0"/>
                                      <a:ext cx="866775" cy="180975"/>
                                    </a:xfrm>
                                    <a:prstGeom prst="rect">
                                      <a:avLst/>
                                    </a:prstGeom>
                                  </pic:spPr>
                                </pic:pic>
                              </a:graphicData>
                            </a:graphic>
                          </wp:inline>
                        </w:drawing>
                      </w:r>
                      <w:bookmarkStart w:id="47" w:name="i-24"/>
                      <w:bookmarkEnd w:id="47"/>
                      <w:r>
                        <w:rPr>
                          <w:color w:val="000000"/>
                        </w:rPr>
                        <w:t xml:space="preserve"> </w:t>
                      </w:r>
                      <w:r>
                        <w:rPr>
                          <w:rFonts w:ascii="Arial;sans-serif" w:hAnsi="Arial;sans-serif"/>
                          <w:b/>
                          <w:color w:val="000000"/>
                          <w:sz w:val="18"/>
                        </w:rPr>
                        <w:t>48</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 and evolving laws and regulations relating to cybersecurity, data privacy, digital products, and AI impose requirements for information confidentiality, integrity, availability, personal and proprietary data collection, storage, use, sharing, deletion, and AI systems to be appropriately transparent, fair, secure, responsibly deployed, and accountable. Along with these laws and regulations, standards and market expectations could cause us to incur additional direct costs for compliance, as well as increased indirect costs resulting from our customers’, suppliers’, or partners’ reluctance to share information or solutions due to actual or perceived inadequate controls. As a result of these considerations, we could experience a reduction of production or sales of our products; remediation costs and activities; increased compliance costs; regulatory penalties, fines, civil or criminal sanctions, and other legal liabilities; and reputational challenges. Compliance with, or our failure, or the failure of our third-party sales channel partners or agents, to comply with, laws, regulations, or industry standards could have a material adverse effect on our business, results of operations, or financial condition.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may be adversely impacted by any of the multiple uncertainties and outcomes associated with the use and evolution of AI.</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continue to increase or change the competitive environment in our markets. Our competitors may be more successful in their AI strategy or they may have access to greater AI resources or technology and develop superior products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AI algorithms or training methodologies may be flawed, and datasets may contain irrelevant, insufficient or biased information, which can cause errors in outputs. The use of AI in the development of our products could also cause loss of intellectual property, as well as subject us to risks related to intellectual property infringement or misappropriation, data privacy and cybersecurity. AI is also the subject of an evolving set of legal requirements and regulations and we may be subject to new and conflicting laws and regulations. Any of these matters may give rise to legal liability, damage our reputation, and materially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must attract, retain, and motivate highly skilled employees.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stay competitive, we need a highly skilled, global workforce and effective succession management for key roles. Hiring, retaining, and motivating qualified executives and other skilled talent is critical to our business, and competition can be intense. If our total compensation programs, benefits, and workplace culture are not seen as competitive and inclusive, our ability to attract and retain talent could be compromised.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Intense competition for talent can lead to increased compensation costs. Significant attrition and delays in replacing employees can result in a loss of critical skills, reduced morale, business disruptions, inefficiencies during transitions, and increased expenses. Additionally, changes to immigration policies and travel restrictions due to public health crises or other causes may limit our ability to hire, retain, or transfer talent to specific locations.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success depends on our ability to attract, retain, and motivate key talent. Failure to do so could inhibit our ability to maintain or expand operations and adversely impact our operating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97"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49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49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and many of our customers have adopted responsible sourcing programs that require us to meet certain sustainability, governance, or other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Evolving sustainability and governance expectations or standards or failure to achieve our related goals could adversely affect our business, results of operations, financial condition, or stock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recent years, there has been an increased focus from stakeholders on sustainability and governance matters, including greenhouse gas emissions and climate-related risks, carbon-free electricity, water stewardship, waste management, inclusion, responsible sourcing and supply chain, and human rights. We actively manage these issues and have established and publicly announced certain sustainability goals, commitments, and targets which we may refine or modify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Such risks and uncertainties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reputational harm, including damage to our relationships with customers, suppliers, investors, governments, or other stakeholders;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adverse impacts on our ability to manufacture and sell products and maintain our market share;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our collaborations with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 of business due to failure to meet our customers’ sustainability targets;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risk of litigation, investigations, or regulatory enforcement action;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unfavorable sustainability and governance ratings or investor sentiment;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diversion of resources and increased costs to control, assess, and report on sustainability and governance metrics;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achieve our goals, commitments, and targets within timeframes announced;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costs to achieve our goals, commitments, and targets;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unforeseen operational and technological difficulties;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access to and increased cost of capital;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adverse impacts on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7495"/>
                <wp:effectExtent l="0" t="0" r="0" b="0"/>
                <wp:wrapNone/>
                <wp:docPr id="98" name="Frame5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9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5" descr=""/>
                                          <pic:cNvPicPr>
                                            <a:picLocks noChangeAspect="1" noChangeArrowheads="1"/>
                                          </pic:cNvPicPr>
                                        </pic:nvPicPr>
                                        <pic:blipFill>
                                          <a:blip r:embed="rId50"/>
                                          <a:stretch>
                                            <a:fillRect/>
                                          </a:stretch>
                                        </pic:blipFill>
                                        <pic:spPr bwMode="auto">
                                          <a:xfrm>
                                            <a:off x="0" y="0"/>
                                            <a:ext cx="866775" cy="180975"/>
                                          </a:xfrm>
                                          <a:prstGeom prst="rect">
                                            <a:avLst/>
                                          </a:prstGeom>
                                        </pic:spPr>
                                      </pic:pic>
                                    </a:graphicData>
                                  </a:graphic>
                                </wp:inline>
                              </w:drawing>
                            </w:r>
                            <w:bookmarkStart w:id="48" w:name="i-25"/>
                            <w:bookmarkEnd w:id="48"/>
                            <w:r>
                              <w:rPr>
                                <w:color w:val="000000"/>
                              </w:rPr>
                              <w:t xml:space="preserve"> </w:t>
                            </w:r>
                            <w:r>
                              <w:rPr>
                                <w:rFonts w:ascii="Arial;sans-serif" w:hAnsi="Arial;sans-serif"/>
                                <w:b/>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0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5" descr=""/>
                                    <pic:cNvPicPr>
                                      <a:picLocks noChangeAspect="1" noChangeArrowheads="1"/>
                                    </pic:cNvPicPr>
                                  </pic:nvPicPr>
                                  <pic:blipFill>
                                    <a:blip r:embed="rId51"/>
                                    <a:stretch>
                                      <a:fillRect/>
                                    </a:stretch>
                                  </pic:blipFill>
                                  <pic:spPr bwMode="auto">
                                    <a:xfrm>
                                      <a:off x="0" y="0"/>
                                      <a:ext cx="866775" cy="180975"/>
                                    </a:xfrm>
                                    <a:prstGeom prst="rect">
                                      <a:avLst/>
                                    </a:prstGeom>
                                  </pic:spPr>
                                </pic:pic>
                              </a:graphicData>
                            </a:graphic>
                          </wp:inline>
                        </w:drawing>
                      </w:r>
                      <w:bookmarkStart w:id="49" w:name="i-25"/>
                      <w:bookmarkEnd w:id="49"/>
                      <w:r>
                        <w:rPr>
                          <w:color w:val="000000"/>
                        </w:rPr>
                        <w:t xml:space="preserve"> </w:t>
                      </w:r>
                      <w:r>
                        <w:rPr>
                          <w:rFonts w:ascii="Arial;sans-serif" w:hAnsi="Arial;sans-serif"/>
                          <w:b/>
                          <w:color w:val="000000"/>
                          <w:sz w:val="18"/>
                        </w:rPr>
                        <w:t>50</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Opinions, perspectives, and expectations on sustainability and governance matters may differ amongst our stakeholders and may evolve over time. We have been and may continue to be subject to conflicting expectations and views on various matters, and legal requirements and interpretations may change. Any failure, or perceived failure, to meet evolving stakeholder expectations and industry standards or achieve our sustainability and governance goals, commitments, and targets could have an adverse effect on our business, results of operations, financial condition, or stock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external standards for measuring and reporting sustainability metrics may change over time and may result in cost increases, significant revisions to our strategies and targets, or impact our ability to achieve them. We also are or may become subject to new sustainability laws and regulations, such as the State of California’s new climate change disclosure rules. Compliance with these laws and regulations, as well as increased scrutiny from regulators, customers and other stakeholders on our sustainability practices, could result in additional costs and expose us to new risks. Any scrutiny of our sustainability disclosures, our failure to achieve related strategies and targets, or our failure to disclose our sustainability measures consistent with applicable laws and regulations or to the satisfaction of regulators or our stakeholders could negatively impact our reputation or result in penalties, fines or other adverse consequences.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Acquisitions and/or strategic transactions involve numerous risks.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Acquisitions and strategic transactions, such as joint ventures and other partnering arrangements, involve numerous risks,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integrating the operations, technologies, and products of acquired or newly formed entities or strategic partnerships into our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increasing capital expenditures to upgrade and maintain facilities;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debt levels;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assumption of unknown or underestimated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use of cash to finance a transaction, which may reduce the availability of cash to fund working capital, capital expenditures, R&amp;D expenditures, and other business activities;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diverting management’s attention from daily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managing larger or more complex operations and facilities and employees in separate and diverse geographic areas;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hiring and retaining key employees;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requirements imposed by government authorities in connection with the regulatory review of a transaction, which may include, among other things, divestitures, imposition of significant obligations, or restrictions on the conduct of our business or the acquired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underestimating the costs or overestimating the benefits, including product, revenue, cost and other synergies and growth opportunities that we expect to realize, and we may not achieve those benefits;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to maintain customer, vendor, and other relationships;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inadequacy or ineffectiveness of an acquired company’s internal financial controls, disclosure controls and procedures, compliance programs, and/or environmental, health and safety, anti-corruption, human resources, or other policies or practices;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impairment of acquired intangible assets, goodwill, or other assets as a result of changing business conditions or technological advancements.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strategic transactions with, technology companies are inherently risky and may not be successful and could have a material adverse effect on our business, results of operations, or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10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51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51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may incur restructure charges in future periods and may not realize expected savings or other benefits from restructure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we have because of the nature of our business, and may in the future, enter into restructure initiatives in order to, among other items, streamline our operations, increase our synergies,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or sufficient customer demand to maintain scale, loss of key personnel, disruptions in our operations, difficulties in the timely delivery of products, and loss of customers and local market share, which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Risks Related to Intellectual Property and Litigation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may be unable to protect our intellectual property or retain key employees who are knowledgeable of and develop our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inability to protect our intellectual property or retain key employees who are knowledgeable of and develop our intellectual property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Legal, regulatory and administrative investigations, inquiries, proceedings, and claims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infringement of intellectual property, and claims related to our compliance with securities and other laws. See Part I. Financial Information, Item 1. Financial Statements, Notes to Consolidated Financial Statements, Note 11.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be associated with and subject to litigation, claims, inquiries, investigations, or disputes arising from, or as a result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relationships with vendors or customers, supply agreements, or contractual obligations with our subcontractors or business partners;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actions of our vendors, subcontractors, or business partners;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indemnification obligations, including obligations to defend our customers against third-party claims asserting infringement of certain intellectual property rights, which may include patents, trademarks, copyrights, or trade secrets;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compliance with regulatory requirements, including defending against related third-party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7495"/>
                <wp:effectExtent l="0" t="0" r="0" b="0"/>
                <wp:wrapNone/>
                <wp:docPr id="102" name="Frame5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0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6" descr=""/>
                                          <pic:cNvPicPr>
                                            <a:picLocks noChangeAspect="1" noChangeArrowheads="1"/>
                                          </pic:cNvPicPr>
                                        </pic:nvPicPr>
                                        <pic:blipFill>
                                          <a:blip r:embed="rId52"/>
                                          <a:stretch>
                                            <a:fillRect/>
                                          </a:stretch>
                                        </pic:blipFill>
                                        <pic:spPr bwMode="auto">
                                          <a:xfrm>
                                            <a:off x="0" y="0"/>
                                            <a:ext cx="866775" cy="180975"/>
                                          </a:xfrm>
                                          <a:prstGeom prst="rect">
                                            <a:avLst/>
                                          </a:prstGeom>
                                        </pic:spPr>
                                      </pic:pic>
                                    </a:graphicData>
                                  </a:graphic>
                                </wp:inline>
                              </w:drawing>
                            </w:r>
                            <w:bookmarkStart w:id="50" w:name="i-26"/>
                            <w:bookmarkEnd w:id="50"/>
                            <w:r>
                              <w:rPr>
                                <w:color w:val="000000"/>
                              </w:rPr>
                              <w:t xml:space="preserve"> </w:t>
                            </w:r>
                            <w:r>
                              <w:rPr>
                                <w:rFonts w:ascii="Arial;sans-serif" w:hAnsi="Arial;sans-serif"/>
                                <w:b/>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0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6" descr=""/>
                                    <pic:cNvPicPr>
                                      <a:picLocks noChangeAspect="1" noChangeArrowheads="1"/>
                                    </pic:cNvPicPr>
                                  </pic:nvPicPr>
                                  <pic:blipFill>
                                    <a:blip r:embed="rId53"/>
                                    <a:stretch>
                                      <a:fillRect/>
                                    </a:stretch>
                                  </pic:blipFill>
                                  <pic:spPr bwMode="auto">
                                    <a:xfrm>
                                      <a:off x="0" y="0"/>
                                      <a:ext cx="866775" cy="180975"/>
                                    </a:xfrm>
                                    <a:prstGeom prst="rect">
                                      <a:avLst/>
                                    </a:prstGeom>
                                  </pic:spPr>
                                </pic:pic>
                              </a:graphicData>
                            </a:graphic>
                          </wp:inline>
                        </w:drawing>
                      </w:r>
                      <w:bookmarkStart w:id="51" w:name="i-26"/>
                      <w:bookmarkEnd w:id="51"/>
                      <w:r>
                        <w:rPr>
                          <w:color w:val="000000"/>
                        </w:rPr>
                        <w:t xml:space="preserve"> </w:t>
                      </w:r>
                      <w:r>
                        <w:rPr>
                          <w:rFonts w:ascii="Arial;sans-serif" w:hAnsi="Arial;sans-serif"/>
                          <w:b/>
                          <w:color w:val="000000"/>
                          <w:sz w:val="18"/>
                        </w:rPr>
                        <w:t>52</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fluctuations in stock price;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terms of our product warranties or from product liability claims.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we continue to focus on developing system solutions with manufacturers of consumer products, including autonomous driving, augmented reality, humanoid robots, AI, and others, we may be exposed to greater potential for personal liability claims against us as a result of consumers’ use of those products. We, our officers, or our directors have been and could continue to be subject to claims of alleged violations of securities laws.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Expansion of our production capacity is subject to inherent safety risks for our employees and contractors. Expansion and renovation activities may involve accidents, which could result in project delays, litigation, claims or disputes by our contractors and others, as well as increased insurance costs. While the risks of our construction projects are covered by insurance and contractual indemnities from our contractors, we may not have insurance coverage or rights to indemnity for all risks. Additionally, while we maintain insurance coverage for certain claims and liabilities, there can be no assurance that we are adequately insured to protect against all claims and potential liabilities, and we may elect to self-insure with respect to certain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pay significant monetary damages, fines, royalties, or penalties;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enter into license or settlement agreements covering such intellectual property rights;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make material changes to or redesign our products and/or manufacturing processes; and/or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cease manufacturing, selling, offering for sale, importing, marketing, or using products and/or manufacturing processes in certain jurisdictions.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not be able to take any of the actions described above on commercially reasonable terms and any of the foregoing results could have a material adverse effect on our business, results of operations, or financial condition. See Part I. Financial Information, Item 1. Financial Statements, Notes to Consolidated Financial Statements, Note 11.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10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53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53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Risks Related to Laws and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Government actions and regulations, such as export restrictions, tariffs, and trade protection measures, may limit our ability to sell our products to certain customers or markets, or could otherwise restrict our ability to conduct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International trade disputes, geopolitical tensions, and military conflicts have led, and continue to lead, to new and increasing export restrictions, trade barriers, tariffs, and other measures, as well as retaliatory actions,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Government actions around the world may lead to further changes in trade policy, domestic sourcing initiatives, increases in foreign government incentives supporting domestic businesses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reduce customer demand for our products, or inhibit our ability to sell products or purchase necessary equipment and supplies. For example, increasing geopolitical tensions have resulted in new and proposed export controls associated with products, including those that support or enable AI applications, which could, in turn, restrict future sales of certain products to China or other markets, or restrict our ability to obtain equipment, components, and raw materials. Similarly, new and proposed tariffs in the U.S., China, or other markets on products, materials, and equipment may increase our selling costs, thus impacting demand for our products. On April 14, 2025, the U.S. Bureau of Industry and Security announced the initiation of investigations into the industry on the effects on U.S. national security of imports of semiconductors under Section 232 of the Trade Expansion Act of 1962. The scope of the industry-wide investigation includes semiconductors, semiconductor manufacturing equipment, and their derivative products including semiconductor substrates and bare wafers, legacy chips, leading-edge chips, microelectronics, and other components. While the results of this investigation are currently unknown, the investigation may result in industry-wide additional tariffs and trade restrictions, which may adversely impact our business. Such changes may also result in reputational harm to us, the development or adoption of technologies that compete with our products, long-term changes in global trade and technology supply chains, or negative impacts on our customers’ products which incorporate our solutions. We may take actions to mitigate the impact of increases in tariffs and changes in trade policies, and any such actions could result in additional costs, manufacturing delays or other difficulties, as well as additional risks, and may not be effective. Any of the effects described in this risk factor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7495"/>
                <wp:effectExtent l="0" t="0" r="0" b="0"/>
                <wp:wrapNone/>
                <wp:docPr id="106" name="Frame5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0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7" descr=""/>
                                          <pic:cNvPicPr>
                                            <a:picLocks noChangeAspect="1" noChangeArrowheads="1"/>
                                          </pic:cNvPicPr>
                                        </pic:nvPicPr>
                                        <pic:blipFill>
                                          <a:blip r:embed="rId54"/>
                                          <a:stretch>
                                            <a:fillRect/>
                                          </a:stretch>
                                        </pic:blipFill>
                                        <pic:spPr bwMode="auto">
                                          <a:xfrm>
                                            <a:off x="0" y="0"/>
                                            <a:ext cx="866775" cy="180975"/>
                                          </a:xfrm>
                                          <a:prstGeom prst="rect">
                                            <a:avLst/>
                                          </a:prstGeom>
                                        </pic:spPr>
                                      </pic:pic>
                                    </a:graphicData>
                                  </a:graphic>
                                </wp:inline>
                              </w:drawing>
                            </w:r>
                            <w:bookmarkStart w:id="52" w:name="i-27"/>
                            <w:bookmarkEnd w:id="52"/>
                            <w:r>
                              <w:rPr>
                                <w:color w:val="000000"/>
                              </w:rPr>
                              <w:t xml:space="preserve"> </w:t>
                            </w:r>
                            <w:r>
                              <w:rPr>
                                <w:rFonts w:ascii="Arial;sans-serif" w:hAnsi="Arial;sans-serif"/>
                                <w:b/>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0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7" descr=""/>
                                    <pic:cNvPicPr>
                                      <a:picLocks noChangeAspect="1" noChangeArrowheads="1"/>
                                    </pic:cNvPicPr>
                                  </pic:nvPicPr>
                                  <pic:blipFill>
                                    <a:blip r:embed="rId55"/>
                                    <a:stretch>
                                      <a:fillRect/>
                                    </a:stretch>
                                  </pic:blipFill>
                                  <pic:spPr bwMode="auto">
                                    <a:xfrm>
                                      <a:off x="0" y="0"/>
                                      <a:ext cx="866775" cy="180975"/>
                                    </a:xfrm>
                                    <a:prstGeom prst="rect">
                                      <a:avLst/>
                                    </a:prstGeom>
                                  </pic:spPr>
                                </pic:pic>
                              </a:graphicData>
                            </a:graphic>
                          </wp:inline>
                        </w:drawing>
                      </w:r>
                      <w:bookmarkStart w:id="53" w:name="i-27"/>
                      <w:bookmarkEnd w:id="53"/>
                      <w:r>
                        <w:rPr>
                          <w:color w:val="000000"/>
                        </w:rPr>
                        <w:t xml:space="preserve"> </w:t>
                      </w:r>
                      <w:r>
                        <w:rPr>
                          <w:rFonts w:ascii="Arial;sans-serif" w:hAnsi="Arial;sans-serif"/>
                          <w:b/>
                          <w:color w:val="000000"/>
                          <w:sz w:val="18"/>
                        </w:rPr>
                        <w:t>54</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Tax-related matters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 Further changes in the tax laws of foreign jurisdictions could arise as a result of the base erosion and profit-shifting project, including Pillar Two Model Rules (“Pillar Two”), undertaken by the Organisation for Economic Co-operation and Development. We continue to monitor for additional guidance and legislative changes related to Pillar Two in the jurisdictions where we operate.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 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require us to alter our product design, manufacturing and operations, and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10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55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55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result of the considerations detailed in this risk factor, we could experience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suspension of production or sales of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limited supplies of chemicals or materials used to make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remediation costs and activities;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compliance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alteration of our manufacturing processes;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penalties, fines, civil or criminal sanctions, litigation and other legal liabilities;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reputational challenges.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While we maintain insurance for certain potential liabilities, such insurance does not cover all types and amounts of potential liabilities and is subject to various exclusions as well as caps on recoverable amounts.</w:t>
      </w:r>
      <w:r>
        <w:rPr>
          <w:color w:val="000000"/>
        </w:rPr>
        <w:t xml:space="preserve"> </w:t>
      </w:r>
      <w:r>
        <w:rPr>
          <w:rFonts w:ascii="Arial;sans-serif" w:hAnsi="Arial;sans-serif"/>
          <w:b w:val="false"/>
          <w:color w:val="000000"/>
          <w:sz w:val="20"/>
        </w:rPr>
        <w:t>Our insurance may not be adequate or otherwise cover all claims, penalties, fines, expenses, regulatory actions, litigation, sanctions, other liabilities or losses, and may not continue to be available on acceptable terms or at 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Compliance with, or our failure, or the failure of our third-party sales channel partners or agents, to comply with, laws, regulations, or industry standards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Risks Related to Capitalization and Financial Markets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may be unable to generate sufficient cash flows or obtain access to external financing necessary to fund our operations, make scheduled debt payments, pay our dividend, and make adequate capital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we utilize external sources of financing when needed. As a result of our debt levels, expected debt amortization, prevailing interest rates, general capital market, changes in government borrowing or spending,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7495"/>
                <wp:effectExtent l="0" t="0" r="0" b="0"/>
                <wp:wrapNone/>
                <wp:docPr id="110" name="Frame5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1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8" descr=""/>
                                          <pic:cNvPicPr>
                                            <a:picLocks noChangeAspect="1" noChangeArrowheads="1"/>
                                          </pic:cNvPicPr>
                                        </pic:nvPicPr>
                                        <pic:blipFill>
                                          <a:blip r:embed="rId56"/>
                                          <a:stretch>
                                            <a:fillRect/>
                                          </a:stretch>
                                        </pic:blipFill>
                                        <pic:spPr bwMode="auto">
                                          <a:xfrm>
                                            <a:off x="0" y="0"/>
                                            <a:ext cx="866775" cy="180975"/>
                                          </a:xfrm>
                                          <a:prstGeom prst="rect">
                                            <a:avLst/>
                                          </a:prstGeom>
                                        </pic:spPr>
                                      </pic:pic>
                                    </a:graphicData>
                                  </a:graphic>
                                </wp:inline>
                              </w:drawing>
                            </w:r>
                            <w:bookmarkStart w:id="54" w:name="i-28"/>
                            <w:bookmarkEnd w:id="54"/>
                            <w:r>
                              <w:rPr>
                                <w:color w:val="000000"/>
                              </w:rPr>
                              <w:t xml:space="preserve"> </w:t>
                            </w:r>
                            <w:r>
                              <w:rPr>
                                <w:rFonts w:ascii="Arial;sans-serif" w:hAnsi="Arial;sans-serif"/>
                                <w:b/>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1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8" descr=""/>
                                    <pic:cNvPicPr>
                                      <a:picLocks noChangeAspect="1" noChangeArrowheads="1"/>
                                    </pic:cNvPicPr>
                                  </pic:nvPicPr>
                                  <pic:blipFill>
                                    <a:blip r:embed="rId57"/>
                                    <a:stretch>
                                      <a:fillRect/>
                                    </a:stretch>
                                  </pic:blipFill>
                                  <pic:spPr bwMode="auto">
                                    <a:xfrm>
                                      <a:off x="0" y="0"/>
                                      <a:ext cx="866775" cy="180975"/>
                                    </a:xfrm>
                                    <a:prstGeom prst="rect">
                                      <a:avLst/>
                                    </a:prstGeom>
                                  </pic:spPr>
                                </pic:pic>
                              </a:graphicData>
                            </a:graphic>
                          </wp:inline>
                        </w:drawing>
                      </w:r>
                      <w:bookmarkStart w:id="55" w:name="i-28"/>
                      <w:bookmarkEnd w:id="55"/>
                      <w:r>
                        <w:rPr>
                          <w:color w:val="000000"/>
                        </w:rPr>
                        <w:t xml:space="preserve"> </w:t>
                      </w:r>
                      <w:r>
                        <w:rPr>
                          <w:rFonts w:ascii="Arial;sans-serif" w:hAnsi="Arial;sans-serif"/>
                          <w:b/>
                          <w:color w:val="000000"/>
                          <w:sz w:val="18"/>
                        </w:rPr>
                        <w:t>56</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obligations could adversely affect our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incurred in the past, and expect to incur in the future, debt to finance our capital investments, business acquisitions, and to realign our capital structure. As of November 27, 2025, we had debt with a carrying value of $11.76 billion and may incur additional debt, including under our $3.50 billion Revolving Credit Facility. Our debt obligations could adversely impact us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us to use a large portion of our cash flow to pay principal and interest on debt, which will reduce the amount of cash flow available to fund our business activities;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adversely impact our credit rating, which could increase borrowing costs and reduce our ability to raise funds on favorable terms;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 our future ability to raise funds for capital expenditures, strategic acquisitions or business opportunities, R&amp;D, and other general corporate requirements;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 our ability to incur specified indebtedness, create or incur certain liens, and enter into sale-leaseback financing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 our vulnerability to adverse economic and industry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 our exposure to rising interest rates from variable rate indebtedness;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result in certain of our debt instruments becoming immediately due and payable or being deemed to be in default if applicable cross default, cross-acceleration and/or similar provisions are triggered.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foreign currency exchange rates could materially adversely affect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substantial majority of our sales are transacted in the U.S. dollar; however, 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are subject to counterparty default risks.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113"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57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57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trading price of our common stock has been and may continue to be volatile.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other participants in our markets, including our customers and competitors, changes in financial or other market estimates and ratings by securities and other analysts, changes in our capital structure, including issuance of additional debt or equity to the public, interest rate changes, regulatory changes, news regarding our products or products of our competitors, market perception regarding certain technologies, and broad market and industry fluctuations. These fluctuations may not be related to our specific financial or operating performance or our expectations regarding our financial or operating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will diminish our cash reserves.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Although our Board of Directors has authorized share repurchases of up to $10 billion of our outstanding common stock, the authorization does not obligate us to repurchase any common stock. The amount, frequency, and execution of our share repurchases pursuant to our share repurchase authorization may fluctuate based on our operating results, cash flows, restrictions applicable under our CHIPS Act direct funding agreements, and priorities for the use of cash for other purposes. Since repurchases under the authorization began in 2019, our expenditures for share repurchases in any one year have ranged from no repurchases to a high of $2.66 billion of repurchases. Cash uses that could impact our repurchases include, but are not limited to, operational spending, capital spending, acquisitions, and repayment of debt. Other factors, including changes in tax laws, could also impact our share repurchases.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There can be no assurance that we will continue to declare cash dividends in any particular amounts or at 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7495"/>
                <wp:effectExtent l="0" t="0" r="0" b="0"/>
                <wp:wrapNone/>
                <wp:docPr id="114" name="Frame5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1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9" descr=""/>
                                          <pic:cNvPicPr>
                                            <a:picLocks noChangeAspect="1" noChangeArrowheads="1"/>
                                          </pic:cNvPicPr>
                                        </pic:nvPicPr>
                                        <pic:blipFill>
                                          <a:blip r:embed="rId58"/>
                                          <a:stretch>
                                            <a:fillRect/>
                                          </a:stretch>
                                        </pic:blipFill>
                                        <pic:spPr bwMode="auto">
                                          <a:xfrm>
                                            <a:off x="0" y="0"/>
                                            <a:ext cx="866775" cy="180975"/>
                                          </a:xfrm>
                                          <a:prstGeom prst="rect">
                                            <a:avLst/>
                                          </a:prstGeom>
                                        </pic:spPr>
                                      </pic:pic>
                                    </a:graphicData>
                                  </a:graphic>
                                </wp:inline>
                              </w:drawing>
                            </w:r>
                            <w:bookmarkStart w:id="56" w:name="i-29"/>
                            <w:bookmarkEnd w:id="56"/>
                            <w:r>
                              <w:rPr>
                                <w:color w:val="000000"/>
                              </w:rPr>
                              <w:t xml:space="preserve"> </w:t>
                            </w:r>
                            <w:r>
                              <w:rPr>
                                <w:rFonts w:ascii="Arial;sans-serif" w:hAnsi="Arial;sans-serif"/>
                                <w:b/>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1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9" descr=""/>
                                    <pic:cNvPicPr>
                                      <a:picLocks noChangeAspect="1" noChangeArrowheads="1"/>
                                    </pic:cNvPicPr>
                                  </pic:nvPicPr>
                                  <pic:blipFill>
                                    <a:blip r:embed="rId59"/>
                                    <a:stretch>
                                      <a:fillRect/>
                                    </a:stretch>
                                  </pic:blipFill>
                                  <pic:spPr bwMode="auto">
                                    <a:xfrm>
                                      <a:off x="0" y="0"/>
                                      <a:ext cx="866775" cy="180975"/>
                                    </a:xfrm>
                                    <a:prstGeom prst="rect">
                                      <a:avLst/>
                                    </a:prstGeom>
                                  </pic:spPr>
                                </pic:pic>
                              </a:graphicData>
                            </a:graphic>
                          </wp:inline>
                        </w:drawing>
                      </w:r>
                      <w:bookmarkStart w:id="57" w:name="i-29"/>
                      <w:bookmarkEnd w:id="57"/>
                      <w:r>
                        <w:rPr>
                          <w:color w:val="000000"/>
                        </w:rPr>
                        <w:t xml:space="preserve"> </w:t>
                      </w:r>
                      <w:r>
                        <w:rPr>
                          <w:rFonts w:ascii="Arial;sans-serif" w:hAnsi="Arial;sans-serif"/>
                          <w:b/>
                          <w:color w:val="000000"/>
                          <w:sz w:val="18"/>
                        </w:rPr>
                        <w:t>58</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During the quarter ended November 27, 2025, we repurchased 1.3 million shares of our common stock under the authorization for $300 million, and as of November 27, 2025, $2.51 billion of the authorization remained available for the repurchase of our common stock.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Shares of common stock withheld as payment of withholding taxes upon the vesting of restricted stock are also treated as common stock repurchases. </w:t>
      </w:r>
      <w:r>
        <w:rPr>
          <w:rFonts w:ascii="Arial;sans-serif" w:hAnsi="Arial;sans-serif"/>
          <w:b w:val="false"/>
          <w:color w:val="000000"/>
          <w:sz w:val="20"/>
          <w:shd w:fill="FFFFFF" w:val="clear"/>
        </w:rPr>
        <w:t>Shares withheld as payment of withholding taxes upon the vesting of restricted stock units are not considered repurchases for purposes of this Item and are not required to be reported.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the first quarter of 2026, shares purchased under the authorization and withheld as payment upon the vesting of restricted stock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5"/>
        <w:gridCol w:w="524"/>
        <w:gridCol w:w="529"/>
        <w:gridCol w:w="632"/>
        <w:gridCol w:w="455"/>
        <w:gridCol w:w="456"/>
        <w:gridCol w:w="109"/>
        <w:gridCol w:w="109"/>
        <w:gridCol w:w="109"/>
        <w:gridCol w:w="253"/>
        <w:gridCol w:w="836"/>
        <w:gridCol w:w="141"/>
        <w:gridCol w:w="109"/>
        <w:gridCol w:w="109"/>
        <w:gridCol w:w="109"/>
        <w:gridCol w:w="875"/>
        <w:gridCol w:w="714"/>
        <w:gridCol w:w="716"/>
        <w:gridCol w:w="823"/>
        <w:gridCol w:w="823"/>
        <w:gridCol w:w="1179"/>
      </w:tblGrid>
      <w:tr>
        <w:trPr/>
        <w:tc>
          <w:tcPr>
            <w:tcW w:w="59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15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Total number of shares purchased</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number of shares purchased as part of publicly announced plans or programs</w:t>
            </w:r>
          </w:p>
        </w:tc>
        <w:tc>
          <w:tcPr>
            <w:tcW w:w="28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 xml:space="preserve">Approximate dollar value of shares that may yet be purchased under publicly announced plans or programs </w:t>
            </w:r>
            <w:r>
              <w:rPr>
                <w:rFonts w:ascii="Arial Narrow;sans-serif" w:hAnsi="Arial Narrow;sans-serif"/>
                <w:b w:val="false"/>
                <w:color w:val="000000"/>
                <w:sz w:val="20"/>
              </w:rPr>
              <w:t>(in millions)</w:t>
            </w:r>
          </w:p>
        </w:tc>
      </w:tr>
      <w:tr>
        <w:trPr/>
        <w:tc>
          <w:tcPr>
            <w:tcW w:w="1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August 29, 2025 – September 25, 2025</w:t>
            </w:r>
          </w:p>
        </w:tc>
        <w:tc>
          <w:tcPr>
            <w:tcW w:w="108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6" w:type="dxa"/>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September 26 2025 – October 23, 2025</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154,453 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October 24, 2025 – November 27, 2025</w:t>
            </w:r>
          </w:p>
        </w:tc>
        <w:tc>
          <w:tcPr>
            <w:tcW w:w="1087"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1,273,820 </w:t>
            </w:r>
          </w:p>
        </w:tc>
        <w:tc>
          <w:tcPr>
            <w:tcW w:w="45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235.51 </w:t>
            </w:r>
          </w:p>
        </w:tc>
        <w:tc>
          <w:tcPr>
            <w:tcW w:w="141"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D1D2D4"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1,273,820 </w:t>
            </w:r>
          </w:p>
        </w:tc>
        <w:tc>
          <w:tcPr>
            <w:tcW w:w="716" w:type="dxa"/>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1,428,273 </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229.78 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1,273,820 </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$2,506</w:t>
            </w:r>
          </w:p>
        </w:tc>
      </w:tr>
    </w:tbl>
    <w:p>
      <w:pPr>
        <w:pStyle w:val="TextBody"/>
        <w:bidi w:val="0"/>
        <w:spacing w:lineRule="auto" w:line="276" w:before="0" w:after="0"/>
        <w:jc w:val="left"/>
        <w:rPr/>
      </w:pPr>
      <w:r>
        <w:rPr>
          <w:rFonts w:ascii="Arial;sans-serif" w:hAnsi="Arial;sans-serif"/>
          <w:b w:val="false"/>
          <w:i/>
          <w:color w:val="000000"/>
          <w:sz w:val="13"/>
        </w:rPr>
        <w:t xml:space="preserve">(1) </w:t>
      </w:r>
      <w:r>
        <w:rPr>
          <w:rFonts w:ascii="Arial;sans-serif" w:hAnsi="Arial;sans-serif"/>
          <w:b w:val="false"/>
          <w:i/>
          <w:color w:val="000000"/>
          <w:sz w:val="20"/>
        </w:rPr>
        <w:t>Includes 154,453 shares withheld as payment of withholding taxes upon the vesting of restricted stock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Securities Trading Plans of Directors and Executive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director and officer, as defined in Rule 16a-1(f) of the Exchange Act, adopted and/or terminated a “Rule 10b5-1 trading arrangement” or a “non-Rule 10b5-1 trading arrangement,” as defined in Item 408 of Regulation S-K, during the last fiscal quarter.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November 8, 2025, the Mehrotra Family Trust, a trust for which Sanjay Mehrotra, our Chairman of the Board, President, and Chief Executive Officer, serves as trustee, adopted a Rule 10b5-1 trading arrangement providing for the sale of an aggregate of up to 200,000 shares of our common stock acquired by Mr. Mehrotra upon the vesting of certain equity awards held by Mr. Mehrotra. The trading arrangement is intended to satisfy the affirmative defense in Rule 10b5-1(c). The first date that sales of any shares are permitted to be sold under the trading arrangement is February 7, 2026, and subsequent sales under the trading arrangement may occur on a regular basis for the duration of the trading arrangement until February 7, 2027, or earlier if all transactions under the trading arrangement are completed.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 other directors or officers, as defined in Rule 16a-1(f), adopted and/or terminated a “Rule 10b5-1 trading arrangement” or a “non-Rule 10b5-1 trading arrangement,” as defined in Item 408 of Regulation S-K, during the last fiscal quarter.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117"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59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59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0" w:after="0"/>
        <w:jc w:val="lef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Index to Exhibits</w:t>
      </w:r>
    </w:p>
    <w:tbl>
      <w:tblPr>
        <w:tblW w:w="10205" w:type="dxa"/>
        <w:jc w:val="left"/>
        <w:tblInd w:w="0" w:type="dxa"/>
        <w:tblLayout w:type="fixed"/>
        <w:tblCellMar>
          <w:top w:w="28" w:type="dxa"/>
          <w:left w:w="28" w:type="dxa"/>
          <w:bottom w:w="28" w:type="dxa"/>
          <w:right w:w="28" w:type="dxa"/>
        </w:tblCellMar>
      </w:tblPr>
      <w:tblGrid>
        <w:gridCol w:w="342"/>
        <w:gridCol w:w="301"/>
        <w:gridCol w:w="304"/>
        <w:gridCol w:w="1809"/>
        <w:gridCol w:w="1683"/>
        <w:gridCol w:w="1689"/>
        <w:gridCol w:w="316"/>
        <w:gridCol w:w="316"/>
        <w:gridCol w:w="317"/>
        <w:gridCol w:w="170"/>
        <w:gridCol w:w="170"/>
        <w:gridCol w:w="171"/>
        <w:gridCol w:w="290"/>
        <w:gridCol w:w="290"/>
        <w:gridCol w:w="291"/>
        <w:gridCol w:w="330"/>
        <w:gridCol w:w="330"/>
        <w:gridCol w:w="332"/>
        <w:gridCol w:w="218"/>
        <w:gridCol w:w="218"/>
        <w:gridCol w:w="31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 Number</w:t>
            </w:r>
          </w:p>
        </w:tc>
        <w:tc>
          <w:tcPr>
            <w:tcW w:w="51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Description of Exhibit</w:t>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 Herewith</w:t>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 Ending</w:t>
            </w:r>
          </w:p>
        </w:tc>
        <w:tc>
          <w:tcPr>
            <w:tcW w:w="9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 Appendix</w:t>
            </w:r>
          </w:p>
        </w:tc>
        <w:tc>
          <w:tcPr>
            <w:tcW w:w="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947"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w:t>
            </w:r>
          </w:p>
        </w:tc>
        <w:tc>
          <w:tcPr>
            <w:tcW w:w="5181"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Arial Narrow;sans-serif" w:hAnsi="Arial Narrow;sans-serif"/>
                  <w:b w:val="false"/>
                  <w:color w:val="000000"/>
                  <w:sz w:val="20"/>
                  <w:u w:val="single"/>
                </w:rPr>
                <w:t>Restated Certificate of Incorporation of the Registrant</w:t>
              </w:r>
            </w:hyperlink>
          </w:p>
        </w:tc>
        <w:tc>
          <w:tcPr>
            <w:tcW w:w="949"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8-K</w:t>
            </w:r>
          </w:p>
        </w:tc>
        <w:tc>
          <w:tcPr>
            <w:tcW w:w="871"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99.2</w:t>
            </w:r>
          </w:p>
        </w:tc>
        <w:tc>
          <w:tcPr>
            <w:tcW w:w="754"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1/26/15</w:t>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w:t>
            </w:r>
          </w:p>
        </w:tc>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 Narrow;sans-serif" w:hAnsi="Arial Narrow;sans-serif"/>
                  <w:b w:val="false"/>
                  <w:color w:val="000000"/>
                  <w:sz w:val="20"/>
                  <w:u w:val="single"/>
                </w:rPr>
                <w:t>Amended and Restated Bylaws of Registrant as of July 17, 2025</w:t>
              </w:r>
            </w:hyperlink>
          </w:p>
        </w:tc>
        <w:tc>
          <w:tcPr>
            <w:tcW w:w="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8-K</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3.1</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7/18/25</w:t>
            </w:r>
          </w:p>
        </w:tc>
      </w:tr>
      <w:tr>
        <w:trPr/>
        <w:tc>
          <w:tcPr>
            <w:tcW w:w="94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31.1</w:t>
            </w:r>
          </w:p>
        </w:tc>
        <w:tc>
          <w:tcPr>
            <w:tcW w:w="5181"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ex311-ceocertq1x26.htm">
              <w:r>
                <w:rPr>
                  <w:rStyle w:val="InternetLink"/>
                  <w:rFonts w:ascii="Arial Narrow;sans-serif" w:hAnsi="Arial Narrow;sans-serif"/>
                  <w:b w:val="false"/>
                  <w:color w:val="000000"/>
                  <w:sz w:val="20"/>
                  <w:u w:val="single"/>
                </w:rPr>
                <w:t>Rule 13a-14(a) Certification of Chief Executive Officer</w:t>
              </w:r>
            </w:hyperlink>
          </w:p>
        </w:tc>
        <w:tc>
          <w:tcPr>
            <w:tcW w:w="94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31.2</w:t>
            </w:r>
          </w:p>
        </w:tc>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cfocertq1x26.htm">
              <w:r>
                <w:rPr>
                  <w:rStyle w:val="InternetLink"/>
                  <w:rFonts w:ascii="Arial Narrow;sans-serif" w:hAnsi="Arial Narrow;sans-serif"/>
                  <w:b w:val="false"/>
                  <w:color w:val="000000"/>
                  <w:sz w:val="20"/>
                  <w:u w:val="single"/>
                </w:rPr>
                <w:t>Rule 13a-14(a) Certification of Chief Financial Officer</w:t>
              </w:r>
            </w:hyperlink>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32.1</w:t>
            </w:r>
          </w:p>
        </w:tc>
        <w:tc>
          <w:tcPr>
            <w:tcW w:w="5181"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ex321-906ceocertq1x26.htm">
              <w:r>
                <w:rPr>
                  <w:rStyle w:val="InternetLink"/>
                  <w:rFonts w:ascii="Arial Narrow;sans-serif" w:hAnsi="Arial Narrow;sans-serif"/>
                  <w:b w:val="false"/>
                  <w:color w:val="000000"/>
                  <w:sz w:val="20"/>
                  <w:u w:val="single"/>
                </w:rPr>
                <w:t>Certification of Chief Executive Officer Pursuant to 18 U.S.C. 1350</w:t>
              </w:r>
            </w:hyperlink>
          </w:p>
        </w:tc>
        <w:tc>
          <w:tcPr>
            <w:tcW w:w="94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32.2</w:t>
            </w:r>
          </w:p>
        </w:tc>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906cfocertq1x26.htm">
              <w:r>
                <w:rPr>
                  <w:rStyle w:val="InternetLink"/>
                  <w:rFonts w:ascii="Arial Narrow;sans-serif" w:hAnsi="Arial Narrow;sans-serif"/>
                  <w:b w:val="false"/>
                  <w:color w:val="000000"/>
                  <w:sz w:val="20"/>
                  <w:u w:val="single"/>
                </w:rPr>
                <w:t>Certification of Chief Financial Officer Pursuant to 18 U.S.C. 1350</w:t>
              </w:r>
            </w:hyperlink>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101.INS</w:t>
            </w:r>
          </w:p>
        </w:tc>
        <w:tc>
          <w:tcPr>
            <w:tcW w:w="518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Instance Document - the instance document does not appear in the Interactive Data File because its XBRL tags are embedded within the Inline XBRL document</w:t>
            </w:r>
          </w:p>
        </w:tc>
        <w:tc>
          <w:tcPr>
            <w:tcW w:w="94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101.SCH</w:t>
            </w:r>
          </w:p>
        </w:tc>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Schema Document</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101.CAL</w:t>
            </w:r>
          </w:p>
        </w:tc>
        <w:tc>
          <w:tcPr>
            <w:tcW w:w="518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Calculation Linkbase Document</w:t>
            </w:r>
          </w:p>
        </w:tc>
        <w:tc>
          <w:tcPr>
            <w:tcW w:w="94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101.DEF</w:t>
            </w:r>
          </w:p>
        </w:tc>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Definition Linkbase Document</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101.LAB</w:t>
            </w:r>
          </w:p>
        </w:tc>
        <w:tc>
          <w:tcPr>
            <w:tcW w:w="5181"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Label Linkbase Document</w:t>
            </w:r>
          </w:p>
        </w:tc>
        <w:tc>
          <w:tcPr>
            <w:tcW w:w="94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101.PRE</w:t>
            </w:r>
          </w:p>
        </w:tc>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Presentation Linkbase Document</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5181"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(formatted as Inline XBRL and contained in Exhibit 101)</w:t>
            </w:r>
          </w:p>
        </w:tc>
        <w:tc>
          <w:tcPr>
            <w:tcW w:w="94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w:t>
            </w:r>
          </w:p>
        </w:tc>
        <w:tc>
          <w:tcPr>
            <w:tcW w:w="51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7495"/>
                <wp:effectExtent l="0" t="0" r="0" b="0"/>
                <wp:wrapNone/>
                <wp:docPr id="118" name="Frame6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left"/>
                              <w:rPr/>
                            </w:pPr>
                            <w:r>
                              <w:rPr/>
                              <w:drawing>
                                <wp:inline distT="0" distB="0" distL="0" distR="0">
                                  <wp:extent cx="866775" cy="180975"/>
                                  <wp:effectExtent l="0" t="0" r="0" b="0"/>
                                  <wp:docPr id="11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0" descr=""/>
                                          <pic:cNvPicPr>
                                            <a:picLocks noChangeAspect="1" noChangeArrowheads="1"/>
                                          </pic:cNvPicPr>
                                        </pic:nvPicPr>
                                        <pic:blipFill>
                                          <a:blip r:embed="rId62"/>
                                          <a:stretch>
                                            <a:fillRect/>
                                          </a:stretch>
                                        </pic:blipFill>
                                        <pic:spPr bwMode="auto">
                                          <a:xfrm>
                                            <a:off x="0" y="0"/>
                                            <a:ext cx="866775" cy="180975"/>
                                          </a:xfrm>
                                          <a:prstGeom prst="rect">
                                            <a:avLst/>
                                          </a:prstGeom>
                                        </pic:spPr>
                                      </pic:pic>
                                    </a:graphicData>
                                  </a:graphic>
                                </wp:inline>
                              </w:drawing>
                            </w:r>
                            <w:bookmarkStart w:id="58" w:name="i-30"/>
                            <w:bookmarkEnd w:id="58"/>
                            <w:r>
                              <w:rPr>
                                <w:color w:val="000000"/>
                              </w:rPr>
                              <w:t xml:space="preserve"> </w:t>
                            </w:r>
                            <w:r>
                              <w:rPr>
                                <w:rFonts w:ascii="Arial;sans-serif" w:hAnsi="Arial;sans-serif"/>
                                <w:b/>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66775" cy="180975"/>
                            <wp:effectExtent l="0" t="0" r="0" b="0"/>
                            <wp:docPr id="12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0" descr=""/>
                                    <pic:cNvPicPr>
                                      <a:picLocks noChangeAspect="1" noChangeArrowheads="1"/>
                                    </pic:cNvPicPr>
                                  </pic:nvPicPr>
                                  <pic:blipFill>
                                    <a:blip r:embed="rId63"/>
                                    <a:stretch>
                                      <a:fillRect/>
                                    </a:stretch>
                                  </pic:blipFill>
                                  <pic:spPr bwMode="auto">
                                    <a:xfrm>
                                      <a:off x="0" y="0"/>
                                      <a:ext cx="866775" cy="180975"/>
                                    </a:xfrm>
                                    <a:prstGeom prst="rect">
                                      <a:avLst/>
                                    </a:prstGeom>
                                  </pic:spPr>
                                </pic:pic>
                              </a:graphicData>
                            </a:graphic>
                          </wp:inline>
                        </w:drawing>
                      </w:r>
                      <w:bookmarkStart w:id="59" w:name="i-30"/>
                      <w:bookmarkEnd w:id="59"/>
                      <w:r>
                        <w:rPr>
                          <w:color w:val="000000"/>
                        </w:rPr>
                        <w:t xml:space="preserve"> </w:t>
                      </w:r>
                      <w:r>
                        <w:rPr>
                          <w:rFonts w:ascii="Arial;sans-serif" w:hAnsi="Arial;sans-serif"/>
                          <w:b/>
                          <w:color w:val="000000"/>
                          <w:sz w:val="18"/>
                        </w:rPr>
                        <w:t>60</w:t>
                      </w:r>
                    </w:p>
                  </w:txbxContent>
                </v:textbox>
                <w10:wrap type="none"/>
              </v:rect>
            </w:pict>
          </mc:Fallback>
        </mc:AlternateContent>
      </w:r>
    </w:p>
    <w:p>
      <w:pPr>
        <w:pStyle w:val="TextBody"/>
        <w:bidi w:val="0"/>
        <w:spacing w:lineRule="auto" w:line="288" w:before="0" w:after="0"/>
        <w:jc w:val="right"/>
        <w:rPr/>
      </w:pPr>
      <w:hyperlink w:anchor="i9dc85175196a4870ae925c7907d401ce_13">
        <w:r>
          <w:rPr>
            <w:rStyle w:val="InternetLink"/>
            <w:rFonts w:ascii="Arial;sans-serif" w:hAnsi="Arial;sans-serif"/>
            <w:b/>
            <w:color w:val="BD03F7"/>
            <w:sz w:val="18"/>
            <w:u w:val="single"/>
          </w:rPr>
          <w:t>Table of Contents</w:t>
        </w:r>
      </w:hyperlink>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618" w:type="dxa"/>
        <w:jc w:val="left"/>
        <w:tblInd w:w="0" w:type="dxa"/>
        <w:tblLayout w:type="fixed"/>
        <w:tblCellMar>
          <w:top w:w="28" w:type="dxa"/>
          <w:left w:w="28" w:type="dxa"/>
          <w:bottom w:w="28" w:type="dxa"/>
          <w:right w:w="28" w:type="dxa"/>
        </w:tblCellMar>
      </w:tblPr>
      <w:tblGrid>
        <w:gridCol w:w="190"/>
        <w:gridCol w:w="167"/>
        <w:gridCol w:w="169"/>
        <w:gridCol w:w="599"/>
        <w:gridCol w:w="599"/>
        <w:gridCol w:w="601"/>
        <w:gridCol w:w="134"/>
        <w:gridCol w:w="134"/>
        <w:gridCol w:w="136"/>
        <w:gridCol w:w="1432"/>
        <w:gridCol w:w="1432"/>
        <w:gridCol w:w="2025"/>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Micron Technology, Inc.</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Mark Murphy</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Mark Murphy</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Scott Allen</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Allen</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Vice President and Chief Accounting Officer</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12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61 |</w:t>
                            </w:r>
                            <w:r>
                              <w:rPr>
                                <w:color w:val="000000"/>
                              </w:rPr>
                              <w:t xml:space="preserve"> </w:t>
                            </w:r>
                            <w:r>
                              <w:rPr>
                                <w:rFonts w:ascii="Arial;sans-serif" w:hAnsi="Arial;sans-serif"/>
                                <w:b/>
                                <w:color w:val="000000"/>
                                <w:sz w:val="18"/>
                              </w:rPr>
                              <w:t>2026 Q1 10-Q</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61 |</w:t>
                      </w:r>
                      <w:r>
                        <w:rPr>
                          <w:color w:val="000000"/>
                        </w:rPr>
                        <w:t xml:space="preserve"> </w:t>
                      </w:r>
                      <w:r>
                        <w:rPr>
                          <w:rFonts w:ascii="Arial;sans-serif" w:hAnsi="Arial;sans-serif"/>
                          <w:b/>
                          <w:color w:val="000000"/>
                          <w:sz w:val="18"/>
                        </w:rPr>
                        <w:t>2026 Q1 10-Q</w:t>
                      </w:r>
                    </w:p>
                  </w:txbxContent>
                </v:textbox>
                <w10:wrap type="none"/>
              </v:rect>
            </w:pict>
          </mc:Fallback>
        </mc:AlternateContent>
      </w:r>
    </w:p>
    <w:p>
      <w:pPr>
        <w:pStyle w:val="TextBody"/>
        <w:bidi w:val="0"/>
        <w:spacing w:lineRule="auto" w:line="288" w:before="100" w:after="100"/>
        <w:jc w:val="right"/>
        <w:rPr>
          <w:rFonts w:ascii="Arial;sans-serif" w:hAnsi="Arial;sans-serif"/>
          <w:b/>
          <w:color w:val="000000"/>
          <w:sz w:val="24"/>
        </w:rPr>
      </w:pPr>
      <w:r>
        <w:rPr>
          <w:rFonts w:ascii="Arial;sans-serif" w:hAnsi="Arial;sans-serif"/>
          <w:b/>
          <w:color w:val="000000"/>
          <w:sz w:val="24"/>
        </w:rPr>
        <w:t>EXHIBIT 31.1</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RULE 13a-14(a) CERTIFICATION OF </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CHIEF EXECUTIVE OFFICER</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 Sanjay Mehrotra, certify that: </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Micron Technology, Inc.;</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764" w:type="dxa"/>
        <w:jc w:val="center"/>
        <w:tblInd w:w="0" w:type="dxa"/>
        <w:tblLayout w:type="fixed"/>
        <w:tblCellMar>
          <w:top w:w="28" w:type="dxa"/>
          <w:left w:w="28" w:type="dxa"/>
          <w:bottom w:w="28" w:type="dxa"/>
          <w:right w:w="28" w:type="dxa"/>
        </w:tblCellMar>
      </w:tblPr>
      <w:tblGrid>
        <w:gridCol w:w="211"/>
        <w:gridCol w:w="186"/>
        <w:gridCol w:w="188"/>
        <w:gridCol w:w="599"/>
        <w:gridCol w:w="599"/>
        <w:gridCol w:w="601"/>
        <w:gridCol w:w="1281"/>
        <w:gridCol w:w="1281"/>
        <w:gridCol w:w="181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17, 2025</w:t>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Sanjay Mehrotra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 xml:space="preserve">Sanjay Mehrotra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Chairman, President and Chief Executive Officer</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12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Arial;sans-serif" w:hAnsi="Arial;sans-serif"/>
          <w:b/>
          <w:color w:val="000000"/>
          <w:sz w:val="24"/>
        </w:rPr>
      </w:pPr>
      <w:r>
        <w:rPr>
          <w:rFonts w:ascii="Arial;sans-serif" w:hAnsi="Arial;sans-serif"/>
          <w:b/>
          <w:color w:val="000000"/>
          <w:sz w:val="24"/>
        </w:rPr>
        <w:t>EXHIBIT 31.2</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RULE 13a-14(a) CERTIFICATION OF </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 xml:space="preserve">CHIEF FINANCIAL OFFICER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 Mark Murphy, certify that: </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Micron Technology, Inc.;</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0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7109" w:type="dxa"/>
        <w:jc w:val="center"/>
        <w:tblInd w:w="0" w:type="dxa"/>
        <w:tblLayout w:type="fixed"/>
        <w:tblCellMar>
          <w:top w:w="28" w:type="dxa"/>
          <w:left w:w="28" w:type="dxa"/>
          <w:bottom w:w="28" w:type="dxa"/>
          <w:right w:w="28" w:type="dxa"/>
        </w:tblCellMar>
      </w:tblPr>
      <w:tblGrid>
        <w:gridCol w:w="211"/>
        <w:gridCol w:w="186"/>
        <w:gridCol w:w="188"/>
        <w:gridCol w:w="599"/>
        <w:gridCol w:w="599"/>
        <w:gridCol w:w="601"/>
        <w:gridCol w:w="1383"/>
        <w:gridCol w:w="1383"/>
        <w:gridCol w:w="195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17, 2025</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Murphy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Mark Murphy</w:t>
            </w:r>
          </w:p>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12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Arial;sans-serif" w:hAnsi="Arial;sans-serif"/>
          <w:b/>
          <w:color w:val="000000"/>
          <w:sz w:val="24"/>
        </w:rPr>
      </w:pPr>
      <w:r>
        <w:rPr>
          <w:rFonts w:ascii="Arial;sans-serif" w:hAnsi="Arial;sans-serif"/>
          <w:b/>
          <w:color w:val="000000"/>
          <w:sz w:val="24"/>
        </w:rPr>
        <w:t>EXHIBIT 32.1</w:t>
      </w:r>
    </w:p>
    <w:p>
      <w:pPr>
        <w:pStyle w:val="TextBody"/>
        <w:bidi w:val="0"/>
        <w:spacing w:before="100" w:after="10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CERTIFICATION OF CHIEF EXECUTIVE OFFICER </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 xml:space="preserve">PURSUANT TO 18 U.S.C. 1350 </w:t>
      </w:r>
    </w:p>
    <w:p>
      <w:pPr>
        <w:pStyle w:val="TextBody"/>
        <w:bidi w:val="0"/>
        <w:spacing w:lineRule="auto" w:line="288" w:before="180" w:after="100"/>
        <w:jc w:val="left"/>
        <w:rPr>
          <w:rFonts w:ascii="Arial;sans-serif" w:hAnsi="Arial;sans-serif"/>
          <w:b w:val="false"/>
          <w:color w:val="000000"/>
          <w:sz w:val="20"/>
        </w:rPr>
      </w:pPr>
      <w:r>
        <w:rPr>
          <w:rFonts w:ascii="Arial;sans-serif" w:hAnsi="Arial;sans-serif"/>
          <w:b w:val="false"/>
          <w:color w:val="000000"/>
          <w:sz w:val="20"/>
        </w:rPr>
        <w:t xml:space="preserve">I, Sanjay Mehrotra, certify, pursuant to 18 U.S.C. 1350, as adopted pursuant to Section 906 of the Sarbanes-Oxley Act of 2002, that the Quarterly Report of Micron Technology, Inc. on Form 10-Q for the period ended November 27, 2025,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 </w:t>
      </w:r>
    </w:p>
    <w:tbl>
      <w:tblPr>
        <w:tblW w:w="6764" w:type="dxa"/>
        <w:jc w:val="left"/>
        <w:tblInd w:w="0" w:type="dxa"/>
        <w:tblLayout w:type="fixed"/>
        <w:tblCellMar>
          <w:top w:w="28" w:type="dxa"/>
          <w:left w:w="28" w:type="dxa"/>
          <w:bottom w:w="28" w:type="dxa"/>
          <w:right w:w="28" w:type="dxa"/>
        </w:tblCellMar>
      </w:tblPr>
      <w:tblGrid>
        <w:gridCol w:w="211"/>
        <w:gridCol w:w="186"/>
        <w:gridCol w:w="188"/>
        <w:gridCol w:w="599"/>
        <w:gridCol w:w="599"/>
        <w:gridCol w:w="601"/>
        <w:gridCol w:w="1281"/>
        <w:gridCol w:w="1281"/>
        <w:gridCol w:w="181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17, 2025</w:t>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Sanjay Mehrotra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Sanjay Mehrotra</w:t>
            </w:r>
          </w:p>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Chairman, President and Chief Executive Officer</w:t>
            </w:r>
          </w:p>
        </w:tc>
      </w:tr>
    </w:tbl>
    <w:p>
      <w:pPr>
        <w:pStyle w:val="TextBody"/>
        <w:bidi w:val="0"/>
        <w:spacing w:before="180" w:after="100"/>
        <w:jc w:val="left"/>
        <w:rPr/>
      </w:pPr>
      <w:r>
        <w:rPr/>
      </w:r>
    </w:p>
    <w:p>
      <w:pPr>
        <w:pStyle w:val="TextBody"/>
        <w:bidi w:val="0"/>
        <w:spacing w:before="180" w:after="100"/>
        <w:jc w:val="left"/>
        <w:rPr/>
      </w:pPr>
      <w:r>
        <w:rPr/>
      </w:r>
    </w:p>
    <w:p>
      <w:pPr>
        <w:pStyle w:val="TextBody"/>
        <w:bidi w:val="0"/>
        <w:spacing w:before="18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12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Arial;sans-serif" w:hAnsi="Arial;sans-serif"/>
          <w:b/>
          <w:color w:val="000000"/>
          <w:sz w:val="24"/>
        </w:rPr>
      </w:pPr>
      <w:r>
        <w:rPr>
          <w:rFonts w:ascii="Arial;sans-serif" w:hAnsi="Arial;sans-serif"/>
          <w:b/>
          <w:color w:val="000000"/>
          <w:sz w:val="24"/>
        </w:rPr>
        <w:t>EXHIBIT 32.2</w:t>
      </w:r>
    </w:p>
    <w:p>
      <w:pPr>
        <w:pStyle w:val="TextBody"/>
        <w:bidi w:val="0"/>
        <w:spacing w:before="100" w:after="10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CERTIFICATION OF CHIEF FINANCIAL OFFICER </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 xml:space="preserve">PURSUANT TO 18 U.S.C. 1350 </w:t>
      </w:r>
    </w:p>
    <w:p>
      <w:pPr>
        <w:pStyle w:val="TextBody"/>
        <w:bidi w:val="0"/>
        <w:spacing w:lineRule="auto" w:line="288" w:before="180" w:after="100"/>
        <w:jc w:val="left"/>
        <w:rPr>
          <w:rFonts w:ascii="Arial;sans-serif" w:hAnsi="Arial;sans-serif"/>
          <w:b w:val="false"/>
          <w:color w:val="000000"/>
          <w:sz w:val="20"/>
        </w:rPr>
      </w:pPr>
      <w:r>
        <w:rPr>
          <w:rFonts w:ascii="Arial;sans-serif" w:hAnsi="Arial;sans-serif"/>
          <w:b w:val="false"/>
          <w:color w:val="000000"/>
          <w:sz w:val="20"/>
        </w:rPr>
        <w:t>I, Mark Murphy, certify, pursuant to 18 U.S.C. 1350, as adopted pursuant to Section 906 of the Sarbanes-Oxley Act of 2002, that the Quarterly Report of Micron Technology, Inc. on Form 10-Q for the period ended November 27, 2025,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tbl>
      <w:tblPr>
        <w:tblW w:w="7109" w:type="dxa"/>
        <w:jc w:val="left"/>
        <w:tblInd w:w="0" w:type="dxa"/>
        <w:tblLayout w:type="fixed"/>
        <w:tblCellMar>
          <w:top w:w="28" w:type="dxa"/>
          <w:left w:w="28" w:type="dxa"/>
          <w:bottom w:w="28" w:type="dxa"/>
          <w:right w:w="28" w:type="dxa"/>
        </w:tblCellMar>
      </w:tblPr>
      <w:tblGrid>
        <w:gridCol w:w="211"/>
        <w:gridCol w:w="186"/>
        <w:gridCol w:w="188"/>
        <w:gridCol w:w="599"/>
        <w:gridCol w:w="599"/>
        <w:gridCol w:w="601"/>
        <w:gridCol w:w="1383"/>
        <w:gridCol w:w="1383"/>
        <w:gridCol w:w="195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17, 2025</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Murphy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Mark Murphy</w:t>
            </w:r>
          </w:p>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180" w:after="100"/>
        <w:jc w:val="left"/>
        <w:rPr/>
      </w:pPr>
      <w:r>
        <w:rPr/>
      </w:r>
    </w:p>
    <w:p>
      <w:pPr>
        <w:pStyle w:val="TextBody"/>
        <w:bidi w:val="0"/>
        <w:spacing w:before="180" w:after="100"/>
        <w:jc w:val="left"/>
        <w:rPr/>
      </w:pPr>
      <w:r>
        <w:rPr/>
      </w:r>
    </w:p>
    <w:p>
      <w:pPr>
        <w:pStyle w:val="TextBody"/>
        <w:bidi w:val="0"/>
        <w:spacing w:before="18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12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hyperlink" Target="https://www.sec.gov/Archives/edgar/data/723125/000110465915004447/a15-3005_2ex99d2.htm" TargetMode="External"/><Relationship Id="rId61" Type="http://schemas.openxmlformats.org/officeDocument/2006/relationships/hyperlink" Target="https://www.sec.gov/Archives/edgar/data/723125/000110465925069019/tm2521153d1_ex3-1.htm" TargetMode="External"/><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30974</Words>
  <Characters>174023</Characters>
  <CharactersWithSpaces>203367</CharactersWithSpaces>
  <Paragraphs>2781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