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6, 2002</w:t>
      </w:r>
    </w:p>
    <w:p>
      <w:pPr>
        <w:spacing w:after="0" w:line="225" w:lineRule="exact"/>
        <w:rPr>
          <w:sz w:val="24"/>
          <w:szCs w:val="24"/>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421"/>
        </w:trPr>
        <w:tc>
          <w:tcPr>
            <w:tcW w:w="3520" w:type="dxa"/>
            <w:vAlign w:val="bottom"/>
          </w:tcPr>
          <w:p>
            <w:pPr>
              <w:spacing w:after="0"/>
              <w:rPr>
                <w:sz w:val="24"/>
                <w:szCs w:val="24"/>
                <w:color w:val="auto"/>
              </w:rPr>
            </w:pPr>
          </w:p>
        </w:tc>
        <w:tc>
          <w:tcPr>
            <w:tcW w:w="2880" w:type="dxa"/>
            <w:vAlign w:val="bottom"/>
            <w:gridSpan w:val="2"/>
          </w:tcPr>
          <w:p>
            <w:pPr>
              <w:jc w:val="center"/>
              <w:ind w:right="1240"/>
              <w:spacing w:after="0"/>
              <w:rPr>
                <w:sz w:val="20"/>
                <w:szCs w:val="20"/>
                <w:color w:val="auto"/>
              </w:rPr>
            </w:pPr>
            <w:r>
              <w:rPr>
                <w:rFonts w:ascii="Arial" w:cs="Arial" w:eastAsia="Arial" w:hAnsi="Arial"/>
                <w:sz w:val="32"/>
                <w:szCs w:val="32"/>
                <w:b w:val="1"/>
                <w:bCs w:val="1"/>
                <w:color w:val="auto"/>
                <w:w w:val="99"/>
              </w:rPr>
              <w:t>FORM S-8</w:t>
            </w:r>
          </w:p>
        </w:tc>
        <w:tc>
          <w:tcPr>
            <w:tcW w:w="1560" w:type="dxa"/>
            <w:vAlign w:val="bottom"/>
          </w:tcPr>
          <w:p>
            <w:pPr>
              <w:spacing w:after="0"/>
              <w:rPr>
                <w:sz w:val="24"/>
                <w:szCs w:val="24"/>
                <w:color w:val="auto"/>
              </w:rPr>
            </w:pPr>
          </w:p>
        </w:tc>
      </w:tr>
      <w:tr>
        <w:trPr>
          <w:trHeight w:val="403"/>
        </w:trPr>
        <w:tc>
          <w:tcPr>
            <w:tcW w:w="6400" w:type="dxa"/>
            <w:vAlign w:val="bottom"/>
            <w:gridSpan w:val="3"/>
          </w:tcPr>
          <w:p>
            <w:pPr>
              <w:jc w:val="center"/>
              <w:ind w:left="2188"/>
              <w:spacing w:after="0"/>
              <w:rPr>
                <w:sz w:val="20"/>
                <w:szCs w:val="20"/>
                <w:color w:val="auto"/>
              </w:rPr>
            </w:pPr>
            <w:r>
              <w:rPr>
                <w:rFonts w:ascii="Arial" w:cs="Arial" w:eastAsia="Arial" w:hAnsi="Arial"/>
                <w:sz w:val="18"/>
                <w:szCs w:val="18"/>
                <w:b w:val="1"/>
                <w:bCs w:val="1"/>
                <w:color w:val="auto"/>
                <w:w w:val="98"/>
              </w:rPr>
              <w:t>REGISTRATION STATEMENT</w:t>
            </w:r>
          </w:p>
        </w:tc>
        <w:tc>
          <w:tcPr>
            <w:tcW w:w="156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28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6"/>
              </w:rPr>
              <w:t>UNDER</w:t>
            </w:r>
          </w:p>
        </w:tc>
        <w:tc>
          <w:tcPr>
            <w:tcW w:w="1560" w:type="dxa"/>
            <w:vAlign w:val="bottom"/>
          </w:tcPr>
          <w:p>
            <w:pPr>
              <w:spacing w:after="0"/>
              <w:rPr>
                <w:sz w:val="18"/>
                <w:szCs w:val="18"/>
                <w:color w:val="auto"/>
              </w:rPr>
            </w:pPr>
          </w:p>
        </w:tc>
      </w:tr>
      <w:tr>
        <w:trPr>
          <w:trHeight w:val="228"/>
        </w:trPr>
        <w:tc>
          <w:tcPr>
            <w:tcW w:w="6400" w:type="dxa"/>
            <w:vAlign w:val="bottom"/>
            <w:gridSpan w:val="3"/>
          </w:tcPr>
          <w:p>
            <w:pPr>
              <w:jc w:val="center"/>
              <w:ind w:left="2168"/>
              <w:spacing w:after="0"/>
              <w:rPr>
                <w:sz w:val="20"/>
                <w:szCs w:val="20"/>
                <w:color w:val="auto"/>
              </w:rPr>
            </w:pPr>
            <w:r>
              <w:rPr>
                <w:rFonts w:ascii="Arial" w:cs="Arial" w:eastAsia="Arial" w:hAnsi="Arial"/>
                <w:sz w:val="18"/>
                <w:szCs w:val="18"/>
                <w:b w:val="1"/>
                <w:bCs w:val="1"/>
                <w:color w:val="auto"/>
                <w:w w:val="96"/>
              </w:rPr>
              <w:t>THE SECURITIES ACT OF 1933</w:t>
            </w:r>
          </w:p>
        </w:tc>
        <w:tc>
          <w:tcPr>
            <w:tcW w:w="1560" w:type="dxa"/>
            <w:vAlign w:val="bottom"/>
          </w:tcPr>
          <w:p>
            <w:pPr>
              <w:spacing w:after="0"/>
              <w:rPr>
                <w:sz w:val="19"/>
                <w:szCs w:val="19"/>
                <w:color w:val="auto"/>
              </w:rPr>
            </w:pPr>
          </w:p>
        </w:tc>
      </w:tr>
      <w:tr>
        <w:trPr>
          <w:trHeight w:val="228"/>
        </w:trPr>
        <w:tc>
          <w:tcPr>
            <w:tcW w:w="35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569"/>
        </w:trPr>
        <w:tc>
          <w:tcPr>
            <w:tcW w:w="6400" w:type="dxa"/>
            <w:vAlign w:val="bottom"/>
            <w:gridSpan w:val="3"/>
          </w:tcPr>
          <w:p>
            <w:pPr>
              <w:jc w:val="center"/>
              <w:ind w:left="2168"/>
              <w:spacing w:after="0"/>
              <w:rPr>
                <w:sz w:val="20"/>
                <w:szCs w:val="20"/>
                <w:color w:val="auto"/>
              </w:rPr>
            </w:pPr>
            <w:r>
              <w:rPr>
                <w:rFonts w:ascii="Arial" w:cs="Arial" w:eastAsia="Arial" w:hAnsi="Arial"/>
                <w:sz w:val="32"/>
                <w:szCs w:val="32"/>
                <w:b w:val="1"/>
                <w:bCs w:val="1"/>
                <w:color w:val="auto"/>
                <w:w w:val="91"/>
              </w:rPr>
              <w:t>Micron Technology, Inc.</w:t>
            </w:r>
          </w:p>
        </w:tc>
        <w:tc>
          <w:tcPr>
            <w:tcW w:w="1560" w:type="dxa"/>
            <w:vAlign w:val="bottom"/>
          </w:tcPr>
          <w:p>
            <w:pPr>
              <w:spacing w:after="0"/>
              <w:rPr>
                <w:sz w:val="24"/>
                <w:szCs w:val="24"/>
                <w:color w:val="auto"/>
              </w:rPr>
            </w:pPr>
          </w:p>
        </w:tc>
      </w:tr>
      <w:tr>
        <w:trPr>
          <w:trHeight w:val="222"/>
        </w:trPr>
        <w:tc>
          <w:tcPr>
            <w:tcW w:w="6400" w:type="dxa"/>
            <w:vAlign w:val="bottom"/>
            <w:gridSpan w:val="3"/>
          </w:tcPr>
          <w:p>
            <w:pPr>
              <w:jc w:val="center"/>
              <w:ind w:left="2168"/>
              <w:spacing w:after="0"/>
              <w:rPr>
                <w:sz w:val="20"/>
                <w:szCs w:val="20"/>
                <w:color w:val="auto"/>
              </w:rPr>
            </w:pPr>
            <w:r>
              <w:rPr>
                <w:rFonts w:ascii="Arial" w:cs="Arial" w:eastAsia="Arial" w:hAnsi="Arial"/>
                <w:sz w:val="18"/>
                <w:szCs w:val="18"/>
                <w:color w:val="auto"/>
                <w:w w:val="88"/>
              </w:rPr>
              <w:t>(Exact name of registrant as specified in its charter)</w:t>
            </w:r>
          </w:p>
        </w:tc>
        <w:tc>
          <w:tcPr>
            <w:tcW w:w="1560" w:type="dxa"/>
            <w:vAlign w:val="bottom"/>
          </w:tcPr>
          <w:p>
            <w:pPr>
              <w:spacing w:after="0"/>
              <w:rPr>
                <w:sz w:val="19"/>
                <w:szCs w:val="19"/>
                <w:color w:val="auto"/>
              </w:rPr>
            </w:pPr>
          </w:p>
        </w:tc>
      </w:tr>
      <w:tr>
        <w:trPr>
          <w:trHeight w:val="426"/>
        </w:trPr>
        <w:tc>
          <w:tcPr>
            <w:tcW w:w="640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6400" w:type="dxa"/>
            <w:vAlign w:val="bottom"/>
            <w:gridSpan w:val="3"/>
          </w:tcPr>
          <w:p>
            <w:pPr>
              <w:jc w:val="center"/>
              <w:ind w:right="3560"/>
              <w:spacing w:after="0"/>
              <w:rPr>
                <w:sz w:val="20"/>
                <w:szCs w:val="20"/>
                <w:color w:val="auto"/>
              </w:rPr>
            </w:pPr>
            <w:r>
              <w:rPr>
                <w:rFonts w:ascii="Arial" w:cs="Arial" w:eastAsia="Arial" w:hAnsi="Arial"/>
                <w:sz w:val="18"/>
                <w:szCs w:val="18"/>
                <w:color w:val="auto"/>
                <w:w w:val="90"/>
              </w:rPr>
              <w:t>(State or other jurisdiction of</w:t>
            </w:r>
          </w:p>
        </w:tc>
        <w:tc>
          <w:tcPr>
            <w:tcW w:w="1560" w:type="dxa"/>
            <w:vAlign w:val="bottom"/>
          </w:tcPr>
          <w:p>
            <w:pPr>
              <w:jc w:val="center"/>
              <w:ind w:left="152"/>
              <w:spacing w:after="0"/>
              <w:rPr>
                <w:sz w:val="20"/>
                <w:szCs w:val="20"/>
                <w:color w:val="auto"/>
              </w:rPr>
            </w:pPr>
            <w:r>
              <w:rPr>
                <w:rFonts w:ascii="Arial" w:cs="Arial" w:eastAsia="Arial" w:hAnsi="Arial"/>
                <w:sz w:val="18"/>
                <w:szCs w:val="18"/>
                <w:color w:val="auto"/>
                <w:w w:val="90"/>
              </w:rPr>
              <w:t>(I.R.S. Employer</w:t>
            </w:r>
          </w:p>
        </w:tc>
      </w:tr>
      <w:tr>
        <w:trPr>
          <w:trHeight w:val="222"/>
        </w:trPr>
        <w:tc>
          <w:tcPr>
            <w:tcW w:w="6400" w:type="dxa"/>
            <w:vAlign w:val="bottom"/>
            <w:gridSpan w:val="3"/>
          </w:tcPr>
          <w:p>
            <w:pPr>
              <w:jc w:val="center"/>
              <w:ind w:right="3560"/>
              <w:spacing w:after="0"/>
              <w:rPr>
                <w:sz w:val="20"/>
                <w:szCs w:val="20"/>
                <w:color w:val="auto"/>
              </w:rPr>
            </w:pPr>
            <w:r>
              <w:rPr>
                <w:rFonts w:ascii="Arial" w:cs="Arial" w:eastAsia="Arial" w:hAnsi="Arial"/>
                <w:sz w:val="18"/>
                <w:szCs w:val="18"/>
                <w:color w:val="auto"/>
                <w:w w:val="90"/>
              </w:rPr>
              <w:t>incorporation or organization)</w:t>
            </w:r>
          </w:p>
        </w:tc>
        <w:tc>
          <w:tcPr>
            <w:tcW w:w="1560" w:type="dxa"/>
            <w:vAlign w:val="bottom"/>
          </w:tcPr>
          <w:p>
            <w:pPr>
              <w:jc w:val="center"/>
              <w:ind w:left="152"/>
              <w:spacing w:after="0"/>
              <w:rPr>
                <w:sz w:val="20"/>
                <w:szCs w:val="20"/>
                <w:color w:val="auto"/>
              </w:rPr>
            </w:pPr>
            <w:r>
              <w:rPr>
                <w:rFonts w:ascii="Arial" w:cs="Arial" w:eastAsia="Arial" w:hAnsi="Arial"/>
                <w:sz w:val="18"/>
                <w:szCs w:val="18"/>
                <w:color w:val="auto"/>
                <w:w w:val="94"/>
              </w:rPr>
              <w:t>Identification No.)</w:t>
            </w:r>
          </w:p>
        </w:tc>
      </w:tr>
      <w:tr>
        <w:trPr>
          <w:trHeight w:val="447"/>
        </w:trPr>
        <w:tc>
          <w:tcPr>
            <w:tcW w:w="640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88"/>
              </w:rPr>
              <w:t>8000 South Federal Way</w:t>
            </w:r>
          </w:p>
        </w:tc>
        <w:tc>
          <w:tcPr>
            <w:tcW w:w="1560" w:type="dxa"/>
            <w:vAlign w:val="bottom"/>
          </w:tcPr>
          <w:p>
            <w:pPr>
              <w:spacing w:after="0"/>
              <w:rPr>
                <w:sz w:val="24"/>
                <w:szCs w:val="24"/>
                <w:color w:val="auto"/>
              </w:rPr>
            </w:pPr>
          </w:p>
        </w:tc>
      </w:tr>
      <w:tr>
        <w:trPr>
          <w:trHeight w:val="222"/>
        </w:trPr>
        <w:tc>
          <w:tcPr>
            <w:tcW w:w="640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85"/>
              </w:rPr>
              <w:t>Boise, Idaho</w:t>
            </w:r>
          </w:p>
        </w:tc>
        <w:tc>
          <w:tcPr>
            <w:tcW w:w="156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83716-9632</w:t>
            </w:r>
          </w:p>
        </w:tc>
      </w:tr>
      <w:tr>
        <w:trPr>
          <w:trHeight w:val="222"/>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0"/>
              </w:rPr>
              <w:t>(Address of Principal Executive Offices)</w:t>
            </w:r>
          </w:p>
        </w:tc>
        <w:tc>
          <w:tcPr>
            <w:tcW w:w="1560" w:type="dxa"/>
            <w:vAlign w:val="bottom"/>
          </w:tcPr>
          <w:p>
            <w:pPr>
              <w:jc w:val="center"/>
              <w:ind w:left="152"/>
              <w:spacing w:after="0"/>
              <w:rPr>
                <w:sz w:val="20"/>
                <w:szCs w:val="20"/>
                <w:color w:val="auto"/>
              </w:rPr>
            </w:pPr>
            <w:r>
              <w:rPr>
                <w:rFonts w:ascii="Arial" w:cs="Arial" w:eastAsia="Arial" w:hAnsi="Arial"/>
                <w:sz w:val="18"/>
                <w:szCs w:val="18"/>
                <w:color w:val="auto"/>
                <w:w w:val="89"/>
              </w:rPr>
              <w:t>(Zip Code)</w:t>
            </w:r>
          </w:p>
        </w:tc>
      </w:tr>
      <w:tr>
        <w:trPr>
          <w:trHeight w:val="426"/>
        </w:trPr>
        <w:tc>
          <w:tcPr>
            <w:tcW w:w="6400" w:type="dxa"/>
            <w:vAlign w:val="bottom"/>
            <w:gridSpan w:val="3"/>
          </w:tcPr>
          <w:p>
            <w:pPr>
              <w:jc w:val="center"/>
              <w:ind w:left="2168"/>
              <w:spacing w:after="0"/>
              <w:rPr>
                <w:sz w:val="20"/>
                <w:szCs w:val="20"/>
                <w:color w:val="auto"/>
              </w:rPr>
            </w:pPr>
            <w:r>
              <w:rPr>
                <w:rFonts w:ascii="Arial" w:cs="Arial" w:eastAsia="Arial" w:hAnsi="Arial"/>
                <w:sz w:val="18"/>
                <w:szCs w:val="18"/>
                <w:b w:val="1"/>
                <w:bCs w:val="1"/>
                <w:color w:val="auto"/>
                <w:w w:val="88"/>
              </w:rPr>
              <w:t>Micron Technology, Inc. 2001 Stock Option Plan</w:t>
            </w:r>
          </w:p>
        </w:tc>
        <w:tc>
          <w:tcPr>
            <w:tcW w:w="1560" w:type="dxa"/>
            <w:vAlign w:val="bottom"/>
          </w:tcPr>
          <w:p>
            <w:pPr>
              <w:spacing w:after="0"/>
              <w:rPr>
                <w:sz w:val="24"/>
                <w:szCs w:val="24"/>
                <w:color w:val="auto"/>
              </w:rPr>
            </w:pPr>
          </w:p>
        </w:tc>
      </w:tr>
      <w:tr>
        <w:trPr>
          <w:trHeight w:val="222"/>
        </w:trPr>
        <w:tc>
          <w:tcPr>
            <w:tcW w:w="3520" w:type="dxa"/>
            <w:vAlign w:val="bottom"/>
          </w:tcPr>
          <w:p>
            <w:pPr>
              <w:spacing w:after="0"/>
              <w:rPr>
                <w:sz w:val="19"/>
                <w:szCs w:val="19"/>
                <w:color w:val="auto"/>
              </w:rPr>
            </w:pPr>
          </w:p>
        </w:tc>
        <w:tc>
          <w:tcPr>
            <w:tcW w:w="2880" w:type="dxa"/>
            <w:vAlign w:val="bottom"/>
            <w:gridSpan w:val="2"/>
          </w:tcPr>
          <w:p>
            <w:pPr>
              <w:jc w:val="center"/>
              <w:ind w:right="1240"/>
              <w:spacing w:after="0"/>
              <w:rPr>
                <w:sz w:val="20"/>
                <w:szCs w:val="20"/>
                <w:color w:val="auto"/>
              </w:rPr>
            </w:pPr>
            <w:r>
              <w:rPr>
                <w:rFonts w:ascii="Arial" w:cs="Arial" w:eastAsia="Arial" w:hAnsi="Arial"/>
                <w:sz w:val="18"/>
                <w:szCs w:val="18"/>
                <w:color w:val="auto"/>
                <w:w w:val="93"/>
              </w:rPr>
              <w:t>(Full title of the plan)</w:t>
            </w:r>
          </w:p>
        </w:tc>
        <w:tc>
          <w:tcPr>
            <w:tcW w:w="1560" w:type="dxa"/>
            <w:vAlign w:val="bottom"/>
          </w:tcPr>
          <w:p>
            <w:pPr>
              <w:spacing w:after="0"/>
              <w:rPr>
                <w:sz w:val="19"/>
                <w:szCs w:val="19"/>
                <w:color w:val="auto"/>
              </w:rPr>
            </w:pPr>
          </w:p>
        </w:tc>
      </w:tr>
      <w:tr>
        <w:trPr>
          <w:trHeight w:val="420"/>
        </w:trPr>
        <w:tc>
          <w:tcPr>
            <w:tcW w:w="3520" w:type="dxa"/>
            <w:vAlign w:val="bottom"/>
          </w:tcPr>
          <w:p>
            <w:pPr>
              <w:spacing w:after="0"/>
              <w:rPr>
                <w:sz w:val="24"/>
                <w:szCs w:val="24"/>
                <w:color w:val="auto"/>
              </w:rPr>
            </w:pPr>
          </w:p>
        </w:tc>
        <w:tc>
          <w:tcPr>
            <w:tcW w:w="28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7"/>
              </w:rPr>
              <w:t>W.G. Stover, Jr.</w:t>
            </w:r>
          </w:p>
        </w:tc>
        <w:tc>
          <w:tcPr>
            <w:tcW w:w="1560" w:type="dxa"/>
            <w:vAlign w:val="bottom"/>
          </w:tcPr>
          <w:p>
            <w:pPr>
              <w:spacing w:after="0"/>
              <w:rPr>
                <w:sz w:val="24"/>
                <w:szCs w:val="24"/>
                <w:color w:val="auto"/>
              </w:rPr>
            </w:pPr>
          </w:p>
        </w:tc>
      </w:tr>
      <w:tr>
        <w:trPr>
          <w:trHeight w:val="216"/>
        </w:trPr>
        <w:tc>
          <w:tcPr>
            <w:tcW w:w="6400" w:type="dxa"/>
            <w:vAlign w:val="bottom"/>
            <w:gridSpan w:val="3"/>
          </w:tcPr>
          <w:p>
            <w:pPr>
              <w:jc w:val="center"/>
              <w:ind w:left="2168"/>
              <w:spacing w:after="0"/>
              <w:rPr>
                <w:sz w:val="20"/>
                <w:szCs w:val="20"/>
                <w:color w:val="auto"/>
              </w:rPr>
            </w:pPr>
            <w:r>
              <w:rPr>
                <w:rFonts w:ascii="Arial" w:cs="Arial" w:eastAsia="Arial" w:hAnsi="Arial"/>
                <w:sz w:val="18"/>
                <w:szCs w:val="18"/>
                <w:b w:val="1"/>
                <w:bCs w:val="1"/>
                <w:color w:val="auto"/>
                <w:w w:val="88"/>
              </w:rPr>
              <w:t>V.P. of Finance and Chief Financial Officer</w:t>
            </w:r>
          </w:p>
        </w:tc>
        <w:tc>
          <w:tcPr>
            <w:tcW w:w="1560" w:type="dxa"/>
            <w:vAlign w:val="bottom"/>
          </w:tcPr>
          <w:p>
            <w:pPr>
              <w:spacing w:after="0"/>
              <w:rPr>
                <w:sz w:val="18"/>
                <w:szCs w:val="18"/>
                <w:color w:val="auto"/>
              </w:rPr>
            </w:pPr>
          </w:p>
        </w:tc>
      </w:tr>
      <w:tr>
        <w:trPr>
          <w:trHeight w:val="216"/>
        </w:trPr>
        <w:tc>
          <w:tcPr>
            <w:tcW w:w="6400" w:type="dxa"/>
            <w:vAlign w:val="bottom"/>
            <w:gridSpan w:val="3"/>
          </w:tcPr>
          <w:p>
            <w:pPr>
              <w:jc w:val="center"/>
              <w:ind w:left="2168"/>
              <w:spacing w:after="0"/>
              <w:rPr>
                <w:sz w:val="20"/>
                <w:szCs w:val="20"/>
                <w:color w:val="auto"/>
              </w:rPr>
            </w:pPr>
            <w:r>
              <w:rPr>
                <w:rFonts w:ascii="Arial" w:cs="Arial" w:eastAsia="Arial" w:hAnsi="Arial"/>
                <w:sz w:val="18"/>
                <w:szCs w:val="18"/>
                <w:b w:val="1"/>
                <w:bCs w:val="1"/>
                <w:color w:val="auto"/>
                <w:w w:val="88"/>
              </w:rPr>
              <w:t>Micron Technology, Inc.</w:t>
            </w:r>
          </w:p>
        </w:tc>
        <w:tc>
          <w:tcPr>
            <w:tcW w:w="1560" w:type="dxa"/>
            <w:vAlign w:val="bottom"/>
          </w:tcPr>
          <w:p>
            <w:pPr>
              <w:spacing w:after="0"/>
              <w:rPr>
                <w:sz w:val="18"/>
                <w:szCs w:val="18"/>
                <w:color w:val="auto"/>
              </w:rPr>
            </w:pPr>
          </w:p>
        </w:tc>
      </w:tr>
      <w:tr>
        <w:trPr>
          <w:trHeight w:val="216"/>
        </w:trPr>
        <w:tc>
          <w:tcPr>
            <w:tcW w:w="6400" w:type="dxa"/>
            <w:vAlign w:val="bottom"/>
            <w:gridSpan w:val="3"/>
          </w:tcPr>
          <w:p>
            <w:pPr>
              <w:jc w:val="center"/>
              <w:ind w:left="2188"/>
              <w:spacing w:after="0"/>
              <w:rPr>
                <w:sz w:val="20"/>
                <w:szCs w:val="20"/>
                <w:color w:val="auto"/>
              </w:rPr>
            </w:pPr>
            <w:r>
              <w:rPr>
                <w:rFonts w:ascii="Arial" w:cs="Arial" w:eastAsia="Arial" w:hAnsi="Arial"/>
                <w:sz w:val="18"/>
                <w:szCs w:val="18"/>
                <w:b w:val="1"/>
                <w:bCs w:val="1"/>
                <w:color w:val="auto"/>
                <w:w w:val="88"/>
              </w:rPr>
              <w:t>8000 South Federal Way</w:t>
            </w:r>
          </w:p>
        </w:tc>
        <w:tc>
          <w:tcPr>
            <w:tcW w:w="1560" w:type="dxa"/>
            <w:vAlign w:val="bottom"/>
          </w:tcPr>
          <w:p>
            <w:pPr>
              <w:spacing w:after="0"/>
              <w:rPr>
                <w:sz w:val="18"/>
                <w:szCs w:val="18"/>
                <w:color w:val="auto"/>
              </w:rPr>
            </w:pPr>
          </w:p>
        </w:tc>
      </w:tr>
      <w:tr>
        <w:trPr>
          <w:trHeight w:val="222"/>
        </w:trPr>
        <w:tc>
          <w:tcPr>
            <w:tcW w:w="6400" w:type="dxa"/>
            <w:vAlign w:val="bottom"/>
            <w:gridSpan w:val="3"/>
          </w:tcPr>
          <w:p>
            <w:pPr>
              <w:jc w:val="center"/>
              <w:ind w:left="2168"/>
              <w:spacing w:after="0"/>
              <w:rPr>
                <w:sz w:val="20"/>
                <w:szCs w:val="20"/>
                <w:color w:val="auto"/>
              </w:rPr>
            </w:pPr>
            <w:r>
              <w:rPr>
                <w:rFonts w:ascii="Arial" w:cs="Arial" w:eastAsia="Arial" w:hAnsi="Arial"/>
                <w:sz w:val="18"/>
                <w:szCs w:val="18"/>
                <w:b w:val="1"/>
                <w:bCs w:val="1"/>
                <w:color w:val="auto"/>
                <w:w w:val="87"/>
              </w:rPr>
              <w:t>Boise, Idaho 83716-9632</w:t>
            </w:r>
          </w:p>
        </w:tc>
        <w:tc>
          <w:tcPr>
            <w:tcW w:w="1560" w:type="dxa"/>
            <w:vAlign w:val="bottom"/>
          </w:tcPr>
          <w:p>
            <w:pPr>
              <w:spacing w:after="0"/>
              <w:rPr>
                <w:sz w:val="19"/>
                <w:szCs w:val="19"/>
                <w:color w:val="auto"/>
              </w:rPr>
            </w:pPr>
          </w:p>
        </w:tc>
      </w:tr>
      <w:tr>
        <w:trPr>
          <w:trHeight w:val="222"/>
        </w:trPr>
        <w:tc>
          <w:tcPr>
            <w:tcW w:w="6400" w:type="dxa"/>
            <w:vAlign w:val="bottom"/>
            <w:gridSpan w:val="3"/>
          </w:tcPr>
          <w:p>
            <w:pPr>
              <w:jc w:val="center"/>
              <w:ind w:left="2188"/>
              <w:spacing w:after="0"/>
              <w:rPr>
                <w:sz w:val="20"/>
                <w:szCs w:val="20"/>
                <w:color w:val="auto"/>
              </w:rPr>
            </w:pPr>
            <w:r>
              <w:rPr>
                <w:rFonts w:ascii="Arial" w:cs="Arial" w:eastAsia="Arial" w:hAnsi="Arial"/>
                <w:sz w:val="18"/>
                <w:szCs w:val="18"/>
                <w:color w:val="auto"/>
                <w:w w:val="86"/>
              </w:rPr>
              <w:t>(Name and address of agent for service)</w:t>
            </w:r>
          </w:p>
        </w:tc>
        <w:tc>
          <w:tcPr>
            <w:tcW w:w="15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-3004185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-3004185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8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91"/>
              </w:rPr>
              <w:t>Title of</w:t>
            </w:r>
          </w:p>
        </w:tc>
        <w:tc>
          <w:tcPr>
            <w:tcW w:w="24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8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82"/>
              </w:rPr>
              <w:t>securities</w:t>
            </w:r>
          </w:p>
        </w:tc>
        <w:tc>
          <w:tcPr>
            <w:tcW w:w="2460" w:type="dxa"/>
            <w:vAlign w:val="bottom"/>
          </w:tcPr>
          <w:p>
            <w:pPr>
              <w:jc w:val="center"/>
              <w:ind w:left="847"/>
              <w:spacing w:after="0" w:line="149" w:lineRule="exact"/>
              <w:rPr>
                <w:sz w:val="20"/>
                <w:szCs w:val="20"/>
                <w:color w:val="auto"/>
              </w:rPr>
            </w:pPr>
            <w:r>
              <w:rPr>
                <w:rFonts w:ascii="Arial" w:cs="Arial" w:eastAsia="Arial" w:hAnsi="Arial"/>
                <w:sz w:val="14"/>
                <w:szCs w:val="14"/>
                <w:b w:val="1"/>
                <w:bCs w:val="1"/>
                <w:color w:val="auto"/>
                <w:w w:val="86"/>
              </w:rPr>
              <w:t>Amount</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83"/>
              </w:rPr>
              <w:t>to be</w:t>
            </w:r>
          </w:p>
        </w:tc>
        <w:tc>
          <w:tcPr>
            <w:tcW w:w="2460" w:type="dxa"/>
            <w:vAlign w:val="bottom"/>
          </w:tcPr>
          <w:p>
            <w:pPr>
              <w:jc w:val="center"/>
              <w:ind w:left="827"/>
              <w:spacing w:after="0" w:line="149" w:lineRule="exact"/>
              <w:rPr>
                <w:sz w:val="20"/>
                <w:szCs w:val="20"/>
                <w:color w:val="auto"/>
              </w:rPr>
            </w:pPr>
            <w:r>
              <w:rPr>
                <w:rFonts w:ascii="Arial" w:cs="Arial" w:eastAsia="Arial" w:hAnsi="Arial"/>
                <w:sz w:val="14"/>
                <w:szCs w:val="14"/>
                <w:b w:val="1"/>
                <w:bCs w:val="1"/>
                <w:color w:val="auto"/>
                <w:w w:val="83"/>
              </w:rPr>
              <w:t>to be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80" w:type="dxa"/>
            <w:vAlign w:val="bottom"/>
          </w:tcPr>
          <w:p>
            <w:pPr>
              <w:jc w:val="center"/>
              <w:ind w:right="632"/>
              <w:spacing w:after="0"/>
              <w:rPr>
                <w:sz w:val="20"/>
                <w:szCs w:val="20"/>
                <w:color w:val="auto"/>
              </w:rPr>
            </w:pPr>
            <w:r>
              <w:rPr>
                <w:rFonts w:ascii="Arial" w:cs="Arial" w:eastAsia="Arial" w:hAnsi="Arial"/>
                <w:sz w:val="14"/>
                <w:szCs w:val="14"/>
                <w:b w:val="1"/>
                <w:bCs w:val="1"/>
                <w:color w:val="auto"/>
                <w:w w:val="85"/>
              </w:rPr>
              <w:t>registered</w:t>
            </w:r>
          </w:p>
        </w:tc>
        <w:tc>
          <w:tcPr>
            <w:tcW w:w="2460" w:type="dxa"/>
            <w:vAlign w:val="bottom"/>
          </w:tcPr>
          <w:p>
            <w:pPr>
              <w:jc w:val="center"/>
              <w:ind w:left="847"/>
              <w:spacing w:after="0"/>
              <w:rPr>
                <w:sz w:val="20"/>
                <w:szCs w:val="20"/>
                <w:color w:val="auto"/>
              </w:rPr>
            </w:pPr>
            <w:r>
              <w:rPr>
                <w:rFonts w:ascii="Arial" w:cs="Arial" w:eastAsia="Arial" w:hAnsi="Arial"/>
                <w:sz w:val="14"/>
                <w:szCs w:val="14"/>
                <w:b w:val="1"/>
                <w:bCs w:val="1"/>
                <w:color w:val="auto"/>
                <w:w w:val="85"/>
              </w:rPr>
              <w:t>registered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share(1)</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price(1)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fee(2)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par value</w:t>
            </w: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2460" w:type="dxa"/>
            <w:vAlign w:val="bottom"/>
            <w:shd w:val="clear" w:color="auto" w:fill="CCEEFF"/>
          </w:tcPr>
          <w:p>
            <w:pPr>
              <w:jc w:val="center"/>
              <w:ind w:left="847"/>
              <w:spacing w:after="0"/>
              <w:rPr>
                <w:sz w:val="20"/>
                <w:szCs w:val="20"/>
                <w:color w:val="auto"/>
              </w:rPr>
            </w:pPr>
            <w:r>
              <w:rPr>
                <w:rFonts w:ascii="Arial" w:cs="Arial" w:eastAsia="Arial" w:hAnsi="Arial"/>
                <w:sz w:val="18"/>
                <w:szCs w:val="18"/>
                <w:color w:val="auto"/>
                <w:w w:val="86"/>
              </w:rPr>
              <w:t>10,000,000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$16.85</w:t>
            </w:r>
          </w:p>
        </w:tc>
        <w:tc>
          <w:tcPr>
            <w:tcW w:w="1820" w:type="dxa"/>
            <w:vAlign w:val="bottom"/>
            <w:shd w:val="clear" w:color="auto" w:fill="CCEEFF"/>
          </w:tcPr>
          <w:p>
            <w:pPr>
              <w:jc w:val="right"/>
              <w:ind w:right="369"/>
              <w:spacing w:after="0"/>
              <w:rPr>
                <w:sz w:val="20"/>
                <w:szCs w:val="20"/>
                <w:color w:val="auto"/>
              </w:rPr>
            </w:pPr>
            <w:r>
              <w:rPr>
                <w:rFonts w:ascii="Arial" w:cs="Arial" w:eastAsia="Arial" w:hAnsi="Arial"/>
                <w:sz w:val="18"/>
                <w:szCs w:val="18"/>
                <w:color w:val="auto"/>
              </w:rPr>
              <w:t>$168,500,000</w:t>
            </w:r>
          </w:p>
        </w:tc>
        <w:tc>
          <w:tcPr>
            <w:tcW w:w="1520" w:type="dxa"/>
            <w:vAlign w:val="bottom"/>
            <w:shd w:val="clear" w:color="auto" w:fill="CCEEFF"/>
          </w:tcPr>
          <w:p>
            <w:pPr>
              <w:jc w:val="right"/>
              <w:ind w:right="407"/>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right="8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Rules 457(c) and 457(h) of Regulation C solely for the purpose of calculating the registration fee on the basis of $16.85 per share, average of the high and low price of the Registrant's Common Stock as reported on the New York Stock Exchange on August 29, 2002.</w:t>
      </w:r>
    </w:p>
    <w:p>
      <w:pPr>
        <w:spacing w:after="0" w:line="166"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registration fee was calculated pursuant to Section 6(b) of the Securities Act, as amended, which provides that the fee shall be .000092 multiplied by the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ectPr>
          <w:pgSz w:w="11900" w:h="16864"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INFORMATION REQUIRED IN THE REGISTRATION STATEMENT</w:t>
      </w:r>
    </w:p>
    <w:p>
      <w:pPr>
        <w:sectPr>
          <w:pgSz w:w="11900" w:h="16864" w:orient="portrait"/>
          <w:cols w:equalWidth="0" w:num="1">
            <w:col w:w="11420"/>
          </w:cols>
          <w:pgMar w:left="240" w:top="469" w:right="239" w:bottom="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i w:val="1"/>
          <w:iCs w:val="1"/>
          <w:color w:val="auto"/>
        </w:rPr>
        <w:t>Incorporation of Documents by Reference.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are hereby incorporated by reference in this Registration Statement the following documents and information heretofore filed with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19" w:lineRule="exact"/>
        <w:rPr>
          <w:sz w:val="20"/>
          <w:szCs w:val="20"/>
          <w:color w:val="auto"/>
        </w:rPr>
      </w:pPr>
    </w:p>
    <w:p>
      <w:pPr>
        <w:ind w:right="140" w:firstLine="359"/>
        <w:spacing w:after="0" w:line="268" w:lineRule="auto"/>
        <w:tabs>
          <w:tab w:leader="none" w:pos="6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August 30, 2001, filed pursuant to Section 13(a) of the Securities Exchange Act of 1934, as amended (the "1934 Act") (File No. 1-10658).</w:t>
      </w:r>
    </w:p>
    <w:p>
      <w:pPr>
        <w:spacing w:after="0" w:line="185" w:lineRule="exact"/>
        <w:rPr>
          <w:rFonts w:ascii="Arial" w:cs="Arial" w:eastAsia="Arial" w:hAnsi="Arial"/>
          <w:sz w:val="18"/>
          <w:szCs w:val="18"/>
          <w:color w:val="auto"/>
        </w:rPr>
      </w:pPr>
    </w:p>
    <w:p>
      <w:pPr>
        <w:ind w:right="340" w:firstLine="359"/>
        <w:spacing w:after="0" w:line="268" w:lineRule="auto"/>
        <w:tabs>
          <w:tab w:leader="none" w:pos="64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November 29, 2001, February 28, 2002 and May 30, 2002, filed pursuant to Section 13(a) of the 1934 Act (File No. 1-10658).</w:t>
      </w:r>
    </w:p>
    <w:p>
      <w:pPr>
        <w:spacing w:after="0" w:line="185" w:lineRule="exact"/>
        <w:rPr>
          <w:rFonts w:ascii="Arial" w:cs="Arial" w:eastAsia="Arial" w:hAnsi="Arial"/>
          <w:sz w:val="18"/>
          <w:szCs w:val="18"/>
          <w:color w:val="auto"/>
        </w:rPr>
      </w:pPr>
    </w:p>
    <w:p>
      <w:pPr>
        <w:ind w:right="60" w:firstLine="359"/>
        <w:spacing w:after="0" w:line="259" w:lineRule="auto"/>
        <w:tabs>
          <w:tab w:leader="none" w:pos="6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194" w:lineRule="exact"/>
        <w:rPr>
          <w:sz w:val="20"/>
          <w:szCs w:val="20"/>
          <w:color w:val="auto"/>
        </w:rPr>
      </w:pPr>
    </w:p>
    <w:p>
      <w:pPr>
        <w:ind w:right="220" w:firstLine="341"/>
        <w:spacing w:after="0" w:line="335" w:lineRule="auto"/>
        <w:rPr>
          <w:sz w:val="20"/>
          <w:szCs w:val="20"/>
          <w:color w:val="auto"/>
        </w:rPr>
      </w:pPr>
      <w:r>
        <w:rPr>
          <w:rFonts w:ascii="Arial" w:cs="Arial" w:eastAsia="Arial" w:hAnsi="Arial"/>
          <w:sz w:val="15"/>
          <w:szCs w:val="15"/>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i w:val="1"/>
          <w:iCs w:val="1"/>
          <w:color w:val="auto"/>
        </w:rPr>
        <w:t>Description of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i w:val="1"/>
          <w:iCs w:val="1"/>
          <w:color w:val="auto"/>
        </w:rPr>
        <w:t>Interests of Named Experts and Counsel.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i w:val="1"/>
          <w:iCs w:val="1"/>
          <w:color w:val="auto"/>
        </w:rPr>
        <w:t>Indemnification of Directors and Officers.</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i w:val="1"/>
          <w:iCs w:val="1"/>
          <w:color w:val="auto"/>
        </w:rPr>
        <w:t>Exemption from Registration Claimed.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i w:val="1"/>
          <w:iCs w:val="1"/>
          <w:color w:val="auto"/>
        </w:rPr>
        <w:t>Exhibits.</w:t>
      </w:r>
    </w:p>
    <w:p>
      <w:pPr>
        <w:spacing w:after="0" w:line="22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58420</wp:posOffset>
            </wp:positionV>
            <wp:extent cx="56134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1340" cy="21590"/>
                    </a:xfrm>
                    <a:prstGeom prst="rect">
                      <a:avLst/>
                    </a:prstGeom>
                    <a:noFill/>
                  </pic:spPr>
                </pic:pic>
              </a:graphicData>
            </a:graphic>
          </wp:anchor>
        </w:drawing>
      </w:r>
    </w:p>
    <w:p>
      <w:pPr>
        <w:spacing w:after="0" w:line="202" w:lineRule="exact"/>
        <w:rPr>
          <w:sz w:val="20"/>
          <w:szCs w:val="20"/>
          <w:color w:val="auto"/>
        </w:rPr>
      </w:pPr>
    </w:p>
    <w:p>
      <w:pPr>
        <w:ind w:left="1660"/>
        <w:spacing w:after="0"/>
        <w:tabs>
          <w:tab w:leader="none" w:pos="25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Micron Technology, Inc. 2001 Stock Option Plan.</w:t>
      </w:r>
    </w:p>
    <w:p>
      <w:pPr>
        <w:spacing w:after="0" w:line="225" w:lineRule="exact"/>
        <w:rPr>
          <w:sz w:val="20"/>
          <w:szCs w:val="20"/>
          <w:color w:val="auto"/>
        </w:rPr>
      </w:pPr>
    </w:p>
    <w:p>
      <w:pPr>
        <w:ind w:left="1700"/>
        <w:spacing w:after="0"/>
        <w:tabs>
          <w:tab w:leader="none" w:pos="2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w:t>
      </w:r>
    </w:p>
    <w:p>
      <w:pPr>
        <w:spacing w:after="0" w:line="225" w:lineRule="exact"/>
        <w:rPr>
          <w:sz w:val="20"/>
          <w:szCs w:val="20"/>
          <w:color w:val="auto"/>
        </w:rPr>
      </w:pPr>
    </w:p>
    <w:p>
      <w:pPr>
        <w:ind w:left="1660"/>
        <w:spacing w:after="0"/>
        <w:tabs>
          <w:tab w:leader="none" w:pos="25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Accountants.</w:t>
      </w:r>
    </w:p>
    <w:p>
      <w:pPr>
        <w:spacing w:after="0" w:line="225" w:lineRule="exact"/>
        <w:rPr>
          <w:sz w:val="20"/>
          <w:szCs w:val="20"/>
          <w:color w:val="auto"/>
        </w:rPr>
      </w:pPr>
    </w:p>
    <w:p>
      <w:pPr>
        <w:ind w:left="1660"/>
        <w:spacing w:after="0"/>
        <w:tabs>
          <w:tab w:leader="none" w:pos="25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Counsel (contained in Exhibit 5.1).</w:t>
      </w:r>
    </w:p>
    <w:p>
      <w:pPr>
        <w:spacing w:after="0" w:line="225" w:lineRule="exact"/>
        <w:rPr>
          <w:sz w:val="20"/>
          <w:szCs w:val="20"/>
          <w:color w:val="auto"/>
        </w:rPr>
      </w:pPr>
    </w:p>
    <w:p>
      <w:pPr>
        <w:ind w:left="1660"/>
        <w:spacing w:after="0"/>
        <w:tabs>
          <w:tab w:leader="none" w:pos="25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i w:val="1"/>
          <w:iCs w:val="1"/>
          <w:color w:val="auto"/>
        </w:rPr>
        <w:t>Undertakings.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right="340" w:firstLine="359"/>
        <w:spacing w:after="0" w:line="259" w:lineRule="auto"/>
        <w:tabs>
          <w:tab w:leader="none" w:pos="641"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94" w:lineRule="exact"/>
        <w:rPr>
          <w:rFonts w:ascii="Arial" w:cs="Arial" w:eastAsia="Arial" w:hAnsi="Arial"/>
          <w:sz w:val="18"/>
          <w:szCs w:val="18"/>
          <w:color w:val="auto"/>
        </w:rPr>
      </w:pPr>
    </w:p>
    <w:p>
      <w:pPr>
        <w:ind w:firstLine="359"/>
        <w:spacing w:after="0" w:line="370" w:lineRule="auto"/>
        <w:tabs>
          <w:tab w:leader="none" w:pos="641" w:val="left"/>
        </w:tabs>
        <w:numPr>
          <w:ilvl w:val="0"/>
          <w:numId w:val="3"/>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6" w:lineRule="exact"/>
        <w:rPr>
          <w:rFonts w:ascii="Arial" w:cs="Arial" w:eastAsia="Arial" w:hAnsi="Arial"/>
          <w:sz w:val="15"/>
          <w:szCs w:val="15"/>
          <w:color w:val="auto"/>
        </w:rPr>
      </w:pPr>
    </w:p>
    <w:p>
      <w:pPr>
        <w:ind w:left="640" w:hanging="281"/>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offering.</w:t>
      </w:r>
    </w:p>
    <w:p>
      <w:pPr>
        <w:spacing w:after="0" w:line="219" w:lineRule="exact"/>
        <w:rPr>
          <w:sz w:val="20"/>
          <w:szCs w:val="20"/>
          <w:color w:val="auto"/>
        </w:rPr>
      </w:pPr>
    </w:p>
    <w:p>
      <w:pPr>
        <w:jc w:val="both"/>
        <w:ind w:right="120" w:firstLine="359"/>
        <w:spacing w:after="0" w:line="298" w:lineRule="auto"/>
        <w:tabs>
          <w:tab w:leader="none" w:pos="64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00"/>
          </w:cols>
          <w:pgMar w:left="240" w:top="131" w:right="259" w:bottom="0" w:gutter="0" w:footer="0" w:header="0"/>
        </w:sectPr>
      </w:pPr>
    </w:p>
    <w:bookmarkStart w:id="2" w:name="page3"/>
    <w:bookmarkEnd w:id="2"/>
    <w:p>
      <w:pPr>
        <w:ind w:right="100" w:firstLine="359"/>
        <w:spacing w:after="0" w:line="253"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70"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2002.</w:t>
      </w:r>
    </w:p>
    <w:p>
      <w:pPr>
        <w:spacing w:after="0" w:line="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G. Stover,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7"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6300" w:val="left"/>
          <w:tab w:leader="none" w:pos="99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 Steven R. Appleton</w:t>
            </w:r>
          </w:p>
        </w:tc>
        <w:tc>
          <w:tcPr>
            <w:tcW w:w="4640" w:type="dxa"/>
            <w:vAlign w:val="bottom"/>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960" w:type="dxa"/>
            <w:vAlign w:val="bottom"/>
          </w:tcPr>
          <w:p>
            <w:pPr>
              <w:ind w:left="620"/>
              <w:spacing w:after="0"/>
              <w:rPr>
                <w:sz w:val="20"/>
                <w:szCs w:val="20"/>
                <w:color w:val="auto"/>
              </w:rPr>
            </w:pPr>
            <w:r>
              <w:rPr>
                <w:rFonts w:ascii="Arial" w:cs="Arial" w:eastAsia="Arial" w:hAnsi="Arial"/>
                <w:sz w:val="18"/>
                <w:szCs w:val="18"/>
                <w:color w:val="auto"/>
                <w:w w:val="86"/>
              </w:rPr>
              <w:t>September 4, 2002</w:t>
            </w:r>
          </w:p>
        </w:tc>
        <w:tc>
          <w:tcPr>
            <w:tcW w:w="0" w:type="dxa"/>
            <w:vAlign w:val="bottom"/>
          </w:tcPr>
          <w:p>
            <w:pPr>
              <w:spacing w:after="0"/>
              <w:rPr>
                <w:sz w:val="1"/>
                <w:szCs w:val="1"/>
                <w:color w:val="auto"/>
              </w:rPr>
            </w:pPr>
          </w:p>
        </w:tc>
      </w:tr>
      <w:tr>
        <w:trPr>
          <w:trHeight w:val="127"/>
        </w:trPr>
        <w:tc>
          <w:tcPr>
            <w:tcW w:w="4160" w:type="dxa"/>
            <w:vAlign w:val="bottom"/>
            <w:tcBorders>
              <w:bottom w:val="single" w:sz="8" w:color="808080"/>
            </w:tcBorders>
          </w:tcPr>
          <w:p>
            <w:pPr>
              <w:spacing w:after="0"/>
              <w:rPr>
                <w:sz w:val="11"/>
                <w:szCs w:val="11"/>
                <w:color w:val="auto"/>
              </w:rPr>
            </w:pPr>
          </w:p>
        </w:tc>
        <w:tc>
          <w:tcPr>
            <w:tcW w:w="4640" w:type="dxa"/>
            <w:vAlign w:val="bottom"/>
            <w:vMerge w:val="restart"/>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60" w:type="dxa"/>
            <w:vAlign w:val="bottom"/>
            <w:vMerge w:val="restart"/>
          </w:tcPr>
          <w:p>
            <w:pPr>
              <w:spacing w:after="0"/>
              <w:rPr>
                <w:sz w:val="20"/>
                <w:szCs w:val="20"/>
                <w:color w:val="auto"/>
              </w:rPr>
            </w:pPr>
            <w:r>
              <w:rPr>
                <w:rFonts w:ascii="Arial" w:cs="Arial" w:eastAsia="Arial" w:hAnsi="Arial"/>
                <w:sz w:val="18"/>
                <w:szCs w:val="18"/>
                <w:color w:val="auto"/>
              </w:rPr>
              <w:t>Steven R. Appleton</w:t>
            </w:r>
          </w:p>
        </w:tc>
        <w:tc>
          <w:tcPr>
            <w:tcW w:w="4640" w:type="dxa"/>
            <w:vAlign w:val="bottom"/>
            <w:vMerge w:val="continue"/>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vMerge w:val="continue"/>
          </w:tcPr>
          <w:p>
            <w:pPr>
              <w:spacing w:after="0"/>
              <w:rPr>
                <w:sz w:val="21"/>
                <w:szCs w:val="21"/>
                <w:color w:val="auto"/>
              </w:rPr>
            </w:pPr>
          </w:p>
        </w:tc>
        <w:tc>
          <w:tcPr>
            <w:tcW w:w="46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160" w:type="dxa"/>
            <w:vAlign w:val="bottom"/>
          </w:tcPr>
          <w:p>
            <w:pPr>
              <w:spacing w:after="0"/>
              <w:rPr>
                <w:sz w:val="20"/>
                <w:szCs w:val="20"/>
                <w:color w:val="auto"/>
              </w:rPr>
            </w:pPr>
            <w:r>
              <w:rPr>
                <w:rFonts w:ascii="Arial" w:cs="Arial" w:eastAsia="Arial" w:hAnsi="Arial"/>
                <w:sz w:val="18"/>
                <w:szCs w:val="18"/>
                <w:color w:val="auto"/>
              </w:rPr>
              <w:t>/s/ Wilbur G. Stover, Jr.</w:t>
            </w:r>
          </w:p>
        </w:tc>
        <w:tc>
          <w:tcPr>
            <w:tcW w:w="4640" w:type="dxa"/>
            <w:vAlign w:val="bottom"/>
          </w:tcPr>
          <w:p>
            <w:pPr>
              <w:ind w:left="220"/>
              <w:spacing w:after="0"/>
              <w:rPr>
                <w:sz w:val="20"/>
                <w:szCs w:val="20"/>
                <w:color w:val="auto"/>
              </w:rPr>
            </w:pPr>
            <w:r>
              <w:rPr>
                <w:rFonts w:ascii="Arial" w:cs="Arial" w:eastAsia="Arial" w:hAnsi="Arial"/>
                <w:sz w:val="18"/>
                <w:szCs w:val="18"/>
                <w:color w:val="auto"/>
              </w:rPr>
              <w:t>Vice President of Finance and Chief Financial Officer</w:t>
            </w:r>
          </w:p>
        </w:tc>
        <w:tc>
          <w:tcPr>
            <w:tcW w:w="1960" w:type="dxa"/>
            <w:vAlign w:val="bottom"/>
          </w:tcPr>
          <w:p>
            <w:pPr>
              <w:ind w:left="620"/>
              <w:spacing w:after="0"/>
              <w:rPr>
                <w:sz w:val="20"/>
                <w:szCs w:val="20"/>
                <w:color w:val="auto"/>
              </w:rPr>
            </w:pPr>
            <w:r>
              <w:rPr>
                <w:rFonts w:ascii="Arial" w:cs="Arial" w:eastAsia="Arial" w:hAnsi="Arial"/>
                <w:sz w:val="18"/>
                <w:szCs w:val="18"/>
                <w:color w:val="auto"/>
                <w:w w:val="86"/>
              </w:rPr>
              <w:t>September 4, 2002</w:t>
            </w:r>
          </w:p>
        </w:tc>
        <w:tc>
          <w:tcPr>
            <w:tcW w:w="0" w:type="dxa"/>
            <w:vAlign w:val="bottom"/>
          </w:tcPr>
          <w:p>
            <w:pPr>
              <w:spacing w:after="0"/>
              <w:rPr>
                <w:sz w:val="1"/>
                <w:szCs w:val="1"/>
                <w:color w:val="auto"/>
              </w:rPr>
            </w:pPr>
          </w:p>
        </w:tc>
      </w:tr>
      <w:tr>
        <w:trPr>
          <w:trHeight w:val="127"/>
        </w:trPr>
        <w:tc>
          <w:tcPr>
            <w:tcW w:w="4160" w:type="dxa"/>
            <w:vAlign w:val="bottom"/>
            <w:tcBorders>
              <w:bottom w:val="single" w:sz="8" w:color="808080"/>
            </w:tcBorders>
          </w:tcPr>
          <w:p>
            <w:pPr>
              <w:spacing w:after="0"/>
              <w:rPr>
                <w:sz w:val="11"/>
                <w:szCs w:val="11"/>
                <w:color w:val="auto"/>
              </w:rPr>
            </w:pPr>
          </w:p>
        </w:tc>
        <w:tc>
          <w:tcPr>
            <w:tcW w:w="4640" w:type="dxa"/>
            <w:vAlign w:val="bottom"/>
            <w:vMerge w:val="restart"/>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60" w:type="dxa"/>
            <w:vAlign w:val="bottom"/>
            <w:vMerge w:val="restart"/>
          </w:tcPr>
          <w:p>
            <w:pPr>
              <w:spacing w:after="0"/>
              <w:rPr>
                <w:sz w:val="20"/>
                <w:szCs w:val="20"/>
                <w:color w:val="auto"/>
              </w:rPr>
            </w:pPr>
            <w:r>
              <w:rPr>
                <w:rFonts w:ascii="Arial" w:cs="Arial" w:eastAsia="Arial" w:hAnsi="Arial"/>
                <w:sz w:val="18"/>
                <w:szCs w:val="18"/>
                <w:color w:val="auto"/>
              </w:rPr>
              <w:t>Wilbur G. Stover, Jr.</w:t>
            </w:r>
          </w:p>
        </w:tc>
        <w:tc>
          <w:tcPr>
            <w:tcW w:w="4640" w:type="dxa"/>
            <w:vAlign w:val="bottom"/>
            <w:vMerge w:val="continue"/>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160" w:type="dxa"/>
            <w:vAlign w:val="bottom"/>
            <w:vMerge w:val="continue"/>
          </w:tcPr>
          <w:p>
            <w:pPr>
              <w:spacing w:after="0"/>
              <w:rPr>
                <w:sz w:val="21"/>
                <w:szCs w:val="21"/>
                <w:color w:val="auto"/>
              </w:rPr>
            </w:pPr>
          </w:p>
        </w:tc>
        <w:tc>
          <w:tcPr>
            <w:tcW w:w="46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/s/ James W. Bagley</w:t>
            </w:r>
          </w:p>
        </w:tc>
        <w:tc>
          <w:tcPr>
            <w:tcW w:w="46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620"/>
              <w:spacing w:after="0"/>
              <w:rPr>
                <w:sz w:val="20"/>
                <w:szCs w:val="20"/>
                <w:color w:val="auto"/>
              </w:rPr>
            </w:pPr>
            <w:r>
              <w:rPr>
                <w:rFonts w:ascii="Arial" w:cs="Arial" w:eastAsia="Arial" w:hAnsi="Arial"/>
                <w:sz w:val="18"/>
                <w:szCs w:val="18"/>
                <w:color w:val="auto"/>
                <w:w w:val="86"/>
              </w:rPr>
              <w:t>September 4, 2002</w:t>
            </w:r>
          </w:p>
        </w:tc>
        <w:tc>
          <w:tcPr>
            <w:tcW w:w="0" w:type="dxa"/>
            <w:vAlign w:val="bottom"/>
          </w:tcPr>
          <w:p>
            <w:pPr>
              <w:spacing w:after="0"/>
              <w:rPr>
                <w:sz w:val="1"/>
                <w:szCs w:val="1"/>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4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James W. Bagley</w:t>
            </w:r>
          </w:p>
        </w:tc>
        <w:tc>
          <w:tcPr>
            <w:tcW w:w="4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/s/ Robert A. Lothrop</w:t>
            </w:r>
          </w:p>
        </w:tc>
        <w:tc>
          <w:tcPr>
            <w:tcW w:w="46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620"/>
              <w:spacing w:after="0"/>
              <w:rPr>
                <w:sz w:val="20"/>
                <w:szCs w:val="20"/>
                <w:color w:val="auto"/>
              </w:rPr>
            </w:pPr>
            <w:r>
              <w:rPr>
                <w:rFonts w:ascii="Arial" w:cs="Arial" w:eastAsia="Arial" w:hAnsi="Arial"/>
                <w:sz w:val="18"/>
                <w:szCs w:val="18"/>
                <w:color w:val="auto"/>
                <w:w w:val="86"/>
              </w:rPr>
              <w:t>September 4, 2002</w:t>
            </w:r>
          </w:p>
        </w:tc>
        <w:tc>
          <w:tcPr>
            <w:tcW w:w="0" w:type="dxa"/>
            <w:vAlign w:val="bottom"/>
          </w:tcPr>
          <w:p>
            <w:pPr>
              <w:spacing w:after="0"/>
              <w:rPr>
                <w:sz w:val="1"/>
                <w:szCs w:val="1"/>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4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Robert A. Lothrop</w:t>
            </w:r>
          </w:p>
        </w:tc>
        <w:tc>
          <w:tcPr>
            <w:tcW w:w="4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/s/ Thomas T. Nicholson</w:t>
            </w:r>
          </w:p>
        </w:tc>
        <w:tc>
          <w:tcPr>
            <w:tcW w:w="46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620"/>
              <w:spacing w:after="0"/>
              <w:rPr>
                <w:sz w:val="20"/>
                <w:szCs w:val="20"/>
                <w:color w:val="auto"/>
              </w:rPr>
            </w:pPr>
            <w:r>
              <w:rPr>
                <w:rFonts w:ascii="Arial" w:cs="Arial" w:eastAsia="Arial" w:hAnsi="Arial"/>
                <w:sz w:val="18"/>
                <w:szCs w:val="18"/>
                <w:color w:val="auto"/>
                <w:w w:val="86"/>
              </w:rPr>
              <w:t>September 4, 2002</w:t>
            </w:r>
          </w:p>
        </w:tc>
        <w:tc>
          <w:tcPr>
            <w:tcW w:w="0" w:type="dxa"/>
            <w:vAlign w:val="bottom"/>
          </w:tcPr>
          <w:p>
            <w:pPr>
              <w:spacing w:after="0"/>
              <w:rPr>
                <w:sz w:val="1"/>
                <w:szCs w:val="1"/>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4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Thomas T. Nicholson</w:t>
            </w:r>
          </w:p>
        </w:tc>
        <w:tc>
          <w:tcPr>
            <w:tcW w:w="4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-2480945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-1914525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-1348740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-782955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-216535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/s/ Don J. Simplot</w:t>
            </w:r>
          </w:p>
        </w:tc>
        <w:tc>
          <w:tcPr>
            <w:tcW w:w="3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220"/>
              <w:spacing w:after="0"/>
              <w:rPr>
                <w:sz w:val="20"/>
                <w:szCs w:val="20"/>
                <w:color w:val="auto"/>
              </w:rPr>
            </w:pPr>
            <w:r>
              <w:rPr>
                <w:rFonts w:ascii="Arial" w:cs="Arial" w:eastAsia="Arial" w:hAnsi="Arial"/>
                <w:sz w:val="18"/>
                <w:szCs w:val="18"/>
                <w:color w:val="auto"/>
              </w:rPr>
              <w:t>September 4, 2002</w:t>
            </w:r>
          </w:p>
        </w:tc>
      </w:tr>
      <w:tr>
        <w:trPr>
          <w:trHeight w:val="120"/>
        </w:trPr>
        <w:tc>
          <w:tcPr>
            <w:tcW w:w="416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4220" w:type="dxa"/>
            <w:vAlign w:val="bottom"/>
          </w:tcPr>
          <w:p>
            <w:pPr>
              <w:spacing w:after="0"/>
              <w:rPr>
                <w:sz w:val="10"/>
                <w:szCs w:val="10"/>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Don J. Simplot</w:t>
            </w:r>
          </w:p>
        </w:tc>
        <w:tc>
          <w:tcPr>
            <w:tcW w:w="30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/s/ Gordon C. Smith</w:t>
            </w:r>
          </w:p>
        </w:tc>
        <w:tc>
          <w:tcPr>
            <w:tcW w:w="3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220"/>
              <w:spacing w:after="0"/>
              <w:rPr>
                <w:sz w:val="20"/>
                <w:szCs w:val="20"/>
                <w:color w:val="auto"/>
              </w:rPr>
            </w:pPr>
            <w:r>
              <w:rPr>
                <w:rFonts w:ascii="Arial" w:cs="Arial" w:eastAsia="Arial" w:hAnsi="Arial"/>
                <w:sz w:val="18"/>
                <w:szCs w:val="18"/>
                <w:color w:val="auto"/>
              </w:rPr>
              <w:t>September 4, 2002</w:t>
            </w:r>
          </w:p>
        </w:tc>
      </w:tr>
      <w:tr>
        <w:trPr>
          <w:trHeight w:val="120"/>
        </w:trPr>
        <w:tc>
          <w:tcPr>
            <w:tcW w:w="416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4220" w:type="dxa"/>
            <w:vAlign w:val="bottom"/>
          </w:tcPr>
          <w:p>
            <w:pPr>
              <w:spacing w:after="0"/>
              <w:rPr>
                <w:sz w:val="10"/>
                <w:szCs w:val="10"/>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Gordon C. Smith</w:t>
            </w:r>
          </w:p>
        </w:tc>
        <w:tc>
          <w:tcPr>
            <w:tcW w:w="30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/s/ William P. Weber</w:t>
            </w:r>
          </w:p>
        </w:tc>
        <w:tc>
          <w:tcPr>
            <w:tcW w:w="3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220"/>
              <w:spacing w:after="0"/>
              <w:rPr>
                <w:sz w:val="20"/>
                <w:szCs w:val="20"/>
                <w:color w:val="auto"/>
              </w:rPr>
            </w:pPr>
            <w:r>
              <w:rPr>
                <w:rFonts w:ascii="Arial" w:cs="Arial" w:eastAsia="Arial" w:hAnsi="Arial"/>
                <w:sz w:val="18"/>
                <w:szCs w:val="18"/>
                <w:color w:val="auto"/>
              </w:rPr>
              <w:t>September 4, 2002</w:t>
            </w:r>
          </w:p>
        </w:tc>
      </w:tr>
      <w:tr>
        <w:trPr>
          <w:trHeight w:val="120"/>
        </w:trPr>
        <w:tc>
          <w:tcPr>
            <w:tcW w:w="416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4220" w:type="dxa"/>
            <w:vAlign w:val="bottom"/>
          </w:tcPr>
          <w:p>
            <w:pPr>
              <w:spacing w:after="0"/>
              <w:rPr>
                <w:sz w:val="10"/>
                <w:szCs w:val="10"/>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William P. Weber</w:t>
            </w:r>
          </w:p>
        </w:tc>
        <w:tc>
          <w:tcPr>
            <w:tcW w:w="30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-1437640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-871855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-306070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174"/>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5"/>
                <w:szCs w:val="15"/>
                <w:color w:val="auto"/>
              </w:rPr>
            </w:pPr>
          </w:p>
        </w:tc>
        <w:tc>
          <w:tcPr>
            <w:tcW w:w="992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1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r>
        <w:trPr>
          <w:trHeight w:val="319"/>
        </w:trPr>
        <w:tc>
          <w:tcPr>
            <w:tcW w:w="11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Micron Technology, Inc. 2001 Stock Option Plan.</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Counsel.</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Independent Accountants.</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Counsel (contained in Exhibit 5.1).</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 (included on signature page).</w:t>
            </w: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-1403350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-1403350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II</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INFORMATION REQUIRED IN THE REGISTRATION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341" w:right="239" w:bottom="1440" w:gutter="0" w:footer="0" w:header="0"/>
        </w:sectPr>
      </w:pPr>
    </w:p>
    <w:bookmarkStart w:id="4" w:name="page5"/>
    <w:bookmarkEnd w:id="4"/>
    <w:p>
      <w:pPr>
        <w:spacing w:after="0" w:line="81" w:lineRule="exact"/>
        <w:rPr>
          <w:sz w:val="20"/>
          <w:szCs w:val="20"/>
          <w:color w:val="auto"/>
        </w:rPr>
      </w:pPr>
    </w:p>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4.10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2001 STOCK OPTION PLAN</w:t>
      </w:r>
    </w:p>
    <w:p>
      <w:pPr>
        <w:spacing w:after="0" w:line="219" w:lineRule="exact"/>
        <w:rPr>
          <w:sz w:val="20"/>
          <w:szCs w:val="20"/>
          <w:color w:val="auto"/>
        </w:rPr>
      </w:pPr>
    </w:p>
    <w:p>
      <w:pPr>
        <w:ind w:left="660" w:hanging="30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Purposes of the Plan.  </w:t>
      </w:r>
      <w:r>
        <w:rPr>
          <w:rFonts w:ascii="Arial" w:cs="Arial" w:eastAsia="Arial" w:hAnsi="Arial"/>
          <w:sz w:val="18"/>
          <w:szCs w:val="18"/>
          <w:color w:val="auto"/>
        </w:rPr>
        <w:t>The purposes of this Stock Option Plan 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48" w:lineRule="exact"/>
        <w:rPr>
          <w:sz w:val="20"/>
          <w:szCs w:val="20"/>
          <w:color w:val="auto"/>
        </w:rPr>
      </w:pPr>
    </w:p>
    <w:p>
      <w:pPr>
        <w:ind w:left="660" w:hanging="30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8" w:lineRule="exact"/>
        <w:rPr>
          <w:rFonts w:ascii="Arial" w:cs="Arial" w:eastAsia="Arial" w:hAnsi="Arial"/>
          <w:sz w:val="16"/>
          <w:szCs w:val="16"/>
          <w:color w:val="auto"/>
        </w:rPr>
      </w:pPr>
    </w:p>
    <w:p>
      <w:pPr>
        <w:ind w:left="540" w:right="360" w:firstLine="359"/>
        <w:spacing w:after="0" w:line="268"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w:t>
      </w:r>
    </w:p>
    <w:p>
      <w:pPr>
        <w:spacing w:after="0" w:line="225" w:lineRule="exact"/>
        <w:rPr>
          <w:rFonts w:ascii="Arial" w:cs="Arial" w:eastAsia="Arial" w:hAnsi="Arial"/>
          <w:sz w:val="18"/>
          <w:szCs w:val="18"/>
          <w:color w:val="auto"/>
        </w:rPr>
      </w:pPr>
    </w:p>
    <w:p>
      <w:pPr>
        <w:ind w:left="540" w:right="700" w:firstLine="359"/>
        <w:spacing w:after="0" w:line="268" w:lineRule="auto"/>
        <w:tabs>
          <w:tab w:leader="none" w:pos="1232"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w:t>
      </w:r>
    </w:p>
    <w:p>
      <w:pPr>
        <w:spacing w:after="0" w:line="185" w:lineRule="exact"/>
        <w:rPr>
          <w:rFonts w:ascii="Arial" w:cs="Arial" w:eastAsia="Arial" w:hAnsi="Arial"/>
          <w:sz w:val="18"/>
          <w:szCs w:val="18"/>
          <w:color w:val="auto"/>
        </w:rPr>
      </w:pPr>
    </w:p>
    <w:p>
      <w:pPr>
        <w:ind w:left="540" w:right="60" w:firstLine="359"/>
        <w:spacing w:after="0" w:line="289" w:lineRule="auto"/>
        <w:tabs>
          <w:tab w:leader="none" w:pos="1232"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2" w:lineRule="exact"/>
        <w:rPr>
          <w:rFonts w:ascii="Arial" w:cs="Arial" w:eastAsia="Arial" w:hAnsi="Arial"/>
          <w:sz w:val="16"/>
          <w:szCs w:val="16"/>
          <w:color w:val="auto"/>
        </w:rPr>
      </w:pPr>
    </w:p>
    <w:p>
      <w:pPr>
        <w:ind w:left="1200" w:hanging="301"/>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540" w:right="520" w:firstLine="359"/>
        <w:spacing w:after="0" w:line="370" w:lineRule="auto"/>
        <w:tabs>
          <w:tab w:leader="none" w:pos="1232" w:val="left"/>
        </w:tabs>
        <w:numPr>
          <w:ilvl w:val="1"/>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359" w:lineRule="exact"/>
        <w:rPr>
          <w:rFonts w:ascii="Arial" w:cs="Arial" w:eastAsia="Arial" w:hAnsi="Arial"/>
          <w:sz w:val="15"/>
          <w:szCs w:val="15"/>
          <w:color w:val="auto"/>
        </w:rPr>
      </w:pPr>
    </w:p>
    <w:p>
      <w:pPr>
        <w:ind w:left="1200" w:hanging="301"/>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left="1080" w:firstLine="360"/>
        <w:spacing w:after="0" w:line="255" w:lineRule="auto"/>
        <w:tabs>
          <w:tab w:leader="none" w:pos="1772"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196" w:lineRule="exact"/>
        <w:rPr>
          <w:rFonts w:ascii="Arial" w:cs="Arial" w:eastAsia="Arial" w:hAnsi="Arial"/>
          <w:sz w:val="18"/>
          <w:szCs w:val="18"/>
          <w:color w:val="auto"/>
        </w:rPr>
      </w:pPr>
    </w:p>
    <w:p>
      <w:pPr>
        <w:jc w:val="both"/>
        <w:ind w:left="1080" w:firstLine="360"/>
        <w:spacing w:after="0" w:line="256" w:lineRule="auto"/>
        <w:tabs>
          <w:tab w:leader="none" w:pos="1821"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197" w:lineRule="exact"/>
        <w:rPr>
          <w:rFonts w:ascii="Arial" w:cs="Arial" w:eastAsia="Arial" w:hAnsi="Arial"/>
          <w:sz w:val="18"/>
          <w:szCs w:val="18"/>
          <w:color w:val="auto"/>
        </w:rPr>
      </w:pPr>
    </w:p>
    <w:p>
      <w:pPr>
        <w:ind w:left="1080" w:right="680" w:firstLine="360"/>
        <w:spacing w:after="0" w:line="268" w:lineRule="auto"/>
        <w:tabs>
          <w:tab w:leader="none" w:pos="1870" w:val="left"/>
        </w:tabs>
        <w:numPr>
          <w:ilvl w:val="2"/>
          <w:numId w:val="7"/>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in good faith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19" w:orient="portrait"/>
          <w:cols w:equalWidth="0" w:num="1">
            <w:col w:w="11420"/>
          </w:cols>
          <w:pgMar w:left="240" w:top="361" w:right="239" w:bottom="0" w:gutter="0" w:footer="0" w:header="0"/>
        </w:sectPr>
      </w:pPr>
    </w:p>
    <w:bookmarkStart w:id="5" w:name="page6"/>
    <w:bookmarkEnd w:id="5"/>
    <w:p>
      <w:pPr>
        <w:ind w:left="540" w:right="380" w:firstLine="359"/>
        <w:spacing w:after="0" w:line="268" w:lineRule="auto"/>
        <w:tabs>
          <w:tab w:leader="none" w:pos="1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15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16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Optioned Stock</w:t>
      </w:r>
      <w:r>
        <w:rPr>
          <w:rFonts w:ascii="Arial" w:cs="Arial" w:eastAsia="Arial" w:hAnsi="Arial"/>
          <w:sz w:val="18"/>
          <w:szCs w:val="18"/>
          <w:color w:val="auto"/>
        </w:rPr>
        <w:t>" means the Common Stock subject to an Option.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Optionee</w:t>
      </w:r>
      <w:r>
        <w:rPr>
          <w:rFonts w:ascii="Arial" w:cs="Arial" w:eastAsia="Arial" w:hAnsi="Arial"/>
          <w:sz w:val="18"/>
          <w:szCs w:val="18"/>
          <w:color w:val="auto"/>
        </w:rPr>
        <w:t>" means an Employee or Consultant who holds an outstanding option.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2001 Option Plan.</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17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86" w:lineRule="exact"/>
        <w:rPr>
          <w:sz w:val="20"/>
          <w:szCs w:val="20"/>
          <w:color w:val="auto"/>
        </w:rPr>
      </w:pPr>
    </w:p>
    <w:p>
      <w:pPr>
        <w:ind w:left="1340" w:hanging="441"/>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the Common Stock, as adjusted in accordance with Section 12 of the Plan.</w:t>
      </w:r>
    </w:p>
    <w:p>
      <w:pPr>
        <w:spacing w:after="0" w:line="225" w:lineRule="exact"/>
        <w:rPr>
          <w:rFonts w:ascii="Arial" w:cs="Arial" w:eastAsia="Arial" w:hAnsi="Arial"/>
          <w:sz w:val="18"/>
          <w:szCs w:val="18"/>
          <w:color w:val="auto"/>
        </w:rPr>
      </w:pPr>
    </w:p>
    <w:p>
      <w:pPr>
        <w:ind w:left="540" w:firstLine="359"/>
        <w:spacing w:after="0" w:line="259" w:lineRule="auto"/>
        <w:tabs>
          <w:tab w:leader="none" w:pos="135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6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Subject to the provisions of Section 12 of the Plan, the maximum aggregate number of Shares which may be optioned and</w:t>
      </w:r>
      <w:r>
        <w:rPr>
          <w:rFonts w:ascii="Arial" w:cs="Arial" w:eastAsia="Arial" w:hAnsi="Arial"/>
          <w:sz w:val="18"/>
          <w:szCs w:val="18"/>
          <w:i w:val="1"/>
          <w:iCs w:val="1"/>
          <w:color w:val="auto"/>
        </w:rPr>
        <w:t xml:space="preserve"> </w:t>
      </w:r>
      <w:r>
        <w:rPr>
          <w:rFonts w:ascii="Arial" w:cs="Arial" w:eastAsia="Arial" w:hAnsi="Arial"/>
          <w:sz w:val="18"/>
          <w:szCs w:val="18"/>
          <w:color w:val="auto"/>
        </w:rPr>
        <w:t>sold under the Plan is 10,000,000 Shares. The Shares may be authorized, but unissued, or reacquired Common Stock.</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61" w:lineRule="exact"/>
        <w:rPr>
          <w:sz w:val="20"/>
          <w:szCs w:val="20"/>
          <w:color w:val="auto"/>
        </w:rPr>
      </w:pPr>
    </w:p>
    <w:p>
      <w:pPr>
        <w:ind w:left="660" w:hanging="30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rFonts w:ascii="Arial" w:cs="Arial" w:eastAsia="Arial" w:hAnsi="Arial"/>
          <w:sz w:val="18"/>
          <w:szCs w:val="18"/>
          <w:color w:val="auto"/>
        </w:rPr>
      </w:pPr>
    </w:p>
    <w:p>
      <w:pPr>
        <w:ind w:left="540" w:firstLine="359"/>
        <w:spacing w:after="0" w:line="287" w:lineRule="auto"/>
        <w:tabs>
          <w:tab w:leader="none" w:pos="1258"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The Plan shall be administered by a Committee appointed by the Board (which Committee shall consist of two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76" w:lineRule="exact"/>
        <w:rPr>
          <w:rFonts w:ascii="Arial" w:cs="Arial" w:eastAsia="Arial" w:hAnsi="Arial"/>
          <w:sz w:val="16"/>
          <w:szCs w:val="16"/>
          <w:color w:val="auto"/>
        </w:rPr>
      </w:pPr>
    </w:p>
    <w:p>
      <w:pPr>
        <w:ind w:left="540" w:right="80" w:firstLine="359"/>
        <w:spacing w:after="0" w:line="268" w:lineRule="auto"/>
        <w:tabs>
          <w:tab w:leader="none" w:pos="1271"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Powers of the Administrator. </w:t>
      </w:r>
      <w:r>
        <w:rPr>
          <w:rFonts w:ascii="Arial" w:cs="Arial" w:eastAsia="Arial" w:hAnsi="Arial"/>
          <w:sz w:val="18"/>
          <w:szCs w:val="18"/>
          <w:color w:val="auto"/>
        </w:rPr>
        <w:t>Subject to the provisions of the Plan, and in the case of a Committee, subject to the specific duties delegated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to such Committee, the Administrator shall have the authority, in its discretion:</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5" w:lineRule="exact"/>
        <w:rPr>
          <w:rFonts w:ascii="Arial" w:cs="Arial" w:eastAsia="Arial" w:hAnsi="Arial"/>
          <w:sz w:val="18"/>
          <w:szCs w:val="18"/>
          <w:color w:val="auto"/>
        </w:rPr>
      </w:pPr>
    </w:p>
    <w:p>
      <w:pPr>
        <w:ind w:left="1820" w:hanging="380"/>
        <w:spacing w:after="0"/>
        <w:tabs>
          <w:tab w:leader="none" w:pos="18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Options may be granted hereunder;</w:t>
      </w:r>
    </w:p>
    <w:p>
      <w:pPr>
        <w:spacing w:after="0" w:line="225" w:lineRule="exact"/>
        <w:rPr>
          <w:rFonts w:ascii="Arial" w:cs="Arial" w:eastAsia="Arial" w:hAnsi="Arial"/>
          <w:sz w:val="18"/>
          <w:szCs w:val="18"/>
          <w:color w:val="auto"/>
        </w:rPr>
      </w:pPr>
    </w:p>
    <w:p>
      <w:pPr>
        <w:ind w:left="1880" w:hanging="440"/>
        <w:spacing w:after="0"/>
        <w:tabs>
          <w:tab w:leader="none" w:pos="1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5" w:lineRule="exact"/>
        <w:rPr>
          <w:rFonts w:ascii="Arial" w:cs="Arial" w:eastAsia="Arial" w:hAnsi="Arial"/>
          <w:sz w:val="18"/>
          <w:szCs w:val="18"/>
          <w:color w:val="auto"/>
        </w:rPr>
      </w:pPr>
    </w:p>
    <w:p>
      <w:pPr>
        <w:ind w:left="1860" w:hanging="420"/>
        <w:spacing w:after="0"/>
        <w:tabs>
          <w:tab w:leader="none" w:pos="18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5" w:lineRule="exact"/>
        <w:rPr>
          <w:rFonts w:ascii="Arial" w:cs="Arial" w:eastAsia="Arial" w:hAnsi="Arial"/>
          <w:sz w:val="18"/>
          <w:szCs w:val="18"/>
          <w:color w:val="auto"/>
        </w:rPr>
      </w:pPr>
    </w:p>
    <w:p>
      <w:pPr>
        <w:ind w:left="1820" w:hanging="380"/>
        <w:spacing w:after="0"/>
        <w:tabs>
          <w:tab w:leader="none" w:pos="18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ind w:left="1080" w:right="280" w:firstLine="360"/>
        <w:spacing w:after="0" w:line="298" w:lineRule="auto"/>
        <w:tabs>
          <w:tab w:leader="none" w:pos="18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6" w:lineRule="exact"/>
        <w:rPr>
          <w:rFonts w:ascii="Arial" w:cs="Arial" w:eastAsia="Arial" w:hAnsi="Arial"/>
          <w:sz w:val="16"/>
          <w:szCs w:val="16"/>
          <w:color w:val="auto"/>
        </w:rPr>
      </w:pPr>
    </w:p>
    <w:p>
      <w:pPr>
        <w:ind w:left="1920" w:hanging="480"/>
        <w:spacing w:after="0"/>
        <w:tabs>
          <w:tab w:leader="none" w:pos="19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1080" w:right="520" w:firstLine="360"/>
        <w:spacing w:after="0" w:line="268" w:lineRule="auto"/>
        <w:tabs>
          <w:tab w:leader="none" w:pos="195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ectPr>
          <w:pgSz w:w="11900" w:h="16838" w:orient="portrait"/>
          <w:cols w:equalWidth="0" w:num="1">
            <w:col w:w="11380"/>
          </w:cols>
          <w:pgMar w:left="240" w:top="131" w:right="279" w:bottom="0" w:gutter="0" w:footer="0" w:header="0"/>
        </w:sectPr>
      </w:pPr>
    </w:p>
    <w:bookmarkStart w:id="6" w:name="page7"/>
    <w:bookmarkEnd w:id="6"/>
    <w:p>
      <w:pPr>
        <w:spacing w:after="0" w:line="44" w:lineRule="exact"/>
        <w:rPr>
          <w:sz w:val="20"/>
          <w:szCs w:val="20"/>
          <w:color w:val="auto"/>
        </w:rPr>
      </w:pPr>
    </w:p>
    <w:p>
      <w:pPr>
        <w:ind w:left="721" w:right="520" w:firstLine="360"/>
        <w:spacing w:after="0" w:line="268" w:lineRule="auto"/>
        <w:tabs>
          <w:tab w:leader="none" w:pos="1501"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461" w:hanging="380"/>
        <w:spacing w:after="0"/>
        <w:tabs>
          <w:tab w:leader="none" w:pos="1461"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5" w:lineRule="exact"/>
        <w:rPr>
          <w:rFonts w:ascii="Arial" w:cs="Arial" w:eastAsia="Arial" w:hAnsi="Arial"/>
          <w:sz w:val="18"/>
          <w:szCs w:val="18"/>
          <w:color w:val="auto"/>
        </w:rPr>
      </w:pPr>
    </w:p>
    <w:p>
      <w:pPr>
        <w:ind w:left="721" w:firstLine="360"/>
        <w:spacing w:after="0" w:line="255" w:lineRule="auto"/>
        <w:tabs>
          <w:tab w:leader="none" w:pos="1501"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96" w:lineRule="exact"/>
        <w:rPr>
          <w:rFonts w:ascii="Arial" w:cs="Arial" w:eastAsia="Arial" w:hAnsi="Arial"/>
          <w:sz w:val="18"/>
          <w:szCs w:val="18"/>
          <w:color w:val="auto"/>
        </w:rPr>
      </w:pPr>
    </w:p>
    <w:p>
      <w:pPr>
        <w:ind w:left="181" w:right="620" w:firstLine="359"/>
        <w:spacing w:after="0" w:line="268" w:lineRule="auto"/>
        <w:tabs>
          <w:tab w:leader="none" w:pos="902"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Effect of Administrator's Decision. </w:t>
      </w:r>
      <w:r>
        <w:rPr>
          <w:rFonts w:ascii="Arial" w:cs="Arial" w:eastAsia="Arial" w:hAnsi="Arial"/>
          <w:sz w:val="18"/>
          <w:szCs w:val="18"/>
          <w:color w:val="auto"/>
        </w:rPr>
        <w:t>The Administrator's decisions, determinations, and interpretations shall be final and binding on 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Optionees and any other holders of Options.</w:t>
      </w:r>
    </w:p>
    <w:p>
      <w:pPr>
        <w:spacing w:after="0" w:line="185" w:lineRule="exact"/>
        <w:rPr>
          <w:rFonts w:ascii="Arial" w:cs="Arial" w:eastAsia="Arial" w:hAnsi="Arial"/>
          <w:sz w:val="18"/>
          <w:szCs w:val="18"/>
          <w:color w:val="auto"/>
        </w:rPr>
      </w:pPr>
    </w:p>
    <w:p>
      <w:pPr>
        <w:ind w:left="-359" w:right="320" w:firstLine="359"/>
        <w:spacing w:after="0" w:line="332" w:lineRule="auto"/>
        <w:tabs>
          <w:tab w:leader="none" w:pos="299"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Nonstatutory Stock Options may be granted to Employees, Directors, and Consultants. Incentive Stock Options may be granted only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If otherwise eligible, an Employee or Consultant who has been granted an Option may be granted additional Options.</w:t>
      </w:r>
    </w:p>
    <w:p>
      <w:pPr>
        <w:spacing w:after="0" w:line="139" w:lineRule="exact"/>
        <w:rPr>
          <w:rFonts w:ascii="Arial" w:cs="Arial" w:eastAsia="Arial" w:hAnsi="Arial"/>
          <w:sz w:val="16"/>
          <w:szCs w:val="16"/>
          <w:color w:val="auto"/>
        </w:rPr>
      </w:pPr>
    </w:p>
    <w:p>
      <w:pPr>
        <w:ind w:left="301" w:hanging="301"/>
        <w:spacing w:after="0"/>
        <w:tabs>
          <w:tab w:leader="none" w:pos="30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Limitations.</w:t>
      </w:r>
    </w:p>
    <w:p>
      <w:pPr>
        <w:spacing w:after="0" w:line="225" w:lineRule="exact"/>
        <w:rPr>
          <w:rFonts w:ascii="Arial" w:cs="Arial" w:eastAsia="Arial" w:hAnsi="Arial"/>
          <w:sz w:val="18"/>
          <w:szCs w:val="18"/>
          <w:color w:val="auto"/>
        </w:rPr>
      </w:pPr>
    </w:p>
    <w:p>
      <w:pPr>
        <w:ind w:left="181" w:right="20" w:firstLine="359"/>
        <w:spacing w:after="0" w:line="254" w:lineRule="auto"/>
        <w:tabs>
          <w:tab w:leader="none" w:pos="8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8" w:lineRule="exact"/>
        <w:rPr>
          <w:rFonts w:ascii="Arial" w:cs="Arial" w:eastAsia="Arial" w:hAnsi="Arial"/>
          <w:sz w:val="18"/>
          <w:szCs w:val="18"/>
          <w:color w:val="auto"/>
        </w:rPr>
      </w:pPr>
    </w:p>
    <w:p>
      <w:pPr>
        <w:ind w:left="181" w:right="320" w:firstLine="359"/>
        <w:spacing w:after="0" w:line="259" w:lineRule="auto"/>
        <w:tabs>
          <w:tab w:leader="none" w:pos="8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4" w:lineRule="exact"/>
        <w:rPr>
          <w:rFonts w:ascii="Arial" w:cs="Arial" w:eastAsia="Arial" w:hAnsi="Arial"/>
          <w:sz w:val="18"/>
          <w:szCs w:val="18"/>
          <w:color w:val="auto"/>
        </w:rPr>
      </w:pPr>
    </w:p>
    <w:p>
      <w:pPr>
        <w:ind w:left="821" w:hanging="281"/>
        <w:spacing w:after="0"/>
        <w:tabs>
          <w:tab w:leader="none" w:pos="8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25" w:lineRule="exact"/>
        <w:rPr>
          <w:rFonts w:ascii="Arial" w:cs="Arial" w:eastAsia="Arial" w:hAnsi="Arial"/>
          <w:sz w:val="18"/>
          <w:szCs w:val="18"/>
          <w:color w:val="auto"/>
        </w:rPr>
      </w:pPr>
    </w:p>
    <w:p>
      <w:pPr>
        <w:ind w:left="1421" w:hanging="340"/>
        <w:spacing w:after="0"/>
        <w:tabs>
          <w:tab w:leader="none" w:pos="1421" w:val="left"/>
        </w:tabs>
        <w:numPr>
          <w:ilvl w:val="2"/>
          <w:numId w:val="14"/>
        </w:numPr>
        <w:rPr>
          <w:rFonts w:ascii="Arial" w:cs="Arial" w:eastAsia="Arial" w:hAnsi="Arial"/>
          <w:sz w:val="18"/>
          <w:szCs w:val="18"/>
          <w:color w:val="auto"/>
        </w:rPr>
      </w:pPr>
      <w:r>
        <w:rPr>
          <w:rFonts w:ascii="Arial" w:cs="Arial" w:eastAsia="Arial" w:hAnsi="Arial"/>
          <w:sz w:val="18"/>
          <w:szCs w:val="18"/>
          <w:color w:val="auto"/>
        </w:rPr>
        <w:t>No Employee shall be granted, in any fiscal year of the Company, Options to purchase more than 2,000,000 Shares.</w:t>
      </w:r>
    </w:p>
    <w:p>
      <w:pPr>
        <w:spacing w:after="0" w:line="225" w:lineRule="exact"/>
        <w:rPr>
          <w:rFonts w:ascii="Arial" w:cs="Arial" w:eastAsia="Arial" w:hAnsi="Arial"/>
          <w:sz w:val="18"/>
          <w:szCs w:val="18"/>
          <w:color w:val="auto"/>
        </w:rPr>
      </w:pPr>
    </w:p>
    <w:p>
      <w:pPr>
        <w:ind w:left="721" w:right="80" w:firstLine="360"/>
        <w:spacing w:after="0" w:line="268" w:lineRule="auto"/>
        <w:tabs>
          <w:tab w:leader="none" w:pos="1459"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foregoing limitations shall be adjusted proportionately in connection with any change in the Company's capitalization as described in Section 12.</w:t>
      </w:r>
    </w:p>
    <w:p>
      <w:pPr>
        <w:spacing w:after="0" w:line="185" w:lineRule="exact"/>
        <w:rPr>
          <w:rFonts w:ascii="Arial" w:cs="Arial" w:eastAsia="Arial" w:hAnsi="Arial"/>
          <w:sz w:val="18"/>
          <w:szCs w:val="18"/>
          <w:color w:val="auto"/>
        </w:rPr>
      </w:pPr>
    </w:p>
    <w:p>
      <w:pPr>
        <w:jc w:val="both"/>
        <w:ind w:left="-359" w:right="180" w:firstLine="359"/>
        <w:spacing w:after="0" w:line="259" w:lineRule="auto"/>
        <w:tabs>
          <w:tab w:leader="none" w:pos="29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Subject to Section 18 of the Plan, the Plan shall become effective upon the earlier to occur of its adoption by the Board or its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shareholders of the Company as described in Section 18 of the Plan. It shall continue in effect for a term of ten (10) years unless terminated earlier under Section 14 of the Plan.</w:t>
      </w:r>
    </w:p>
    <w:p>
      <w:pPr>
        <w:spacing w:after="0" w:line="194" w:lineRule="exact"/>
        <w:rPr>
          <w:rFonts w:ascii="Arial" w:cs="Arial" w:eastAsia="Arial" w:hAnsi="Arial"/>
          <w:sz w:val="18"/>
          <w:szCs w:val="18"/>
          <w:color w:val="auto"/>
        </w:rPr>
      </w:pPr>
    </w:p>
    <w:p>
      <w:pPr>
        <w:jc w:val="both"/>
        <w:ind w:left="-359" w:right="60" w:firstLine="359"/>
        <w:spacing w:after="0" w:line="256" w:lineRule="auto"/>
        <w:tabs>
          <w:tab w:leader="none" w:pos="299"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Term of Option. </w:t>
      </w:r>
      <w:r>
        <w:rPr>
          <w:rFonts w:ascii="Arial" w:cs="Arial" w:eastAsia="Arial" w:hAnsi="Arial"/>
          <w:sz w:val="18"/>
          <w:szCs w:val="18"/>
          <w:color w:val="auto"/>
        </w:rPr>
        <w:t>The term of each Option shall be stated in the Notice of Grant, but shall not exceed ten (10) years; provided, however, that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97" w:lineRule="exact"/>
        <w:rPr>
          <w:rFonts w:ascii="Arial" w:cs="Arial" w:eastAsia="Arial" w:hAnsi="Arial"/>
          <w:sz w:val="18"/>
          <w:szCs w:val="18"/>
          <w:color w:val="auto"/>
        </w:rPr>
      </w:pPr>
    </w:p>
    <w:p>
      <w:pPr>
        <w:ind w:left="301" w:hanging="301"/>
        <w:spacing w:after="0"/>
        <w:tabs>
          <w:tab w:leader="none" w:pos="30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p>
    <w:p>
      <w:pPr>
        <w:spacing w:after="0" w:line="225" w:lineRule="exact"/>
        <w:rPr>
          <w:rFonts w:ascii="Arial" w:cs="Arial" w:eastAsia="Arial" w:hAnsi="Arial"/>
          <w:sz w:val="18"/>
          <w:szCs w:val="18"/>
          <w:color w:val="auto"/>
        </w:rPr>
      </w:pPr>
    </w:p>
    <w:p>
      <w:pPr>
        <w:ind w:left="181" w:right="80" w:firstLine="359"/>
        <w:spacing w:after="0" w:line="255" w:lineRule="auto"/>
        <w:tabs>
          <w:tab w:leader="none" w:pos="902"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per share exercise price for the Shares to be issued pursuant to exercise of an Option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but shall 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81" w:right="40" w:firstLine="359"/>
        <w:spacing w:after="0" w:line="259" w:lineRule="auto"/>
        <w:tabs>
          <w:tab w:leader="none" w:pos="912"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Waiting Period and Exercise Dates. </w:t>
      </w:r>
      <w:r>
        <w:rPr>
          <w:rFonts w:ascii="Arial" w:cs="Arial" w:eastAsia="Arial" w:hAnsi="Arial"/>
          <w:sz w:val="18"/>
          <w:szCs w:val="18"/>
          <w:color w:val="auto"/>
        </w:rPr>
        <w:t>At the time an Option is granted, the Administrator shall fix the period within which the Option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and shall determine any conditions which must be satisfied before the Option may be exercised. In doing so, the Administrator may specify that an Option may not be exercised until the completion of a service period.</w:t>
      </w:r>
    </w:p>
    <w:p>
      <w:pPr>
        <w:spacing w:after="0" w:line="194" w:lineRule="exact"/>
        <w:rPr>
          <w:rFonts w:ascii="Arial" w:cs="Arial" w:eastAsia="Arial" w:hAnsi="Arial"/>
          <w:sz w:val="18"/>
          <w:szCs w:val="18"/>
          <w:color w:val="auto"/>
        </w:rPr>
      </w:pPr>
    </w:p>
    <w:p>
      <w:pPr>
        <w:ind w:left="181" w:right="100" w:firstLine="359"/>
        <w:spacing w:after="0" w:line="259" w:lineRule="auto"/>
        <w:tabs>
          <w:tab w:leader="none" w:pos="902"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Form of Consideration. </w:t>
      </w:r>
      <w:r>
        <w:rPr>
          <w:rFonts w:ascii="Arial" w:cs="Arial" w:eastAsia="Arial" w:hAnsi="Arial"/>
          <w:sz w:val="18"/>
          <w:szCs w:val="18"/>
          <w:color w:val="auto"/>
        </w:rPr>
        <w:t>The Administrator shall determine the acceptable form of consideration for exercising an Option,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payment. The Administrator shall determine the acceptable form of consideration at the time of grant. Such consideration may consist entirely of:</w:t>
      </w:r>
    </w:p>
    <w:p>
      <w:pPr>
        <w:spacing w:after="0" w:line="194" w:lineRule="exact"/>
        <w:rPr>
          <w:rFonts w:ascii="Arial" w:cs="Arial" w:eastAsia="Arial" w:hAnsi="Arial"/>
          <w:sz w:val="18"/>
          <w:szCs w:val="18"/>
          <w:color w:val="auto"/>
        </w:rPr>
      </w:pPr>
    </w:p>
    <w:p>
      <w:pPr>
        <w:ind w:left="1421" w:hanging="340"/>
        <w:spacing w:after="0"/>
        <w:tabs>
          <w:tab w:leader="none" w:pos="1421" w:val="left"/>
        </w:tabs>
        <w:numPr>
          <w:ilvl w:val="2"/>
          <w:numId w:val="14"/>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461" w:hanging="380"/>
        <w:spacing w:after="0"/>
        <w:tabs>
          <w:tab w:leader="none" w:pos="1461" w:val="left"/>
        </w:tabs>
        <w:numPr>
          <w:ilvl w:val="2"/>
          <w:numId w:val="14"/>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521" w:hanging="440"/>
        <w:spacing w:after="0"/>
        <w:tabs>
          <w:tab w:leader="none" w:pos="1521" w:val="left"/>
        </w:tabs>
        <w:numPr>
          <w:ilvl w:val="2"/>
          <w:numId w:val="14"/>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left="721" w:right="120" w:firstLine="360"/>
        <w:spacing w:after="0" w:line="332" w:lineRule="auto"/>
        <w:tabs>
          <w:tab w:leader="none" w:pos="1501" w:val="left"/>
        </w:tabs>
        <w:numPr>
          <w:ilvl w:val="2"/>
          <w:numId w:val="14"/>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39" w:lineRule="exact"/>
        <w:rPr>
          <w:rFonts w:ascii="Arial" w:cs="Arial" w:eastAsia="Arial" w:hAnsi="Arial"/>
          <w:sz w:val="16"/>
          <w:szCs w:val="16"/>
          <w:color w:val="auto"/>
        </w:rPr>
      </w:pPr>
    </w:p>
    <w:p>
      <w:pPr>
        <w:ind w:left="721" w:right="40" w:firstLine="360"/>
        <w:spacing w:after="0" w:line="335" w:lineRule="auto"/>
        <w:tabs>
          <w:tab w:leader="none" w:pos="1452" w:val="left"/>
        </w:tabs>
        <w:numPr>
          <w:ilvl w:val="2"/>
          <w:numId w:val="14"/>
        </w:numPr>
        <w:rPr>
          <w:rFonts w:ascii="Arial" w:cs="Arial" w:eastAsia="Arial" w:hAnsi="Arial"/>
          <w:sz w:val="15"/>
          <w:szCs w:val="15"/>
          <w:color w:val="auto"/>
        </w:rPr>
      </w:pPr>
      <w:r>
        <w:rPr>
          <w:rFonts w:ascii="Arial" w:cs="Arial" w:eastAsia="Arial" w:hAnsi="Arial"/>
          <w:sz w:val="15"/>
          <w:szCs w:val="15"/>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-10093960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-2941955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82" w:orient="portrait"/>
          <w:cols w:equalWidth="0" w:num="1">
            <w:col w:w="11041"/>
          </w:cols>
          <w:pgMar w:left="599" w:top="131" w:right="259" w:bottom="0" w:gutter="0" w:footer="0" w:header="0"/>
        </w:sectPr>
      </w:pPr>
    </w:p>
    <w:bookmarkStart w:id="7" w:name="page8"/>
    <w:bookmarkEnd w:id="7"/>
    <w:p>
      <w:pPr>
        <w:jc w:val="both"/>
        <w:ind w:left="721"/>
        <w:spacing w:after="0" w:line="259" w:lineRule="auto"/>
        <w:rPr>
          <w:sz w:val="20"/>
          <w:szCs w:val="20"/>
          <w:color w:val="auto"/>
        </w:rPr>
      </w:pPr>
      <w:r>
        <w:rPr>
          <w:rFonts w:ascii="Arial" w:cs="Arial" w:eastAsia="Arial" w:hAnsi="Arial"/>
          <w:sz w:val="18"/>
          <w:szCs w:val="18"/>
          <w:color w:val="auto"/>
        </w:rPr>
        <w:t>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94" w:lineRule="exact"/>
        <w:rPr>
          <w:sz w:val="20"/>
          <w:szCs w:val="20"/>
          <w:color w:val="auto"/>
        </w:rPr>
      </w:pPr>
    </w:p>
    <w:p>
      <w:pPr>
        <w:ind w:left="721" w:firstLine="360"/>
        <w:spacing w:after="0" w:line="268" w:lineRule="auto"/>
        <w:tabs>
          <w:tab w:leader="none" w:pos="15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85" w:lineRule="exact"/>
        <w:rPr>
          <w:rFonts w:ascii="Arial" w:cs="Arial" w:eastAsia="Arial" w:hAnsi="Arial"/>
          <w:sz w:val="18"/>
          <w:szCs w:val="18"/>
          <w:color w:val="auto"/>
        </w:rPr>
      </w:pPr>
    </w:p>
    <w:p>
      <w:pPr>
        <w:ind w:left="1561" w:hanging="480"/>
        <w:spacing w:after="0"/>
        <w:tabs>
          <w:tab w:leader="none" w:pos="15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721" w:right="60" w:firstLine="360"/>
        <w:spacing w:after="0" w:line="268" w:lineRule="auto"/>
        <w:tabs>
          <w:tab w:leader="none" w:pos="1599"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approved by the Administrator and permitted by Applicable Laws.</w:t>
      </w:r>
    </w:p>
    <w:p>
      <w:pPr>
        <w:spacing w:after="0" w:line="185" w:lineRule="exact"/>
        <w:rPr>
          <w:rFonts w:ascii="Arial" w:cs="Arial" w:eastAsia="Arial" w:hAnsi="Arial"/>
          <w:sz w:val="18"/>
          <w:szCs w:val="18"/>
          <w:color w:val="auto"/>
        </w:rPr>
      </w:pPr>
    </w:p>
    <w:p>
      <w:pPr>
        <w:ind w:left="401" w:hanging="401"/>
        <w:spacing w:after="0"/>
        <w:tabs>
          <w:tab w:leader="none" w:pos="40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sz w:val="20"/>
          <w:szCs w:val="20"/>
          <w:color w:val="auto"/>
        </w:rPr>
      </w:pPr>
    </w:p>
    <w:p>
      <w:pPr>
        <w:ind w:left="181" w:right="60" w:firstLine="359"/>
        <w:spacing w:after="0" w:line="268" w:lineRule="auto"/>
        <w:tabs>
          <w:tab w:leader="none" w:pos="90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Procedure for Exercise; Rights as a Shareholder. </w:t>
      </w:r>
      <w:r>
        <w:rPr>
          <w:rFonts w:ascii="Arial" w:cs="Arial" w:eastAsia="Arial" w:hAnsi="Arial"/>
          <w:sz w:val="18"/>
          <w:szCs w:val="18"/>
          <w:color w:val="auto"/>
        </w:rPr>
        <w:t>Any Option granted thereunder shall be exercisable according to the terms of the Plan and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times and under such conditions as determined by the Administrator and set forth in the Option Agreement.</w:t>
      </w:r>
    </w:p>
    <w:p>
      <w:pPr>
        <w:spacing w:after="0" w:line="186" w:lineRule="exact"/>
        <w:rPr>
          <w:sz w:val="20"/>
          <w:szCs w:val="20"/>
          <w:color w:val="auto"/>
        </w:rPr>
      </w:pPr>
    </w:p>
    <w:p>
      <w:pPr>
        <w:ind w:left="1081"/>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ind w:left="721" w:right="20" w:firstLine="342"/>
        <w:spacing w:after="0" w:line="289" w:lineRule="auto"/>
        <w:rPr>
          <w:sz w:val="20"/>
          <w:szCs w:val="20"/>
          <w:color w:val="auto"/>
        </w:rPr>
      </w:pPr>
      <w:r>
        <w:rPr>
          <w:rFonts w:ascii="Arial" w:cs="Arial" w:eastAsia="Arial" w:hAnsi="Arial"/>
          <w:sz w:val="16"/>
          <w:szCs w:val="16"/>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112395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5" w:lineRule="exact"/>
        <w:rPr>
          <w:sz w:val="20"/>
          <w:szCs w:val="20"/>
          <w:color w:val="auto"/>
        </w:rPr>
      </w:pPr>
    </w:p>
    <w:p>
      <w:pPr>
        <w:ind w:left="721" w:right="60" w:firstLine="351"/>
        <w:spacing w:after="0" w:line="268"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ind w:left="181" w:firstLine="359"/>
        <w:spacing w:after="0" w:line="289" w:lineRule="auto"/>
        <w:tabs>
          <w:tab w:leader="none" w:pos="912"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w:t>
      </w:r>
      <w:r>
        <w:rPr>
          <w:rFonts w:ascii="Arial" w:cs="Arial" w:eastAsia="Arial" w:hAnsi="Arial"/>
          <w:sz w:val="16"/>
          <w:szCs w:val="16"/>
          <w:color w:val="auto"/>
        </w:rPr>
        <w:t>Upon termination of an Optionee's Continuous Status as an Employee or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2" w:lineRule="exact"/>
        <w:rPr>
          <w:rFonts w:ascii="Arial" w:cs="Arial" w:eastAsia="Arial" w:hAnsi="Arial"/>
          <w:sz w:val="16"/>
          <w:szCs w:val="16"/>
          <w:color w:val="auto"/>
        </w:rPr>
      </w:pPr>
    </w:p>
    <w:p>
      <w:pPr>
        <w:ind w:left="181" w:firstLine="359"/>
        <w:spacing w:after="0" w:line="291" w:lineRule="auto"/>
        <w:tabs>
          <w:tab w:leader="none" w:pos="902"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In the event that an Optionee's Continuous Status as an Employee or Consultant terminates as a result of the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181" w:firstLine="359"/>
        <w:spacing w:after="0" w:line="253" w:lineRule="auto"/>
        <w:tabs>
          <w:tab w:leader="none" w:pos="91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Death of Optionee. </w:t>
      </w:r>
      <w:r>
        <w:rPr>
          <w:rFonts w:ascii="Arial" w:cs="Arial" w:eastAsia="Arial" w:hAnsi="Arial"/>
          <w:sz w:val="18"/>
          <w:szCs w:val="18"/>
          <w:color w:val="auto"/>
        </w:rPr>
        <w:t>In the event of the death of an Optionee, the Option may be exercised at any time within twelve (12) months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1" w:lineRule="exact"/>
        <w:rPr>
          <w:rFonts w:ascii="Arial" w:cs="Arial" w:eastAsia="Arial" w:hAnsi="Arial"/>
          <w:sz w:val="18"/>
          <w:szCs w:val="18"/>
          <w:color w:val="auto"/>
        </w:rPr>
      </w:pPr>
    </w:p>
    <w:p>
      <w:pPr>
        <w:ind w:left="181" w:right="100" w:firstLine="359"/>
        <w:spacing w:after="0" w:line="256" w:lineRule="auto"/>
        <w:tabs>
          <w:tab w:leader="none" w:pos="90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Optionee who is also a participant in the Retirement at Micron ("RAM") Section 401(k) Plan and who requests and receives</w:t>
      </w:r>
      <w:r>
        <w:rPr>
          <w:rFonts w:ascii="Arial" w:cs="Arial" w:eastAsia="Arial" w:hAnsi="Arial"/>
          <w:sz w:val="18"/>
          <w:szCs w:val="18"/>
          <w:i w:val="1"/>
          <w:iCs w:val="1"/>
          <w:color w:val="auto"/>
        </w:rPr>
        <w:t xml:space="preserve"> </w:t>
      </w:r>
      <w:r>
        <w:rPr>
          <w:rFonts w:ascii="Arial" w:cs="Arial" w:eastAsia="Arial" w:hAnsi="Arial"/>
          <w:sz w:val="18"/>
          <w:szCs w:val="18"/>
          <w:color w:val="auto"/>
        </w:rPr>
        <w:t>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7" w:lineRule="exact"/>
        <w:rPr>
          <w:rFonts w:ascii="Arial" w:cs="Arial" w:eastAsia="Arial" w:hAnsi="Arial"/>
          <w:sz w:val="18"/>
          <w:szCs w:val="18"/>
          <w:color w:val="auto"/>
        </w:rPr>
      </w:pPr>
    </w:p>
    <w:p>
      <w:pPr>
        <w:ind w:left="-359" w:right="260" w:firstLine="359"/>
        <w:spacing w:after="0" w:line="25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Non-Transferability of Options. </w:t>
      </w:r>
      <w:r>
        <w:rPr>
          <w:rFonts w:ascii="Arial" w:cs="Arial" w:eastAsia="Arial" w:hAnsi="Arial"/>
          <w:sz w:val="18"/>
          <w:szCs w:val="18"/>
          <w:color w:val="auto"/>
        </w:rPr>
        <w:t>Unless determined otherwise by the Administrator, an Option may not be sold, pledged, assigned, hypothecated,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97" w:lineRule="exact"/>
        <w:rPr>
          <w:rFonts w:ascii="Arial" w:cs="Arial" w:eastAsia="Arial" w:hAnsi="Arial"/>
          <w:sz w:val="18"/>
          <w:szCs w:val="18"/>
          <w:color w:val="auto"/>
        </w:rPr>
      </w:pPr>
    </w:p>
    <w:p>
      <w:pPr>
        <w:ind w:left="401" w:hanging="401"/>
        <w:spacing w:after="0"/>
        <w:tabs>
          <w:tab w:leader="none" w:pos="40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Corporate Transaction, or Change in Control.</w:t>
      </w:r>
    </w:p>
    <w:p>
      <w:pPr>
        <w:spacing w:after="0" w:line="225" w:lineRule="exact"/>
        <w:rPr>
          <w:rFonts w:ascii="Arial" w:cs="Arial" w:eastAsia="Arial" w:hAnsi="Arial"/>
          <w:sz w:val="18"/>
          <w:szCs w:val="18"/>
          <w:color w:val="auto"/>
        </w:rPr>
      </w:pPr>
    </w:p>
    <w:p>
      <w:pPr>
        <w:ind w:left="181" w:right="140" w:firstLine="359"/>
        <w:spacing w:after="0" w:line="268" w:lineRule="auto"/>
        <w:tabs>
          <w:tab w:leader="none" w:pos="90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a corporate transaction involving the Company (including, without limitation, any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extraordinary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121285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81" w:right="60"/>
        <w:spacing w:after="0" w:line="284" w:lineRule="auto"/>
        <w:rPr>
          <w:sz w:val="20"/>
          <w:szCs w:val="20"/>
          <w:color w:val="auto"/>
        </w:rPr>
      </w:pPr>
      <w:r>
        <w:rPr>
          <w:rFonts w:ascii="Arial" w:cs="Arial" w:eastAsia="Arial" w:hAnsi="Arial"/>
          <w:sz w:val="16"/>
          <w:szCs w:val="16"/>
          <w:color w:val="auto"/>
        </w:rPr>
        <w:t>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w:t>
      </w:r>
    </w:p>
    <w:p>
      <w:pPr>
        <w:spacing w:after="0" w:line="1" w:lineRule="exact"/>
        <w:rPr>
          <w:sz w:val="20"/>
          <w:szCs w:val="20"/>
          <w:color w:val="auto"/>
        </w:rPr>
      </w:pPr>
    </w:p>
    <w:p>
      <w:pPr>
        <w:ind w:left="181"/>
        <w:spacing w:after="0"/>
        <w:rPr>
          <w:sz w:val="20"/>
          <w:szCs w:val="20"/>
          <w:color w:val="auto"/>
        </w:rPr>
      </w:pPr>
      <w:r>
        <w:rPr>
          <w:rFonts w:ascii="Arial" w:cs="Arial" w:eastAsia="Arial" w:hAnsi="Arial"/>
          <w:sz w:val="16"/>
          <w:szCs w:val="16"/>
          <w:color w:val="auto"/>
        </w:rPr>
        <w:t>(ii) adjustment of the number and kind of shares subject to outstanding Options; (iii) adjustment of the exercise price of outstanding Options; and (iv) any</w:t>
      </w:r>
    </w:p>
    <w:p>
      <w:pPr>
        <w:sectPr>
          <w:pgSz w:w="11900" w:h="16838" w:orient="portrait"/>
          <w:cols w:equalWidth="0" w:num="1">
            <w:col w:w="11061"/>
          </w:cols>
          <w:pgMar w:left="599" w:top="131" w:right="239" w:bottom="0" w:gutter="0" w:footer="0" w:header="0"/>
        </w:sectPr>
      </w:pPr>
    </w:p>
    <w:bookmarkStart w:id="8" w:name="page9"/>
    <w:bookmarkEnd w:id="8"/>
    <w:p>
      <w:pPr>
        <w:ind w:left="181"/>
        <w:spacing w:after="0" w:line="291" w:lineRule="auto"/>
        <w:rPr>
          <w:sz w:val="20"/>
          <w:szCs w:val="20"/>
          <w:color w:val="auto"/>
        </w:rPr>
      </w:pPr>
      <w:r>
        <w:rPr>
          <w:rFonts w:ascii="Arial" w:cs="Arial" w:eastAsia="Arial" w:hAnsi="Arial"/>
          <w:sz w:val="16"/>
          <w:szCs w:val="16"/>
          <w:color w:val="auto"/>
        </w:rPr>
        <w:t>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74" w:lineRule="exact"/>
        <w:rPr>
          <w:sz w:val="20"/>
          <w:szCs w:val="20"/>
          <w:color w:val="auto"/>
        </w:rPr>
      </w:pPr>
    </w:p>
    <w:p>
      <w:pPr>
        <w:ind w:left="181" w:firstLine="359"/>
        <w:spacing w:after="0" w:line="294" w:lineRule="auto"/>
        <w:tabs>
          <w:tab w:leader="none" w:pos="912"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To the extent not previously exercised, Options will terminate immediately prior to the consummation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69" w:lineRule="exact"/>
        <w:rPr>
          <w:rFonts w:ascii="Arial" w:cs="Arial" w:eastAsia="Arial" w:hAnsi="Arial"/>
          <w:sz w:val="16"/>
          <w:szCs w:val="16"/>
          <w:color w:val="auto"/>
        </w:rPr>
      </w:pPr>
    </w:p>
    <w:p>
      <w:pPr>
        <w:ind w:left="181" w:right="20" w:firstLine="359"/>
        <w:spacing w:after="0" w:line="286" w:lineRule="auto"/>
        <w:tabs>
          <w:tab w:leader="none" w:pos="902"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In the event of a reorganization, merger, consolidation, statutory share exchange or similar form of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81" w:lineRule="exact"/>
        <w:rPr>
          <w:rFonts w:ascii="Arial" w:cs="Arial" w:eastAsia="Arial" w:hAnsi="Arial"/>
          <w:sz w:val="16"/>
          <w:szCs w:val="16"/>
          <w:color w:val="auto"/>
        </w:rPr>
      </w:pPr>
    </w:p>
    <w:p>
      <w:pPr>
        <w:jc w:val="both"/>
        <w:ind w:left="181" w:right="80" w:firstLine="359"/>
        <w:spacing w:after="0" w:line="259" w:lineRule="auto"/>
        <w:tabs>
          <w:tab w:leader="none" w:pos="91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unexercised portion of each Option then outstanding shall become wholly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and immediately exercisable. To the extent that this provision causes Incentive Stock Options to exceed the dollar limitation set forth in Section 6(a), the excess Options shall be deemed to be Nonstatutory Stock Options.</w:t>
      </w:r>
    </w:p>
    <w:p>
      <w:pPr>
        <w:spacing w:after="0" w:line="194" w:lineRule="exact"/>
        <w:rPr>
          <w:rFonts w:ascii="Arial" w:cs="Arial" w:eastAsia="Arial" w:hAnsi="Arial"/>
          <w:sz w:val="18"/>
          <w:szCs w:val="18"/>
          <w:color w:val="auto"/>
        </w:rPr>
      </w:pPr>
    </w:p>
    <w:p>
      <w:pPr>
        <w:ind w:left="-359" w:right="180" w:firstLine="359"/>
        <w:spacing w:after="0" w:line="259"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w:t>
      </w:r>
      <w:r>
        <w:rPr>
          <w:rFonts w:ascii="Arial" w:cs="Arial" w:eastAsia="Arial" w:hAnsi="Arial"/>
          <w:sz w:val="18"/>
          <w:szCs w:val="18"/>
          <w:color w:val="auto"/>
        </w:rPr>
        <w:t>The date of grant of an Option shall be, for all purposes, the date on which the Administrator makes the determination granting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such other later date as is determined by the Administrator. Notice of the determination shall be provided to each Optionee within a reasonable time after the date of such grant.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01" w:hanging="401"/>
        <w:spacing w:after="0"/>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p>
    <w:p>
      <w:pPr>
        <w:spacing w:after="0" w:line="225" w:lineRule="exact"/>
        <w:rPr>
          <w:rFonts w:ascii="Arial" w:cs="Arial" w:eastAsia="Arial" w:hAnsi="Arial"/>
          <w:sz w:val="18"/>
          <w:szCs w:val="18"/>
          <w:color w:val="auto"/>
        </w:rPr>
      </w:pPr>
    </w:p>
    <w:p>
      <w:pPr>
        <w:ind w:left="181" w:firstLine="359"/>
        <w:spacing w:after="0" w:line="306" w:lineRule="auto"/>
        <w:tabs>
          <w:tab w:leader="none" w:pos="89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may at any time amend, alter, suspend, or terminate the Plan without shareholder approval;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the Board may condition any amendment or modification on the approval of shareholders of the Company if such approval is necessary or deemed advisable with respect to tax, securities or other applicable laws, policies or regulations.</w:t>
      </w:r>
    </w:p>
    <w:p>
      <w:pPr>
        <w:spacing w:after="0" w:line="160" w:lineRule="exact"/>
        <w:rPr>
          <w:rFonts w:ascii="Arial" w:cs="Arial" w:eastAsia="Arial" w:hAnsi="Arial"/>
          <w:sz w:val="16"/>
          <w:szCs w:val="16"/>
          <w:color w:val="auto"/>
        </w:rPr>
      </w:pPr>
    </w:p>
    <w:p>
      <w:pPr>
        <w:ind w:left="181" w:right="40" w:firstLine="359"/>
        <w:spacing w:after="0" w:line="259" w:lineRule="auto"/>
        <w:tabs>
          <w:tab w:leader="none" w:pos="912"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Effect of Amendment or Termination. </w:t>
      </w:r>
      <w:r>
        <w:rPr>
          <w:rFonts w:ascii="Arial" w:cs="Arial" w:eastAsia="Arial" w:hAnsi="Arial"/>
          <w:sz w:val="18"/>
          <w:szCs w:val="18"/>
          <w:color w:val="auto"/>
        </w:rPr>
        <w:t>No amendment, alteration, suspension, or termination of the Plan shall impair the rights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unless mutually agreed otherwise between the Optionee and the Administrator, which agreement must be in writing and signed by the Optionee and the Company.</w:t>
      </w:r>
    </w:p>
    <w:p>
      <w:pPr>
        <w:spacing w:after="0" w:line="194" w:lineRule="exact"/>
        <w:rPr>
          <w:rFonts w:ascii="Arial" w:cs="Arial" w:eastAsia="Arial" w:hAnsi="Arial"/>
          <w:sz w:val="18"/>
          <w:szCs w:val="18"/>
          <w:color w:val="auto"/>
        </w:rPr>
      </w:pPr>
    </w:p>
    <w:p>
      <w:pPr>
        <w:ind w:left="401" w:hanging="401"/>
        <w:spacing w:after="0"/>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p>
    <w:p>
      <w:pPr>
        <w:spacing w:after="0" w:line="225" w:lineRule="exact"/>
        <w:rPr>
          <w:rFonts w:ascii="Arial" w:cs="Arial" w:eastAsia="Arial" w:hAnsi="Arial"/>
          <w:sz w:val="18"/>
          <w:szCs w:val="18"/>
          <w:color w:val="auto"/>
        </w:rPr>
      </w:pPr>
    </w:p>
    <w:p>
      <w:pPr>
        <w:ind w:left="181" w:right="60" w:firstLine="359"/>
        <w:spacing w:after="0" w:line="323" w:lineRule="auto"/>
        <w:tabs>
          <w:tab w:leader="none" w:pos="902" w:val="left"/>
        </w:tabs>
        <w:numPr>
          <w:ilvl w:val="1"/>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Legal Compliance. </w:t>
      </w:r>
      <w:r>
        <w:rPr>
          <w:rFonts w:ascii="Arial" w:cs="Arial" w:eastAsia="Arial" w:hAnsi="Arial"/>
          <w:sz w:val="15"/>
          <w:szCs w:val="15"/>
          <w:color w:val="auto"/>
        </w:rPr>
        <w:t>Shares shall not be issued pursuant to the exercise of an Option unless the exercise of such Option and the issuance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1" w:lineRule="exact"/>
        <w:rPr>
          <w:rFonts w:ascii="Arial" w:cs="Arial" w:eastAsia="Arial" w:hAnsi="Arial"/>
          <w:sz w:val="15"/>
          <w:szCs w:val="15"/>
          <w:color w:val="auto"/>
        </w:rPr>
      </w:pPr>
    </w:p>
    <w:p>
      <w:pPr>
        <w:ind w:left="181" w:right="80" w:firstLine="359"/>
        <w:spacing w:after="0" w:line="306" w:lineRule="auto"/>
        <w:tabs>
          <w:tab w:leader="none" w:pos="912"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Investment Representations. </w:t>
      </w:r>
      <w:r>
        <w:rPr>
          <w:rFonts w:ascii="Arial" w:cs="Arial" w:eastAsia="Arial" w:hAnsi="Arial"/>
          <w:sz w:val="16"/>
          <w:szCs w:val="16"/>
          <w:color w:val="auto"/>
        </w:rPr>
        <w:t>As a condition to the exercise of an Option, the Company may require the person exercising such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0" w:lineRule="exact"/>
        <w:rPr>
          <w:rFonts w:ascii="Arial" w:cs="Arial" w:eastAsia="Arial" w:hAnsi="Arial"/>
          <w:sz w:val="16"/>
          <w:szCs w:val="16"/>
          <w:color w:val="auto"/>
        </w:rPr>
      </w:pPr>
    </w:p>
    <w:p>
      <w:pPr>
        <w:ind w:left="401" w:hanging="401"/>
        <w:spacing w:after="0"/>
        <w:tabs>
          <w:tab w:leader="none" w:pos="40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Liability of Company.</w:t>
      </w:r>
    </w:p>
    <w:p>
      <w:pPr>
        <w:spacing w:after="0" w:line="225" w:lineRule="exact"/>
        <w:rPr>
          <w:rFonts w:ascii="Arial" w:cs="Arial" w:eastAsia="Arial" w:hAnsi="Arial"/>
          <w:sz w:val="18"/>
          <w:szCs w:val="18"/>
          <w:color w:val="auto"/>
        </w:rPr>
      </w:pPr>
    </w:p>
    <w:p>
      <w:pPr>
        <w:jc w:val="both"/>
        <w:ind w:left="181" w:right="40" w:firstLine="359"/>
        <w:spacing w:after="0" w:line="306" w:lineRule="auto"/>
        <w:tabs>
          <w:tab w:leader="none" w:pos="902"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Obtain Authority. </w:t>
      </w:r>
      <w:r>
        <w:rPr>
          <w:rFonts w:ascii="Arial" w:cs="Arial" w:eastAsia="Arial" w:hAnsi="Arial"/>
          <w:sz w:val="16"/>
          <w:szCs w:val="16"/>
          <w:color w:val="auto"/>
        </w:rPr>
        <w:t>The inability of the Company to obtain authority from any regulatory body having jurisdiction, which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0" w:lineRule="exact"/>
        <w:rPr>
          <w:rFonts w:ascii="Arial" w:cs="Arial" w:eastAsia="Arial" w:hAnsi="Arial"/>
          <w:sz w:val="16"/>
          <w:szCs w:val="16"/>
          <w:color w:val="auto"/>
        </w:rPr>
      </w:pPr>
    </w:p>
    <w:p>
      <w:pPr>
        <w:ind w:left="181" w:firstLine="359"/>
        <w:spacing w:after="0" w:line="256" w:lineRule="auto"/>
        <w:tabs>
          <w:tab w:leader="none" w:pos="912"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Grants Exceeding Allotted Shares. </w:t>
      </w:r>
      <w:r>
        <w:rPr>
          <w:rFonts w:ascii="Arial" w:cs="Arial" w:eastAsia="Arial" w:hAnsi="Arial"/>
          <w:sz w:val="18"/>
          <w:szCs w:val="18"/>
          <w:color w:val="auto"/>
        </w:rPr>
        <w:t>If the Optioned Stock covered by an Option exceeds, as of the date of grant, the number of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97" w:lineRule="exact"/>
        <w:rPr>
          <w:rFonts w:ascii="Arial" w:cs="Arial" w:eastAsia="Arial" w:hAnsi="Arial"/>
          <w:sz w:val="18"/>
          <w:szCs w:val="18"/>
          <w:color w:val="auto"/>
        </w:rPr>
      </w:pPr>
    </w:p>
    <w:p>
      <w:pPr>
        <w:ind w:left="-359" w:right="400" w:firstLine="359"/>
        <w:spacing w:after="0" w:line="268"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during the term of this Plan, will at all times reserve and keep available such number of Shares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to satisfy the requirements of the Plan.</w:t>
      </w:r>
    </w:p>
    <w:p>
      <w:pPr>
        <w:spacing w:after="0" w:line="185" w:lineRule="exact"/>
        <w:rPr>
          <w:rFonts w:ascii="Arial" w:cs="Arial" w:eastAsia="Arial" w:hAnsi="Arial"/>
          <w:sz w:val="18"/>
          <w:szCs w:val="18"/>
          <w:color w:val="auto"/>
        </w:rPr>
      </w:pPr>
    </w:p>
    <w:p>
      <w:pPr>
        <w:ind w:left="-359" w:right="40" w:firstLine="359"/>
        <w:spacing w:after="0" w:line="259"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Approval. </w:t>
      </w:r>
      <w:r>
        <w:rPr>
          <w:rFonts w:ascii="Arial" w:cs="Arial" w:eastAsia="Arial" w:hAnsi="Arial"/>
          <w:sz w:val="18"/>
          <w:szCs w:val="18"/>
          <w:color w:val="auto"/>
        </w:rPr>
        <w:t>Continuance of the Plan shall be subject to approval by the shareholders of the Company within twelve (12) months before or</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the Plan is adopted. Such shareholder approval shall be obtained in the manner and to the degree required under applicable federal and Delaware law.</w:t>
      </w:r>
    </w:p>
    <w:p>
      <w:pPr>
        <w:spacing w:after="0" w:line="194" w:lineRule="exact"/>
        <w:rPr>
          <w:rFonts w:ascii="Arial" w:cs="Arial" w:eastAsia="Arial" w:hAnsi="Arial"/>
          <w:sz w:val="18"/>
          <w:szCs w:val="18"/>
          <w:color w:val="auto"/>
        </w:rPr>
      </w:pPr>
    </w:p>
    <w:p>
      <w:pPr>
        <w:ind w:left="-359" w:right="400" w:firstLine="359"/>
        <w:spacing w:after="0" w:line="268"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Restriction on Repricing. </w:t>
      </w:r>
      <w:r>
        <w:rPr>
          <w:rFonts w:ascii="Arial" w:cs="Arial" w:eastAsia="Arial" w:hAnsi="Arial"/>
          <w:sz w:val="18"/>
          <w:szCs w:val="18"/>
          <w:color w:val="auto"/>
        </w:rPr>
        <w:t>Without the prior approval of the shareholders of the Company, the Administrator shall not reprice any Options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through cancellation and regrant, by lowering the exercise price, or by any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-5795010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121285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131" w:right="259" w:bottom="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4.10</w:t>
        </w:r>
      </w:hyperlink>
    </w:p>
    <w:p>
      <w:pPr>
        <w:sectPr>
          <w:pgSz w:w="11900" w:h="16838" w:orient="portrait"/>
          <w:cols w:equalWidth="0" w:num="1">
            <w:col w:w="10219"/>
          </w:cols>
          <w:pgMar w:left="240" w:top="820" w:right="1440" w:bottom="1440" w:gutter="0" w:footer="0" w:header="0"/>
        </w:sectPr>
      </w:pPr>
    </w:p>
    <w:bookmarkStart w:id="10" w:name="page11"/>
    <w:bookmarkEnd w:id="10"/>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5,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September 6, 2002 (the "Registration Statement") in connection with the registration under the Securities Act of 1933, as amended, of 10,000,000 shares of your Common Stock (the "Shares") reserved for issuance under the Micron Technology, Inc. 2001 Stock Option Plan (the "Plan"). As your legal counsel, we have examined the proceedings taken and are familiar with the proceedings proposed to be taken by you in connection with the sale and issuance of the Shares.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Exhibit 5.1</w:t>
        </w:r>
      </w:hyperlink>
    </w:p>
    <w:p>
      <w:pPr>
        <w:sectPr>
          <w:pgSz w:w="11900" w:h="16838" w:orient="portrait"/>
          <w:cols w:equalWidth="0" w:num="1">
            <w:col w:w="11380"/>
          </w:cols>
          <w:pgMar w:left="240" w:top="361" w:right="279" w:bottom="1440" w:gutter="0" w:footer="0" w:header="0"/>
        </w:sectPr>
      </w:pPr>
    </w:p>
    <w:bookmarkStart w:id="11" w:name="page12"/>
    <w:bookmarkEnd w:id="11"/>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September 25, 2001 relating to the financial statements and financial statement schedule, which appears in Micron Technology Inc.'s Annual Report on Form 10-K (file No. 1-10658) for the year ended August 30, 2001.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23.1</w:t>
        </w:r>
      </w:hyperlink>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2"/>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decimal"/>
      <w:start w:val="1"/>
    </w:lvl>
    <w:lvl w:ilvl="1">
      <w:lvlJc w:val="left"/>
      <w:lvlText w:val="•"/>
      <w:numFmt w:val="bullet"/>
      <w:start w:val="1"/>
    </w:lvl>
  </w:abstractNum>
  <w:abstractNum w:abstractNumId="6">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7FDCC233"/>
    <w:multiLevelType w:val="hybridMultilevel"/>
    <w:lvl w:ilvl="0">
      <w:lvlJc w:val="left"/>
      <w:lvlText w:val="(%1)"/>
      <w:numFmt w:val="lowerLetter"/>
      <w:start w:val="16"/>
    </w:lvl>
  </w:abstractNum>
  <w:abstractNum w:abstractNumId="8">
    <w:nsid w:val="1BEFD79F"/>
    <w:multiLevelType w:val="hybridMultilevel"/>
    <w:lvl w:ilvl="0">
      <w:lvlJc w:val="left"/>
      <w:lvlText w:val="(%1)"/>
      <w:numFmt w:val="lowerLetter"/>
      <w:start w:val="27"/>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2">
    <w:nsid w:val="25E45D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431BD7B7"/>
    <w:multiLevelType w:val="hybridMultilevel"/>
    <w:lvl w:ilvl="0">
      <w:lvlJc w:val="left"/>
      <w:lvlText w:val="%1"/>
      <w:numFmt w:val="decimal"/>
      <w:start w:val="1"/>
    </w:lvl>
    <w:lvl w:ilvl="1">
      <w:lvlJc w:val="left"/>
      <w:lvlText w:val="(%2)"/>
      <w:numFmt w:val="lowerRoman"/>
      <w:start w:val="6"/>
    </w:lvl>
  </w:abstractNum>
  <w:abstractNum w:abstractNumId="15">
    <w:nsid w:val="3F2DBA31"/>
    <w:multiLevelType w:val="hybridMultilevel"/>
    <w:lvl w:ilvl="0">
      <w:lvlJc w:val="left"/>
      <w:lvlText w:val="%1."/>
      <w:numFmt w:val="decimal"/>
      <w:start w:val="10"/>
    </w:lvl>
    <w:lvl w:ilvl="1">
      <w:lvlJc w:val="left"/>
      <w:lvlText w:val="%2"/>
      <w:numFmt w:val="lowerRoman"/>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2"/>
    </w:lvl>
  </w:abstractNum>
  <w:abstractNum w:abstractNumId="18">
    <w:nsid w:val="62BBD95A"/>
    <w:multiLevelType w:val="hybridMultilevel"/>
    <w:lvl w:ilvl="0">
      <w:lvlJc w:val="left"/>
      <w:lvlText w:val="%1."/>
      <w:numFmt w:val="decimal"/>
      <w:start w:val="1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2"/>
    </w:lvl>
  </w:abstractNum>
  <w:abstractNum w:abstractNumId="20">
    <w:nsid w:val="628C895D"/>
    <w:multiLevelType w:val="hybridMultilevel"/>
    <w:lvl w:ilvl="0">
      <w:lvlJc w:val="left"/>
      <w:lvlText w:val="%1."/>
      <w:numFmt w:val="decimal"/>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2019-12-11T20:22:49Z</dcterms:created>
  <dcterms:modified xsi:type="dcterms:W3CDTF">2019-12-11T20:22:49Z</dcterms:modified>
</cp:coreProperties>
</file>