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749300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ectPr>
          <w:pgSz w:w="11900" w:h="16838" w:orient="portrait"/>
          <w:cols w:equalWidth="0" w:num="1">
            <w:col w:w="11400"/>
          </w:cols>
          <w:pgMar w:left="240" w:top="1192" w:right="259" w:bottom="1440" w:gutter="0" w:footer="0" w:header="0"/>
        </w:sectPr>
      </w:pPr>
    </w:p>
    <w:p>
      <w:pPr>
        <w:spacing w:after="0" w:line="162" w:lineRule="exact"/>
        <w:rPr>
          <w:sz w:val="24"/>
          <w:szCs w:val="24"/>
          <w:color w:val="auto"/>
        </w:rPr>
      </w:pPr>
    </w:p>
    <w:p>
      <w:pPr>
        <w:jc w:val="center"/>
        <w:ind w:left="400"/>
        <w:spacing w:after="0"/>
        <w:rPr>
          <w:sz w:val="20"/>
          <w:szCs w:val="20"/>
          <w:color w:val="auto"/>
        </w:rPr>
      </w:pPr>
      <w:r>
        <w:rPr>
          <w:rFonts w:ascii="Arial" w:cs="Arial" w:eastAsia="Arial" w:hAnsi="Arial"/>
          <w:sz w:val="17"/>
          <w:szCs w:val="17"/>
          <w:b w:val="1"/>
          <w:bCs w:val="1"/>
          <w:color w:val="auto"/>
        </w:rPr>
        <w:t>(Mark One)</w:t>
      </w:r>
    </w:p>
    <w:p>
      <w:pPr>
        <w:spacing w:after="0" w:line="79"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69"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For the quarterly period ended November 29, 2018</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69" w:lineRule="exact"/>
        <w:rPr>
          <w:sz w:val="24"/>
          <w:szCs w:val="24"/>
          <w:color w:val="auto"/>
        </w:rPr>
      </w:pPr>
    </w:p>
    <w:p>
      <w:pPr>
        <w:ind w:left="2440"/>
        <w:spacing w:after="0"/>
        <w:tabs>
          <w:tab w:leader="none" w:pos="5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Commission file number 1-10658</w:t>
      </w:r>
    </w:p>
    <w:p>
      <w:pPr>
        <w:spacing w:after="0" w:line="121" w:lineRule="exact"/>
        <w:rPr>
          <w:sz w:val="24"/>
          <w:szCs w:val="24"/>
          <w:color w:val="auto"/>
        </w:rPr>
      </w:pPr>
    </w:p>
    <w:p>
      <w:pPr>
        <w:sectPr>
          <w:pgSz w:w="11900" w:h="16838" w:orient="portrait"/>
          <w:cols w:equalWidth="0" w:num="2">
            <w:col w:w="1320" w:space="440"/>
            <w:col w:w="9640"/>
          </w:cols>
          <w:pgMar w:left="240" w:top="1192" w:right="259" w:bottom="1440" w:gutter="0" w:footer="0" w:header="0"/>
          <w:type w:val="continuous"/>
        </w:sect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75-1618004</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w:t>
            </w:r>
          </w:p>
        </w:tc>
        <w:tc>
          <w:tcPr>
            <w:tcW w:w="3800" w:type="dxa"/>
            <w:vAlign w:val="bottom"/>
          </w:tcPr>
          <w:p>
            <w:pPr>
              <w:jc w:val="center"/>
              <w:ind w:left="12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tcPr>
          <w:p>
            <w:pPr>
              <w:spacing w:after="0"/>
              <w:rPr>
                <w:sz w:val="23"/>
                <w:szCs w:val="23"/>
                <w:color w:val="auto"/>
              </w:rPr>
            </w:pP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89"/>
              </w:rPr>
              <w:t>8000 S. Federal Way, Boise, Idaho</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83716-9632</w:t>
            </w:r>
          </w:p>
        </w:tc>
      </w:tr>
      <w:tr>
        <w:trPr>
          <w:trHeight w:val="270"/>
        </w:trPr>
        <w:tc>
          <w:tcPr>
            <w:tcW w:w="500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210"/>
              <w:spacing w:after="0"/>
              <w:rPr>
                <w:sz w:val="20"/>
                <w:szCs w:val="20"/>
                <w:color w:val="auto"/>
              </w:rPr>
            </w:pPr>
            <w:r>
              <w:rPr>
                <w:rFonts w:ascii="Arial" w:cs="Arial" w:eastAsia="Arial" w:hAnsi="Arial"/>
                <w:sz w:val="18"/>
                <w:szCs w:val="18"/>
                <w:color w:val="auto"/>
                <w:w w:val="91"/>
              </w:rPr>
              <w:t>(Zip Code)</w:t>
            </w: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89"/>
              </w:rPr>
              <w:t>Registrant's telephone number, including area code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(208) 368-4000</w:t>
            </w:r>
          </w:p>
        </w:tc>
      </w:tr>
    </w:tbl>
    <w:p>
      <w:pPr>
        <w:spacing w:after="0" w:line="175"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r>
        <w:rPr>
          <w:rFonts w:ascii="MS PGothic" w:cs="MS PGothic" w:eastAsia="MS PGothic" w:hAnsi="MS PGothic"/>
          <w:sz w:val="18"/>
          <w:szCs w:val="18"/>
          <w:color w:val="auto"/>
        </w:rPr>
        <w:t>☐</w:t>
      </w:r>
    </w:p>
    <w:p>
      <w:pPr>
        <w:spacing w:after="0" w:line="130" w:lineRule="exact"/>
        <w:rPr>
          <w:sz w:val="24"/>
          <w:szCs w:val="24"/>
          <w:color w:val="auto"/>
        </w:rPr>
      </w:pPr>
    </w:p>
    <w:p>
      <w:pPr>
        <w:ind w:right="2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T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5" w:lineRule="exact"/>
        <w:rPr>
          <w:sz w:val="24"/>
          <w:szCs w:val="24"/>
          <w:color w:val="auto"/>
        </w:rPr>
      </w:pPr>
    </w:p>
    <w:p>
      <w:pPr>
        <w:ind w:left="420"/>
        <w:spacing w:after="0"/>
        <w:tabs>
          <w:tab w:leader="none" w:pos="2820" w:val="left"/>
          <w:tab w:leader="none" w:pos="4840" w:val="left"/>
          <w:tab w:leader="none" w:pos="6940" w:val="left"/>
          <w:tab w:leader="none" w:pos="934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181"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w:t>
      </w:r>
    </w:p>
    <w:p>
      <w:pPr>
        <w:spacing w:after="0" w:line="17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December 12, 2018 was 1,121,046,809.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192"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Definitions of Commonly Used Terms</w:t>
      </w:r>
    </w:p>
    <w:p>
      <w:pPr>
        <w:spacing w:after="0" w:line="229"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As used herein, "we," "our," "us," and similar terms include Micron Technology, Inc. and our consolidated subsidiaries, unless the context indicates otherwise. Abbreviations, terms, or acronyms are commonly used or found in multiple locations throughout this report and include the following: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gridSpan w:val="2"/>
          </w:tcPr>
          <w:p>
            <w:pPr>
              <w:ind w:left="680"/>
              <w:spacing w:after="0"/>
              <w:rPr>
                <w:sz w:val="20"/>
                <w:szCs w:val="20"/>
                <w:color w:val="auto"/>
              </w:rPr>
            </w:pPr>
            <w:r>
              <w:rPr>
                <w:rFonts w:ascii="Arial" w:cs="Arial" w:eastAsia="Arial" w:hAnsi="Arial"/>
                <w:sz w:val="16"/>
                <w:szCs w:val="16"/>
                <w:b w:val="1"/>
                <w:bCs w:val="1"/>
                <w:color w:val="auto"/>
              </w:rPr>
              <w:t>Term</w:t>
            </w:r>
          </w:p>
        </w:tc>
        <w:tc>
          <w:tcPr>
            <w:tcW w:w="480" w:type="dxa"/>
            <w:vAlign w:val="bottom"/>
          </w:tcPr>
          <w:p>
            <w:pPr>
              <w:spacing w:after="0"/>
              <w:rPr>
                <w:sz w:val="18"/>
                <w:szCs w:val="18"/>
                <w:color w:val="auto"/>
              </w:rPr>
            </w:pPr>
          </w:p>
        </w:tc>
        <w:tc>
          <w:tcPr>
            <w:tcW w:w="3300" w:type="dxa"/>
            <w:vAlign w:val="bottom"/>
          </w:tcPr>
          <w:p>
            <w:pPr>
              <w:ind w:left="1060"/>
              <w:spacing w:after="0"/>
              <w:rPr>
                <w:sz w:val="20"/>
                <w:szCs w:val="20"/>
                <w:color w:val="auto"/>
              </w:rPr>
            </w:pPr>
            <w:r>
              <w:rPr>
                <w:rFonts w:ascii="Arial" w:cs="Arial" w:eastAsia="Arial" w:hAnsi="Arial"/>
                <w:sz w:val="16"/>
                <w:szCs w:val="16"/>
                <w:b w:val="1"/>
                <w:bCs w:val="1"/>
                <w:color w:val="auto"/>
              </w:rPr>
              <w:t>Definition</w:t>
            </w:r>
          </w:p>
        </w:tc>
        <w:tc>
          <w:tcPr>
            <w:tcW w:w="120" w:type="dxa"/>
            <w:vAlign w:val="bottom"/>
          </w:tcPr>
          <w:p>
            <w:pPr>
              <w:spacing w:after="0"/>
              <w:rPr>
                <w:sz w:val="18"/>
                <w:szCs w:val="18"/>
                <w:color w:val="auto"/>
              </w:rPr>
            </w:pPr>
          </w:p>
        </w:tc>
        <w:tc>
          <w:tcPr>
            <w:tcW w:w="1920" w:type="dxa"/>
            <w:vAlign w:val="bottom"/>
            <w:gridSpan w:val="2"/>
          </w:tcPr>
          <w:p>
            <w:pPr>
              <w:ind w:left="720"/>
              <w:spacing w:after="0"/>
              <w:rPr>
                <w:sz w:val="20"/>
                <w:szCs w:val="20"/>
                <w:color w:val="auto"/>
              </w:rPr>
            </w:pPr>
            <w:r>
              <w:rPr>
                <w:rFonts w:ascii="Arial" w:cs="Arial" w:eastAsia="Arial" w:hAnsi="Arial"/>
                <w:sz w:val="16"/>
                <w:szCs w:val="16"/>
                <w:b w:val="1"/>
                <w:bCs w:val="1"/>
                <w:color w:val="auto"/>
              </w:rPr>
              <w:t>Term</w:t>
            </w:r>
          </w:p>
        </w:tc>
        <w:tc>
          <w:tcPr>
            <w:tcW w:w="3760" w:type="dxa"/>
            <w:vAlign w:val="bottom"/>
          </w:tcPr>
          <w:p>
            <w:pPr>
              <w:ind w:left="1540"/>
              <w:spacing w:after="0"/>
              <w:rPr>
                <w:sz w:val="20"/>
                <w:szCs w:val="20"/>
                <w:color w:val="auto"/>
              </w:rPr>
            </w:pPr>
            <w:r>
              <w:rPr>
                <w:rFonts w:ascii="Arial" w:cs="Arial" w:eastAsia="Arial" w:hAnsi="Arial"/>
                <w:sz w:val="16"/>
                <w:szCs w:val="16"/>
                <w:b w:val="1"/>
                <w:bCs w:val="1"/>
                <w:color w:val="auto"/>
              </w:rPr>
              <w:t>Definition</w:t>
            </w:r>
          </w:p>
        </w:tc>
      </w:tr>
      <w:tr>
        <w:trPr>
          <w:trHeight w:val="47"/>
        </w:trPr>
        <w:tc>
          <w:tcPr>
            <w:tcW w:w="1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78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3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2022 Term Loan B</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Senior Secured Term Loan B due 2022</w:t>
            </w:r>
          </w:p>
        </w:tc>
        <w:tc>
          <w:tcPr>
            <w:tcW w:w="120" w:type="dxa"/>
            <w:vAlign w:val="bottom"/>
          </w:tcPr>
          <w:p>
            <w:pPr>
              <w:spacing w:after="0"/>
              <w:rPr>
                <w:sz w:val="20"/>
                <w:szCs w:val="20"/>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MMJ Group</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MMJ and its subsidiaries</w:t>
            </w:r>
          </w:p>
        </w:tc>
      </w:tr>
      <w:tr>
        <w:trPr>
          <w:trHeight w:val="224"/>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2025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5.50%</w:t>
            </w:r>
          </w:p>
        </w:tc>
        <w:tc>
          <w:tcPr>
            <w:tcW w:w="3300" w:type="dxa"/>
            <w:vAlign w:val="bottom"/>
          </w:tcPr>
          <w:p>
            <w:pPr>
              <w:ind w:left="20"/>
              <w:spacing w:after="0"/>
              <w:rPr>
                <w:sz w:val="20"/>
                <w:szCs w:val="20"/>
                <w:color w:val="auto"/>
              </w:rPr>
            </w:pPr>
            <w:r>
              <w:rPr>
                <w:rFonts w:ascii="Arial" w:cs="Arial" w:eastAsia="Arial" w:hAnsi="Arial"/>
                <w:sz w:val="16"/>
                <w:szCs w:val="16"/>
                <w:color w:val="auto"/>
              </w:rPr>
              <w:t>Senior Notes due 2025</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MMT</w:t>
            </w:r>
          </w:p>
        </w:tc>
        <w:tc>
          <w:tcPr>
            <w:tcW w:w="3760" w:type="dxa"/>
            <w:vAlign w:val="bottom"/>
          </w:tcPr>
          <w:p>
            <w:pPr>
              <w:ind w:left="40"/>
              <w:spacing w:after="0"/>
              <w:rPr>
                <w:sz w:val="20"/>
                <w:szCs w:val="20"/>
                <w:color w:val="auto"/>
              </w:rPr>
            </w:pPr>
            <w:r>
              <w:rPr>
                <w:rFonts w:ascii="Arial" w:cs="Arial" w:eastAsia="Arial" w:hAnsi="Arial"/>
                <w:sz w:val="16"/>
                <w:szCs w:val="16"/>
                <w:color w:val="auto"/>
              </w:rPr>
              <w:t>Micron Memory Taiwan Co., Ltd.</w:t>
            </w:r>
          </w:p>
        </w:tc>
      </w:tr>
      <w:tr>
        <w:trPr>
          <w:trHeight w:val="47"/>
        </w:trPr>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2032D 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3.13%</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Convertible Senior Notes due 2032</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MTTW</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Technology Taiwan, Inc.</w:t>
            </w:r>
          </w:p>
        </w:tc>
      </w:tr>
      <w:tr>
        <w:trPr>
          <w:trHeight w:val="224"/>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2033F Notes</w:t>
            </w:r>
          </w:p>
        </w:tc>
        <w:tc>
          <w:tcPr>
            <w:tcW w:w="480" w:type="dxa"/>
            <w:vAlign w:val="bottom"/>
          </w:tcPr>
          <w:p>
            <w:pPr>
              <w:ind w:left="40"/>
              <w:spacing w:after="0"/>
              <w:rPr>
                <w:sz w:val="20"/>
                <w:szCs w:val="20"/>
                <w:color w:val="auto"/>
              </w:rPr>
            </w:pPr>
            <w:r>
              <w:rPr>
                <w:rFonts w:ascii="Arial" w:cs="Arial" w:eastAsia="Arial" w:hAnsi="Arial"/>
                <w:sz w:val="16"/>
                <w:szCs w:val="16"/>
                <w:color w:val="auto"/>
                <w:w w:val="92"/>
              </w:rPr>
              <w:t>2.13%</w:t>
            </w:r>
          </w:p>
        </w:tc>
        <w:tc>
          <w:tcPr>
            <w:tcW w:w="3300" w:type="dxa"/>
            <w:vAlign w:val="bottom"/>
          </w:tcPr>
          <w:p>
            <w:pPr>
              <w:ind w:left="20"/>
              <w:spacing w:after="0"/>
              <w:rPr>
                <w:sz w:val="20"/>
                <w:szCs w:val="20"/>
                <w:color w:val="auto"/>
              </w:rPr>
            </w:pPr>
            <w:r>
              <w:rPr>
                <w:rFonts w:ascii="Arial" w:cs="Arial" w:eastAsia="Arial" w:hAnsi="Arial"/>
                <w:sz w:val="16"/>
                <w:szCs w:val="16"/>
                <w:color w:val="auto"/>
              </w:rPr>
              <w:t>Convertible Senior Notes due 2033</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Qimonda</w:t>
            </w:r>
          </w:p>
        </w:tc>
        <w:tc>
          <w:tcPr>
            <w:tcW w:w="3760" w:type="dxa"/>
            <w:vAlign w:val="bottom"/>
          </w:tcPr>
          <w:p>
            <w:pPr>
              <w:ind w:left="40"/>
              <w:spacing w:after="0"/>
              <w:rPr>
                <w:sz w:val="20"/>
                <w:szCs w:val="20"/>
                <w:color w:val="auto"/>
              </w:rPr>
            </w:pPr>
            <w:r>
              <w:rPr>
                <w:rFonts w:ascii="Arial" w:cs="Arial" w:eastAsia="Arial" w:hAnsi="Arial"/>
                <w:sz w:val="16"/>
                <w:szCs w:val="16"/>
                <w:color w:val="auto"/>
              </w:rPr>
              <w:t>Qimonda AG</w:t>
            </w:r>
          </w:p>
        </w:tc>
      </w:tr>
      <w:tr>
        <w:trPr>
          <w:trHeight w:val="47"/>
        </w:trPr>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2043G Notes</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3.00%</w:t>
            </w: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Convertible Senior Notes due 2043</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R&amp;D</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r>
      <w:tr>
        <w:trPr>
          <w:trHeight w:val="224"/>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IMFT</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IM Flash Technologies, LLC</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SG&amp;A</w:t>
            </w:r>
          </w:p>
        </w:tc>
        <w:tc>
          <w:tcPr>
            <w:tcW w:w="376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r>
      <w:tr>
        <w:trPr>
          <w:trHeight w:val="47"/>
        </w:trPr>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Inotera</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Inotera Memories, Inc.</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SSD</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Solid-State Drive</w:t>
            </w:r>
          </w:p>
        </w:tc>
      </w:tr>
      <w:tr>
        <w:trPr>
          <w:trHeight w:val="224"/>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Intel</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Intel Corporation</w:t>
            </w:r>
          </w:p>
        </w:tc>
        <w:tc>
          <w:tcPr>
            <w:tcW w:w="12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color w:val="auto"/>
              </w:rPr>
              <w:t>TLC</w:t>
            </w:r>
          </w:p>
        </w:tc>
        <w:tc>
          <w:tcPr>
            <w:tcW w:w="3760" w:type="dxa"/>
            <w:vAlign w:val="bottom"/>
          </w:tcPr>
          <w:p>
            <w:pPr>
              <w:ind w:left="40"/>
              <w:spacing w:after="0"/>
              <w:rPr>
                <w:sz w:val="20"/>
                <w:szCs w:val="20"/>
                <w:color w:val="auto"/>
              </w:rPr>
            </w:pPr>
            <w:r>
              <w:rPr>
                <w:rFonts w:ascii="Arial" w:cs="Arial" w:eastAsia="Arial" w:hAnsi="Arial"/>
                <w:sz w:val="16"/>
                <w:szCs w:val="16"/>
                <w:color w:val="auto"/>
              </w:rPr>
              <w:t>Triple-Level Cell</w:t>
            </w:r>
          </w:p>
        </w:tc>
      </w:tr>
      <w:tr>
        <w:trPr>
          <w:trHeight w:val="47"/>
        </w:trPr>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Micron</w:t>
            </w:r>
          </w:p>
        </w:tc>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Micron Technology, Inc. (Parent Company)</w:t>
            </w:r>
          </w:p>
        </w:tc>
        <w:tc>
          <w:tcPr>
            <w:tcW w:w="120" w:type="dxa"/>
            <w:vAlign w:val="bottom"/>
          </w:tcPr>
          <w:p>
            <w:pPr>
              <w:spacing w:after="0"/>
              <w:rPr>
                <w:sz w:val="21"/>
                <w:szCs w:val="21"/>
                <w:color w:val="auto"/>
              </w:rPr>
            </w:pPr>
          </w:p>
        </w:tc>
        <w:tc>
          <w:tcPr>
            <w:tcW w:w="1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VIE</w:t>
            </w: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Interest Entity</w:t>
            </w:r>
          </w:p>
        </w:tc>
      </w:tr>
      <w:tr>
        <w:trPr>
          <w:trHeight w:val="224"/>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MMJ</w:t>
            </w:r>
          </w:p>
        </w:tc>
        <w:tc>
          <w:tcPr>
            <w:tcW w:w="3780" w:type="dxa"/>
            <w:vAlign w:val="bottom"/>
            <w:gridSpan w:val="2"/>
          </w:tcPr>
          <w:p>
            <w:pPr>
              <w:ind w:left="40"/>
              <w:spacing w:after="0"/>
              <w:rPr>
                <w:sz w:val="20"/>
                <w:szCs w:val="20"/>
                <w:color w:val="auto"/>
              </w:rPr>
            </w:pPr>
            <w:r>
              <w:rPr>
                <w:rFonts w:ascii="Arial" w:cs="Arial" w:eastAsia="Arial" w:hAnsi="Arial"/>
                <w:sz w:val="16"/>
                <w:szCs w:val="16"/>
                <w:color w:val="auto"/>
              </w:rPr>
              <w:t>Micron Memory Japan, Inc.</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Micron subsidiaries appear throughout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Consumer Products Group, Inc</w:t>
            </w:r>
          </w:p>
        </w:tc>
        <w:tc>
          <w:tcPr>
            <w:tcW w:w="70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rPr>
              <w:t>Micron Semiconductor Products, Inc.</w:t>
            </w:r>
          </w:p>
        </w:tc>
      </w:tr>
      <w:tr>
        <w:trPr>
          <w:trHeight w:val="224"/>
        </w:trPr>
        <w:tc>
          <w:tcPr>
            <w:tcW w:w="4360" w:type="dxa"/>
            <w:vAlign w:val="bottom"/>
          </w:tcPr>
          <w:p>
            <w:pPr>
              <w:ind w:left="40"/>
              <w:spacing w:after="0"/>
              <w:rPr>
                <w:sz w:val="20"/>
                <w:szCs w:val="20"/>
                <w:color w:val="auto"/>
              </w:rPr>
            </w:pPr>
            <w:r>
              <w:rPr>
                <w:rFonts w:ascii="Arial" w:cs="Arial" w:eastAsia="Arial" w:hAnsi="Arial"/>
                <w:sz w:val="16"/>
                <w:szCs w:val="16"/>
                <w:color w:val="auto"/>
              </w:rPr>
              <w:t>Micron Europe Limited</w:t>
            </w:r>
          </w:p>
        </w:tc>
        <w:tc>
          <w:tcPr>
            <w:tcW w:w="7060" w:type="dxa"/>
            <w:vAlign w:val="bottom"/>
          </w:tcPr>
          <w:p>
            <w:pPr>
              <w:ind w:left="1380"/>
              <w:spacing w:after="0"/>
              <w:rPr>
                <w:sz w:val="20"/>
                <w:szCs w:val="20"/>
                <w:color w:val="auto"/>
              </w:rPr>
            </w:pPr>
            <w:r>
              <w:rPr>
                <w:rFonts w:ascii="Arial" w:cs="Arial" w:eastAsia="Arial" w:hAnsi="Arial"/>
                <w:sz w:val="16"/>
                <w:szCs w:val="16"/>
                <w:color w:val="auto"/>
              </w:rPr>
              <w:t>Micron Semiconductor (Shanghai) Co. Ltd.</w:t>
            </w:r>
          </w:p>
        </w:tc>
      </w:tr>
      <w:tr>
        <w:trPr>
          <w:trHeight w:val="47"/>
        </w:trPr>
        <w:tc>
          <w:tcPr>
            <w:tcW w:w="4360" w:type="dxa"/>
            <w:vAlign w:val="bottom"/>
          </w:tcPr>
          <w:p>
            <w:pPr>
              <w:spacing w:after="0"/>
              <w:rPr>
                <w:sz w:val="4"/>
                <w:szCs w:val="4"/>
                <w:color w:val="auto"/>
              </w:rPr>
            </w:pPr>
          </w:p>
        </w:tc>
        <w:tc>
          <w:tcPr>
            <w:tcW w:w="7060" w:type="dxa"/>
            <w:vAlign w:val="bottom"/>
          </w:tcPr>
          <w:p>
            <w:pPr>
              <w:spacing w:after="0"/>
              <w:rPr>
                <w:sz w:val="4"/>
                <w:szCs w:val="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Micron Semiconductor B.V.,</w:t>
            </w:r>
          </w:p>
        </w:tc>
        <w:tc>
          <w:tcPr>
            <w:tcW w:w="706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6"/>
                <w:szCs w:val="16"/>
                <w:color w:val="auto"/>
              </w:rPr>
              <w:t>Micron Semiconductor (Xi’an) Co., Ltd.</w:t>
            </w:r>
          </w:p>
        </w:tc>
      </w:tr>
      <w:tr>
        <w:trPr>
          <w:trHeight w:val="224"/>
        </w:trPr>
        <w:tc>
          <w:tcPr>
            <w:tcW w:w="4360" w:type="dxa"/>
            <w:vAlign w:val="bottom"/>
          </w:tcPr>
          <w:p>
            <w:pPr>
              <w:ind w:left="40"/>
              <w:spacing w:after="0"/>
              <w:rPr>
                <w:sz w:val="20"/>
                <w:szCs w:val="20"/>
                <w:color w:val="auto"/>
              </w:rPr>
            </w:pPr>
            <w:r>
              <w:rPr>
                <w:rFonts w:ascii="Arial" w:cs="Arial" w:eastAsia="Arial" w:hAnsi="Arial"/>
                <w:sz w:val="16"/>
                <w:szCs w:val="16"/>
                <w:color w:val="auto"/>
              </w:rPr>
              <w:t>Micron Semiconductor (Deutschland) GmbH</w:t>
            </w:r>
          </w:p>
        </w:tc>
        <w:tc>
          <w:tcPr>
            <w:tcW w:w="7060" w:type="dxa"/>
            <w:vAlign w:val="bottom"/>
          </w:tcPr>
          <w:p>
            <w:pPr>
              <w:spacing w:after="0"/>
              <w:rPr>
                <w:sz w:val="19"/>
                <w:szCs w:val="19"/>
                <w:color w:val="auto"/>
              </w:rPr>
            </w:pPr>
          </w:p>
        </w:tc>
      </w:tr>
    </w:tbl>
    <w:p>
      <w:pPr>
        <w:spacing w:after="0" w:line="248"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5"/>
          <w:szCs w:val="25"/>
          <w:color w:val="auto"/>
          <w:vertAlign w:val="superscript"/>
        </w:rPr>
        <w:t>®</w:t>
      </w:r>
      <w:r>
        <w:rPr>
          <w:rFonts w:ascii="Arial" w:cs="Arial" w:eastAsia="Arial" w:hAnsi="Arial"/>
          <w:sz w:val="18"/>
          <w:szCs w:val="18"/>
          <w:color w:val="auto"/>
        </w:rPr>
        <w:t>, Crucial</w:t>
      </w:r>
      <w:r>
        <w:rPr>
          <w:rFonts w:ascii="Arial" w:cs="Arial" w:eastAsia="Arial" w:hAnsi="Arial"/>
          <w:sz w:val="25"/>
          <w:szCs w:val="25"/>
          <w:color w:val="auto"/>
          <w:vertAlign w:val="superscript"/>
        </w:rPr>
        <w:t>®</w:t>
      </w:r>
      <w:r>
        <w:rPr>
          <w:rFonts w:ascii="Arial" w:cs="Arial" w:eastAsia="Arial" w:hAnsi="Arial"/>
          <w:sz w:val="18"/>
          <w:szCs w:val="18"/>
          <w:color w:val="auto"/>
        </w:rPr>
        <w:t>, and Ballistix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mobile, and automotive.</w:t>
      </w:r>
    </w:p>
    <w:p>
      <w:pPr>
        <w:spacing w:after="0" w:line="204"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Micron, Crucial, Ballistix, any associated logos, and all other Micron trademarks are the property of Micron. 3D XPoint is a trademark of Intel in the United States and/or other countries. Other product names or trademarks that are not owned by Micron are for identification purposes only and may be the registered or unregistered trademarks of their respective owners.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324"/>
        <w:spacing w:after="0" w:line="274" w:lineRule="auto"/>
        <w:rPr>
          <w:sz w:val="20"/>
          <w:szCs w:val="20"/>
          <w:color w:val="auto"/>
        </w:rPr>
      </w:pPr>
      <w:r>
        <w:rPr>
          <w:rFonts w:ascii="Arial" w:cs="Arial" w:eastAsia="Arial" w:hAnsi="Arial"/>
          <w:sz w:val="16"/>
          <w:szCs w:val="16"/>
          <w:color w:val="auto"/>
        </w:rPr>
        <w:t>This Form 10-Q contains trend information and other forward-looking statements that involve a number of risks and uncertainties. Forward-looking statements include, but are not limited to, statements such as those made regarding our expected NAND and 3D XPoint</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development activities with Intel; our expectation to exercise our call option to purchase Intel's interest in IMFT and the amount we expect to pay for the transaction; our expectation, from time to time, to engage in additional financing transactions; the sufficiency of our cash and investments, cash flows from operations, and available financing to meet our requirements at least through the next 12 months; and capital spending in 2019. We are under no obligation to update these forward-looking statements.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3,056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2,792</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80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0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Gains (losses) on derivative instruments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gains (losses) on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Pension liability adjustments</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comprehensive income</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Comprehensive income attributable to Micron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96" w:right="239" w:bottom="1440" w:gutter="0" w:footer="0" w:header="0"/>
          <w:type w:val="continuous"/>
        </w:sectPr>
      </w:pPr>
    </w:p>
    <w:bookmarkStart w:id="4" w:name="page5"/>
    <w:bookmarkEnd w:id="4"/>
    <w:p>
      <w:pPr>
        <w:jc w:val="center"/>
        <w:ind w:right="-25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 millions except par value amounts)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200" w:type="dxa"/>
            <w:vAlign w:val="bottom"/>
          </w:tcPr>
          <w:p>
            <w:pPr>
              <w:spacing w:after="0"/>
              <w:rPr>
                <w:sz w:val="18"/>
                <w:szCs w:val="18"/>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August 30,</w:t>
            </w:r>
          </w:p>
        </w:tc>
      </w:t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8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6,506</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3,595</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7"/>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16,039</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24,807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23,672</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1,022</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611</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44,595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43,376</w:t>
            </w:r>
          </w:p>
        </w:tc>
      </w:tr>
      <w:tr>
        <w:trPr>
          <w:trHeight w:val="20"/>
        </w:trPr>
        <w:tc>
          <w:tcPr>
            <w:tcW w:w="8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84"/>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4,374</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debt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521</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5,754</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3,777</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37"/>
        </w:trPr>
        <w:tc>
          <w:tcPr>
            <w:tcW w:w="816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10,112</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1"/>
        </w:trPr>
        <w:tc>
          <w:tcPr>
            <w:tcW w:w="8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7"/>
        </w:trPr>
        <w:tc>
          <w:tcPr>
            <w:tcW w:w="8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Redeemable convertible notes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97"/>
        </w:trPr>
        <w:tc>
          <w:tcPr>
            <w:tcW w:w="8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Micron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9"/>
        </w:trPr>
        <w:tc>
          <w:tcPr>
            <w:tcW w:w="8160" w:type="dxa"/>
            <w:vAlign w:val="bottom"/>
            <w:gridSpan w:val="2"/>
          </w:tcPr>
          <w:p>
            <w:pPr>
              <w:ind w:left="280"/>
              <w:spacing w:after="0"/>
              <w:rPr>
                <w:sz w:val="20"/>
                <w:szCs w:val="20"/>
                <w:color w:val="auto"/>
              </w:rPr>
            </w:pPr>
            <w:r>
              <w:rPr>
                <w:rFonts w:ascii="Arial" w:cs="Arial" w:eastAsia="Arial" w:hAnsi="Arial"/>
                <w:sz w:val="18"/>
                <w:szCs w:val="18"/>
                <w:color w:val="auto"/>
                <w:w w:val="90"/>
              </w:rPr>
              <w:t>Common stock, $0.10 par value, 3,000 shares authorized, 1,172 shares issued and 1,120 outstanding (1,170</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60" w:type="dxa"/>
            <w:vAlign w:val="bottom"/>
            <w:gridSpan w:val="2"/>
          </w:tcPr>
          <w:p>
            <w:pPr>
              <w:ind w:left="360"/>
              <w:spacing w:after="0"/>
              <w:rPr>
                <w:sz w:val="20"/>
                <w:szCs w:val="20"/>
                <w:color w:val="auto"/>
              </w:rPr>
            </w:pPr>
            <w:r>
              <w:rPr>
                <w:rFonts w:ascii="Arial" w:cs="Arial" w:eastAsia="Arial" w:hAnsi="Arial"/>
                <w:sz w:val="18"/>
                <w:szCs w:val="18"/>
                <w:color w:val="auto"/>
              </w:rPr>
              <w:t>shares issued and 1,161 outstanding as of August 30, 2018)</w:t>
            </w: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capital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8,201</w:t>
            </w:r>
          </w:p>
        </w:tc>
      </w:tr>
      <w:tr>
        <w:trPr>
          <w:trHeight w:val="243"/>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24,395</w:t>
            </w:r>
          </w:p>
        </w:tc>
      </w:tr>
      <w:tr>
        <w:trPr>
          <w:trHeight w:val="27"/>
        </w:trPr>
        <w:tc>
          <w:tcPr>
            <w:tcW w:w="8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52 shares held (9 shares as of August 30, 2018)</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816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Micron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32,294</w:t>
            </w:r>
          </w:p>
        </w:tc>
      </w:tr>
      <w:tr>
        <w:trPr>
          <w:trHeight w:val="243"/>
        </w:trPr>
        <w:tc>
          <w:tcPr>
            <w:tcW w:w="81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870</w:t>
            </w:r>
          </w:p>
        </w:tc>
      </w:tr>
      <w:tr>
        <w:trPr>
          <w:trHeight w:val="27"/>
        </w:trPr>
        <w:tc>
          <w:tcPr>
            <w:tcW w:w="8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1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33,164</w:t>
            </w:r>
          </w:p>
        </w:tc>
      </w:tr>
      <w:tr>
        <w:trPr>
          <w:trHeight w:val="257"/>
        </w:trPr>
        <w:tc>
          <w:tcPr>
            <w:tcW w:w="8160" w:type="dxa"/>
            <w:vAlign w:val="bottom"/>
            <w:gridSpan w:val="2"/>
          </w:tcPr>
          <w:p>
            <w:pPr>
              <w:ind w:left="50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44,595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43,376</w:t>
            </w:r>
          </w:p>
        </w:tc>
      </w:tr>
      <w:tr>
        <w:trPr>
          <w:trHeight w:val="20"/>
        </w:trPr>
        <w:tc>
          <w:tcPr>
            <w:tcW w:w="8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160"/>
          </w:cols>
          <w:pgMar w:left="240" w:top="796" w:right="499" w:bottom="1440" w:gutter="0" w:footer="0" w:header="0"/>
        </w:sectPr>
      </w:pP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60"/>
          </w:cols>
          <w:pgMar w:left="240" w:top="796" w:right="4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Micron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19685</wp:posOffset>
            </wp:positionV>
            <wp:extent cx="4296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88"/>
              </w:rPr>
              <w:t>Accumulated Other</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Total Micron</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Noncontrolling</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Number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Treasury</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Shareholders'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 in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640" w:type="dxa"/>
            <w:vAlign w:val="bottom"/>
          </w:tcPr>
          <w:p>
            <w:pPr>
              <w:spacing w:after="0"/>
              <w:rPr>
                <w:sz w:val="13"/>
                <w:szCs w:val="13"/>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3"/>
                <w:szCs w:val="13"/>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Earnings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Subsidiaries</w:t>
            </w: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Total Equity</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August 30, 2018</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1,170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24,395</w:t>
            </w:r>
          </w:p>
        </w:tc>
        <w:tc>
          <w:tcPr>
            <w:tcW w:w="1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32,294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870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33,164</w:t>
            </w: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5"/>
                <w:szCs w:val="15"/>
                <w:color w:val="auto"/>
              </w:rPr>
              <w:t>Cumulative effect of adopting new</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ind w:right="47"/>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8"/>
        </w:trPr>
        <w:tc>
          <w:tcPr>
            <w:tcW w:w="2640" w:type="dxa"/>
            <w:vAlign w:val="bottom"/>
          </w:tcPr>
          <w:p>
            <w:pPr>
              <w:ind w:left="200"/>
              <w:spacing w:after="0"/>
              <w:rPr>
                <w:sz w:val="20"/>
                <w:szCs w:val="20"/>
                <w:color w:val="auto"/>
              </w:rPr>
            </w:pPr>
            <w:r>
              <w:rPr>
                <w:rFonts w:ascii="Arial" w:cs="Arial" w:eastAsia="Arial" w:hAnsi="Arial"/>
                <w:sz w:val="15"/>
                <w:szCs w:val="15"/>
                <w:color w:val="auto"/>
              </w:rPr>
              <w:t>accounting standards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7"/>
              <w:spacing w:after="0"/>
              <w:rPr>
                <w:sz w:val="20"/>
                <w:szCs w:val="20"/>
                <w:color w:val="auto"/>
              </w:rPr>
            </w:pPr>
            <w:r>
              <w:rPr>
                <w:rFonts w:ascii="Arial" w:cs="Arial" w:eastAsia="Arial" w:hAnsi="Arial"/>
                <w:sz w:val="16"/>
                <w:szCs w:val="16"/>
                <w:color w:val="auto"/>
              </w:rPr>
              <w:t>3,293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3,293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w w:val="97"/>
              </w:rPr>
              <w:t>Other comprehensive income (loss), net</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gridSpan w:val="2"/>
            <w:shd w:val="clear" w:color="auto" w:fill="CCEEFF"/>
          </w:tcPr>
          <w:p>
            <w:pPr>
              <w:jc w:val="right"/>
              <w:ind w:right="6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Stock-based compensation expense</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Repurchase of stock</w:t>
            </w:r>
          </w:p>
        </w:tc>
        <w:tc>
          <w:tcPr>
            <w:tcW w:w="7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(1,933)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5"/>
                <w:szCs w:val="15"/>
                <w:color w:val="auto"/>
              </w:rPr>
              <w:t>Reclassification of redeemable</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4"/>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8"/>
        </w:trPr>
        <w:tc>
          <w:tcPr>
            <w:tcW w:w="2640" w:type="dxa"/>
            <w:vAlign w:val="bottom"/>
          </w:tcPr>
          <w:p>
            <w:pPr>
              <w:ind w:left="200"/>
              <w:spacing w:after="0"/>
              <w:rPr>
                <w:sz w:val="20"/>
                <w:szCs w:val="20"/>
                <w:color w:val="auto"/>
              </w:rPr>
            </w:pPr>
            <w:r>
              <w:rPr>
                <w:rFonts w:ascii="Arial" w:cs="Arial" w:eastAsia="Arial" w:hAnsi="Arial"/>
                <w:sz w:val="15"/>
                <w:szCs w:val="15"/>
                <w:color w:val="auto"/>
              </w:rPr>
              <w:t>convertible notes, net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Conversion and repurchase of</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convertible notes</w:t>
            </w: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40" w:type="dxa"/>
            <w:vAlign w:val="bottom"/>
          </w:tcPr>
          <w:p>
            <w:pPr>
              <w:ind w:left="40"/>
              <w:spacing w:after="0"/>
              <w:rPr>
                <w:sz w:val="20"/>
                <w:szCs w:val="20"/>
                <w:color w:val="auto"/>
              </w:rPr>
            </w:pPr>
            <w:r>
              <w:rPr>
                <w:rFonts w:ascii="Arial" w:cs="Arial" w:eastAsia="Arial" w:hAnsi="Arial"/>
                <w:sz w:val="15"/>
                <w:szCs w:val="15"/>
                <w:b w:val="1"/>
                <w:bCs w:val="1"/>
                <w:color w:val="auto"/>
              </w:rPr>
              <w:t>Balance at November 29, 2018</w:t>
            </w:r>
          </w:p>
        </w:tc>
        <w:tc>
          <w:tcPr>
            <w:tcW w:w="70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8,350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27,769</w:t>
            </w:r>
          </w:p>
        </w:tc>
        <w:tc>
          <w:tcPr>
            <w:tcW w:w="120" w:type="dxa"/>
            <w:vAlign w:val="bottom"/>
          </w:tcPr>
          <w:p>
            <w:pPr>
              <w:spacing w:after="0"/>
              <w:rPr>
                <w:sz w:val="22"/>
                <w:szCs w:val="22"/>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(2,362)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33,869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34,739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b w:val="1"/>
                <w:bCs w:val="1"/>
                <w:color w:val="auto"/>
              </w:rPr>
              <w:t>Micron Shareholders</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6"/>
          </w:tcPr>
          <w:p>
            <w:pPr>
              <w:jc w:val="center"/>
              <w:spacing w:after="0"/>
              <w:rPr>
                <w:sz w:val="20"/>
                <w:szCs w:val="20"/>
                <w:color w:val="auto"/>
              </w:rPr>
            </w:pPr>
            <w:r>
              <w:rPr>
                <w:rFonts w:ascii="Arial" w:cs="Arial" w:eastAsia="Arial" w:hAnsi="Arial"/>
                <w:sz w:val="12"/>
                <w:szCs w:val="12"/>
                <w:b w:val="1"/>
                <w:bCs w:val="1"/>
                <w:color w:val="auto"/>
                <w:w w:val="86"/>
              </w:rPr>
              <w:t>Common Stock</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88"/>
              </w:rPr>
              <w:t>Accumulated Other</w:t>
            </w:r>
          </w:p>
        </w:tc>
        <w:tc>
          <w:tcPr>
            <w:tcW w:w="120" w:type="dxa"/>
            <w:vAlign w:val="bottom"/>
          </w:tcPr>
          <w:p>
            <w:pPr>
              <w:spacing w:after="0"/>
              <w:rPr>
                <w:sz w:val="21"/>
                <w:szCs w:val="2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Total Micron</w:t>
            </w:r>
          </w:p>
        </w:tc>
        <w:tc>
          <w:tcPr>
            <w:tcW w:w="120" w:type="dxa"/>
            <w:vAlign w:val="bottom"/>
          </w:tcPr>
          <w:p>
            <w:pPr>
              <w:spacing w:after="0"/>
              <w:rPr>
                <w:sz w:val="21"/>
                <w:szCs w:val="2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Noncontrolling</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8"/>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Retained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0"/>
              </w:rPr>
              <w:t>Treasury</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6"/>
              </w:rPr>
              <w:t>Comprehensive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Shareholders'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Interests in</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8"/>
              </w:rPr>
              <w:t>Amount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Earnings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Income (Loss)</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Subsidiaries</w:t>
            </w:r>
          </w:p>
        </w:tc>
        <w:tc>
          <w:tcPr>
            <w:tcW w:w="780" w:type="dxa"/>
            <w:vAlign w:val="bottom"/>
            <w:gridSpan w:val="2"/>
          </w:tcPr>
          <w:p>
            <w:pPr>
              <w:jc w:val="right"/>
              <w:spacing w:after="0"/>
              <w:rPr>
                <w:sz w:val="20"/>
                <w:szCs w:val="20"/>
                <w:color w:val="auto"/>
              </w:rPr>
            </w:pPr>
            <w:r>
              <w:rPr>
                <w:rFonts w:ascii="Arial" w:cs="Arial" w:eastAsia="Arial" w:hAnsi="Arial"/>
                <w:sz w:val="12"/>
                <w:szCs w:val="12"/>
                <w:b w:val="1"/>
                <w:bCs w:val="1"/>
                <w:color w:val="auto"/>
                <w:w w:val="98"/>
              </w:rPr>
              <w:t>Total Equity</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August 31, 2017</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1,116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10,260</w:t>
            </w:r>
          </w:p>
        </w:tc>
        <w:tc>
          <w:tcPr>
            <w:tcW w:w="120" w:type="dxa"/>
            <w:vAlign w:val="bottom"/>
            <w:shd w:val="clear" w:color="auto" w:fill="CCEEFF"/>
          </w:tcPr>
          <w:p>
            <w:pPr>
              <w:spacing w:after="0"/>
              <w:rPr>
                <w:sz w:val="21"/>
                <w:szCs w:val="21"/>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18,621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849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19,470</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2,678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2,678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7"/>
              </w:rPr>
              <w:t>Other comprehensive income (loss), net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5"/>
                <w:szCs w:val="15"/>
                <w:color w:val="auto"/>
              </w:rPr>
              <w:t>Contributions from noncontrolling</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8"/>
        </w:trPr>
        <w:tc>
          <w:tcPr>
            <w:tcW w:w="2640" w:type="dxa"/>
            <w:vAlign w:val="bottom"/>
          </w:tcPr>
          <w:p>
            <w:pPr>
              <w:ind w:left="200"/>
              <w:spacing w:after="0"/>
              <w:rPr>
                <w:sz w:val="20"/>
                <w:szCs w:val="20"/>
                <w:color w:val="auto"/>
              </w:rPr>
            </w:pPr>
            <w:r>
              <w:rPr>
                <w:rFonts w:ascii="Arial" w:cs="Arial" w:eastAsia="Arial" w:hAnsi="Arial"/>
                <w:sz w:val="15"/>
                <w:szCs w:val="15"/>
                <w:color w:val="auto"/>
              </w:rPr>
              <w:t>interests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 issued in public offering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1,366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Stock issued under stock plans</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7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6"/>
        </w:trPr>
        <w:tc>
          <w:tcPr>
            <w:tcW w:w="2640" w:type="dxa"/>
            <w:vAlign w:val="bottom"/>
          </w:tcPr>
          <w:p>
            <w:pPr>
              <w:ind w:left="40"/>
              <w:spacing w:after="0"/>
              <w:rPr>
                <w:sz w:val="20"/>
                <w:szCs w:val="20"/>
                <w:color w:val="auto"/>
              </w:rPr>
            </w:pPr>
            <w:r>
              <w:rPr>
                <w:rFonts w:ascii="Arial" w:cs="Arial" w:eastAsia="Arial" w:hAnsi="Arial"/>
                <w:sz w:val="15"/>
                <w:szCs w:val="15"/>
                <w:color w:val="auto"/>
              </w:rPr>
              <w:t>Repurchase of stock</w:t>
            </w:r>
          </w:p>
        </w:tc>
        <w:tc>
          <w:tcPr>
            <w:tcW w:w="82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45"/>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Reclassification of redeemable</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4"/>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convertible notes, net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40"/>
              <w:spacing w:after="0"/>
              <w:rPr>
                <w:sz w:val="20"/>
                <w:szCs w:val="20"/>
                <w:color w:val="auto"/>
              </w:rPr>
            </w:pPr>
            <w:r>
              <w:rPr>
                <w:rFonts w:ascii="Arial" w:cs="Arial" w:eastAsia="Arial" w:hAnsi="Arial"/>
                <w:sz w:val="15"/>
                <w:szCs w:val="15"/>
                <w:color w:val="auto"/>
                <w:w w:val="92"/>
              </w:rPr>
              <w:t>Conversion and repurchase of convertible</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198"/>
        </w:trPr>
        <w:tc>
          <w:tcPr>
            <w:tcW w:w="26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notes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6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at November 30, 2017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9,448</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12,938</w:t>
            </w:r>
          </w:p>
        </w:tc>
        <w:tc>
          <w:tcPr>
            <w:tcW w:w="120" w:type="dxa"/>
            <w:vAlign w:val="bottom"/>
            <w:shd w:val="clear" w:color="auto" w:fill="CCEEFF"/>
          </w:tcPr>
          <w:p>
            <w:pPr>
              <w:spacing w:after="0"/>
              <w:rPr>
                <w:sz w:val="22"/>
                <w:szCs w:val="22"/>
                <w:color w:val="auto"/>
              </w:rPr>
            </w:pPr>
          </w:p>
        </w:tc>
        <w:tc>
          <w:tcPr>
            <w:tcW w:w="2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22,526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867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23,393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Amortization of debt discount and other costs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(Gain) loss on debt prepayments, repurchases, and conversions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3,636</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to acquire treasury stock</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Proceeds from issuance of stock</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1,472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issuance of debt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97"/>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5,216</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6,130</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9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accompanying consolidated financial statements include the accounts of Micron and our consolidated subsidiaries and have been prepared in accordance with accounting principles generally accepted in the United States of America consistent in all material respects with those applied in our Annual Report on Form 10-K for the year ended August 30, 2018, except for changes related to recently adopted accounting standards. See "Recently Adopted Accounting Standards" note. Prior year information is presented in accordance with the accounting guidance in effect during that period and has not been recast for recently adopted accounting standards. 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78"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Our fiscal year is the 52 or 53-week period ending on the Thursday closest to August 31. Fiscal years 2019 and 2018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30, 2018.</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Variable Interest Entities</w:t>
      </w:r>
    </w:p>
    <w:p>
      <w:pPr>
        <w:spacing w:after="0" w:line="21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have interests in entities that are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Unconsolidated VIEs</w:t>
      </w:r>
    </w:p>
    <w:p>
      <w:pPr>
        <w:spacing w:after="0" w:line="225" w:lineRule="exact"/>
        <w:rPr>
          <w:sz w:val="20"/>
          <w:szCs w:val="20"/>
          <w:color w:val="auto"/>
        </w:rPr>
      </w:pPr>
    </w:p>
    <w:p>
      <w:pPr>
        <w:ind w:right="240" w:firstLine="324"/>
        <w:spacing w:after="0" w:line="295" w:lineRule="auto"/>
        <w:rPr>
          <w:sz w:val="20"/>
          <w:szCs w:val="20"/>
          <w:color w:val="auto"/>
        </w:rPr>
      </w:pPr>
      <w:r>
        <w:rPr>
          <w:rFonts w:ascii="Arial" w:cs="Arial" w:eastAsia="Arial" w:hAnsi="Arial"/>
          <w:sz w:val="16"/>
          <w:szCs w:val="16"/>
          <w:b w:val="1"/>
          <w:bCs w:val="1"/>
          <w:i w:val="1"/>
          <w:iCs w:val="1"/>
          <w:color w:val="auto"/>
        </w:rPr>
        <w:t>PTI Xi'an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Powertech Technology Inc. Xi'an ("PTI Xi'an") is a wholly-owned subsidiary of Powertech Technology Inc. ("PTI") and was created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assembly services to us at our manufacturing site in Xi'an, China. We do not have an equity interest in PTI Xi'an. PTI Xi'an is a VIE because of the terms of its service agreement with us and its dependency on PTI to finance its operations. We have determined that we do not have the power to direct the activities of PTI Xi'an that most significantly impact its economic performance, primarily because we have no governance rights. Therefore, we do not consolidate PTI Xi'an. In connection with our assembly services with PTI, we had capital lease obligations and net property, plant, and equipment of $60 million and $61 million, respectively, as of November 29, 2018 and $63 million and $63 million, respectively, as of August 30,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VIE</w:t>
      </w:r>
    </w:p>
    <w:p>
      <w:pPr>
        <w:spacing w:after="0" w:line="22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i w:val="1"/>
          <w:iCs w:val="1"/>
          <w:color w:val="auto"/>
        </w:rPr>
        <w:t>IMFT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IMFT is a VIE because all of its costs are passed to us and its other member, Intel, through product purchase agreements and because IMFT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dependent upon us or Intel for additional cash requirements. The primary activities of IMFT are driven by the constant introduction of product and process technology. Because we perform a significant majority of the technology development, we have the power to direct its key activities. We consolidate IMFT because we have the power to direct the activities of IMFT that most significantly impact its economic performance and because we have the obligation to absorb losses and the right to receive benefits from IMFT that could potentially be significant to it. At any time through December 2018, Intel can exercise its option to require us to purchase, and from January 2019 through December 2021, we can exercise our option to purchase from Intel, Intel's interest in IMFT. On October 18, 2018, we announced our intent to exercise our option to acquire Intel's interest in IMFT. Upon such exercise, Intel can elect to set the closing date of the transaction to be any time between six months and one year from the date we exercise our option. (See "Equity – Noncontrolling Interests in Subsidiaries – IMFT" note.)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1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 xml:space="preserve">In October 2016, the Financial Accounting Standards Board ("FASB") issued Accounting Standards Update ("ASU") 2016-16 – </w:t>
      </w:r>
      <w:r>
        <w:rPr>
          <w:rFonts w:ascii="Arial" w:cs="Arial" w:eastAsia="Arial" w:hAnsi="Arial"/>
          <w:sz w:val="18"/>
          <w:szCs w:val="18"/>
          <w:i w:val="1"/>
          <w:iCs w:val="1"/>
          <w:color w:val="auto"/>
        </w:rPr>
        <w:t>Intra-Entity Transfers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Than Inventory </w:t>
      </w:r>
      <w:r>
        <w:rPr>
          <w:rFonts w:ascii="Arial" w:cs="Arial" w:eastAsia="Arial" w:hAnsi="Arial"/>
          <w:sz w:val="18"/>
          <w:szCs w:val="18"/>
          <w:color w:val="auto"/>
        </w:rPr>
        <w:t>("ASU 2016-16"), which requires an entity to recognize the income tax consequences of an intra-entity transfer of an asset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when the transfer occurs. We adopted this ASU in the first quarter of 2019 under the modified retrospective method and, in connection therewith, made certain adjustments as noted in the table below.</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In January 2016, the FASB issued ASU 2016-01 –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provides guidance for the recognition, measurement, presentation, and disclosure of financial assets and liabilities. We adopted this ASU in the first quarter of 2019 under the modified retrospective method, with prospective adoption for amendments related to equity securities without readily determinable fair values. The adoption of this ASU did not have a material impact on our financial statements.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In May 2014, the FASB issued ASU 2014-09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 amended, "ASC 606"), which supersedes nearly all existing revenue recognition guidance under generally accepted accounting principles in the United States. The core principal of ASC 606 is that an entity should recognize revenue when it transfers promised goods or services to customers in an amount that reflects the consideration to which the entity expects to be entitled in exchange for those goods or services. ASC 606 also requires additional disclosure about the nature, amount, timing, and uncertainty of revenue and cash flows arising from customer contracts, including significant judgments and changes in judgments, and assets recognized from costs incurred to obtain or fulfill a contract. We adopted ASC 606 in the first quarter of 2019 under the modified retrospective method and, in connection therewith, made certain adjustments as noted in the table below.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effects of adopting ASU 2016-16 and ASC 606.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Adjustments from:</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8"/>
              </w:rPr>
              <w:t>Ending Balance</w:t>
            </w: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8"/>
              </w:rPr>
              <w:t>Opening Balance</w:t>
            </w:r>
          </w:p>
        </w:tc>
        <w:tc>
          <w:tcPr>
            <w:tcW w:w="0" w:type="dxa"/>
            <w:vAlign w:val="bottom"/>
          </w:tcPr>
          <w:p>
            <w:pPr>
              <w:spacing w:after="0"/>
              <w:rPr>
                <w:sz w:val="1"/>
                <w:szCs w:val="1"/>
                <w:color w:val="auto"/>
              </w:rPr>
            </w:pPr>
          </w:p>
        </w:tc>
      </w:tr>
      <w:tr>
        <w:trPr>
          <w:trHeight w:val="205"/>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as of</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as of</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August 30, 2018</w:t>
            </w:r>
          </w:p>
        </w:tc>
        <w:tc>
          <w:tcPr>
            <w:tcW w:w="260" w:type="dxa"/>
            <w:vAlign w:val="bottom"/>
          </w:tcPr>
          <w:p>
            <w:pPr>
              <w:spacing w:after="0"/>
              <w:rPr>
                <w:sz w:val="20"/>
                <w:szCs w:val="20"/>
                <w:color w:val="auto"/>
              </w:rPr>
            </w:pPr>
          </w:p>
        </w:tc>
        <w:tc>
          <w:tcPr>
            <w:tcW w:w="1660" w:type="dxa"/>
            <w:vAlign w:val="bottom"/>
            <w:gridSpan w:val="2"/>
          </w:tcPr>
          <w:p>
            <w:pPr>
              <w:ind w:left="140"/>
              <w:spacing w:after="0"/>
              <w:rPr>
                <w:sz w:val="20"/>
                <w:szCs w:val="20"/>
                <w:color w:val="auto"/>
              </w:rPr>
            </w:pPr>
            <w:r>
              <w:rPr>
                <w:rFonts w:ascii="Arial" w:cs="Arial" w:eastAsia="Arial" w:hAnsi="Arial"/>
                <w:sz w:val="18"/>
                <w:szCs w:val="18"/>
                <w:b w:val="1"/>
                <w:bCs w:val="1"/>
                <w:color w:val="auto"/>
              </w:rPr>
              <w:t>ASU 2016-16</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ASC 606</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August 31, 2018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24,395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24,487</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the adoption of ASC 606, the opening balances as of August 31, 2018 for receivables, other current assets, and other current liabilities increased as a result of the reclassification of allowances for rebates, pricing adjustments, and returns to conform to the new presentation requirements. The margin from previously deferred sales to distributors was reclassified from other current liabilities to retained earnings. The tax effects of the adoption of ASC 606 were recorded primarily as a reduction of net deferred tax assets, substantially as a result of recognizing income for accounting purposes earlier under ASC 606 than for tax purposes in various jurisdictions.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33"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effects of ASC 606 to our consolidated statement of operations and balance sheet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Amounts Without</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the Effects of</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Adoption of ASC</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 November 29, 2018</w:t>
            </w:r>
          </w:p>
        </w:tc>
        <w:tc>
          <w:tcPr>
            <w:tcW w:w="20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606</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3,244</w:t>
            </w:r>
          </w:p>
        </w:tc>
      </w:tr>
      <w:tr>
        <w:trPr>
          <w:trHeight w:val="576"/>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Amounts Without</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the Effects of</w:t>
            </w: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Adoption of ASC</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November 29, 2018</w:t>
            </w:r>
          </w:p>
        </w:tc>
        <w:tc>
          <w:tcPr>
            <w:tcW w:w="20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606</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6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4,198</w:t>
            </w:r>
          </w:p>
        </w:tc>
      </w:tr>
      <w:tr>
        <w:trPr>
          <w:trHeight w:val="27"/>
        </w:trPr>
        <w:tc>
          <w:tcPr>
            <w:tcW w:w="6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833</w:t>
            </w:r>
          </w:p>
        </w:tc>
      </w:tr>
      <w:tr>
        <w:trPr>
          <w:trHeight w:val="27"/>
        </w:trPr>
        <w:tc>
          <w:tcPr>
            <w:tcW w:w="6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27,670</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 Not Yet Adopted</w:t>
      </w:r>
    </w:p>
    <w:p>
      <w:pPr>
        <w:spacing w:after="0" w:line="219"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 xml:space="preserve">In November 2018, the FASB issued ASU 2018-18 –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which clarifies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ASU will be effective for us in the first quarter of 2021 with early adoption permitted. This ASU requires retrospective adoption to the date we adopted ASC 606, August 31, 2018, by recognizing a cumulative-effect adjustment to the opening balance of retained earnings of the earliest annual period presented. We are evaluating the timing and effects of our adoption of this ASU on our financial statements.</w:t>
      </w:r>
    </w:p>
    <w:p>
      <w:pPr>
        <w:spacing w:after="0" w:line="178" w:lineRule="exact"/>
        <w:rPr>
          <w:sz w:val="20"/>
          <w:szCs w:val="20"/>
          <w:color w:val="auto"/>
        </w:rPr>
      </w:pPr>
    </w:p>
    <w:p>
      <w:pPr>
        <w:ind w:right="180" w:firstLine="324"/>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which requires a financial asset (or a group of financial assets) measured on the basis of amortized cost to be presented at the net amount expected to be collected. This ASU requires that the income statement reflect the measurement of credit losses for newly recognized financial assets as well as the increases or decreases of expected credit losses that have taken place during the period. This ASU requires that credit losses of debt securities designated as available-for-sale be recorded through an allowance for credit losses and limits the credit loss to the amount by which fair value is below amortized cost. This ASU will be effective for us in the first quarter of 2021 with adoption permitted as early as the first quarter of 2020. This ASU requires modified retrospective adoption, with prospective adoption for debt securities for which an other-than-temporary impairment had been recognized before the effective date. We are evaluating the timing and effects of our adoption of this ASU on our financial statements.</w:t>
      </w:r>
    </w:p>
    <w:p>
      <w:pPr>
        <w:spacing w:after="0" w:line="17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 xml:space="preserve">In February 2016, the FASB issued ASU 2016-02 – </w:t>
      </w:r>
      <w:r>
        <w:rPr>
          <w:rFonts w:ascii="Arial" w:cs="Arial" w:eastAsia="Arial" w:hAnsi="Arial"/>
          <w:sz w:val="17"/>
          <w:szCs w:val="17"/>
          <w:i w:val="1"/>
          <w:iCs w:val="1"/>
          <w:color w:val="auto"/>
        </w:rPr>
        <w:t>Leases</w:t>
      </w:r>
      <w:r>
        <w:rPr>
          <w:rFonts w:ascii="Arial" w:cs="Arial" w:eastAsia="Arial" w:hAnsi="Arial"/>
          <w:sz w:val="17"/>
          <w:szCs w:val="17"/>
          <w:color w:val="auto"/>
        </w:rPr>
        <w:t>, which amends a number of aspects of lease accounting, including requiring lessees to recognize operating leases with a term greater than one year on their balance sheet as a right-of- use asset and corresponding liability, measured at the present value of lease payments. This ASU, as amended, will be effective for us in the first quarter of 2020 with early adoption permitted and allows for either a modified retrospective adoption or a retrospective adoption by recognizing a cumulative-effect adjustment to the opening balance of retained earnings in the period of adoption. The adoption of this ASU will result in an increase to our consolidated balance sheets for these right-of-use assets and corresponding liabilities. We are evaluating the timing and other effects of our adoption of this ASU on our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Cash and Investments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260"/>
              <w:spacing w:after="0"/>
              <w:rPr>
                <w:sz w:val="20"/>
                <w:szCs w:val="20"/>
                <w:color w:val="auto"/>
              </w:rPr>
            </w:pPr>
            <w:r>
              <w:rPr>
                <w:rFonts w:ascii="Arial" w:cs="Arial" w:eastAsia="Arial" w:hAnsi="Arial"/>
                <w:sz w:val="18"/>
                <w:szCs w:val="18"/>
                <w:b w:val="1"/>
                <w:bCs w:val="1"/>
                <w:color w:val="auto"/>
              </w:rPr>
              <w:t>November 29, 2018</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5"/>
          </w:tcPr>
          <w:p>
            <w:pPr>
              <w:ind w:left="420"/>
              <w:spacing w:after="0"/>
              <w:rPr>
                <w:sz w:val="20"/>
                <w:szCs w:val="20"/>
                <w:color w:val="auto"/>
              </w:rPr>
            </w:pPr>
            <w:r>
              <w:rPr>
                <w:rFonts w:ascii="Arial" w:cs="Arial" w:eastAsia="Arial" w:hAnsi="Arial"/>
                <w:sz w:val="18"/>
                <w:szCs w:val="18"/>
                <w:b w:val="1"/>
                <w:bCs w:val="1"/>
                <w:color w:val="auto"/>
              </w:rPr>
              <w:t>August 30, 2018</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Fair</w:t>
            </w:r>
          </w:p>
        </w:tc>
        <w:tc>
          <w:tcPr>
            <w:tcW w:w="140" w:type="dxa"/>
            <w:vAlign w:val="bottom"/>
          </w:tcPr>
          <w:p>
            <w:pPr>
              <w:spacing w:after="0"/>
              <w:rPr>
                <w:sz w:val="12"/>
                <w:szCs w:val="12"/>
                <w:color w:val="auto"/>
              </w:rPr>
            </w:pPr>
          </w:p>
        </w:tc>
        <w:tc>
          <w:tcPr>
            <w:tcW w:w="8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Short-term</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8"/>
              </w:rPr>
              <w:t>Long-term</w:t>
            </w:r>
          </w:p>
        </w:tc>
        <w:tc>
          <w:tcPr>
            <w:tcW w:w="120" w:type="dxa"/>
            <w:vAlign w:val="bottom"/>
          </w:tcPr>
          <w:p>
            <w:pPr>
              <w:spacing w:after="0"/>
              <w:rPr>
                <w:sz w:val="12"/>
                <w:szCs w:val="12"/>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Investments</w:t>
            </w:r>
            <w:r>
              <w:rPr>
                <w:rFonts w:ascii="Arial" w:cs="Arial" w:eastAsia="Arial" w:hAnsi="Arial"/>
                <w:sz w:val="8"/>
                <w:szCs w:val="8"/>
                <w:color w:val="auto"/>
                <w:w w:val="93"/>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Equivalents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Investments</w:t>
            </w:r>
            <w:r>
              <w:rPr>
                <w:rFonts w:ascii="Arial" w:cs="Arial" w:eastAsia="Arial" w:hAnsi="Arial"/>
                <w:sz w:val="8"/>
                <w:szCs w:val="8"/>
                <w:color w:val="auto"/>
                <w:w w:val="91"/>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1</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70"/>
        </w:trPr>
        <w:tc>
          <w:tcPr>
            <w:tcW w:w="22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Level 2</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97"/>
        </w:trPr>
        <w:tc>
          <w:tcPr>
            <w:tcW w:w="2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20" w:type="dxa"/>
            <w:vAlign w:val="bottom"/>
            <w:tcBorders>
              <w:top w:val="single" w:sz="8" w:color="auto"/>
              <w:bottom w:val="single" w:sz="8" w:color="CCEEFF"/>
            </w:tcBorders>
          </w:tcPr>
          <w:p>
            <w:pPr>
              <w:jc w:val="right"/>
              <w:ind w:right="33"/>
              <w:spacing w:after="0"/>
              <w:rPr>
                <w:sz w:val="20"/>
                <w:szCs w:val="20"/>
                <w:color w:val="auto"/>
              </w:rPr>
            </w:pPr>
            <w:r>
              <w:rPr>
                <w:rFonts w:ascii="Arial" w:cs="Arial" w:eastAsia="Arial" w:hAnsi="Arial"/>
                <w:sz w:val="18"/>
                <w:szCs w:val="18"/>
                <w:color w:val="auto"/>
              </w:rPr>
              <w:t>4,447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7,128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6,506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57"/>
        </w:trPr>
        <w:tc>
          <w:tcPr>
            <w:tcW w:w="220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(4)</w:t>
            </w: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200" w:type="dxa"/>
            <w:vAlign w:val="bottom"/>
            <w:gridSpan w:val="2"/>
          </w:tcPr>
          <w:p>
            <w:pPr>
              <w:ind w:left="40"/>
              <w:spacing w:after="0"/>
              <w:rPr>
                <w:sz w:val="20"/>
                <w:szCs w:val="20"/>
                <w:color w:val="auto"/>
              </w:rPr>
            </w:pPr>
            <w:r>
              <w:rPr>
                <w:rFonts w:ascii="Arial" w:cs="Arial" w:eastAsia="Arial" w:hAnsi="Arial"/>
                <w:sz w:val="18"/>
                <w:szCs w:val="18"/>
                <w:color w:val="auto"/>
                <w:w w:val="94"/>
              </w:rPr>
              <w:t>Cash, cash equivalents, and</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3"/>
              <w:spacing w:after="0"/>
              <w:rPr>
                <w:sz w:val="20"/>
                <w:szCs w:val="20"/>
                <w:color w:val="auto"/>
              </w:rPr>
            </w:pPr>
            <w:r>
              <w:rPr>
                <w:rFonts w:ascii="Arial" w:cs="Arial" w:eastAsia="Arial" w:hAnsi="Arial"/>
                <w:sz w:val="18"/>
                <w:szCs w:val="18"/>
                <w:color w:val="auto"/>
              </w:rPr>
              <w:t>6,587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8890</wp:posOffset>
            </wp:positionV>
            <wp:extent cx="651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8890</wp:posOffset>
            </wp:positionV>
            <wp:extent cx="677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580" w:hanging="248"/>
        <w:spacing w:after="0" w:line="225" w:lineRule="auto"/>
        <w:tabs>
          <w:tab w:leader="none" w:pos="580" w:val="left"/>
        </w:tabs>
        <w:numPr>
          <w:ilvl w:val="0"/>
          <w:numId w:val="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maturities of long-term marketable securities range from one to four years.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i w:val="1"/>
          <w:iCs w:val="1"/>
          <w:color w:val="auto"/>
        </w:rPr>
        <w:t>The fair value of Level 1 securities is measured based on quoted prices in active markets for identical assets.</w:t>
      </w:r>
    </w:p>
    <w:p>
      <w:pPr>
        <w:spacing w:after="0" w:line="2" w:lineRule="exact"/>
        <w:rPr>
          <w:rFonts w:ascii="Arial" w:cs="Arial" w:eastAsia="Arial" w:hAnsi="Arial"/>
          <w:sz w:val="24"/>
          <w:szCs w:val="24"/>
          <w:color w:val="auto"/>
          <w:vertAlign w:val="superscript"/>
        </w:rPr>
      </w:pPr>
    </w:p>
    <w:p>
      <w:pPr>
        <w:ind w:left="580" w:right="60" w:hanging="248"/>
        <w:spacing w:after="0" w:line="257" w:lineRule="auto"/>
        <w:tabs>
          <w:tab w:leader="none" w:pos="580" w:val="left"/>
        </w:tabs>
        <w:numPr>
          <w:ilvl w:val="0"/>
          <w:numId w:val="1"/>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analyses to validate information obtained from these pricing services. No adjustments were made to the fair values indicated by such pricing information as of November 29, 2018 or August 30, 2018.</w:t>
      </w:r>
    </w:p>
    <w:p>
      <w:pPr>
        <w:ind w:left="580" w:right="100" w:hanging="248"/>
        <w:spacing w:after="0" w:line="209" w:lineRule="auto"/>
        <w:tabs>
          <w:tab w:leader="none" w:pos="580" w:val="left"/>
        </w:tabs>
        <w:numPr>
          <w:ilvl w:val="0"/>
          <w:numId w:val="1"/>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Restricted cash is included in other noncurrent assets and primarily consisted of balances related to the MMJ Creditor Payments. The restrictions on the MMJ Creditor Payments lapse upon approval by the trustees and/or Tokyo District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-1104900</wp:posOffset>
            </wp:positionV>
            <wp:extent cx="651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-1104900</wp:posOffset>
            </wp:positionV>
            <wp:extent cx="677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8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Gross realized gains and losses from sales of available-for-sale securities were not material for any period presented. As of November 29, 2018, there were no available-for-sale securities that had been in a loss position for longer than 12 months.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Receivables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As of</w:t>
            </w: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w:t>
            </w:r>
          </w:p>
        </w:tc>
        <w:tc>
          <w:tcPr>
            <w:tcW w:w="4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and other taxes</w:t>
            </w:r>
          </w:p>
        </w:tc>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47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580" w:type="dxa"/>
            <w:vAlign w:val="bottom"/>
            <w:vMerge w:val="restart"/>
          </w:tcPr>
          <w:p>
            <w:pPr>
              <w:jc w:val="right"/>
              <w:ind w:right="23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5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33"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Inventories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2,357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Plant, and Equipment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8,680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Equipment</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39,652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38,249</w:t>
            </w:r>
          </w:p>
        </w:tc>
      </w:tr>
      <w:tr>
        <w:trPr>
          <w:trHeight w:val="270"/>
        </w:trPr>
        <w:tc>
          <w:tcPr>
            <w:tcW w:w="83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1,162</w:t>
            </w: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51,203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49,091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(25,419)</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17145</wp:posOffset>
            </wp:positionV>
            <wp:extent cx="1946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3" w:lineRule="exact"/>
        <w:rPr>
          <w:sz w:val="20"/>
          <w:szCs w:val="20"/>
          <w:color w:val="auto"/>
        </w:rPr>
      </w:pPr>
    </w:p>
    <w:p>
      <w:pPr>
        <w:ind w:left="580" w:right="700" w:hanging="248"/>
        <w:spacing w:after="0" w:line="216" w:lineRule="auto"/>
        <w:tabs>
          <w:tab w:leader="none" w:pos="580" w:val="left"/>
        </w:tabs>
        <w:numPr>
          <w:ilvl w:val="0"/>
          <w:numId w:val="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costs related to equipment not placed into service of $1.85 billion and $1.73 billion, as of November 29, 2018 and August 30, 2018, respectively.</w:t>
      </w:r>
    </w:p>
    <w:p>
      <w:pPr>
        <w:spacing w:after="0" w:line="1" w:lineRule="exact"/>
        <w:rPr>
          <w:rFonts w:ascii="Arial" w:cs="Arial" w:eastAsia="Arial" w:hAnsi="Arial"/>
          <w:sz w:val="25"/>
          <w:szCs w:val="25"/>
          <w:i w:val="1"/>
          <w:iCs w:val="1"/>
          <w:color w:val="auto"/>
          <w:vertAlign w:val="superscript"/>
        </w:rPr>
      </w:pPr>
    </w:p>
    <w:p>
      <w:pPr>
        <w:ind w:left="580" w:hanging="248"/>
        <w:spacing w:after="0" w:line="180" w:lineRule="auto"/>
        <w:tabs>
          <w:tab w:leader="none" w:pos="580" w:val="left"/>
        </w:tabs>
        <w:numPr>
          <w:ilvl w:val="0"/>
          <w:numId w:val="2"/>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Included building-related construction, tool installation, and software costs for assets not yet placed into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-419100</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Intangible Assets and Goodwill</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80" w:type="dxa"/>
            <w:vAlign w:val="bottom"/>
          </w:tcPr>
          <w:p>
            <w:pPr>
              <w:spacing w:after="0"/>
              <w:rPr>
                <w:sz w:val="20"/>
                <w:szCs w:val="20"/>
                <w:color w:val="auto"/>
              </w:rPr>
            </w:pPr>
          </w:p>
        </w:tc>
        <w:tc>
          <w:tcPr>
            <w:tcW w:w="2920" w:type="dxa"/>
            <w:vAlign w:val="bottom"/>
            <w:gridSpan w:val="5"/>
          </w:tcPr>
          <w:p>
            <w:pPr>
              <w:ind w:left="540"/>
              <w:spacing w:after="0"/>
              <w:rPr>
                <w:sz w:val="20"/>
                <w:szCs w:val="20"/>
                <w:color w:val="auto"/>
              </w:rPr>
            </w:pPr>
            <w:r>
              <w:rPr>
                <w:rFonts w:ascii="Arial" w:cs="Arial" w:eastAsia="Arial" w:hAnsi="Arial"/>
                <w:sz w:val="18"/>
                <w:szCs w:val="18"/>
                <w:b w:val="1"/>
                <w:bCs w:val="1"/>
                <w:color w:val="auto"/>
              </w:rPr>
              <w:t>November 29, 2018</w:t>
            </w:r>
          </w:p>
        </w:tc>
        <w:tc>
          <w:tcPr>
            <w:tcW w:w="260" w:type="dxa"/>
            <w:vAlign w:val="bottom"/>
          </w:tcPr>
          <w:p>
            <w:pPr>
              <w:spacing w:after="0"/>
              <w:rPr>
                <w:sz w:val="20"/>
                <w:szCs w:val="20"/>
                <w:color w:val="auto"/>
              </w:rPr>
            </w:pPr>
          </w:p>
        </w:tc>
        <w:tc>
          <w:tcPr>
            <w:tcW w:w="280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August 30, 2018</w:t>
            </w: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Accumulated</w:t>
            </w:r>
          </w:p>
        </w:tc>
      </w:tr>
      <w:tr>
        <w:trPr>
          <w:trHeight w:val="234"/>
        </w:trPr>
        <w:tc>
          <w:tcPr>
            <w:tcW w:w="5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Amortizing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Product and process technology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Non-amortizing assets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gridSpan w:val="2"/>
          </w:tcPr>
          <w:p>
            <w:pPr>
              <w:ind w:left="200"/>
              <w:spacing w:after="0"/>
              <w:rPr>
                <w:sz w:val="20"/>
                <w:szCs w:val="20"/>
                <w:color w:val="auto"/>
              </w:rPr>
            </w:pPr>
            <w:r>
              <w:rPr>
                <w:rFonts w:ascii="Arial" w:cs="Arial" w:eastAsia="Arial" w:hAnsi="Arial"/>
                <w:sz w:val="18"/>
                <w:szCs w:val="18"/>
                <w:color w:val="auto"/>
              </w:rPr>
              <w:t>In-process R&amp;D</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91"/>
        </w:trPr>
        <w:tc>
          <w:tcPr>
            <w:tcW w:w="5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304"/>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Total intangible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84"/>
        </w:trPr>
        <w:tc>
          <w:tcPr>
            <w:tcW w:w="50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r>
      <w:tr>
        <w:trPr>
          <w:trHeight w:val="264"/>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first quarters of 2019 and 2018, we capitalized $49 million and $9 million, respectively, for product and process technology with weighted-average useful lives of 7 years and 10 years, respectively, and placed in service $108 million of in-process R&amp;D in the first quarter of 2019, which is being amortized on a straight-line basis over 6 years. Expected amortization expense is $55 million for the remainder of 2019, $64 million for 2020, $58 million for 2021, $47 million for 2022, and $40 million for 2023.</w:t>
      </w:r>
    </w:p>
    <w:p>
      <w:pPr>
        <w:sectPr>
          <w:pgSz w:w="11900" w:h="16838" w:orient="portrait"/>
          <w:cols w:equalWidth="0" w:num="1">
            <w:col w:w="11420"/>
          </w:cols>
          <w:pgMar w:left="240" w:top="80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01"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Accounts Payable and Accrued Expenses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payables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and other taxes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4,374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6"/>
          </w:tcPr>
          <w:p>
            <w:pPr>
              <w:jc w:val="right"/>
              <w:spacing w:after="0"/>
              <w:rPr>
                <w:sz w:val="20"/>
                <w:szCs w:val="20"/>
                <w:color w:val="auto"/>
              </w:rPr>
            </w:pPr>
            <w:r>
              <w:rPr>
                <w:rFonts w:ascii="Arial" w:cs="Arial" w:eastAsia="Arial" w:hAnsi="Arial"/>
                <w:sz w:val="18"/>
                <w:szCs w:val="18"/>
                <w:b w:val="1"/>
                <w:bCs w:val="1"/>
                <w:color w:val="auto"/>
              </w:rPr>
              <w:t>November 29, 2018</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August 30, 2018</w:t>
            </w:r>
          </w:p>
        </w:tc>
        <w:tc>
          <w:tcPr>
            <w:tcW w:w="720" w:type="dxa"/>
            <w:vAlign w:val="bottom"/>
          </w:tcPr>
          <w:p>
            <w:pPr>
              <w:spacing w:after="0"/>
              <w:rPr>
                <w:sz w:val="20"/>
                <w:szCs w:val="20"/>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8"/>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3"/>
              </w:rPr>
              <w:t>Net Carrying Amount</w:t>
            </w:r>
          </w:p>
        </w:tc>
        <w:tc>
          <w:tcPr>
            <w:tcW w:w="140" w:type="dxa"/>
            <w:vAlign w:val="bottom"/>
          </w:tcPr>
          <w:p>
            <w:pPr>
              <w:spacing w:after="0"/>
              <w:rPr>
                <w:sz w:val="20"/>
                <w:szCs w:val="20"/>
                <w:color w:val="auto"/>
              </w:rPr>
            </w:pPr>
          </w:p>
        </w:tc>
        <w:tc>
          <w:tcPr>
            <w:tcW w:w="2800" w:type="dxa"/>
            <w:vAlign w:val="bottom"/>
            <w:gridSpan w:val="8"/>
          </w:tcPr>
          <w:p>
            <w:pPr>
              <w:jc w:val="center"/>
              <w:ind w:right="10"/>
              <w:spacing w:after="0"/>
              <w:rPr>
                <w:sz w:val="20"/>
                <w:szCs w:val="20"/>
                <w:color w:val="auto"/>
              </w:rPr>
            </w:pPr>
            <w:r>
              <w:rPr>
                <w:rFonts w:ascii="Arial" w:cs="Arial" w:eastAsia="Arial" w:hAnsi="Arial"/>
                <w:sz w:val="18"/>
                <w:szCs w:val="18"/>
                <w:b w:val="1"/>
                <w:bCs w:val="1"/>
                <w:color w:val="auto"/>
                <w:w w:val="93"/>
              </w:rPr>
              <w:t>Net Carrying Amount</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b w:val="1"/>
                <w:bCs w:val="1"/>
                <w:color w:val="auto"/>
              </w:rPr>
              <w:t>Stated</w:t>
            </w: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Long-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Long-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3280" w:type="dxa"/>
            <w:vAlign w:val="bottom"/>
            <w:gridSpan w:val="2"/>
          </w:tcPr>
          <w:p>
            <w:pPr>
              <w:ind w:left="40"/>
              <w:spacing w:after="0"/>
              <w:rPr>
                <w:sz w:val="20"/>
                <w:szCs w:val="20"/>
                <w:color w:val="auto"/>
              </w:rPr>
            </w:pPr>
            <w:r>
              <w:rPr>
                <w:rFonts w:ascii="Arial" w:cs="Arial" w:eastAsia="Arial" w:hAnsi="Arial"/>
                <w:sz w:val="18"/>
                <w:szCs w:val="18"/>
                <w:b w:val="1"/>
                <w:bCs w:val="1"/>
                <w:color w:val="auto"/>
              </w:rPr>
              <w:t>Instrument</w:t>
            </w:r>
          </w:p>
        </w:tc>
        <w:tc>
          <w:tcPr>
            <w:tcW w:w="960" w:type="dxa"/>
            <w:vAlign w:val="bottom"/>
            <w:gridSpan w:val="2"/>
          </w:tcPr>
          <w:p>
            <w:pPr>
              <w:ind w:left="240"/>
              <w:spacing w:after="0"/>
              <w:rPr>
                <w:sz w:val="20"/>
                <w:szCs w:val="20"/>
                <w:color w:val="auto"/>
              </w:rPr>
            </w:pPr>
            <w:r>
              <w:rPr>
                <w:rFonts w:ascii="Arial" w:cs="Arial" w:eastAsia="Arial" w:hAnsi="Arial"/>
                <w:sz w:val="18"/>
                <w:szCs w:val="18"/>
                <w:b w:val="1"/>
                <w:bCs w:val="1"/>
                <w:color w:val="auto"/>
              </w:rPr>
              <w:t>Rate</w:t>
            </w:r>
          </w:p>
        </w:tc>
        <w:tc>
          <w:tcPr>
            <w:tcW w:w="1220" w:type="dxa"/>
            <w:vAlign w:val="bottom"/>
            <w:gridSpan w:val="2"/>
          </w:tcPr>
          <w:p>
            <w:pPr>
              <w:ind w:left="38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Current</w:t>
            </w:r>
          </w:p>
        </w:tc>
        <w:tc>
          <w:tcPr>
            <w:tcW w:w="18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5"/>
              </w:rPr>
              <w:t>Current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r>
      <w:tr>
        <w:trPr>
          <w:trHeight w:val="27"/>
        </w:trPr>
        <w:tc>
          <w:tcPr>
            <w:tcW w:w="3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IMFT Member Debt</w:t>
            </w:r>
          </w:p>
        </w:tc>
        <w:tc>
          <w:tcPr>
            <w:tcW w:w="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2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100" w:type="dxa"/>
            <w:vAlign w:val="bottom"/>
          </w:tcPr>
          <w:p>
            <w:pPr>
              <w:ind w:left="600"/>
              <w:spacing w:after="0"/>
              <w:rPr>
                <w:sz w:val="20"/>
                <w:szCs w:val="20"/>
                <w:color w:val="auto"/>
              </w:rPr>
            </w:pPr>
            <w:r>
              <w:rPr>
                <w:rFonts w:ascii="Arial" w:cs="Arial" w:eastAsia="Arial" w:hAnsi="Arial"/>
                <w:sz w:val="18"/>
                <w:szCs w:val="18"/>
                <w:color w:val="auto"/>
                <w:w w:val="93"/>
              </w:rPr>
              <w:t>4.03%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846</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MMJ Creditor Payments</w:t>
            </w:r>
          </w:p>
        </w:tc>
        <w:tc>
          <w:tcPr>
            <w:tcW w:w="9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3"/>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2022 Term Loan B</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4.06%</w:t>
            </w:r>
          </w:p>
        </w:tc>
        <w:tc>
          <w:tcPr>
            <w:tcW w:w="100" w:type="dxa"/>
            <w:vAlign w:val="bottom"/>
          </w:tcPr>
          <w:p>
            <w:pPr>
              <w:spacing w:after="0"/>
              <w:rPr>
                <w:sz w:val="21"/>
                <w:szCs w:val="21"/>
                <w:color w:val="auto"/>
              </w:rPr>
            </w:pPr>
          </w:p>
        </w:tc>
        <w:tc>
          <w:tcPr>
            <w:tcW w:w="1100" w:type="dxa"/>
            <w:vAlign w:val="bottom"/>
          </w:tcPr>
          <w:p>
            <w:pPr>
              <w:ind w:left="600"/>
              <w:spacing w:after="0"/>
              <w:rPr>
                <w:sz w:val="20"/>
                <w:szCs w:val="20"/>
                <w:color w:val="auto"/>
              </w:rPr>
            </w:pPr>
            <w:r>
              <w:rPr>
                <w:rFonts w:ascii="Arial" w:cs="Arial" w:eastAsia="Arial" w:hAnsi="Arial"/>
                <w:sz w:val="18"/>
                <w:szCs w:val="18"/>
                <w:color w:val="auto"/>
                <w:w w:val="93"/>
              </w:rPr>
              <w:t>4.47%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725</w:t>
            </w:r>
          </w:p>
        </w:tc>
      </w:tr>
      <w:tr>
        <w:trPr>
          <w:trHeight w:val="27"/>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2025 Notes</w:t>
            </w: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w w:val="93"/>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70"/>
        </w:trPr>
        <w:tc>
          <w:tcPr>
            <w:tcW w:w="3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2032D Notes</w:t>
            </w:r>
            <w:r>
              <w:rPr>
                <w:rFonts w:ascii="Arial" w:cs="Arial" w:eastAsia="Arial" w:hAnsi="Arial"/>
                <w:sz w:val="25"/>
                <w:szCs w:val="25"/>
                <w:color w:val="auto"/>
                <w:vertAlign w:val="superscript"/>
              </w:rPr>
              <w:t>(1)(2)</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3.13%</w:t>
            </w:r>
          </w:p>
        </w:tc>
        <w:tc>
          <w:tcPr>
            <w:tcW w:w="100" w:type="dxa"/>
            <w:vAlign w:val="bottom"/>
          </w:tcPr>
          <w:p>
            <w:pPr>
              <w:spacing w:after="0"/>
              <w:rPr>
                <w:sz w:val="23"/>
                <w:szCs w:val="23"/>
                <w:color w:val="auto"/>
              </w:rPr>
            </w:pPr>
          </w:p>
        </w:tc>
        <w:tc>
          <w:tcPr>
            <w:tcW w:w="1100" w:type="dxa"/>
            <w:vAlign w:val="bottom"/>
          </w:tcPr>
          <w:p>
            <w:pPr>
              <w:ind w:left="600"/>
              <w:spacing w:after="0"/>
              <w:rPr>
                <w:sz w:val="20"/>
                <w:szCs w:val="20"/>
                <w:color w:val="auto"/>
              </w:rPr>
            </w:pPr>
            <w:r>
              <w:rPr>
                <w:rFonts w:ascii="Arial" w:cs="Arial" w:eastAsia="Arial" w:hAnsi="Arial"/>
                <w:sz w:val="18"/>
                <w:szCs w:val="18"/>
                <w:color w:val="auto"/>
                <w:w w:val="93"/>
              </w:rPr>
              <w:t>6.33%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0"/>
        </w:trPr>
        <w:tc>
          <w:tcPr>
            <w:tcW w:w="3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2033F Notes</w:t>
            </w:r>
            <w:r>
              <w:rPr>
                <w:rFonts w:ascii="Arial" w:cs="Arial" w:eastAsia="Arial" w:hAnsi="Arial"/>
                <w:sz w:val="25"/>
                <w:szCs w:val="25"/>
                <w:color w:val="auto"/>
                <w:vertAlign w:val="superscript"/>
              </w:rPr>
              <w:t>(1)(3)</w:t>
            </w: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2.13%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4.93%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70"/>
        </w:trPr>
        <w:tc>
          <w:tcPr>
            <w:tcW w:w="32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2043G Notes</w:t>
            </w:r>
            <w:r>
              <w:rPr>
                <w:rFonts w:ascii="Arial" w:cs="Arial" w:eastAsia="Arial" w:hAnsi="Arial"/>
                <w:sz w:val="25"/>
                <w:szCs w:val="25"/>
                <w:color w:val="auto"/>
                <w:vertAlign w:val="superscript"/>
              </w:rPr>
              <w:t>(1)</w:t>
            </w:r>
          </w:p>
        </w:tc>
        <w:tc>
          <w:tcPr>
            <w:tcW w:w="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3"/>
              </w:rPr>
              <w:t>3.00%</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w w:val="93"/>
              </w:rPr>
              <w:t>6.76%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w:t>
            </w:r>
          </w:p>
        </w:tc>
      </w:tr>
      <w:tr>
        <w:trPr>
          <w:trHeight w:val="244"/>
        </w:trPr>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4,636</w:t>
            </w:r>
          </w:p>
        </w:tc>
      </w:tr>
      <w:tr>
        <w:trPr>
          <w:trHeight w:val="20"/>
        </w:trPr>
        <w:tc>
          <w:tcPr>
            <w:tcW w:w="3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660" w:right="60" w:hanging="328"/>
        <w:spacing w:after="0" w:line="244" w:lineRule="auto"/>
        <w:tabs>
          <w:tab w:leader="none" w:pos="660" w:val="left"/>
        </w:tabs>
        <w:numPr>
          <w:ilvl w:val="0"/>
          <w:numId w:val="3"/>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Since the closing price of our common stock exceeded 130% of the conversion price per share for at least 20 trading days in the 30 trading day period ended on September 30, 2018, these notes are convertible by the holders at any time through the calendar quarter ended December 31, 2018. Additionally, the closing price of our common stock also exceeded the thresholds for our 2032D Notes and 2033F Notes for the calendar quarter ended December 31, 2018; therefore, such notes are convertible by the holders at any time through March 31, 2019.</w:t>
      </w:r>
    </w:p>
    <w:p>
      <w:pPr>
        <w:spacing w:after="0" w:line="1" w:lineRule="exact"/>
        <w:rPr>
          <w:rFonts w:ascii="Arial" w:cs="Arial" w:eastAsia="Arial" w:hAnsi="Arial"/>
          <w:sz w:val="24"/>
          <w:szCs w:val="24"/>
          <w:i w:val="1"/>
          <w:iCs w:val="1"/>
          <w:color w:val="auto"/>
          <w:vertAlign w:val="superscript"/>
        </w:rPr>
      </w:pPr>
    </w:p>
    <w:p>
      <w:pPr>
        <w:ind w:left="660" w:right="60" w:hanging="328"/>
        <w:spacing w:after="0" w:line="209" w:lineRule="auto"/>
        <w:tabs>
          <w:tab w:leader="none" w:pos="660" w:val="left"/>
        </w:tabs>
        <w:numPr>
          <w:ilvl w:val="0"/>
          <w:numId w:val="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Current debt as of November 29, 2018 included an aggregate of $36 million for the settlement obligation (including principal and amounts in excess of principal) for conversions of our 2032D Notes that will settle in cash in the second quarter of 2019.</w:t>
      </w:r>
    </w:p>
    <w:p>
      <w:pPr>
        <w:spacing w:after="0" w:line="1" w:lineRule="exact"/>
        <w:rPr>
          <w:rFonts w:ascii="Arial" w:cs="Arial" w:eastAsia="Arial" w:hAnsi="Arial"/>
          <w:sz w:val="25"/>
          <w:szCs w:val="25"/>
          <w:i w:val="1"/>
          <w:iCs w:val="1"/>
          <w:color w:val="auto"/>
          <w:vertAlign w:val="superscript"/>
        </w:rPr>
      </w:pPr>
    </w:p>
    <w:p>
      <w:pPr>
        <w:ind w:left="660" w:right="580" w:hanging="328"/>
        <w:spacing w:after="0" w:line="209" w:lineRule="auto"/>
        <w:tabs>
          <w:tab w:leader="none" w:pos="660" w:val="left"/>
        </w:tabs>
        <w:numPr>
          <w:ilvl w:val="0"/>
          <w:numId w:val="3"/>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2033F Notes were classified as current as of November 29, 2018 because the terms of these notes require us to pay cash for the principal amount of any converted notes and holders of these notes had the right to convert their notes as of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-1104900</wp:posOffset>
            </wp:positionV>
            <wp:extent cx="3790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Convertible Senior Notes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November 29, 2018, the trading price of our common stock was higher than the initial conversion prices of our convertible notes and, as a result, the aggregate conversion value of $2.11 billion exceeded the aggregate principal amount of $1.23 billion by $877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Revolving Credit Facility</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On November 27, 2018, we increased the amount available to draw under our existing revolving credit facility expiring in July 2023 from $2.0 billion to $2.5 billion. As of November 29, 2018, there were no outstanding amounts drawn under this facility.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Debt Conversions</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During the first quarter of 2019, we settled conversions of debt with an aggregate principal amount of $38 million. When we receive a notice of conversion for any of our convertible notes and elect to settle in cash any amount of the conversion obligation in excess of the principal amount, the cash settlement obligations become derivative debt liabilities subject to mark-to-market accounting treatment based on the volume-weighted-average price of our common stock over a period of 20 consecutive trading days. Accordingly, at the date of our election to settle a conversion in cash, we reclassify the fair value of the equity component of the converted notes from additional capital to derivative debt liability within current debt in our consolidated balance sheet.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effects of conversions and settlements of debt in the first three months of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Increase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Decrease in</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(Decrease) in</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Decrease in</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Decrease in</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November 29, 2018</w:t>
            </w: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Principal</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Carrying Value</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Cash</w:t>
            </w: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Gain (Loss)</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Settled conversions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gridSpan w:val="2"/>
          </w:tcPr>
          <w:p>
            <w:pPr>
              <w:ind w:left="200"/>
              <w:spacing w:after="0"/>
              <w:rPr>
                <w:sz w:val="20"/>
                <w:szCs w:val="20"/>
                <w:color w:val="auto"/>
              </w:rPr>
            </w:pPr>
            <w:r>
              <w:rPr>
                <w:rFonts w:ascii="Arial" w:cs="Arial" w:eastAsia="Arial" w:hAnsi="Arial"/>
                <w:sz w:val="18"/>
                <w:szCs w:val="18"/>
                <w:color w:val="auto"/>
              </w:rPr>
              <w:t>2033F Notes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Conversions not settled</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412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2032D Notes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44"/>
        </w:trPr>
        <w:tc>
          <w:tcPr>
            <w:tcW w:w="40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ind w:left="660" w:right="160" w:hanging="328"/>
        <w:spacing w:after="0" w:line="216" w:lineRule="auto"/>
        <w:tabs>
          <w:tab w:leader="none" w:pos="660" w:val="left"/>
        </w:tabs>
        <w:numPr>
          <w:ilvl w:val="0"/>
          <w:numId w:val="4"/>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As of November 29, 2018, an aggregate of $10 million principal amount of our 20332D Notes (with a carrying value of $36 million) had converted but not settled. These notes will settle in the second quarter of 2019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-281305</wp:posOffset>
            </wp:positionV>
            <wp:extent cx="46310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Contingencies</w:t>
      </w:r>
    </w:p>
    <w:p>
      <w:pPr>
        <w:spacing w:after="0" w:line="21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We have accrued a liability and charged operations for the estimated costs of adjudication or settlement of various asserted and unasserted claims existing as of the balance sheet date, including those described below. We are currently a party to other legal actions arising from the normal course of business, none of which is expected to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Patent Matters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70"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On November 21, 2014, Elm 3DS Innovations, LLC ("Elm") filed a patent infringement action against Micron; Micron Semiconductor Products, Inc.; and Micron Consumer Products Group, Inc. in the U.S. District Court for the District of Delaware. On March 27, 2015, Elm filed an amended complaint against the same entities. The amended complaint alleges that unspecified semiconductor products of ours that incorporate multiple stacked die infringe 13 U.S. patents and seeks damages, attorneys' fees, and costs.</w:t>
      </w:r>
    </w:p>
    <w:p>
      <w:pPr>
        <w:spacing w:after="0" w:line="18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December 15, 2014, Innovative Memory Solutions, Inc. ("IMS") filed a patent infringement action against Micron in the U.S. District Court for the District of Delaware. The complaint alleges that a variety of our NAND products infringe eight U.S. patents and seeks damages, attorneys' fees, and costs. On July 23, 2018, IMS served a patent infringement complaint on Micron Semiconductor (Deutschland) GmbH and Micron Europe Limited alleging that products including our SSDs infringe a European patent. The complaint seeks unspecified damages and an order forbidding Micron Semiconductor (Deutschland) GmbH and Micron Europe Limited from offering to sell, using, and importing the accused products. On August 31, 2018, Micron was served with a complaint filed by IMS in Shenzhen Intermediate People's Court in Guangdong Province, China. The complaint alleges that certain of our NAND flash products infringe a Chinese patent. The complaint seeks an order requiring Micron to stop manufacturing, using, selling, and offering for sale the accused products in China, and to pay damages of 1 million Chinese yuan plus expenses.</w:t>
      </w:r>
    </w:p>
    <w:p>
      <w:pPr>
        <w:spacing w:after="0" w:line="1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 a Chinese patent by manufacturing and selling certain Crucial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ind w:right="120"/>
        <w:spacing w:after="0" w:line="264" w:lineRule="auto"/>
        <w:rPr>
          <w:sz w:val="20"/>
          <w:szCs w:val="20"/>
          <w:color w:val="auto"/>
        </w:rPr>
      </w:pPr>
      <w:r>
        <w:rPr>
          <w:rFonts w:ascii="Arial" w:cs="Arial" w:eastAsia="Arial" w:hAnsi="Arial"/>
          <w:sz w:val="18"/>
          <w:szCs w:val="18"/>
          <w:color w:val="auto"/>
        </w:rPr>
        <w:t>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 a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w:t>
      </w:r>
    </w:p>
    <w:p>
      <w:pPr>
        <w:spacing w:after="0" w:line="18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On April 3, 2018, MSS was served with another patent infringement complaint filed by Jinhua and two additional complaints filed by UMC in the Fuzhou Court. The three additional complaints allege that MSS infringes three Chinese patents by manufacturing and selling certain Crucial MX300 SSDs and certain GDDR5 memory chips. The two complaints filed by UMC each seek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October 9, 2018, UMC withdrew its complaint that alleged MSS infringed a Chinese patent by manufacturing and selling certain GDDR5 memory chips.</w:t>
      </w:r>
    </w:p>
    <w:p>
      <w:pPr>
        <w:spacing w:after="0" w:line="179"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On July 5, 2018, MXA and MSS were notified that the Fuzhou Court granted a preliminary injunction against those entities that enjoins them from manufacturing, selling, or importing certain Crucial and Ballistic-branded DRAM modules and solid-state drives in China. The affected products make up slightly more than 1% of our annualized revenues. We are complying with the ruling and have requested the Fuzhou Court to reconsider or stay its decision.</w:t>
      </w:r>
    </w:p>
    <w:p>
      <w:pPr>
        <w:spacing w:after="0" w:line="14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a significant portion of our revenue.</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We are unable to predict the outcome of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could have a material adverse effect on our business,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Qimonda</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November 29, 2018,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7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40" w:firstLine="8"/>
        <w:spacing w:after="0" w:line="252"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800" w:right="279" w:bottom="1440" w:gutter="0" w:footer="0" w:header="0"/>
        </w:sectPr>
      </w:pPr>
    </w:p>
    <w:bookmarkStart w:id="15" w:name="page16"/>
    <w:bookmarkEnd w:id="15"/>
    <w:p>
      <w:pPr>
        <w:ind w:right="140"/>
        <w:spacing w:after="0" w:line="264" w:lineRule="auto"/>
        <w:rPr>
          <w:sz w:val="20"/>
          <w:szCs w:val="20"/>
          <w:color w:val="auto"/>
        </w:rPr>
      </w:pPr>
      <w:r>
        <w:rPr>
          <w:rFonts w:ascii="Arial" w:cs="Arial" w:eastAsia="Arial" w:hAnsi="Arial"/>
          <w:sz w:val="18"/>
          <w:szCs w:val="18"/>
          <w:color w:val="auto"/>
        </w:rPr>
        <w:t>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Antitrust Matters</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On April 27, 2018, a purported class-action lawsuit was filed against Micron and other DRAM suppliers in the U.S. District Court for the Northern District of California asserting claims based on alleged price-fixing of DRAM products during the period from June 1, 2016 to February 1, 2018. Similar cases were subsequently filed in federal court in the United States, as well as in Canadian courts in Quebec, Montreal and Toronto, Ontario. The complaints seek treble monetary damages, costs, interest, attorneys' fees, and other injunctive and equitable relief. 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78"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5, 2017, Micron filed a complaint against UMC and Jinhua in the U.S. District Court for the Northern District of California. The complaint alleges that UMC and Jinhua violated the Defend Trade Secrets Act, the civil provisions of the Racketeer Influenced and Corrupt Organizations Act, and California's Uniform Trade Secrets Act by misappropriating Micron's trade secrets and other misconduct. Micron's complaint seeks damages, restitution, disgorgement of profits, injunctive relief, and other appropriate relief.</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the normal course of business, we are a party to a variety of agreements pursuant to which we may be obligated to indemnify the 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Micron Shareholders' Equity</w:t>
      </w:r>
    </w:p>
    <w:p>
      <w:pPr>
        <w:spacing w:after="0" w:line="22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in our fiscal 2019. We may purchase shares on a discretionary basis through open-market purchases, block trades, privately-negotiated transactions, derivative transactions, and/or pursuant to Rule 10b5-1 trading plans, subject to market conditions and our ongoing determination of the best use of available cash. The repurchase authorization does not obligate us to acquire any common stock.</w:t>
      </w:r>
    </w:p>
    <w:p>
      <w:pPr>
        <w:spacing w:after="0" w:line="184" w:lineRule="exact"/>
        <w:rPr>
          <w:sz w:val="20"/>
          <w:szCs w:val="20"/>
          <w:color w:val="auto"/>
        </w:rPr>
      </w:pPr>
    </w:p>
    <w:p>
      <w:pPr>
        <w:ind w:right="780" w:firstLine="324"/>
        <w:spacing w:after="0" w:line="308" w:lineRule="auto"/>
        <w:rPr>
          <w:sz w:val="20"/>
          <w:szCs w:val="20"/>
          <w:color w:val="auto"/>
        </w:rPr>
      </w:pPr>
      <w:r>
        <w:rPr>
          <w:rFonts w:ascii="Arial" w:cs="Arial" w:eastAsia="Arial" w:hAnsi="Arial"/>
          <w:sz w:val="17"/>
          <w:szCs w:val="17"/>
          <w:color w:val="auto"/>
        </w:rPr>
        <w:t>In the first quarter of 2019, we repurchased an aggregate of 42 million shares of our common stock for $1.80 billion under an accelerated share repurchase agreement, a Rule 10b5-1 plan, and through open market repurchases. The shares were recorded as treasury stock.</w:t>
      </w:r>
    </w:p>
    <w:p>
      <w:pPr>
        <w:spacing w:after="0" w:line="14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On November 5, 2018, we entered into Rule 10b5-1 plans under which our brokers have authority to purchase our common stock on our behalf in our second quarter (with such purchases beginning on December 20, 2018), third quarter, and fourth quarter of 2019. We may cancel any of the plans at any time at our option.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Noncontrolling Interests in Subsidiaries</w:t>
            </w:r>
          </w:p>
        </w:tc>
        <w:tc>
          <w:tcPr>
            <w:tcW w:w="15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615"/>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24"/>
                <w:szCs w:val="24"/>
                <w:color w:val="auto"/>
              </w:rPr>
            </w:pPr>
          </w:p>
        </w:tc>
        <w:tc>
          <w:tcPr>
            <w:tcW w:w="3460" w:type="dxa"/>
            <w:vAlign w:val="bottom"/>
            <w:gridSpan w:val="5"/>
          </w:tcPr>
          <w:p>
            <w:pPr>
              <w:jc w:val="right"/>
              <w:ind w:right="1320"/>
              <w:spacing w:after="0"/>
              <w:rPr>
                <w:sz w:val="20"/>
                <w:szCs w:val="20"/>
                <w:color w:val="auto"/>
              </w:rPr>
            </w:pPr>
            <w:r>
              <w:rPr>
                <w:rFonts w:ascii="Arial" w:cs="Arial" w:eastAsia="Arial" w:hAnsi="Arial"/>
                <w:sz w:val="18"/>
                <w:szCs w:val="18"/>
                <w:b w:val="1"/>
                <w:bCs w:val="1"/>
                <w:color w:val="auto"/>
              </w:rPr>
              <w:t>November 29, 2018</w:t>
            </w:r>
          </w:p>
        </w:tc>
        <w:tc>
          <w:tcPr>
            <w:tcW w:w="306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August 30, 2018</w:t>
            </w:r>
          </w:p>
        </w:tc>
      </w:tr>
      <w:tr>
        <w:trPr>
          <w:trHeight w:val="27"/>
        </w:trPr>
        <w:tc>
          <w:tcPr>
            <w:tcW w:w="3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2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Percentage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Percentage</w:t>
            </w:r>
          </w:p>
        </w:tc>
      </w:tr>
      <w:tr>
        <w:trPr>
          <w:trHeight w:val="27"/>
        </w:trPr>
        <w:tc>
          <w:tcPr>
            <w:tcW w:w="3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IMFT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21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49%  $</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60" w:type="dxa"/>
            <w:vAlign w:val="bottom"/>
            <w:gridSpan w:val="3"/>
          </w:tcPr>
          <w:p>
            <w:pPr>
              <w:jc w:val="right"/>
              <w:ind w:right="600"/>
              <w:spacing w:after="0"/>
              <w:rPr>
                <w:sz w:val="20"/>
                <w:szCs w:val="20"/>
                <w:color w:val="auto"/>
              </w:rPr>
            </w:pPr>
            <w:r>
              <w:rPr>
                <w:rFonts w:ascii="Arial" w:cs="Arial" w:eastAsia="Arial" w:hAnsi="Arial"/>
                <w:sz w:val="18"/>
                <w:szCs w:val="18"/>
                <w:color w:val="auto"/>
              </w:rPr>
              <w:t>Various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Various</w:t>
            </w:r>
          </w:p>
        </w:tc>
      </w:tr>
      <w:tr>
        <w:trPr>
          <w:trHeight w:val="27"/>
        </w:trPr>
        <w:tc>
          <w:tcPr>
            <w:tcW w:w="30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21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b w:val="1"/>
          <w:bCs w:val="1"/>
          <w:i w:val="1"/>
          <w:iCs w:val="1"/>
          <w:color w:val="auto"/>
        </w:rPr>
        <w:t>IMFT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we have owned 51% of IMFT, a joint venture between us and Intel. IMFT is governed by a Board of Managers, for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managers appointed by each member varies based on the members' respective ownership interests. IMFT manufactures semiconductor products exclusively for its members under a long-term supply agreement at prices approximating cost. In the first quarter of 2018, IMFT discontinued production of NAND and subsequent to that time has been entirely focused on 3D XPoint memory production. Through our IMFT joint venture, we continue to jointly develop 3D XPoint technologies with Intel through the second generation of 3D XPoint technology, which is expected to be completed in the second half of 2019. To better optimize the 3D XPoint technology for our product roadmap and maximize the benefits for our customers and shareholders, in the fourth quarter of 2018, we announced that we will no longer jointly develop with Intel subsequent generations of 3D XPoint technology. IMFT will continue to manufacture memory based on 3D XPoint technology at the fabrication facility in Lehi, Utah for its members. IMFT sales to Intel were $175 million and $112 million, in the first quarters of 2019 and 2018, respectively.</w:t>
      </w:r>
    </w:p>
    <w:p>
      <w:pPr>
        <w:spacing w:after="0" w:line="178"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The IMFT joint venture agreement extends through 2024 and includes certain buy-sell rights. At any time through December 2018, Intel can exercise its option to require us to purchase, and from January 2019 through December 2021, we can exercise our option to purchase from Intel, Intel's interest in IMFT, in either case, for a price that approximates Intel's interest in the net book value of IMFT plus member debt at the time of the closing. If Intel exercises its option, we can elect to set the closing date of the transaction any time between six months and two years following such election by Intel and we can elect to receive financing of the purchase price from Intel for one to two years from the closing date. On October 18, 2018, we announced our intent to exercise our option to acquire Intel's interest in IMFT. Upon such exercise, Intel can elect to set the closing date of the transaction to be any time between six months and one year from the date we exercise our option. Following the closing date resulting from exercise of either option, we will continue to supply to Intel for a period of up to one year, at a margin that varies depending on which option was exercised. For the first six months of such one-year period, Intel can receive supply ranging from 50% to 100%, at Intel's choice, of the volume supplied to Intel by IMFT in the six-month period immediately prior to the closing date. For the second six months of such one-year period, Intel can receive supply ranging from 0% to 100%, at Intel's choice, of the volume supplied to Intel by IMFT in the first six-month period.</w:t>
      </w:r>
    </w:p>
    <w:p>
      <w:pPr>
        <w:spacing w:after="0" w:line="18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IMFT's capital requirements are generally determined based on an annual plan approved by the members, and capital contributions to IMFT are requested as needed. Capital requests are made to the members in proportion to their then-current ownership interest. Members may elect to not contribute their proportional share, and in such event, the contributing member may elect to contribute any amount of the capital request, either in the form of an equity contribution or member debt financing. Under the supply agreement, the members have rights and obligations to the capacity of IMFT in proportion to their investment, including member debt financing. Any capital contribution or member debt financing results in a proportionate adjustment to the sharing of output on an eight-month lag. Members pay their proportionate share of fixed costs associated with IMFT's capacity.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83" w:right="259" w:bottom="1440" w:gutter="0" w:footer="0" w:header="0"/>
        </w:sectPr>
      </w:pPr>
    </w:p>
    <w:bookmarkStart w:id="17" w:name="page18"/>
    <w:bookmarkEnd w:id="17"/>
    <w:p>
      <w:pPr>
        <w:ind w:right="240" w:firstLine="324"/>
        <w:spacing w:after="0" w:line="277" w:lineRule="auto"/>
        <w:rPr>
          <w:sz w:val="20"/>
          <w:szCs w:val="20"/>
          <w:color w:val="auto"/>
        </w:rPr>
      </w:pPr>
      <w:r>
        <w:rPr>
          <w:rFonts w:ascii="Arial" w:cs="Arial" w:eastAsia="Arial" w:hAnsi="Arial"/>
          <w:sz w:val="18"/>
          <w:szCs w:val="18"/>
          <w:color w:val="auto"/>
        </w:rPr>
        <w:t>Creditors of IMFT have recourse only to IMFT's assets and do not have recourse to any other of our assets. The following table presents the assets and liabilities of IMFT included in our 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97"/>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3,025</w:t>
            </w:r>
          </w:p>
        </w:tc>
      </w:tr>
      <w:tr>
        <w:trPr>
          <w:trHeight w:val="28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debt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Amounts exclude intercompany balances that were eliminated in our consolidated balance sheets.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Fair Value Measurements</w:t>
      </w:r>
    </w:p>
    <w:p>
      <w:pPr>
        <w:spacing w:after="0" w:line="219"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All of our marketable debt and equity investments were classified as available-for-sale and carried at fair value as of the dates noted below. The estimated fair values of our convertible and other notes in the table below were determined based on Level 2 inputs, and together with the carrying value of our outstanding debt instruments (excluding the carrying value of equity and mezzanine equity components of our convertible notes)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320" w:type="dxa"/>
            <w:vAlign w:val="bottom"/>
          </w:tcPr>
          <w:p>
            <w:pPr>
              <w:spacing w:after="0"/>
              <w:rPr>
                <w:sz w:val="20"/>
                <w:szCs w:val="20"/>
                <w:color w:val="auto"/>
              </w:rPr>
            </w:pPr>
          </w:p>
        </w:tc>
        <w:tc>
          <w:tcPr>
            <w:tcW w:w="2640" w:type="dxa"/>
            <w:vAlign w:val="bottom"/>
            <w:gridSpan w:val="5"/>
          </w:tcPr>
          <w:p>
            <w:pPr>
              <w:ind w:left="380"/>
              <w:spacing w:after="0"/>
              <w:rPr>
                <w:sz w:val="20"/>
                <w:szCs w:val="20"/>
                <w:color w:val="auto"/>
              </w:rPr>
            </w:pPr>
            <w:r>
              <w:rPr>
                <w:rFonts w:ascii="Arial" w:cs="Arial" w:eastAsia="Arial" w:hAnsi="Arial"/>
                <w:sz w:val="18"/>
                <w:szCs w:val="18"/>
                <w:b w:val="1"/>
                <w:bCs w:val="1"/>
                <w:color w:val="auto"/>
              </w:rPr>
              <w:t>November 29, 2018</w:t>
            </w:r>
          </w:p>
        </w:tc>
        <w:tc>
          <w:tcPr>
            <w:tcW w:w="300" w:type="dxa"/>
            <w:vAlign w:val="bottom"/>
          </w:tcPr>
          <w:p>
            <w:pPr>
              <w:spacing w:after="0"/>
              <w:rPr>
                <w:sz w:val="20"/>
                <w:szCs w:val="20"/>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August 30,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3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Value</w:t>
            </w:r>
          </w:p>
        </w:tc>
        <w:tc>
          <w:tcPr>
            <w:tcW w:w="2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300" w:type="dxa"/>
            <w:vAlign w:val="bottom"/>
          </w:tcPr>
          <w:p>
            <w:pPr>
              <w:spacing w:after="0"/>
              <w:rPr>
                <w:sz w:val="20"/>
                <w:szCs w:val="2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Notes and MMJ Creditor Payments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91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Derivative Instruments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ind w:left="600"/>
              <w:spacing w:after="0"/>
              <w:rPr>
                <w:sz w:val="20"/>
                <w:szCs w:val="20"/>
                <w:color w:val="auto"/>
              </w:rPr>
            </w:pPr>
            <w:r>
              <w:rPr>
                <w:rFonts w:ascii="Arial" w:cs="Arial" w:eastAsia="Arial" w:hAnsi="Arial"/>
                <w:sz w:val="18"/>
                <w:szCs w:val="18"/>
                <w:b w:val="1"/>
                <w:bCs w:val="1"/>
                <w:color w:val="auto"/>
              </w:rPr>
              <w:t>Fair Value of</w:t>
            </w:r>
          </w:p>
        </w:tc>
      </w:tr>
      <w:tr>
        <w:trPr>
          <w:trHeight w:val="27"/>
        </w:trPr>
        <w:tc>
          <w:tcPr>
            <w:tcW w:w="74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74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Gross Notional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Current</w:t>
            </w:r>
          </w:p>
        </w:tc>
        <w:tc>
          <w:tcPr>
            <w:tcW w:w="14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Current</w:t>
            </w:r>
          </w:p>
        </w:tc>
      </w:tr>
      <w:tr>
        <w:trPr>
          <w:trHeight w:val="261"/>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8"/>
              </w:rPr>
              <w:t>Amount</w:t>
            </w:r>
            <w:r>
              <w:rPr>
                <w:rFonts w:ascii="Arial" w:cs="Arial" w:eastAsia="Arial" w:hAnsi="Arial"/>
                <w:sz w:val="25"/>
                <w:szCs w:val="25"/>
                <w:b w:val="1"/>
                <w:bCs w:val="1"/>
                <w:color w:val="auto"/>
                <w:w w:val="88"/>
                <w:vertAlign w:val="superscript"/>
              </w:rPr>
              <w:t>(1)</w:t>
            </w:r>
          </w:p>
        </w:tc>
        <w:tc>
          <w:tcPr>
            <w:tcW w:w="220" w:type="dxa"/>
            <w:vAlign w:val="bottom"/>
          </w:tcPr>
          <w:p>
            <w:pPr>
              <w:spacing w:after="0"/>
              <w:rPr>
                <w:sz w:val="22"/>
                <w:szCs w:val="22"/>
                <w:color w:val="auto"/>
              </w:rPr>
            </w:pPr>
          </w:p>
        </w:tc>
        <w:tc>
          <w:tcPr>
            <w:tcW w:w="1140" w:type="dxa"/>
            <w:vAlign w:val="bottom"/>
            <w:gridSpan w:val="2"/>
          </w:tcPr>
          <w:p>
            <w:pPr>
              <w:ind w:left="100"/>
              <w:spacing w:after="0" w:line="262" w:lineRule="exact"/>
              <w:rPr>
                <w:sz w:val="20"/>
                <w:szCs w:val="20"/>
                <w:color w:val="auto"/>
              </w:rPr>
            </w:pPr>
            <w:r>
              <w:rPr>
                <w:rFonts w:ascii="Arial" w:cs="Arial" w:eastAsia="Arial" w:hAnsi="Arial"/>
                <w:sz w:val="18"/>
                <w:szCs w:val="18"/>
                <w:b w:val="1"/>
                <w:bCs w:val="1"/>
                <w:color w:val="auto"/>
              </w:rPr>
              <w:t>Assets</w:t>
            </w:r>
            <w:r>
              <w:rPr>
                <w:rFonts w:ascii="Arial" w:cs="Arial" w:eastAsia="Arial" w:hAnsi="Arial"/>
                <w:sz w:val="25"/>
                <w:szCs w:val="25"/>
                <w:b w:val="1"/>
                <w:bCs w:val="1"/>
                <w:color w:val="auto"/>
                <w:vertAlign w:val="superscript"/>
              </w:rPr>
              <w:t>(2)</w:t>
            </w:r>
          </w:p>
        </w:tc>
        <w:tc>
          <w:tcPr>
            <w:tcW w:w="140" w:type="dxa"/>
            <w:vAlign w:val="bottom"/>
          </w:tcPr>
          <w:p>
            <w:pPr>
              <w:spacing w:after="0"/>
              <w:rPr>
                <w:sz w:val="22"/>
                <w:szCs w:val="22"/>
                <w:color w:val="auto"/>
              </w:rPr>
            </w:pPr>
          </w:p>
        </w:tc>
        <w:tc>
          <w:tcPr>
            <w:tcW w:w="1120" w:type="dxa"/>
            <w:vAlign w:val="bottom"/>
          </w:tcPr>
          <w:p>
            <w:pPr>
              <w:jc w:val="right"/>
              <w:ind w:right="70"/>
              <w:spacing w:after="0" w:line="262" w:lineRule="exact"/>
              <w:rPr>
                <w:sz w:val="20"/>
                <w:szCs w:val="20"/>
                <w:color w:val="auto"/>
              </w:rPr>
            </w:pPr>
            <w:r>
              <w:rPr>
                <w:rFonts w:ascii="Arial" w:cs="Arial" w:eastAsia="Arial" w:hAnsi="Arial"/>
                <w:sz w:val="18"/>
                <w:szCs w:val="18"/>
                <w:b w:val="1"/>
                <w:bCs w:val="1"/>
                <w:color w:val="auto"/>
                <w:w w:val="90"/>
              </w:rPr>
              <w:t>Liabilities</w:t>
            </w:r>
            <w:r>
              <w:rPr>
                <w:rFonts w:ascii="Arial" w:cs="Arial" w:eastAsia="Arial" w:hAnsi="Arial"/>
                <w:sz w:val="25"/>
                <w:szCs w:val="25"/>
                <w:b w:val="1"/>
                <w:bCs w:val="1"/>
                <w:color w:val="auto"/>
                <w:w w:val="90"/>
                <w:vertAlign w:val="superscript"/>
              </w:rPr>
              <w:t>(3)</w:t>
            </w:r>
          </w:p>
        </w:tc>
      </w:tr>
      <w:tr>
        <w:trPr>
          <w:trHeight w:val="24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November 29,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flow currency hedges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Non-designated currency hedges</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ind w:left="7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7"/>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67"/>
        </w:trPr>
        <w:tc>
          <w:tcPr>
            <w:tcW w:w="744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As of August 30, 2018</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 with hedge accounting designation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Cash flow currency hedges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Derivative instruments without hedge accounting designation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Non-designated currency hedges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7440" w:type="dxa"/>
            <w:vAlign w:val="bottom"/>
          </w:tcPr>
          <w:p>
            <w:pPr>
              <w:ind w:left="200"/>
              <w:spacing w:after="0" w:line="270" w:lineRule="exact"/>
              <w:rPr>
                <w:sz w:val="20"/>
                <w:szCs w:val="20"/>
                <w:color w:val="auto"/>
              </w:rPr>
            </w:pPr>
            <w:r>
              <w:rPr>
                <w:rFonts w:ascii="Arial" w:cs="Arial" w:eastAsia="Arial" w:hAnsi="Arial"/>
                <w:sz w:val="18"/>
                <w:szCs w:val="18"/>
                <w:color w:val="auto"/>
              </w:rPr>
              <w:t>Convertible notes settlement obligation</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64"/>
        </w:trPr>
        <w:tc>
          <w:tcPr>
            <w:tcW w:w="74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91"/>
        </w:trPr>
        <w:tc>
          <w:tcPr>
            <w:tcW w:w="74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44"/>
        </w:trPr>
        <w:tc>
          <w:tcPr>
            <w:tcW w:w="7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7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ind w:left="660" w:hanging="328"/>
        <w:spacing w:after="0" w:line="202" w:lineRule="auto"/>
        <w:tabs>
          <w:tab w:leader="none" w:pos="660" w:val="left"/>
        </w:tabs>
        <w:numPr>
          <w:ilvl w:val="0"/>
          <w:numId w:val="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Notional amounts of currency hedge contracts in U.S. dollars.</w:t>
      </w:r>
    </w:p>
    <w:p>
      <w:pPr>
        <w:spacing w:after="0" w:line="2" w:lineRule="exact"/>
        <w:rPr>
          <w:rFonts w:ascii="Arial" w:cs="Arial" w:eastAsia="Arial" w:hAnsi="Arial"/>
          <w:sz w:val="25"/>
          <w:szCs w:val="25"/>
          <w:i w:val="1"/>
          <w:iCs w:val="1"/>
          <w:color w:val="auto"/>
          <w:vertAlign w:val="superscript"/>
        </w:rPr>
      </w:pPr>
    </w:p>
    <w:p>
      <w:pPr>
        <w:ind w:left="660" w:hanging="328"/>
        <w:spacing w:after="0" w:line="186" w:lineRule="auto"/>
        <w:tabs>
          <w:tab w:leader="none" w:pos="660" w:val="left"/>
        </w:tabs>
        <w:numPr>
          <w:ilvl w:val="0"/>
          <w:numId w:val="6"/>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Included in receivables – other.</w:t>
      </w:r>
    </w:p>
    <w:p>
      <w:pPr>
        <w:spacing w:after="0" w:line="2" w:lineRule="exact"/>
        <w:rPr>
          <w:rFonts w:ascii="Arial" w:cs="Arial" w:eastAsia="Arial" w:hAnsi="Arial"/>
          <w:sz w:val="24"/>
          <w:szCs w:val="24"/>
          <w:i w:val="1"/>
          <w:iCs w:val="1"/>
          <w:color w:val="auto"/>
          <w:vertAlign w:val="superscript"/>
        </w:rPr>
      </w:pPr>
    </w:p>
    <w:p>
      <w:pPr>
        <w:ind w:left="660" w:hanging="328"/>
        <w:spacing w:after="0" w:line="203" w:lineRule="auto"/>
        <w:tabs>
          <w:tab w:leader="none" w:pos="660"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Included in accounts payable and accrued expenses – other for forward contracts and in current debt for convertible notes settlement obligations.</w:t>
      </w:r>
    </w:p>
    <w:p>
      <w:pPr>
        <w:spacing w:after="0" w:line="2" w:lineRule="exact"/>
        <w:rPr>
          <w:rFonts w:ascii="Arial" w:cs="Arial" w:eastAsia="Arial" w:hAnsi="Arial"/>
          <w:sz w:val="22"/>
          <w:szCs w:val="22"/>
          <w:i w:val="1"/>
          <w:iCs w:val="1"/>
          <w:color w:val="auto"/>
          <w:vertAlign w:val="superscript"/>
        </w:rPr>
      </w:pPr>
    </w:p>
    <w:p>
      <w:pPr>
        <w:ind w:left="660" w:right="220" w:hanging="328"/>
        <w:spacing w:after="0" w:line="208" w:lineRule="auto"/>
        <w:tabs>
          <w:tab w:leader="none" w:pos="660" w:val="left"/>
        </w:tabs>
        <w:numPr>
          <w:ilvl w:val="0"/>
          <w:numId w:val="6"/>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Notional amounts of convertible notes settlement obligations as of November 29, 2018 and August 30, 2018 were 1 million and 3 million shares of our common stock,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-692785</wp:posOffset>
            </wp:positionV>
            <wp:extent cx="1663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 Hedge Accounting Designation</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utilize currency forward contracts that generally mature within 12 months to hedge our exposure to changes in currency exchange rates. Currency forward contracts are measured at fair value based on market-based observable inputs including currency exchange spot and forward rates, interest rates, and credit-risk spreads (Level 2). We do not use derivative instruments for speculative purposes.</w:t>
      </w:r>
    </w:p>
    <w:p>
      <w:pPr>
        <w:spacing w:after="0" w:line="17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cash flow hedges for our exposure from changes in currency exchange rates for certain capital expenditures.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 instruments designated as cash flow hedges, the effective portion of the realized and unrealized gains or losses on derivatives is included as a component of accumulated other comprehensive income. Amounts in accumulated other comprehensive income are reclassified into earnings in the same line items and in the same periods in which the underlying transactions affect earnings. For the periods presented prior to the second quarter of 2018, the ineffective and excluded portion of the realized and unrealized gain or loss was included in other non-operating income (expense). As a result of adopting ASU 2017-12, beginning in the second quarter of 2018, the excluded portion of such amounts is included in the same line item in which the underlying transactions affect earnings and the ineffective portion of the realized and unrealized gains or losses on derivatives is included as a component of accumulated other comprehensive income.</w:t>
      </w:r>
    </w:p>
    <w:p>
      <w:pPr>
        <w:spacing w:after="0" w:line="189"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We recognized losses of $13 million and $4 million for the first quarters of 2019 and 2018, respectively, in accumulated other comprehensive income from the effective portion of cash flow hedges. Neither the amount excluded from hedge effectiveness nor the reclassifications from accumulated other comprehensive income to earnings were material in the first</w:t>
      </w:r>
    </w:p>
    <w:p>
      <w:pPr>
        <w:sectPr>
          <w:pgSz w:w="11900" w:h="16838" w:orient="portrait"/>
          <w:cols w:equalWidth="0" w:num="1">
            <w:col w:w="11420"/>
          </w:cols>
          <w:pgMar w:left="240" w:top="80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01" w:right="239" w:bottom="1440" w:gutter="0" w:footer="0" w:header="0"/>
          <w:type w:val="continuous"/>
        </w:sectPr>
      </w:pPr>
    </w:p>
    <w:bookmarkStart w:id="19" w:name="page20"/>
    <w:bookmarkEnd w:id="19"/>
    <w:p>
      <w:pPr>
        <w:ind w:right="140"/>
        <w:spacing w:after="0" w:line="277" w:lineRule="auto"/>
        <w:rPr>
          <w:sz w:val="20"/>
          <w:szCs w:val="20"/>
          <w:color w:val="auto"/>
        </w:rPr>
      </w:pPr>
      <w:r>
        <w:rPr>
          <w:rFonts w:ascii="Arial" w:cs="Arial" w:eastAsia="Arial" w:hAnsi="Arial"/>
          <w:sz w:val="18"/>
          <w:szCs w:val="18"/>
          <w:color w:val="auto"/>
        </w:rPr>
        <w:t>quarters of 2019 or 2018. The amounts from cash flow hedges included in accumulated other comprehensive income that are expected to be reclassified into earnings in the next 12 months were also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Instruments without Hedge Accounting Designation</w:t>
      </w:r>
    </w:p>
    <w:p>
      <w:pPr>
        <w:spacing w:after="0" w:line="225" w:lineRule="exact"/>
        <w:rPr>
          <w:sz w:val="20"/>
          <w:szCs w:val="20"/>
          <w:color w:val="auto"/>
        </w:rPr>
      </w:pPr>
    </w:p>
    <w:p>
      <w:pPr>
        <w:ind w:right="120" w:firstLine="324"/>
        <w:spacing w:after="0" w:line="292" w:lineRule="auto"/>
        <w:rPr>
          <w:sz w:val="20"/>
          <w:szCs w:val="20"/>
          <w:color w:val="auto"/>
        </w:rPr>
      </w:pPr>
      <w:r>
        <w:rPr>
          <w:rFonts w:ascii="Arial" w:cs="Arial" w:eastAsia="Arial" w:hAnsi="Arial"/>
          <w:sz w:val="16"/>
          <w:szCs w:val="16"/>
          <w:b w:val="1"/>
          <w:bCs w:val="1"/>
          <w:i w:val="1"/>
          <w:iCs w:val="1"/>
          <w:color w:val="auto"/>
        </w:rPr>
        <w:t>Currency Derivatives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generally utilize a rolling hedge strategy with currency forward contracts that mature within three months to hedge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For derivative instruments without hedge accounting designation, we recognized losses of $11 million in the first quarter of 2019 and amounts recognized were not material in the first quarter 2018.</w:t>
      </w:r>
    </w:p>
    <w:p>
      <w:pPr>
        <w:spacing w:after="0" w:line="16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i w:val="1"/>
          <w:iCs w:val="1"/>
          <w:color w:val="auto"/>
        </w:rPr>
        <w:t>Convertible Notes Settlement Obligations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settlement obligations associated with our convertible notes subject to mark-to-market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the fair values of the underlying derivative settlement obligations were initially determined using the Black-Scholes option valuation model (Level 2), which requires inputs of stock price, expected stock-price volatility, estimated option life, risk-free interest rate, and dividend rate. The subsequent measurement amounts were based on the volume-weighted-average trading price of our common stock (Level 2). (See "Debt" note.) We recognized gains of $16 million in the first quarter of 2019 and amounts recognized were not material in the first quarter of 2018 in other non-operating income (expense), net for the changes in fair value of the derivative settlement obligations.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29, 2018, 115 million shares of our common stock were available for future awards under our equity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3"/>
          </w:tcPr>
          <w:p>
            <w:pPr>
              <w:ind w:left="340"/>
              <w:spacing w:after="0"/>
              <w:rPr>
                <w:sz w:val="20"/>
                <w:szCs w:val="20"/>
                <w:color w:val="auto"/>
              </w:rPr>
            </w:pPr>
            <w:r>
              <w:rPr>
                <w:rFonts w:ascii="Arial" w:cs="Arial" w:eastAsia="Arial" w:hAnsi="Arial"/>
                <w:sz w:val="18"/>
                <w:szCs w:val="18"/>
                <w:color w:val="auto"/>
                <w:w w:val="92"/>
              </w:rPr>
              <w:t>Stock options granted and assumptions used in the Black-Scholes option valuation model were as follows: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576"/>
        </w:trPr>
        <w:tc>
          <w:tcPr>
            <w:tcW w:w="5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80" w:type="dxa"/>
            <w:vAlign w:val="bottom"/>
          </w:tcPr>
          <w:p>
            <w:pPr>
              <w:spacing w:after="0"/>
              <w:rPr>
                <w:sz w:val="24"/>
                <w:szCs w:val="24"/>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November 30,</w:t>
            </w:r>
          </w:p>
        </w:tc>
      </w:tr>
      <w:tr>
        <w:trPr>
          <w:trHeight w:val="234"/>
        </w:trPr>
        <w:tc>
          <w:tcPr>
            <w:tcW w:w="8200" w:type="dxa"/>
            <w:vAlign w:val="bottom"/>
            <w:gridSpan w:val="3"/>
          </w:tcPr>
          <w:p>
            <w:pPr>
              <w:ind w:left="4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5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options granted</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17.67</w:t>
            </w:r>
          </w:p>
        </w:tc>
      </w:tr>
      <w:tr>
        <w:trPr>
          <w:trHeight w:val="27"/>
        </w:trPr>
        <w:tc>
          <w:tcPr>
            <w:tcW w:w="5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expected life in years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volatility</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6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200" w:type="dxa"/>
            <w:vAlign w:val="bottom"/>
            <w:gridSpan w:val="3"/>
          </w:tcPr>
          <w:p>
            <w:pPr>
              <w:ind w:left="40"/>
              <w:spacing w:after="0"/>
              <w:rPr>
                <w:sz w:val="20"/>
                <w:szCs w:val="20"/>
                <w:color w:val="auto"/>
              </w:rPr>
            </w:pPr>
            <w:r>
              <w:rPr>
                <w:rFonts w:ascii="Arial" w:cs="Arial" w:eastAsia="Arial" w:hAnsi="Arial"/>
                <w:sz w:val="18"/>
                <w:szCs w:val="18"/>
                <w:color w:val="auto"/>
              </w:rPr>
              <w:t>Expected dividend yield</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419"/>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Restricted Stock and Restricted Stock Units ("Restricted Stock Awards")</w:t>
            </w:r>
          </w:p>
        </w:tc>
        <w:tc>
          <w:tcPr>
            <w:tcW w:w="2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53"/>
        </w:trPr>
        <w:tc>
          <w:tcPr>
            <w:tcW w:w="8200" w:type="dxa"/>
            <w:vAlign w:val="bottom"/>
            <w:gridSpan w:val="3"/>
          </w:tcPr>
          <w:p>
            <w:pPr>
              <w:ind w:left="340"/>
              <w:spacing w:after="0"/>
              <w:rPr>
                <w:sz w:val="20"/>
                <w:szCs w:val="20"/>
                <w:color w:val="auto"/>
              </w:rPr>
            </w:pPr>
            <w:r>
              <w:rPr>
                <w:rFonts w:ascii="Arial" w:cs="Arial" w:eastAsia="Arial" w:hAnsi="Arial"/>
                <w:sz w:val="18"/>
                <w:szCs w:val="18"/>
                <w:color w:val="auto"/>
              </w:rPr>
              <w:t>Restricted Stock Awards activity is summarized as follows: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5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 shares granted</w:t>
            </w:r>
          </w:p>
        </w:tc>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Weighted-average grant-date fair value per share</w:t>
            </w:r>
          </w:p>
        </w:tc>
        <w:tc>
          <w:tcPr>
            <w:tcW w:w="39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39.01</w:t>
            </w:r>
          </w:p>
        </w:tc>
      </w:tr>
      <w:tr>
        <w:trPr>
          <w:trHeight w:val="486"/>
        </w:trPr>
        <w:tc>
          <w:tcPr>
            <w:tcW w:w="4580" w:type="dxa"/>
            <w:vAlign w:val="bottom"/>
          </w:tcPr>
          <w:p>
            <w:pPr>
              <w:spacing w:after="0"/>
              <w:rPr>
                <w:sz w:val="24"/>
                <w:szCs w:val="24"/>
                <w:color w:val="auto"/>
              </w:rPr>
            </w:pPr>
          </w:p>
        </w:tc>
        <w:tc>
          <w:tcPr>
            <w:tcW w:w="3660" w:type="dxa"/>
            <w:vAlign w:val="bottom"/>
          </w:tcPr>
          <w:p>
            <w:pPr>
              <w:jc w:val="right"/>
              <w:ind w:right="23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596"/>
        </w:trPr>
        <w:tc>
          <w:tcPr>
            <w:tcW w:w="278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8360" w:type="dxa"/>
            <w:vAlign w:val="bottom"/>
            <w:gridSpan w:val="3"/>
          </w:tcPr>
          <w:p>
            <w:pPr>
              <w:ind w:left="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278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caption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2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27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7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type of award</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Restricted stock awards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27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278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Income tax benefits related to share-based payment arrangements were $23 million and $57 million for the first quarters of 2019 and 2018, respectively. Income tax benefits related to share-based compensation for the first quarter of 2018 were offset by an increase in the U.S. valuation allowance. As of November 29, 2018, $498 million of total unrecognized compensation costs for unvested awards, before the effect of any future forfeitures, was expected to be recognized through the first quarter of 2023, resulting in a weighted-average period of 1.4 years.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Contract Liabilities</w:t>
      </w:r>
    </w:p>
    <w:p>
      <w:pPr>
        <w:spacing w:after="0" w:line="26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Our revenues are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rates of return. In addition, we generally offer price protection to our distributors, which is a form of variable consideration that decreases the transaction price. We estimate the amount of consideration we expect to be entitled to from sales to distributors, using the expected value method, based on historical price adjustments and current pricing trends. Differences between the estimated and actual amounts are recognized as adjustments to revenue. (See "Segment and Other Information" note for disclosure of disaggregated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Liabilities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Opening Balance</w:t>
            </w: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2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as of August 31,</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 from customer advances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contract liabilities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contract liabilities are for advance payments received from customers to secure product in future periods and for other arrangements where we have received amounts in advance of satisfying performance obligations and are reported in the accompanying consolidated balance sheets within other current liabilities and other noncurrent liabilities. Revenue and interest expense associated with contract liabilities for the time value of advance payments was not material in any period presented. As of November 29, 2018, our future performance obligations beyond one year were not material.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99"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9940" w:type="dxa"/>
            <w:vAlign w:val="bottom"/>
          </w:tcPr>
          <w:p>
            <w:pPr>
              <w:ind w:left="340"/>
              <w:spacing w:after="0"/>
              <w:rPr>
                <w:sz w:val="20"/>
                <w:szCs w:val="20"/>
                <w:color w:val="auto"/>
              </w:rPr>
            </w:pPr>
            <w:r>
              <w:rPr>
                <w:rFonts w:ascii="Arial" w:cs="Arial" w:eastAsia="Arial" w:hAnsi="Arial"/>
                <w:sz w:val="18"/>
                <w:szCs w:val="18"/>
                <w:color w:val="auto"/>
              </w:rPr>
              <w:t>Changes in contract liabilities were as follows:</w:t>
            </w: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liabilities balance as of August 31, 2018</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Revenue recognized from beginning balance</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9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and other activity</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Contract liabilities balance as of November 29, 2018</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w:t>
            </w:r>
          </w:p>
        </w:tc>
      </w:tr>
      <w:tr>
        <w:trPr>
          <w:trHeight w:val="20"/>
        </w:trPr>
        <w:tc>
          <w:tcPr>
            <w:tcW w:w="9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Contract liabilities increase as a result of receiving new advance payments from customers and decrease as revenue is recognized from customers purchasing product under advance payment arrangements. Additions and other activity included new customer advances, payments received from license and other arrangements in advance of performance, and interest accrued for financing components on advance payments. Revenue recognized in the first quarter of 2019 included $112 million from shipments against customer advances and $5 million in revenue recognized upon meeting other performance obligations.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Consideration Payable to Customers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November 29, 2018, other current liabilities included $332 million for estimates of consideration payable to customers, including estimates for pricing adjustments and returns.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1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share the cost of certain product and process development activities with development partners. Our R&amp;D expenses were reduced by $30 million and $56 million, for the first quarters of 2019 and 2018, respectively, pursuant to reimbursements under these arrangements.</w:t>
      </w:r>
    </w:p>
    <w:p>
      <w:pPr>
        <w:spacing w:after="0" w:line="170"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have agreements to jointly develop NAND and 3D XPoint technologies with Intel. We continue to jointly develop NAND technologies with Intel through the third generation of 3D NAND, which is expected to be completed in the second half of 2019. In the second quarter of 2018, we and Intel agreed to independently develop subsequent generations of 3D NAND in order to better optimize the technology and products for our respective business needs. We continue to jointly develop 3D XPoint technologies with Intel through the second generation of 3D XPoint technology, which is expected to be completed in the second half of 2019. To better optimize 3D XPoint technology for our product roadmap and maximize the benefits for our customers and shareholders, in the fourth quarter of 2018, we announced that we will no longer jointly develop with Intel subsequent generations of 3D XPoint technology.</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Restructure and asset impairments in the first quarter of 2019 included cost of $16 million primarily as a result of our continued emphasis to centralize certain key functions and impairment losses of $16 million to write-off the carrying value of certain property, plant, and equipment.</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Non-Operating Income (Expense), Net</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6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November 30,</w:t>
            </w:r>
          </w:p>
        </w:tc>
        <w:tc>
          <w:tcPr>
            <w:tcW w:w="0" w:type="dxa"/>
            <w:vAlign w:val="bottom"/>
          </w:tcPr>
          <w:p>
            <w:pPr>
              <w:spacing w:after="0"/>
              <w:rPr>
                <w:sz w:val="1"/>
                <w:szCs w:val="1"/>
                <w:color w:val="auto"/>
              </w:rPr>
            </w:pPr>
          </w:p>
        </w:tc>
      </w:tr>
      <w:tr>
        <w:trPr>
          <w:trHeight w:val="234"/>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Quarter ended</w:t>
            </w: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Gain (loss) on debt prepayments, repurchases, and conversions</w:t>
            </w:r>
          </w:p>
        </w:tc>
        <w:tc>
          <w:tcPr>
            <w:tcW w:w="3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Loss from changes in currency exchange rates</w:t>
            </w:r>
          </w:p>
        </w:tc>
        <w:tc>
          <w:tcPr>
            <w:tcW w:w="3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0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2" w:name="page23"/>
    <w:bookmarkEnd w:id="22"/>
    <w:p>
      <w:pPr>
        <w:ind w:right="480" w:firstLine="324"/>
        <w:spacing w:after="0" w:line="277" w:lineRule="auto"/>
        <w:rPr>
          <w:sz w:val="20"/>
          <w:szCs w:val="20"/>
          <w:color w:val="auto"/>
        </w:rPr>
      </w:pPr>
      <w:r>
        <w:rPr>
          <w:rFonts w:ascii="Arial" w:cs="Arial" w:eastAsia="Arial" w:hAnsi="Arial"/>
          <w:sz w:val="18"/>
          <w:szCs w:val="18"/>
          <w:color w:val="auto"/>
        </w:rPr>
        <w:t>For the first quarter of 2018, loss on debt prepayments, repurchases, and conversions was primarily due to losses recognized in connection with the repurchase of our 2023 Secured Notes and our 2023 Notes.</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1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On December 22, 2017, the United States enacted comprehensive tax legislation commonly referred to as the Tax Cuts and Jobs Act (the "Tax Act") which imposed a one-time transition tax in 2018 (the "Repatriation Tax") and, beginning in 2019, created a new minimum tax on certain foreign earnings (the "Foreign Minimum Tax"). SEC Staff Accounting Bulletin No. 118 ("SAB 118") allows the use of provisional amounts (reasonable estimates) if the analyses of the impacts of the Tax Act have not been completed when financial statements are issued. During the first quarter of 2019, we finalized the computations of the income tax effects of the Tax Act. As such, in accordance with SAB 118, our accounting for the effects of the Tax Act is complete.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Our income tax provision consisted of the following: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29,</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excluding items below</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Utilization of and other changes in net deferred tax assets of MMJ, MMT, and MTTW</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Repatriation Tax, net of adjustments related to uncertain tax positions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As of November 29, 2018, we had gross unrecognized income tax benefits of $268 million, substantially all of which would affect our effective tax rate in the future, if recognized. The amount accrued for interest and penalties related to uncertain tax positions was not material for any period presented.</w:t>
      </w:r>
    </w:p>
    <w:p>
      <w:pPr>
        <w:spacing w:after="0" w:line="124"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We operate in a number of tax jurisdictions outside the United States, including Singapore, where we have tax incentive arrangements, which expire in whole or in part at various dates through 2031, that are conditional, in part, upon meeting certain business operations and employment thresholds. The effect of tax incentive arrangements reduced our tax provision by $427 million (benefiting our diluted earnings per share by $0.36) for the first quarter of 2019 and by $391 million ($0.32 per diluted share) for the first quarter of 2018.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29,</w:t>
            </w:r>
          </w:p>
        </w:tc>
        <w:tc>
          <w:tcPr>
            <w:tcW w:w="14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November 30,</w:t>
            </w:r>
          </w:p>
        </w:tc>
      </w:tr>
      <w:tr>
        <w:trPr>
          <w:trHeight w:val="234"/>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8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 – Basic and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w:t>
            </w:r>
          </w:p>
        </w:tc>
      </w:tr>
      <w:tr>
        <w:trPr>
          <w:trHeight w:val="297"/>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Dilutive effect of equity plans and convertible notes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8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r>
      <w:tr>
        <w:trPr>
          <w:trHeight w:val="20"/>
        </w:trPr>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84"/>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8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Antidilutive potential common stock shares that could dilute basic earnings per share in the future were 6 million and 2 million for the first quarters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16"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Segment and Other Information</w:t>
      </w:r>
    </w:p>
    <w:p>
      <w:pPr>
        <w:spacing w:after="0" w:line="21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Compute and Networking Business Unit ("CNBU")</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Includes memory products sold into cloud server, enterprise, client, graphics, and networking markets.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smartphone and other mobile-device markets.</w:t>
      </w:r>
    </w:p>
    <w:p>
      <w:pPr>
        <w:spacing w:after="0" w:line="9" w:lineRule="exact"/>
        <w:rPr>
          <w:sz w:val="20"/>
          <w:szCs w:val="20"/>
          <w:color w:val="auto"/>
        </w:rPr>
      </w:pPr>
    </w:p>
    <w:p>
      <w:pPr>
        <w:ind w:left="340" w:right="200" w:hanging="323"/>
        <w:spacing w:after="0" w:line="250"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other storage products, including component-level solutions sold into enterprise and cloud, client,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SSD markets, other discrete storage products sold in component and wafer forms to the removable storage markets, and sales of 3D XPoint memory.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medical, and consumer markets.</w:t>
      </w:r>
    </w:p>
    <w:p>
      <w:pPr>
        <w:spacing w:after="0" w:line="21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November 29,</w:t>
            </w: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November 30,</w:t>
            </w:r>
          </w:p>
        </w:tc>
        <w:tc>
          <w:tcPr>
            <w:tcW w:w="0" w:type="dxa"/>
            <w:vAlign w:val="bottom"/>
          </w:tcPr>
          <w:p>
            <w:pPr>
              <w:spacing w:after="0"/>
              <w:rPr>
                <w:sz w:val="1"/>
                <w:szCs w:val="1"/>
                <w:color w:val="auto"/>
              </w:rPr>
            </w:pP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3,604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MBU</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SBU</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EBU</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All Other</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Employee severance, start-up costs, and other</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91"/>
        </w:trPr>
        <w:tc>
          <w:tcPr>
            <w:tcW w:w="8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340"/>
              <w:spacing w:after="0"/>
              <w:rPr>
                <w:sz w:val="20"/>
                <w:szCs w:val="20"/>
                <w:color w:val="auto"/>
              </w:rPr>
            </w:pPr>
            <w:r>
              <w:rPr>
                <w:rFonts w:ascii="Arial" w:cs="Arial" w:eastAsia="Arial" w:hAnsi="Arial"/>
                <w:sz w:val="18"/>
                <w:szCs w:val="18"/>
                <w:color w:val="auto"/>
              </w:rPr>
              <w:t>Revenue by product type was as follows:</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November 29,</w:t>
            </w:r>
          </w:p>
        </w:tc>
        <w:tc>
          <w:tcPr>
            <w:tcW w:w="160" w:type="dxa"/>
            <w:vAlign w:val="bottom"/>
          </w:tcPr>
          <w:p>
            <w:pPr>
              <w:spacing w:after="0"/>
              <w:rPr>
                <w:sz w:val="24"/>
                <w:szCs w:val="24"/>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November 30,</w:t>
            </w:r>
          </w:p>
        </w:tc>
        <w:tc>
          <w:tcPr>
            <w:tcW w:w="0" w:type="dxa"/>
            <w:vAlign w:val="bottom"/>
          </w:tcPr>
          <w:p>
            <w:pPr>
              <w:spacing w:after="0"/>
              <w:rPr>
                <w:sz w:val="1"/>
                <w:szCs w:val="1"/>
                <w:color w:val="auto"/>
              </w:rPr>
            </w:pP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DRAM</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NAND</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(primarily 3D XPoint memory and NOR)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801" w:right="239" w:bottom="1440" w:gutter="0" w:footer="0" w:header="0"/>
          <w:type w:val="continuous"/>
        </w:sectPr>
      </w:pPr>
    </w:p>
    <w:bookmarkStart w:id="24" w:name="page25"/>
    <w:bookmarkEnd w:id="24"/>
    <w:p>
      <w:pPr>
        <w:ind w:right="200" w:firstLine="324"/>
        <w:spacing w:after="0" w:line="282" w:lineRule="auto"/>
        <w:rPr>
          <w:sz w:val="20"/>
          <w:szCs w:val="20"/>
          <w:color w:val="auto"/>
        </w:rPr>
      </w:pPr>
      <w:r>
        <w:rPr>
          <w:rFonts w:ascii="Arial" w:cs="Arial" w:eastAsia="Arial" w:hAnsi="Arial"/>
          <w:sz w:val="18"/>
          <w:szCs w:val="18"/>
          <w:b w:val="1"/>
          <w:bCs w:val="1"/>
          <w:i w:val="1"/>
          <w:iCs w:val="1"/>
          <w:color w:val="auto"/>
        </w:rPr>
        <w:t>Customer Concentrations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Huawei Technologies Co., Ltd. was 13% of total revenue for the first quarter of 2019 and no other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exceeded 10%.</w:t>
      </w:r>
    </w:p>
    <w:p>
      <w:pPr>
        <w:spacing w:after="0" w:line="382" w:lineRule="exact"/>
        <w:rPr>
          <w:sz w:val="20"/>
          <w:szCs w:val="20"/>
          <w:color w:val="auto"/>
        </w:rPr>
      </w:pPr>
    </w:p>
    <w:p>
      <w:pPr>
        <w:ind w:left="900" w:right="860" w:hanging="890"/>
        <w:spacing w:after="0" w:line="269"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August 30, 2018. All period references are to our fiscal periods unless otherwise indicated. Our fiscal year is the 52 or 53-week period ending on the Thursday closest to August 31. Our fiscal 2019 and 2018 each contain 52 weeks. All production data includes the production of IMFT. All tabular dollar amounts are in millions, except per share amounts.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100" w:firstLine="324"/>
        <w:spacing w:after="0" w:line="235" w:lineRule="auto"/>
        <w:rPr>
          <w:sz w:val="20"/>
          <w:szCs w:val="20"/>
          <w:color w:val="auto"/>
        </w:rPr>
      </w:pPr>
      <w:r>
        <w:rPr>
          <w:rFonts w:ascii="Arial" w:cs="Arial" w:eastAsia="Arial" w:hAnsi="Arial"/>
          <w:sz w:val="18"/>
          <w:szCs w:val="18"/>
          <w:color w:val="auto"/>
        </w:rPr>
        <w:t>Micron Technology, Inc., including its consolidated subsidiaries, is an industry leader in innovative memory and storage solutions. Through our global brands - Micron</w:t>
      </w:r>
      <w:r>
        <w:rPr>
          <w:rFonts w:ascii="Arial" w:cs="Arial" w:eastAsia="Arial" w:hAnsi="Arial"/>
          <w:sz w:val="25"/>
          <w:szCs w:val="25"/>
          <w:color w:val="auto"/>
          <w:vertAlign w:val="superscript"/>
        </w:rPr>
        <w:t>®</w:t>
      </w:r>
      <w:r>
        <w:rPr>
          <w:rFonts w:ascii="Arial" w:cs="Arial" w:eastAsia="Arial" w:hAnsi="Arial"/>
          <w:sz w:val="18"/>
          <w:szCs w:val="18"/>
          <w:color w:val="auto"/>
        </w:rPr>
        <w:t>, Crucial</w:t>
      </w:r>
      <w:r>
        <w:rPr>
          <w:rFonts w:ascii="Arial" w:cs="Arial" w:eastAsia="Arial" w:hAnsi="Arial"/>
          <w:sz w:val="25"/>
          <w:szCs w:val="25"/>
          <w:color w:val="auto"/>
          <w:vertAlign w:val="superscript"/>
        </w:rPr>
        <w:t>®</w:t>
      </w:r>
      <w:r>
        <w:rPr>
          <w:rFonts w:ascii="Arial" w:cs="Arial" w:eastAsia="Arial" w:hAnsi="Arial"/>
          <w:sz w:val="18"/>
          <w:szCs w:val="18"/>
          <w:color w:val="auto"/>
        </w:rPr>
        <w:t>, and Ballistix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our broad portfolio of high-performance memory and storage technologies, including DRAM, NAND, NOR Flash, and 3D XPoint memory, is transforming how the world uses information to enrich life. Backed by 40 years of technology leadership, our memory and storage solutions enable disruptive trends, including artificial intelligence, machine learning, and autonomous vehicles, in key market segments like cloud, data center, networking, mobile, and automotive.</w:t>
      </w:r>
    </w:p>
    <w:p>
      <w:pPr>
        <w:spacing w:after="0" w:line="20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manufacture our products at our worldwide, wholly-owned and joint venture facilities. In recent years, we have increased our manufacturing scale and product diversity through strategic acquisitions, expansion, and various partnering arrangements.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make significant investments to develop proprietary product and process technology, which are implemented in our manufacturing facilities. We generally increase the density per wafer and reduce manufacturing costs of each generation of product through advancements in product and process technology, such as our leading-edge line-width process technology and 3D NAND architecture. We continue to introduce new generations of products that offer improved performance characteristics, including higher data transfer rates, reduced package size, lower power consumption, improved read/write reliability, and increased memory density. Storage products incorporating NAND, a controller, and firmware constitute a significant and increasing portion of our revenues. We generally develop firmware and, in the first quarter of 2019, introduced proprietary controllers into our SSDs. Development of advanced technologies enables us to diversify our product portfolio toward a richer mix of differentiated, high-value solutions and to target high-growth markets.</w:t>
      </w:r>
    </w:p>
    <w:p>
      <w:pPr>
        <w:spacing w:after="0" w:line="16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market our products through our internal sales force, independent sales representatives, distributors, and e-tailers, primarily to original equipment manufacturers and retailers located around the world. We face intense competition in the semiconductor memory and storage markets and, in order to remain competitive, we must continuously develop and implement new products and technologies and decrease manufacturing costs. Our success is largely dependent on market acceptance of our diversified portfolio of semiconductor-based memory and storage solutions, efficient utilization of our manufacturing infrastructure, successful ongoing development and integration of advanced product and process technology, return-driven capital spending, and successful R&amp;D investments.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013" w:right="25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5"/>
              </w:rPr>
              <w:t>First Quarter</w:t>
            </w:r>
          </w:p>
        </w:tc>
        <w:tc>
          <w:tcPr>
            <w:tcW w:w="240" w:type="dxa"/>
            <w:vAlign w:val="bottom"/>
          </w:tcPr>
          <w:p>
            <w:pPr>
              <w:spacing w:after="0"/>
              <w:rPr>
                <w:sz w:val="20"/>
                <w:szCs w:val="20"/>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6"/>
              </w:rPr>
              <w:t>Fourth Quarter</w:t>
            </w:r>
          </w:p>
        </w:tc>
        <w:tc>
          <w:tcPr>
            <w:tcW w:w="260" w:type="dxa"/>
            <w:vAlign w:val="bottom"/>
          </w:tcPr>
          <w:p>
            <w:pPr>
              <w:spacing w:after="0"/>
              <w:rPr>
                <w:sz w:val="20"/>
                <w:szCs w:val="20"/>
                <w:color w:val="auto"/>
              </w:rPr>
            </w:pPr>
          </w:p>
        </w:tc>
        <w:tc>
          <w:tcPr>
            <w:tcW w:w="16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5"/>
              </w:rPr>
              <w:t>First Quarter</w:t>
            </w:r>
          </w:p>
        </w:tc>
      </w:tr>
      <w:tr>
        <w:trPr>
          <w:trHeight w:val="270"/>
        </w:trPr>
        <w:tc>
          <w:tcPr>
            <w:tcW w:w="5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3"/>
                <w:szCs w:val="23"/>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8,440</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6,803</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3,289</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3,056</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
        </w:trPr>
        <w:tc>
          <w:tcPr>
            <w:tcW w:w="5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4,615</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5,151</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3,747</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97"/>
        </w:trPr>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w:t>
            </w: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48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3,759</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4,377</w:t>
            </w: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3,097</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4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7"/>
        </w:trPr>
        <w:tc>
          <w:tcPr>
            <w:tcW w:w="5480" w:type="dxa"/>
            <w:vAlign w:val="bottom"/>
          </w:tcPr>
          <w:p>
            <w:pPr>
              <w:ind w:left="360"/>
              <w:spacing w:after="0"/>
              <w:rPr>
                <w:sz w:val="20"/>
                <w:szCs w:val="20"/>
                <w:color w:val="auto"/>
              </w:rPr>
            </w:pPr>
            <w:r>
              <w:rPr>
                <w:rFonts w:ascii="Arial" w:cs="Arial" w:eastAsia="Arial" w:hAnsi="Arial"/>
                <w:sz w:val="18"/>
                <w:szCs w:val="18"/>
                <w:color w:val="auto"/>
              </w:rPr>
              <w:t>Net income attributable to Micron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3,293</w:t>
            </w: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4,325</w:t>
            </w:r>
          </w:p>
        </w:tc>
        <w:tc>
          <w:tcPr>
            <w:tcW w:w="3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2,678</w:t>
            </w:r>
          </w:p>
        </w:tc>
        <w:tc>
          <w:tcPr>
            <w:tcW w:w="3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Revenue</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Total revenue for the first quarter of 2019 decreased 6% as compared to the fourth quarter of 2018 due to less favorable market conditions as a result of customer inventory corrections and CPU shortages and to a manufacturing issue at one of our suppliers. Sales of DRAM products for the first quarter of 2019 decreased 9% from the fourth quarter of 2018 reflecting decreases in average selling prices from challenging market conditions, particularly in enterprise and cloud server markets and graphics markets, partially offset by increases in sales of mobile products driven by continued execution in delivering new LPDRAM products. Sales of NAND products for the first quarter of 2019 decreased 3% from the fourth quarter of 2018 primarily due to declines in sales of SSD storage products as a result of pricing decreases, partially offset by higher shipment volumes of managed NAND products into mobile markets, which increased more than 50% due to our execution in delivering products featuring advanced 3D NAND technologies combined with strong customer acceptance. Sales volumes of NAND products for the first quarter of 2019 increased by a low to mid-teen percent as compared to the fourth quarter of 2018, which mitigated a similar decline in average selling prices.</w:t>
      </w:r>
    </w:p>
    <w:p>
      <w:pPr>
        <w:spacing w:after="0" w:line="18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Total revenue for the first quarter of 2019 increased 16% as compared to the first quarter of 2018. Higher revenue in the first quarter of 2019 for both DRAM and NAND products as compared to the first quarter of 2018 was driven by strong execution in delivering high-value products featuring our 1Xnm DRAM and 64-layer TLC 3D NAND technologies combined with demand growth across our primary markets. Sales of DRAM products for the first quarter of 2019 increased 18% from the first quarter of 2018 primarily due to moderate increases in both sales volumes and average selling prices as a result of strong market growth, particularly for cloud, enterprise, mobile, and graphics markets, combined with increased sales into high-value markets. Sales of NAND products for the first quarter of 2019 increased 15% from the first quarter of 2018 primarily due to an approximate 70% increase in sales volumes driven by increases in sales of high-value mobile managed NAND products enabled by strong demand and our transition to products featuring 64-layer TLC 3D NAND, partially offset by decreases in average selling prices of approximately 30%.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Gross Margin</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Our overall gross margin percentage decreased to 58% for the first quarter of 2019 from 61% for the fourth quarter of 2018 primarily due to declines in market pricing partially offset by manufacturing cost reductions for NAND products enabled by strong execution in delivering products featuring advanced 3D NAND technologies. For the first quarter of 2019 as compared to the fourth quarter of 2018, margins for DRAM products decreased due to the declines in averages selling prices and margins for NAND products decreased as declines in average selling prices outpaced manufacturing cost reductions.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1" w:right="239" w:bottom="1440" w:gutter="0" w:footer="0" w:header="0"/>
        </w:sectPr>
      </w:pPr>
    </w:p>
    <w:bookmarkStart w:id="26" w:name="page27"/>
    <w:bookmarkEnd w:id="26"/>
    <w:p>
      <w:pPr>
        <w:ind w:right="100" w:firstLine="324"/>
        <w:spacing w:after="0" w:line="279" w:lineRule="auto"/>
        <w:rPr>
          <w:sz w:val="20"/>
          <w:szCs w:val="20"/>
          <w:color w:val="auto"/>
        </w:rPr>
      </w:pPr>
      <w:r>
        <w:rPr>
          <w:rFonts w:ascii="Arial" w:cs="Arial" w:eastAsia="Arial" w:hAnsi="Arial"/>
          <w:sz w:val="17"/>
          <w:szCs w:val="17"/>
          <w:color w:val="auto"/>
        </w:rPr>
        <w:t>Our overall gross margin percentage of 58% for the first quarter of 2019 increased from 55% for the first quarter of 2018 primarily due to strong execution in delivering products featuring advanced technologies, including 1Xnm DRAM and 64-layer 3D NAND, enabling manufacturing cost reductions. For the first quarter of 2019 as compared to the first quarter of 2018, pricing for DRAM products increased while manufacturing costs declined and for NAND products, declines in average selling prices slightly outpaced manufacturing cost reductions.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by Business Unit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First Quarter</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6"/>
              </w:rPr>
              <w:t>Fourth Quarter</w:t>
            </w:r>
          </w:p>
        </w:tc>
        <w:tc>
          <w:tcPr>
            <w:tcW w:w="260" w:type="dxa"/>
            <w:vAlign w:val="bottom"/>
          </w:tcPr>
          <w:p>
            <w:pPr>
              <w:spacing w:after="0"/>
              <w:rPr>
                <w:sz w:val="20"/>
                <w:szCs w:val="20"/>
                <w:color w:val="auto"/>
              </w:rPr>
            </w:pPr>
          </w:p>
        </w:tc>
        <w:tc>
          <w:tcPr>
            <w:tcW w:w="1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First Quarter</w:t>
            </w:r>
          </w:p>
        </w:tc>
        <w:tc>
          <w:tcPr>
            <w:tcW w:w="380" w:type="dxa"/>
            <w:vAlign w:val="bottom"/>
          </w:tcPr>
          <w:p>
            <w:pPr>
              <w:spacing w:after="0"/>
              <w:rPr>
                <w:sz w:val="20"/>
                <w:szCs w:val="20"/>
                <w:color w:val="auto"/>
              </w:rPr>
            </w:pPr>
          </w:p>
        </w:tc>
      </w:tr>
      <w:tr>
        <w:trPr>
          <w:trHeight w:val="270"/>
        </w:trPr>
        <w:tc>
          <w:tcPr>
            <w:tcW w:w="5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3"/>
                <w:szCs w:val="23"/>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3,604</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47%</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MBU</w:t>
            </w: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2,212</w:t>
            </w:r>
          </w:p>
        </w:tc>
        <w:tc>
          <w:tcPr>
            <w:tcW w:w="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4"/>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1,895</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1,365</w:t>
            </w:r>
          </w:p>
        </w:tc>
        <w:tc>
          <w:tcPr>
            <w:tcW w:w="6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20%</w:t>
            </w: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w:t>
            </w:r>
          </w:p>
        </w:tc>
        <w:tc>
          <w:tcPr>
            <w:tcW w:w="6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EBU</w:t>
            </w:r>
          </w:p>
        </w:tc>
        <w:tc>
          <w:tcPr>
            <w:tcW w:w="2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933</w:t>
            </w:r>
          </w:p>
        </w:tc>
        <w:tc>
          <w:tcPr>
            <w:tcW w:w="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4"/>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830</w:t>
            </w:r>
          </w:p>
        </w:tc>
        <w:tc>
          <w:tcPr>
            <w:tcW w:w="6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12%</w:t>
            </w:r>
          </w:p>
        </w:tc>
      </w:tr>
      <w:tr>
        <w:trPr>
          <w:trHeight w:val="27"/>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4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6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w:t>
            </w:r>
          </w:p>
        </w:tc>
      </w:tr>
      <w:tr>
        <w:trPr>
          <w:trHeight w:val="237"/>
        </w:trPr>
        <w:tc>
          <w:tcPr>
            <w:tcW w:w="55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7,913</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8,440</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6,803</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17145</wp:posOffset>
            </wp:positionV>
            <wp:extent cx="574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17145</wp:posOffset>
            </wp:positionV>
            <wp:extent cx="5746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17145</wp:posOffset>
            </wp:positionV>
            <wp:extent cx="5746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Percentages are of total revenue but may not total 100%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-130175</wp:posOffset>
            </wp:positionV>
            <wp:extent cx="5746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-130175</wp:posOffset>
            </wp:positionV>
            <wp:extent cx="5746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-130175</wp:posOffset>
            </wp:positionV>
            <wp:extent cx="574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CNBU revenue for the first quarter of 2019 decreased 17% as compared to the fourth quarter of 2018 due to customer inventory corrections and CPU shortages, particularly in enterprise server, cloud server, and graphics markets. MBU revenue for the first quarter of 2019, which was comprised primarily of mobile LPDRAM and managed NAND products, increased 17% as compared to the fourth quarter of 2018. The increase was primarily due to an approximate 50% increase in sales volumes of managed NAND driven by strong customer demand and higher market share as well as higher sales of our LPDRAM products driven by customer demand. SBU revenue for the first quarter of 2019 decreased 8% as compared to the fourth quarter of 2018 primarily due to lower demand for NAND storage products resulting from customer inventory corrections in enterprise and cloud storage markets as well as a strategic allocation from storage products to mobile managed NAND products. EBU revenue for the first quarter of 2019 increased slightly from the fourth quarter of 2018 due to continuing strength in industrial and automotive markets. EBU revenue was comprised of products incorporating DRAM, NAND, and NOR Flash in decreasing order of revenue.</w:t>
      </w:r>
    </w:p>
    <w:p>
      <w:pPr>
        <w:spacing w:after="0" w:line="197"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CNBU revenue for the first quarter of 2019 increased 12% as compared to the first quarter of 2018 due to demand growth across key markets which drove increases in pricing and sales volumes. MBU revenue for the first quarter of 2019 increased 62% as compared to the first quarter of 2018 primarily due to strong execution in developing and qualifying mobile managed NAND products as bit shipment volumes were more than six times the level in the prior year. MBU sales of LPDRAM products also increased for the first quarter of 2019 as compared to the first quarter of 2018 due to strong customer demand. SBU revenue from sales of NAND products for the first quarter of 2019 decreased by a low twenties percentage as compared to the first quarter of 2018 primarily due to declines in SBU NAND component sales from a strategic reallocation of supply from component sales to mobile managed NAND products. Increases in SBU sales volumes of SSDs for the first quarter of 2019 as compared to the first quarter of 2018 were offset by declines in pricing. EBU revenue for the first quarter of 2019 increased 12% as compared to the first quarter of 2018 primarily due to strong demand across EBU's primary markets including consumer, industrial multimarkets, and automotive.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(Loss) by Business Unit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First Quarter</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6"/>
              </w:rPr>
              <w:t>Fourth Quarter</w:t>
            </w:r>
          </w:p>
        </w:tc>
        <w:tc>
          <w:tcPr>
            <w:tcW w:w="260" w:type="dxa"/>
            <w:vAlign w:val="bottom"/>
          </w:tcPr>
          <w:p>
            <w:pPr>
              <w:spacing w:after="0"/>
              <w:rPr>
                <w:sz w:val="20"/>
                <w:szCs w:val="20"/>
                <w:color w:val="auto"/>
              </w:rPr>
            </w:pPr>
          </w:p>
        </w:tc>
        <w:tc>
          <w:tcPr>
            <w:tcW w:w="16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7"/>
              </w:rPr>
              <w:t>First Quarter</w:t>
            </w:r>
          </w:p>
        </w:tc>
        <w:tc>
          <w:tcPr>
            <w:tcW w:w="0" w:type="dxa"/>
            <w:vAlign w:val="bottom"/>
          </w:tcPr>
          <w:p>
            <w:pPr>
              <w:spacing w:after="0"/>
              <w:rPr>
                <w:sz w:val="1"/>
                <w:szCs w:val="1"/>
                <w:color w:val="auto"/>
              </w:rPr>
            </w:pPr>
          </w:p>
        </w:tc>
      </w:tr>
      <w:tr>
        <w:trPr>
          <w:trHeight w:val="270"/>
        </w:trPr>
        <w:tc>
          <w:tcPr>
            <w:tcW w:w="5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CNBU</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2,211</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MBU</w:t>
            </w:r>
          </w:p>
        </w:tc>
        <w:tc>
          <w:tcPr>
            <w:tcW w:w="3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1,203</w:t>
            </w:r>
          </w:p>
        </w:tc>
        <w:tc>
          <w:tcPr>
            <w:tcW w:w="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SBU</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4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EBU</w:t>
            </w:r>
          </w:p>
        </w:tc>
        <w:tc>
          <w:tcPr>
            <w:tcW w:w="3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8"/>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4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5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3,887</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4,439</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3,157</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340"/>
              <w:spacing w:after="0"/>
              <w:rPr>
                <w:sz w:val="20"/>
                <w:szCs w:val="20"/>
                <w:color w:val="auto"/>
              </w:rPr>
            </w:pPr>
            <w:r>
              <w:rPr>
                <w:rFonts w:ascii="Arial" w:cs="Arial" w:eastAsia="Arial" w:hAnsi="Arial"/>
                <w:sz w:val="18"/>
                <w:szCs w:val="18"/>
                <w:i w:val="1"/>
                <w:iCs w:val="1"/>
                <w:color w:val="auto"/>
                <w:w w:val="90"/>
              </w:rPr>
              <w:t>Percentages reflect operating income (loss) as a percentage of revenue</w:t>
            </w:r>
          </w:p>
        </w:tc>
        <w:tc>
          <w:tcPr>
            <w:tcW w:w="900" w:type="dxa"/>
            <w:vAlign w:val="bottom"/>
            <w:tcBorders>
              <w:bottom w:val="single" w:sz="8" w:color="auto"/>
            </w:tcBorders>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vMerge w:val="continue"/>
          </w:tcPr>
          <w:p>
            <w:pPr>
              <w:spacing w:after="0"/>
              <w:rPr>
                <w:sz w:val="18"/>
                <w:szCs w:val="18"/>
                <w:color w:val="auto"/>
              </w:rPr>
            </w:pPr>
          </w:p>
        </w:tc>
        <w:tc>
          <w:tcPr>
            <w:tcW w:w="1960" w:type="dxa"/>
            <w:vAlign w:val="bottom"/>
            <w:gridSpan w:val="5"/>
          </w:tcPr>
          <w:p>
            <w:pPr>
              <w:spacing w:after="0"/>
              <w:rPr>
                <w:sz w:val="20"/>
                <w:szCs w:val="20"/>
                <w:color w:val="auto"/>
              </w:rPr>
            </w:pPr>
            <w:r>
              <w:rPr>
                <w:rFonts w:ascii="Arial" w:cs="Arial" w:eastAsia="Arial" w:hAnsi="Arial"/>
                <w:sz w:val="18"/>
                <w:szCs w:val="18"/>
                <w:i w:val="1"/>
                <w:iCs w:val="1"/>
                <w:color w:val="auto"/>
              </w:rPr>
              <w:t>for each business unit.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1"/>
        </w:trPr>
        <w:tc>
          <w:tcPr>
            <w:tcW w:w="55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7" w:name="page28"/>
    <w:bookmarkEnd w:id="27"/>
    <w:p>
      <w:pPr>
        <w:ind w:firstLine="324"/>
        <w:spacing w:after="0" w:line="255" w:lineRule="auto"/>
        <w:rPr>
          <w:sz w:val="20"/>
          <w:szCs w:val="20"/>
          <w:color w:val="auto"/>
        </w:rPr>
      </w:pPr>
      <w:r>
        <w:rPr>
          <w:rFonts w:ascii="Arial" w:cs="Arial" w:eastAsia="Arial" w:hAnsi="Arial"/>
          <w:sz w:val="18"/>
          <w:szCs w:val="18"/>
          <w:color w:val="auto"/>
        </w:rPr>
        <w:t>CNBU operating income for the first quarter of 2019 decreased from the fourth quarter of 2018 primarily due to declines in pricing and sales volumes resulting from the effects of customer inventory corrections and CPU shortages. MBU operating income for the first quarter of 2019 improved from the fourth quarter of 2018 primarily due to increases in managed NAND and LPDRAM sales volumes and manufacturing cost reductions, which outpaced pricing declines. SBU operating income for the first quarter of 2019 decreased from the fourth quarter of 2018 primarily due to price declines, which were partially offset by manufacturing cost reductions enabled by our execution in transitioning to 64-layer TLC 3D NAND products. EBU operating income for the first quarter of 2019 was relatively unchanged from the fourth quarter of 2018.</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CNBU operating income for the first quarter of 2019 increased from the first quarter of 2018 primarily due to improved pricing and higher sales volumes resulting from growth in demand for our products combined with manufacturing cost reductions. MBU operating income for the first quarter of 2019 increased from the first quarter of 2018 primarily due to increases in pricing and sales volumes for LPDRAM products, higher sales of managed NAND products, and manufacturing cost reductions. SBU operating income for the first quarter of 2019 decreased from the first quarter of 2018 primarily due to price declines, which were partially offset by manufacturing cost reductions. SBU operating income for the first quarter of 2019 was adversely impacted by fixed costs associated with underutilization of our share of IMFT's capacity. EBU operating income for the first quarter of 2019 increased as compared to the first quarter of 2018 as a result of increased demand for DRAM products across primary markets that drove higher sales volumes and selling prices, partially offset by higher R&amp;D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SG&amp;A expenses for the first quarter of 2019 were relatively unchanged from the fourth quarter of 2018. SG&amp;A expenses for the first quarter of 2019 were 9% higher than the first quarter of 2018 primarily due to increases in consulting fees.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reviews and tests for performance and reliability. R&amp;D expenses can vary significantly depending on the timing of product qualification.</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R&amp;D expenses for the first quarter of 2019 were 8% higher than the fourth quarter of 2018 primarily due to increases in volumes of development and pre-qualification wafers and employee labor and benefit costs. R&amp;D expenses for the first quarter of 2019 were 36% higher than the first quarter of 2018 primarily due to increases in volumes of development and pre-qualification wafers, employee labor and benefit costs, and depreciation expense as a result of increases in capital spending.</w:t>
      </w:r>
    </w:p>
    <w:p>
      <w:pPr>
        <w:spacing w:after="0" w:line="187"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share the cost of certain product and process development activities under development agreements with partners, including agreements to jointly develop NAND and 3D XPoint technologies with Intel. Our R&amp;D expenses were reduced by reimbursements under these development partner arrangements of $30 million and $56 million in the first quarters of 2019 and 2018, respectively, and by $34 million in the fourth quarter of 2018. The decrease in R&amp;D reimbursements in the first quarter of 2019 was primarily due to reductions in our joint development activities with Intel for 3D XPoint technologies, which we expect to be completed in the second half of 2019. We also expect to complete our joint development activities with Intel for NAND technologies in the second half of 2019, which will further decrease R&amp;D reimbursements.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59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Income Taxes</w:t>
            </w: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5900" w:type="dxa"/>
            <w:vAlign w:val="bottom"/>
          </w:tcPr>
          <w:p>
            <w:pPr>
              <w:ind w:left="340"/>
              <w:spacing w:after="0"/>
              <w:rPr>
                <w:sz w:val="20"/>
                <w:szCs w:val="20"/>
                <w:color w:val="auto"/>
              </w:rPr>
            </w:pPr>
            <w:r>
              <w:rPr>
                <w:rFonts w:ascii="Arial" w:cs="Arial" w:eastAsia="Arial" w:hAnsi="Arial"/>
                <w:sz w:val="18"/>
                <w:szCs w:val="18"/>
                <w:color w:val="auto"/>
              </w:rPr>
              <w:t>Our income tax provision consisted of the following:</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8"/>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color w:val="auto"/>
              </w:rPr>
              <w:t>First Quarter</w:t>
            </w:r>
          </w:p>
        </w:tc>
        <w:tc>
          <w:tcPr>
            <w:tcW w:w="20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Fourth Quarter</w:t>
            </w:r>
          </w:p>
        </w:tc>
        <w:tc>
          <w:tcPr>
            <w:tcW w:w="240" w:type="dxa"/>
            <w:vAlign w:val="bottom"/>
          </w:tcPr>
          <w:p>
            <w:pPr>
              <w:spacing w:after="0"/>
              <w:rPr>
                <w:sz w:val="24"/>
                <w:szCs w:val="24"/>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First Quarter</w:t>
            </w:r>
          </w:p>
        </w:tc>
      </w:tr>
      <w:tr>
        <w:trPr>
          <w:trHeight w:val="270"/>
        </w:trPr>
        <w:tc>
          <w:tcPr>
            <w:tcW w:w="5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7"/>
        </w:trPr>
        <w:tc>
          <w:tcPr>
            <w:tcW w:w="5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excluding items below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29"/>
        </w:trPr>
        <w:tc>
          <w:tcPr>
            <w:tcW w:w="5900" w:type="dxa"/>
            <w:vAlign w:val="bottom"/>
          </w:tcPr>
          <w:p>
            <w:pPr>
              <w:ind w:left="40"/>
              <w:spacing w:after="0"/>
              <w:rPr>
                <w:sz w:val="20"/>
                <w:szCs w:val="20"/>
                <w:color w:val="auto"/>
              </w:rPr>
            </w:pPr>
            <w:r>
              <w:rPr>
                <w:rFonts w:ascii="Arial" w:cs="Arial" w:eastAsia="Arial" w:hAnsi="Arial"/>
                <w:sz w:val="18"/>
                <w:szCs w:val="18"/>
                <w:color w:val="auto"/>
                <w:w w:val="95"/>
              </w:rPr>
              <w:t>Utilization of and other changes in net deferred tax assets of MMJ, MMT, and</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900" w:type="dxa"/>
            <w:vAlign w:val="bottom"/>
          </w:tcPr>
          <w:p>
            <w:pPr>
              <w:ind w:left="200"/>
              <w:spacing w:after="0"/>
              <w:rPr>
                <w:sz w:val="20"/>
                <w:szCs w:val="20"/>
                <w:color w:val="auto"/>
              </w:rPr>
            </w:pPr>
            <w:r>
              <w:rPr>
                <w:rFonts w:ascii="Arial" w:cs="Arial" w:eastAsia="Arial" w:hAnsi="Arial"/>
                <w:sz w:val="18"/>
                <w:szCs w:val="18"/>
                <w:color w:val="auto"/>
              </w:rPr>
              <w:t>MTTW</w:t>
            </w:r>
          </w:p>
        </w:tc>
        <w:tc>
          <w:tcPr>
            <w:tcW w:w="24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Repatriation Tax, net of adjustments related to uncertain tax positions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59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r>
      <w:tr>
        <w:trPr>
          <w:trHeight w:val="67"/>
        </w:trPr>
        <w:tc>
          <w:tcPr>
            <w:tcW w:w="59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78"/>
        </w:trPr>
        <w:tc>
          <w:tcPr>
            <w:tcW w:w="5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effective tax rate increased in the first quarter of 2019 primarily as a result of the Foreign Minimum Tax. We operate in a number of tax jurisdictions outside the Unites States, including Singapore, where we have tax incentive arrangements, which expire in whole or in part at various dates through 2031, that are conditional, in part, upon meeting certain business operations and employment thresholds. The effect of tax incentive arrangements reduced our tax provision by $427 million (benefiting our diluted earnings per share by $0.36) for the first quarter of 2019, $603 million ($0.49 per diluted share) for the fourth quarter of 2018, and $391 million ($0.32 per diluted share) for the first quarter of 2018.</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Interest expense for the first quarter of 2019 declined 34% and 73% as compared to the fourth and first quarters of 2018, respectively, primarily due to decreases in debt obligations and increases in capitalized interest from higher levels of capital spending. Interest income for the first quarter of 2019 increased 12% and 65% as compared to the fourth and first quarters of 2018, respectively, primarily due to increases in cash generated from operations that was invested in short-term and long-term investments.</w:t>
      </w:r>
    </w:p>
    <w:p>
      <w:pPr>
        <w:spacing w:after="0" w:line="187" w:lineRule="exact"/>
        <w:rPr>
          <w:sz w:val="20"/>
          <w:szCs w:val="20"/>
          <w:color w:val="auto"/>
        </w:rPr>
      </w:pPr>
    </w:p>
    <w:p>
      <w:pPr>
        <w:jc w:val="both"/>
        <w:ind w:right="620" w:firstLine="324"/>
        <w:spacing w:after="0" w:line="264" w:lineRule="auto"/>
        <w:rPr>
          <w:sz w:val="20"/>
          <w:szCs w:val="20"/>
          <w:color w:val="auto"/>
        </w:rPr>
      </w:pPr>
      <w:r>
        <w:rPr>
          <w:rFonts w:ascii="Arial" w:cs="Arial" w:eastAsia="Arial" w:hAnsi="Arial"/>
          <w:sz w:val="18"/>
          <w:szCs w:val="18"/>
          <w:color w:val="auto"/>
        </w:rPr>
        <w:t>Further discussion of other operating and non-operating income and expenses can be found in the following notes contained in "Item 1. Financial Statements – Notes to Consolidated Financial Statements – Equity Plans, Other Operating Income (Expense), Net, and Other Non-Operating Income (Expense), Net" notes.</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6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We are continuously evaluating alternatives for efficiently funding our capital expenditures and ongoing operations. We expect, from time to time, to engage in a variety of financing transactions for such purposes, including the issuance of securities. We have an undrawn revolving credit facility that expires in July 2023 and provides for borrowings of up to $2.50 billion. We expect that our cash and investments, cash flows from operations, and available financing will be sufficient to meet our requirements at least through the next 12 months.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that capital expenditures in 2019 for property, plant, and equipment, net of partner contributions, to be $9 billion to $9.5 billion, focused on technology transitions and product enablement. The actual amounts for 2019 will vary depending on market conditions. As of November 29, 2018, we had commitments of approximately $2.8 billion for the acquisition of property, plant, and equipment, substantially all of which is expected to be paid within one year.</w:t>
      </w:r>
    </w:p>
    <w:p>
      <w:pPr>
        <w:spacing w:after="0" w:line="1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beginning in our fiscal 2019, which we may purchase on a discretionary basis through open-market purchases, block trades, privately-negotiated transactions, derivative transactions, and/or pursuant to Rule 10b5-1 trading plans, subject to market conditions and our ongoing determination of the best use of available cash. The repurchase authorization does not obligate us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29" w:name="page30"/>
    <w:bookmarkEnd w:id="29"/>
    <w:p>
      <w:pPr>
        <w:ind w:right="360"/>
        <w:spacing w:after="0" w:line="277" w:lineRule="auto"/>
        <w:rPr>
          <w:sz w:val="20"/>
          <w:szCs w:val="20"/>
          <w:color w:val="auto"/>
        </w:rPr>
      </w:pPr>
      <w:r>
        <w:rPr>
          <w:rFonts w:ascii="Arial" w:cs="Arial" w:eastAsia="Arial" w:hAnsi="Arial"/>
          <w:sz w:val="18"/>
          <w:szCs w:val="18"/>
          <w:color w:val="auto"/>
        </w:rPr>
        <w:t>acquire any common stock. In the first quarter of 2019, we repurchased an aggregate of 42 million shares of our common stock for $1.80 billion under an accelerated share repurchase agreement, a Rule 10b5-1 plan, and through open market repurchases.</w:t>
      </w:r>
    </w:p>
    <w:p>
      <w:pPr>
        <w:spacing w:after="0" w:line="17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At any time through December 2018, Intel can exercise its option to require us to purchase, and from January 2019 through December 2021, we can exercise our option to purchase from Intel, Intel's interest in IMFT. On October 18, 2018, we announced our intent to exercise our option to acquire Intel's interest in IMFT. Upon such exercise, Intel can elect to set the closing date of the transaction to be any time between six months and one year from the date we exercise our option. At the time of close, we expect to pay approximately $1.5 billion in cash for the transaction, dissolving Intel's noncontrolling interest in IMFT as well as IMFT Member Debt, which was $1 billion as of November 29, 2018.</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Cash and marketable investments totaled $7.13 billion and $7.28 billion as of November 29, 2018 and August 30, 2018, respectively. Our investments consist primarily of money market funds and liquid investment-grade, fixed-income securities, diversified among industries and individual issuers. To mitigate credit risk, we invest through high-credit-quality financial institutions and by policy generally limit the concentration of credit exposure by restricting the amount of investments with any single obligor.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Limitations on the Use of Cash and Investments</w:t>
      </w:r>
    </w:p>
    <w:p>
      <w:pPr>
        <w:spacing w:after="0" w:line="225" w:lineRule="exact"/>
        <w:rPr>
          <w:sz w:val="20"/>
          <w:szCs w:val="20"/>
          <w:color w:val="auto"/>
        </w:rPr>
      </w:pPr>
    </w:p>
    <w:p>
      <w:pPr>
        <w:ind w:right="220" w:firstLine="324"/>
        <w:spacing w:after="0" w:line="295" w:lineRule="auto"/>
        <w:rPr>
          <w:sz w:val="20"/>
          <w:szCs w:val="20"/>
          <w:color w:val="auto"/>
        </w:rPr>
      </w:pPr>
      <w:r>
        <w:rPr>
          <w:rFonts w:ascii="Arial" w:cs="Arial" w:eastAsia="Arial" w:hAnsi="Arial"/>
          <w:sz w:val="16"/>
          <w:szCs w:val="16"/>
          <w:b w:val="1"/>
          <w:bCs w:val="1"/>
          <w:i w:val="1"/>
          <w:iCs w:val="1"/>
          <w:color w:val="auto"/>
        </w:rPr>
        <w:t>MMJ Group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and marketable investments as of November 29, 2018 included $306 million held by the MMJ Group. As a result of the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reorganization proceedings of MMJ initiated in March 2012, and for so long as such proceedings are continuing, the MMJ Group is prohibited from paying dividends to us. In addition, pursuant to an order of the Tokyo District Court, the MMJ Group cannot make loans or advances, other than certain ordinary course advances, to us without the consent of the Tokyo District Court and may, under certain circumstances, be subject to the approval of the legal trustee. As a result, the assets of the MMJ Group are not available for use by us in our other operations. Furthermore, certain uses of the assets of the MMJ Group, including investments in certain capital expenditures, may require consent of MMJ's trustees and/or the Tokyo District Court.</w:t>
      </w:r>
    </w:p>
    <w:p>
      <w:pPr>
        <w:spacing w:after="0" w:line="156"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b w:val="1"/>
          <w:bCs w:val="1"/>
          <w:i w:val="1"/>
          <w:iCs w:val="1"/>
          <w:color w:val="auto"/>
        </w:rPr>
        <w:t>IMFT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marketable investments included $169 million held by IMFT as of November 29, 2018. Our ability to access funds held by IMFT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our other operations is subject to agreement by Intel and contractual limitations. Amounts held by IMFT are not anticipated to be available to finance our other operations.</w:t>
      </w:r>
    </w:p>
    <w:p>
      <w:pPr>
        <w:spacing w:after="0" w:line="176" w:lineRule="exact"/>
        <w:rPr>
          <w:sz w:val="20"/>
          <w:szCs w:val="20"/>
          <w:color w:val="auto"/>
        </w:rPr>
      </w:pPr>
    </w:p>
    <w:p>
      <w:pPr>
        <w:jc w:val="both"/>
        <w:ind w:right="220" w:firstLine="324"/>
        <w:spacing w:after="0" w:line="289" w:lineRule="auto"/>
        <w:rPr>
          <w:sz w:val="20"/>
          <w:szCs w:val="20"/>
          <w:color w:val="auto"/>
        </w:rPr>
      </w:pPr>
      <w:r>
        <w:rPr>
          <w:rFonts w:ascii="Arial" w:cs="Arial" w:eastAsia="Arial" w:hAnsi="Arial"/>
          <w:sz w:val="17"/>
          <w:szCs w:val="17"/>
          <w:b w:val="1"/>
          <w:bCs w:val="1"/>
          <w:i w:val="1"/>
          <w:iCs w:val="1"/>
          <w:color w:val="auto"/>
        </w:rPr>
        <w:t>Indefinitely Reinvested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November 29, 2018, the amount of cash and marketable investments held by foreign subsidiaries whose earnings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to be indefinitely reinvested consisted of all the $306 million of cash and marketable investments held by the MMJ Group. Determination of the amount of unrecognized deferred tax liabilities related to investments in these foreign subsidiaries is not practicable.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First Quarter</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3,636</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quarter of 2019, cash provided by operating activities was due primarily to net income and the effect of working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adjustments, which included a $286 million increase in inventory due to higher levels of work in process and raw materials inventories, a $192 million decrease in deferred income taxes due primarily to the utilization of deferred tax assets, and a $189 million decrease in receivables as a result of lower levels of revenue. For the first quarter of 2018, cash provided by operating activities was due primarily to net income and the effect of working capital adjustments, which included a $261 million decrease in accounts payable, accrued expenses, and other current liabilities, and a $121 million increase in receivables due to a higher level of revenue.</w:t>
      </w:r>
    </w:p>
    <w:p>
      <w:pPr>
        <w:spacing w:after="0" w:line="188" w:lineRule="exact"/>
        <w:rPr>
          <w:sz w:val="20"/>
          <w:szCs w:val="20"/>
          <w:color w:val="auto"/>
        </w:rPr>
      </w:pPr>
    </w:p>
    <w:p>
      <w:pPr>
        <w:jc w:val="both"/>
        <w:ind w:right="100" w:firstLine="324"/>
        <w:spacing w:after="0" w:line="266"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quarter of 2019, net cash used for investing activities consisted primarily of $2.46 billion of expenditures for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plant, and equipment (net of partner contributions) and $1.91 billion of net outflows from sales, maturities, and purchases of available-for-sale securities. For the first quarter of 2018, net cash used for investing activities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0" w:name="page31"/>
    <w:bookmarkEnd w:id="30"/>
    <w:p>
      <w:pPr>
        <w:ind w:right="280"/>
        <w:spacing w:after="0" w:line="277" w:lineRule="auto"/>
        <w:rPr>
          <w:sz w:val="20"/>
          <w:szCs w:val="20"/>
          <w:color w:val="auto"/>
        </w:rPr>
      </w:pPr>
      <w:r>
        <w:rPr>
          <w:rFonts w:ascii="Arial" w:cs="Arial" w:eastAsia="Arial" w:hAnsi="Arial"/>
          <w:sz w:val="18"/>
          <w:szCs w:val="18"/>
          <w:color w:val="auto"/>
        </w:rPr>
        <w:t>consisted primarily of $1.86 billion of expenditures for property, plant, and equipment (net of partner contributions), partially offset by $453 million of net inflows from sales, maturities, and purchases of available-for-sale securities.</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quarter of 2019, net cash used for financing activities consisted primarily of $1.80 billion for the acquisition of 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shares of treasury stock under an accelerated share repurchase agreement, a Rule 10b5-1 plan, and through open market repurchases and cash payments to reduce our our debt, including $413 million for scheduled repayment of other notes and capital leases and $164 million to settle conversions of notes. For the first quarter of 2018, net cash used for financing activities consisted primarily of cash payments to reduce our debt, including $2.64 billion to repurchase debt and settle conversions of notes and $109 million for scheduled repayment of other notes and capital leases. Cash used for financing activities in the first quarter of 2018 was partially offset by net proceeds of $1.36 billion from the issuance of 34 million shares of our common stock for $41.00 per share in a public offering.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Potential Settlement Obligations of Convertible Notes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Since the closing price of our common stock exceeded 130% of the conversion price per share of all our convertible notes for at least 20 trading days in the 30 trading day period ended on September 30, 2018, holders may convert such notes at any time through the calendar quarter ended December 31, 2018. Additionally, the closing price of our common stock also exceeded the thresholds for our 2032D Notes and 2033F Notes for the calendar quarter ended December 31, 2018; therefore, such notes are convertible by the holders at any time through March 31, 2019. The following table summarizes the potential settlements that we could be required to make for the calendar quarter ending December 31, 2018 if all holders converted their notes. The amounts in the table below are based on our closing share price of $37.91 as of November 29,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12"/>
          </w:tcPr>
          <w:p>
            <w:pPr>
              <w:ind w:left="40"/>
              <w:spacing w:after="0"/>
              <w:rPr>
                <w:sz w:val="20"/>
                <w:szCs w:val="20"/>
                <w:color w:val="auto"/>
              </w:rPr>
            </w:pPr>
            <w:r>
              <w:rPr>
                <w:rFonts w:ascii="Arial" w:cs="Arial" w:eastAsia="Arial" w:hAnsi="Arial"/>
                <w:sz w:val="18"/>
                <w:szCs w:val="18"/>
                <w:b w:val="1"/>
                <w:bCs w:val="1"/>
                <w:color w:val="auto"/>
              </w:rPr>
              <w:t>If Settled With Minimum Cash</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5"/>
          </w:tcPr>
          <w:p>
            <w:pPr>
              <w:ind w:left="1140"/>
              <w:spacing w:after="0"/>
              <w:rPr>
                <w:sz w:val="20"/>
                <w:szCs w:val="20"/>
                <w:color w:val="auto"/>
              </w:rPr>
            </w:pPr>
            <w:r>
              <w:rPr>
                <w:rFonts w:ascii="Arial" w:cs="Arial" w:eastAsia="Arial" w:hAnsi="Arial"/>
                <w:sz w:val="18"/>
                <w:szCs w:val="18"/>
                <w:b w:val="1"/>
                <w:bCs w:val="1"/>
                <w:color w:val="auto"/>
              </w:rPr>
              <w:t>Settlement Option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Required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Amount in Excess of</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Remainder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If Settled Entirely</w:t>
            </w: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ind w:left="200"/>
              <w:spacing w:after="0"/>
              <w:rPr>
                <w:sz w:val="20"/>
                <w:szCs w:val="20"/>
                <w:color w:val="auto"/>
              </w:rPr>
            </w:pPr>
            <w:r>
              <w:rPr>
                <w:rFonts w:ascii="Arial" w:cs="Arial" w:eastAsia="Arial" w:hAnsi="Arial"/>
                <w:sz w:val="18"/>
                <w:szCs w:val="18"/>
                <w:b w:val="1"/>
                <w:bCs w:val="1"/>
                <w:color w:val="auto"/>
              </w:rPr>
              <w:t>Principal Amount</w:t>
            </w:r>
          </w:p>
        </w:tc>
        <w:tc>
          <w:tcPr>
            <w:tcW w:w="146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4"/>
              </w:rPr>
              <w:t>Principal</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w w:val="99"/>
              </w:rPr>
              <w:t>Cash</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0"/>
              </w:rPr>
              <w:t>With Cash</w:t>
            </w:r>
          </w:p>
        </w:tc>
        <w:tc>
          <w:tcPr>
            <w:tcW w:w="0" w:type="dxa"/>
            <w:vAlign w:val="bottom"/>
          </w:tcPr>
          <w:p>
            <w:pPr>
              <w:spacing w:after="0"/>
              <w:rPr>
                <w:sz w:val="1"/>
                <w:szCs w:val="1"/>
                <w:color w:val="auto"/>
              </w:rPr>
            </w:pPr>
          </w:p>
        </w:tc>
      </w:tr>
      <w:tr>
        <w:trPr>
          <w:trHeight w:val="27"/>
        </w:trPr>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2032D Notes</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0"/>
              </w:rPr>
              <w:t>Cash and/or shares</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43"/>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2033F Notes</w:t>
            </w: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1460" w:type="dxa"/>
            <w:vAlign w:val="bottom"/>
            <w:gridSpan w:val="3"/>
          </w:tcPr>
          <w:p>
            <w:pPr>
              <w:ind w:left="20"/>
              <w:spacing w:after="0"/>
              <w:rPr>
                <w:sz w:val="20"/>
                <w:szCs w:val="20"/>
                <w:color w:val="auto"/>
              </w:rPr>
            </w:pPr>
            <w:r>
              <w:rPr>
                <w:rFonts w:ascii="Arial" w:cs="Arial" w:eastAsia="Arial" w:hAnsi="Arial"/>
                <w:sz w:val="18"/>
                <w:szCs w:val="18"/>
                <w:color w:val="auto"/>
                <w:w w:val="90"/>
              </w:rPr>
              <w:t>Cash and/or shares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2043G Notes</w:t>
            </w:r>
          </w:p>
        </w:tc>
        <w:tc>
          <w:tcPr>
            <w:tcW w:w="1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and/or shares</w:t>
            </w:r>
          </w:p>
        </w:tc>
        <w:tc>
          <w:tcPr>
            <w:tcW w:w="1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0"/>
              </w:rPr>
              <w:t>Cash and/or shares</w:t>
            </w: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Contractual Obligations</w:t>
            </w: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0" w:type="dxa"/>
            <w:vAlign w:val="bottom"/>
            <w:gridSpan w:val="2"/>
            <w:vMerge w:val="continu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00" w:type="dxa"/>
            <w:vAlign w:val="bottom"/>
            <w:gridSpan w:val="2"/>
            <w:vMerge w:val="continue"/>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9"/>
          </w:tcPr>
          <w:p>
            <w:pPr>
              <w:jc w:val="right"/>
              <w:ind w:right="520"/>
              <w:spacing w:after="0"/>
              <w:rPr>
                <w:sz w:val="20"/>
                <w:szCs w:val="20"/>
                <w:color w:val="auto"/>
              </w:rPr>
            </w:pPr>
            <w:r>
              <w:rPr>
                <w:rFonts w:ascii="Arial" w:cs="Arial" w:eastAsia="Arial" w:hAnsi="Arial"/>
                <w:sz w:val="18"/>
                <w:szCs w:val="18"/>
                <w:b w:val="1"/>
                <w:bCs w:val="1"/>
                <w:color w:val="auto"/>
                <w:w w:val="92"/>
              </w:rPr>
              <w:t>Payments Due by Period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5"/>
          </w:tcPr>
          <w:p>
            <w:pPr>
              <w:ind w:left="100"/>
              <w:spacing w:after="0"/>
              <w:rPr>
                <w:sz w:val="20"/>
                <w:szCs w:val="20"/>
                <w:color w:val="auto"/>
              </w:rPr>
            </w:pPr>
            <w:r>
              <w:rPr>
                <w:rFonts w:ascii="Arial" w:cs="Arial" w:eastAsia="Arial" w:hAnsi="Arial"/>
                <w:sz w:val="18"/>
                <w:szCs w:val="18"/>
                <w:b w:val="1"/>
                <w:bCs w:val="1"/>
                <w:color w:val="auto"/>
              </w:rPr>
              <w:t>Remainder of</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2024 and</w:t>
            </w:r>
          </w:p>
        </w:tc>
        <w:tc>
          <w:tcPr>
            <w:tcW w:w="0" w:type="dxa"/>
            <w:vAlign w:val="bottom"/>
          </w:tcPr>
          <w:p>
            <w:pPr>
              <w:spacing w:after="0"/>
              <w:rPr>
                <w:sz w:val="1"/>
                <w:szCs w:val="1"/>
                <w:color w:val="auto"/>
              </w:rPr>
            </w:pPr>
          </w:p>
        </w:tc>
      </w:tr>
      <w:tr>
        <w:trPr>
          <w:trHeight w:val="234"/>
        </w:trPr>
        <w:tc>
          <w:tcPr>
            <w:tcW w:w="200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As of November 29, 2018</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5"/>
              </w:rPr>
              <w:t>2020 - 2021</w:t>
            </w:r>
          </w:p>
        </w:tc>
        <w:tc>
          <w:tcPr>
            <w:tcW w:w="1360" w:type="dxa"/>
            <w:vAlign w:val="bottom"/>
            <w:gridSpan w:val="5"/>
          </w:tcPr>
          <w:p>
            <w:pPr>
              <w:jc w:val="right"/>
              <w:ind w:right="30"/>
              <w:spacing w:after="0"/>
              <w:rPr>
                <w:sz w:val="20"/>
                <w:szCs w:val="20"/>
                <w:color w:val="auto"/>
              </w:rPr>
            </w:pPr>
            <w:r>
              <w:rPr>
                <w:rFonts w:ascii="Arial" w:cs="Arial" w:eastAsia="Arial" w:hAnsi="Arial"/>
                <w:sz w:val="18"/>
                <w:szCs w:val="18"/>
                <w:b w:val="1"/>
                <w:bCs w:val="1"/>
                <w:color w:val="auto"/>
              </w:rPr>
              <w:t>2022 - 2023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Thereafter</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0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Notes payable</w:t>
            </w:r>
            <w:r>
              <w:rPr>
                <w:rFonts w:ascii="Arial" w:cs="Arial" w:eastAsia="Arial" w:hAnsi="Arial"/>
                <w:sz w:val="25"/>
                <w:szCs w:val="25"/>
                <w:i w:val="1"/>
                <w:iCs w:val="1"/>
                <w:color w:val="auto"/>
                <w:vertAlign w:val="superscript"/>
              </w:rPr>
              <w:t>(1)(2)</w:t>
            </w: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4,213</w:t>
            </w:r>
          </w:p>
        </w:tc>
        <w:tc>
          <w:tcPr>
            <w:tcW w:w="9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6"/>
              </w:rPr>
              <w:t>113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594</w:t>
            </w:r>
          </w:p>
        </w:tc>
        <w:tc>
          <w:tcPr>
            <w:tcW w:w="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70"/>
        </w:trPr>
        <w:tc>
          <w:tcPr>
            <w:tcW w:w="2000" w:type="dxa"/>
            <w:vAlign w:val="bottom"/>
            <w:gridSpan w:val="2"/>
          </w:tcPr>
          <w:p>
            <w:pPr>
              <w:ind w:left="40"/>
              <w:spacing w:after="0" w:line="270" w:lineRule="exact"/>
              <w:rPr>
                <w:sz w:val="20"/>
                <w:szCs w:val="20"/>
                <w:color w:val="auto"/>
              </w:rPr>
            </w:pPr>
            <w:r>
              <w:rPr>
                <w:rFonts w:ascii="Arial" w:cs="Arial" w:eastAsia="Arial" w:hAnsi="Arial"/>
                <w:sz w:val="18"/>
                <w:szCs w:val="18"/>
                <w:color w:val="auto"/>
                <w:w w:val="90"/>
              </w:rPr>
              <w:t>Capital lease obligations</w:t>
            </w:r>
            <w:r>
              <w:rPr>
                <w:rFonts w:ascii="Arial" w:cs="Arial" w:eastAsia="Arial" w:hAnsi="Arial"/>
                <w:sz w:val="25"/>
                <w:szCs w:val="25"/>
                <w:i w:val="1"/>
                <w:iCs w:val="1"/>
                <w:color w:val="auto"/>
                <w:w w:val="90"/>
                <w:vertAlign w:val="superscript"/>
              </w:rPr>
              <w:t>(2)</w:t>
            </w: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w w:val="86"/>
              </w:rPr>
              <w:t>245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0"/>
        </w:trPr>
        <w:tc>
          <w:tcPr>
            <w:tcW w:w="20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(3)</w:t>
            </w: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50"/>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3"/>
          </w:tcPr>
          <w:p>
            <w:pPr>
              <w:jc w:val="center"/>
              <w:ind w:left="21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5,762</w:t>
            </w:r>
          </w:p>
        </w:tc>
        <w:tc>
          <w:tcPr>
            <w:tcW w:w="98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w w:val="86"/>
              </w:rPr>
              <w:t>387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1,030</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w w:val="84"/>
              </w:rPr>
              <w:t>1,073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8890</wp:posOffset>
            </wp:positionV>
            <wp:extent cx="42621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ind w:left="580" w:hanging="248"/>
        <w:spacing w:after="0" w:line="225" w:lineRule="auto"/>
        <w:tabs>
          <w:tab w:leader="none" w:pos="580" w:val="left"/>
        </w:tabs>
        <w:numPr>
          <w:ilvl w:val="0"/>
          <w:numId w:val="7"/>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Amounts include MMJ Creditor Payments, convertible notes, and other notes.</w:t>
      </w:r>
    </w:p>
    <w:p>
      <w:pPr>
        <w:spacing w:after="0" w:line="2" w:lineRule="exact"/>
        <w:rPr>
          <w:rFonts w:ascii="Arial" w:cs="Arial" w:eastAsia="Arial" w:hAnsi="Arial"/>
          <w:sz w:val="25"/>
          <w:szCs w:val="25"/>
          <w:i w:val="1"/>
          <w:iCs w:val="1"/>
          <w:color w:val="auto"/>
          <w:vertAlign w:val="superscript"/>
        </w:rPr>
      </w:pPr>
    </w:p>
    <w:p>
      <w:pPr>
        <w:ind w:left="580" w:hanging="248"/>
        <w:spacing w:after="0" w:line="186" w:lineRule="auto"/>
        <w:tabs>
          <w:tab w:leader="none" w:pos="580" w:val="left"/>
        </w:tabs>
        <w:numPr>
          <w:ilvl w:val="0"/>
          <w:numId w:val="7"/>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Amounts include principal and interest.</w:t>
      </w:r>
    </w:p>
    <w:p>
      <w:pPr>
        <w:spacing w:after="0" w:line="2" w:lineRule="exact"/>
        <w:rPr>
          <w:rFonts w:ascii="Arial" w:cs="Arial" w:eastAsia="Arial" w:hAnsi="Arial"/>
          <w:sz w:val="24"/>
          <w:szCs w:val="24"/>
          <w:i w:val="1"/>
          <w:iCs w:val="1"/>
          <w:color w:val="auto"/>
          <w:vertAlign w:val="superscript"/>
        </w:rPr>
      </w:pPr>
    </w:p>
    <w:p>
      <w:pPr>
        <w:ind w:left="580" w:hanging="248"/>
        <w:spacing w:after="0" w:line="203" w:lineRule="auto"/>
        <w:tabs>
          <w:tab w:leader="none" w:pos="580" w:val="left"/>
        </w:tabs>
        <w:numPr>
          <w:ilvl w:val="0"/>
          <w:numId w:val="7"/>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Amounts include contractually obligated minimum lease payments for operating leases having an initial noncancelable term in excess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-419100</wp:posOffset>
            </wp:positionV>
            <wp:extent cx="42621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1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For a discussion of our critical accounting estimates, see "Part I – Item 7. Management's Discussion and Analysis of Financial Condition and Results of Operations" of our Annual Report on Form 10-K for the year ended August 30, 2018. Except for the critical accounting estimates associated with revenue recognition as discussed below, there have been no material changes to our critical accounting estimates since our Annual Report on Form 10-K for the year ended August 30, 2018.</w:t>
      </w:r>
    </w:p>
    <w:p>
      <w:pPr>
        <w:spacing w:after="0" w:line="183"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primarily recognized when control of the promised goods is transferred to our customers in an amount that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we expect to be entitled to in exchange for those goods. Contracts with our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1" w:name="page32"/>
    <w:bookmarkEnd w:id="31"/>
    <w:p>
      <w:pPr>
        <w:ind w:right="60"/>
        <w:spacing w:after="0" w:line="257" w:lineRule="auto"/>
        <w:rPr>
          <w:sz w:val="20"/>
          <w:szCs w:val="20"/>
          <w:color w:val="auto"/>
        </w:rPr>
      </w:pPr>
      <w:r>
        <w:rPr>
          <w:rFonts w:ascii="Arial" w:cs="Arial" w:eastAsia="Arial" w:hAnsi="Arial"/>
          <w:sz w:val="18"/>
          <w:szCs w:val="18"/>
          <w:color w:val="auto"/>
        </w:rPr>
        <w:t>customers are generally short-term in duration at fixed, negotiated prices with payment generally due shortly after delivery. We estimate a liability for returns using the expected value method based on historical rates of return. In addition, we generally offer price protection to our distributors, which is a form of variable consideration that decreases the transaction price. We estimate the amount of consideration we expect to be entitled to from sales to distributors, using the expected value method, based on historical price adjustment claims and current pricing trends. The difference between the estimated and actual amount is recognized as an adjustment to revenue.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Standards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 Financial Statements – Notes to Consolidated Financial Statements – Recently Adopted Accounting Standards."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Standards Not Yet Adopted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"Item 1. Financial Statements – Notes to Consolidated Financial Statements – Recently Issued Accounting Standards Not Yet Adopted."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1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are affected by changes in currency exchange and interest rates. For further discussion about market risk and sensitivity analysis related to changes in currency exchange rates, see "Part II - Item 7A. Quantitative and Qualitative Disclosures About Market Risk" of our Annual Report on Form 10-K for the year ended August 30, 2018.</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1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Commission's rules and forms and that such information is accumulated and communicated to our management, including the principal executive officer and principal financial officer, to allow timely decision regarding disclosure.</w:t>
      </w:r>
    </w:p>
    <w:p>
      <w:pPr>
        <w:spacing w:after="0" w:line="17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the first quarter of 2019,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1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August 30, 2018 and "Part I. Financial Information – Item 1. Financial Statements – Notes to Consolidated Financial Statements – Contingencies" and "Item 1A. Risk Factors" herein.</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1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to the factors discussed elsewhere in this Form 10-Q, the following are important factors, the order of which is not necessarily indicative of the level of risk that each poses to us, which could cause actual results or events to differ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00" w:right="259" w:bottom="1440" w:gutter="0" w:footer="0" w:header="0"/>
        </w:sectPr>
      </w:pPr>
    </w:p>
    <w:bookmarkStart w:id="32" w:name="page33"/>
    <w:bookmarkEnd w:id="32"/>
    <w:p>
      <w:pPr>
        <w:ind w:right="300"/>
        <w:spacing w:after="0" w:line="264" w:lineRule="auto"/>
        <w:rPr>
          <w:sz w:val="20"/>
          <w:szCs w:val="20"/>
          <w:color w:val="auto"/>
        </w:rPr>
      </w:pPr>
      <w:r>
        <w:rPr>
          <w:rFonts w:ascii="Arial" w:cs="Arial" w:eastAsia="Arial" w:hAnsi="Arial"/>
          <w:sz w:val="18"/>
          <w:szCs w:val="18"/>
          <w:color w:val="auto"/>
        </w:rPr>
        <w:t>materially from those contained in any forward-looking statements made by us. Our operations could also be affected by other factors that are presently unknown to us or not considered significant. Any of the factors below could have a material adverse effect on our business, results of operations, financial condition, or stock price.</w:t>
      </w:r>
    </w:p>
    <w:p>
      <w:pPr>
        <w:spacing w:after="0" w:line="17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have experienced volatility in average selling prices for our semiconductor memory and storage products which may adversely affect our business.</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We have experienced significant volatility in our average selling prices, including dramatic declines, as noted in the table below, and may continue to experience such volatility in the future.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420" w:type="dxa"/>
            <w:vAlign w:val="bottom"/>
          </w:tcPr>
          <w:p>
            <w:pPr>
              <w:ind w:left="740"/>
              <w:spacing w:after="0"/>
              <w:rPr>
                <w:sz w:val="20"/>
                <w:szCs w:val="20"/>
                <w:color w:val="auto"/>
              </w:rPr>
            </w:pPr>
            <w:r>
              <w:rPr>
                <w:rFonts w:ascii="Arial" w:cs="Arial" w:eastAsia="Arial" w:hAnsi="Arial"/>
                <w:sz w:val="18"/>
                <w:szCs w:val="18"/>
                <w:b w:val="1"/>
                <w:bCs w:val="1"/>
                <w:color w:val="auto"/>
              </w:rPr>
              <w:t>DRAM</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Trade NAND</w:t>
            </w:r>
          </w:p>
        </w:tc>
        <w:tc>
          <w:tcPr>
            <w:tcW w:w="52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58"/>
        </w:trPr>
        <w:tc>
          <w:tcPr>
            <w:tcW w:w="7020" w:type="dxa"/>
            <w:vAlign w:val="bottom"/>
          </w:tcPr>
          <w:p>
            <w:pPr>
              <w:spacing w:after="0"/>
              <w:rPr>
                <w:sz w:val="24"/>
                <w:szCs w:val="24"/>
                <w:color w:val="auto"/>
              </w:rPr>
            </w:pPr>
          </w:p>
        </w:tc>
        <w:tc>
          <w:tcPr>
            <w:tcW w:w="3880" w:type="dxa"/>
            <w:vAlign w:val="bottom"/>
            <w:gridSpan w:val="4"/>
          </w:tcPr>
          <w:p>
            <w:pPr>
              <w:jc w:val="right"/>
              <w:spacing w:after="0"/>
              <w:rPr>
                <w:sz w:val="20"/>
                <w:szCs w:val="20"/>
                <w:color w:val="auto"/>
              </w:rPr>
            </w:pPr>
            <w:r>
              <w:rPr>
                <w:rFonts w:ascii="Arial" w:cs="Arial" w:eastAsia="Arial" w:hAnsi="Arial"/>
                <w:sz w:val="18"/>
                <w:szCs w:val="18"/>
                <w:color w:val="auto"/>
              </w:rPr>
              <w:t>(percentage change in average selling prices)</w:t>
            </w:r>
          </w:p>
        </w:tc>
        <w:tc>
          <w:tcPr>
            <w:tcW w:w="520" w:type="dxa"/>
            <w:vAlign w:val="bottom"/>
          </w:tcPr>
          <w:p>
            <w:pPr>
              <w:spacing w:after="0"/>
              <w:rPr>
                <w:sz w:val="24"/>
                <w:szCs w:val="24"/>
                <w:color w:val="auto"/>
              </w:rPr>
            </w:pP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from 2017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2017 from 2016</w:t>
            </w: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 from 2015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w:t>
            </w:r>
          </w:p>
        </w:tc>
      </w:tr>
      <w:tr>
        <w:trPr>
          <w:trHeight w:val="243"/>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2015 from 2014</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(17)%</w:t>
            </w:r>
          </w:p>
        </w:tc>
      </w:tr>
      <w:tr>
        <w:trPr>
          <w:trHeight w:val="27"/>
        </w:trPr>
        <w:tc>
          <w:tcPr>
            <w:tcW w:w="7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2014 from 2013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w:t>
            </w:r>
          </w:p>
        </w:tc>
      </w:tr>
      <w:tr>
        <w:trPr>
          <w:trHeight w:val="27"/>
        </w:trPr>
        <w:tc>
          <w:tcPr>
            <w:tcW w:w="70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improve gross margins.</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gross margins are dependent in part upon continuing decreases in per gigabit manufacturing costs achieved through improvements in our manufacturing processes and product designs, including, but not limited to, process line-width, additional 3D memory layers, additional bits per cell (i.e., cell levels), architecture, number of mask layers, number of fabrication steps, and yield. In future periods, we may be unable to reduce our per gigabit manufacturing costs at sufficient levels to maintain or improve gross margins. Factors that may limit our ability to reduce costs include, but are not limited to, strategic product diversification decisions affecting product mix, the increasing complexity of manufacturing processes, difficulties in transitioning to smaller line-width process technologies, 3D memory layers, NAND cell levels, process complexity including number of mask layers and fabrication steps, manufacturing yield, technological barriers, changes in process technologies, and new products that may require relatively larger die sizes. Per gigabit manufacturing costs may also be affected by a broader product portfolio, which may have smaller production quantities and shorter product lifecycles. Our inability to maintain or improve gross margins could have a material adverse effect on our business,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and storage markets are highly competitive.</w:t>
      </w:r>
    </w:p>
    <w:p>
      <w:pPr>
        <w:spacing w:after="0" w:line="22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We face intense competition in the semiconductor memory and storage markets from a number of companies, including Intel; Samsung Electronics Co., Ltd.; SK Hynix Inc.; Toshiba Memory Corporation; and Western Digital Corporation.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In addition, some governments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that is intended to advance China's stated national policy objectives. In addition, the Chinese government may restrict us from participating in the China market or may prevent us from competing effectively with Chinese companies.</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competitors generally seek to increase silicon capacity, improve yields, and reduce die size in their product designs which may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would lead to further declines in average selling prices for our products and would materially adversely affect our business, results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33" w:name="page34"/>
    <w:bookmarkEnd w:id="33"/>
    <w:p>
      <w:pPr>
        <w:ind w:right="100"/>
        <w:spacing w:after="0" w:line="277" w:lineRule="auto"/>
        <w:rPr>
          <w:sz w:val="20"/>
          <w:szCs w:val="20"/>
          <w:color w:val="auto"/>
        </w:rPr>
      </w:pPr>
      <w:r>
        <w:rPr>
          <w:rFonts w:ascii="Arial" w:cs="Arial" w:eastAsia="Arial" w:hAnsi="Arial"/>
          <w:sz w:val="18"/>
          <w:szCs w:val="18"/>
          <w:color w:val="auto"/>
        </w:rPr>
        <w:t>operations, or financial condition. If competitors are more successful at developing or implementing new product or process technology, their products could have cost or performance advantages.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We may be unable to generate sufficient cash flows or obtain access to external financing necessary to fund our operations, make scheduled debt payments, and make adequate capital investments.</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that capital expenditures in 2019 for property, plant, and equipment, net of partner contributions, to be $9 billion to $9.5 billion, focused on technology transitions and product enablement.</w:t>
      </w:r>
    </w:p>
    <w:p>
      <w:pPr>
        <w:spacing w:after="0" w:line="18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As a result of the corporate reorganization proceedings of MMJ initiated in 2012, and for so long as such proceedings are continuing, MMJ is prohibited from paying dividends, including any cash dividends, to us and such proceedings require that excess earnings be used in MMJ's business or to fund the MMJ creditor payments. In addition, pursuant to an order of the Tokyo District Court, MMJ cannot make loans or advances, other than certain ordinary course advances, to us without the consent of the Tokyo District Court and may, under certain circumstances, be subject to approval of the legal trustee. As a result, the assets of MMJ are not available for use by us in our other operations. Furthermore, certain uses of the assets of MMJ, including certain capital expenditures of MMJ, may require consent of MMJ's trustees and/or the Tokyo District Court.</w:t>
      </w:r>
    </w:p>
    <w:p>
      <w:pPr>
        <w:spacing w:after="0" w:line="17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In the past we have utilized external sources of financing when needed. As a result of our debt levels, expected debt amortization, and general economic conditions, it may be difficult for us to obtain financing on terms acceptable to us. There can be no assurance that we will be able to generate sufficient cash flows, use cash held by MMJ to fund its capital expenditures, access capital markets or find other sources of financing to fund our operations, make debt payments,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depends on our ability to develop and produce competitive new memory and storage technologies.</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Our key semiconductor memory and storage products and technologies face technological barriers to continue to meet long-term customer needs. These barriers include potential limitations on stacking additional 3D memory layers, increasing bits per cell (i.e., cell levels), meeting higher density requirements, and improving power consumption and reliability. We may face technological barriers to continue to shrink our products at our current or historical rate, which has generally reduced per-unit cost. We have invested and expect to continue to invest in R&amp;D for new and existing products, which involves significant risk and uncertainties.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 There can be no assurance of the following:</w:t>
      </w:r>
    </w:p>
    <w:p>
      <w:pPr>
        <w:spacing w:after="0" w:line="1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successful in developing competitive new semiconductor memory and storage technologies;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technologies;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1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develop and produce advanced memory technologies, including 3D XPoint memory, a new class of non-volatile technology. There is no assurance that our efforts to develop and market new product technologies will be successful. Unsuccessful efforts to develop new semiconductor memory and storage technologies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concentration of our revenue is to a select number of customers.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In addition, any consolidation of our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800" w:right="259" w:bottom="1440" w:gutter="0" w:footer="0" w:header="0"/>
        </w:sectPr>
      </w:pPr>
    </w:p>
    <w:bookmarkStart w:id="34" w:name="page35"/>
    <w:bookmarkEnd w:id="34"/>
    <w:p>
      <w:pPr>
        <w:ind w:right="40"/>
        <w:spacing w:after="0" w:line="286" w:lineRule="auto"/>
        <w:rPr>
          <w:sz w:val="20"/>
          <w:szCs w:val="20"/>
          <w:color w:val="auto"/>
        </w:rPr>
      </w:pPr>
      <w:r>
        <w:rPr>
          <w:rFonts w:ascii="Arial" w:cs="Arial" w:eastAsia="Arial" w:hAnsi="Arial"/>
          <w:sz w:val="17"/>
          <w:szCs w:val="17"/>
          <w:color w:val="auto"/>
        </w:rPr>
        <w:t>customers could reduce the number of customers to whom our products could be sold. Our inability to meet our customers' requirements or to qualify our products with them could adversely impact our revenue. The loss of one or more of our major customers or any significant reduction in orders from, or a shift in product mix by, these customers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been served with complaints in Chinese courts alleging patent infringement.</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We have been served with complaints in Chinese courts alleging that we infringe certain Chinese patents by manufacturing and selling certain products in China. The complaints seek orders requiring us to destroy inventory of the accused products and equipment for manufacturing the accused products in China, to stop manufacturing, using, selling, and offering for sale the accused products in China, and to pay damages plus court fees.</w:t>
      </w:r>
    </w:p>
    <w:p>
      <w:pPr>
        <w:spacing w:after="0" w:line="16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unable to predict the outcome of these assertions of infringement made against us and therefore cannot estimate the range of possible loss. A determination that our products or manufacturing processes infringe the intellectual property rights of others or entering into a license agreement covering such intellectual property could result in significant liability and/or require us to make material changes to our operations in China, products, and/or manufacturing processes. Any of the foregoing could have a material adverse effect on our business, results of operations, or financial condition. (See "Part I. Financial Information – Item 1. Financial Statements – Notes to Consolidated Financial Statements –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allegations of anticompetitive conduct.</w:t>
      </w:r>
    </w:p>
    <w:p>
      <w:pPr>
        <w:spacing w:after="0" w:line="229"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On April 27, 2018, a purported class-action lawsuit was filed against Micron and other DRAM suppliers in the U.S. District Court for the Northern District of California asserting claims based on alleged price-fixing of DRAM products during the period from June 1, 2016 to February 1, 2018. Similar cases were subsequently filed in federal court in the United States, as well as in Canadian courts in Quebec, Montreal and Toronto, Ontario. The complaints seek treble monetary damages, costs, interest, attorneys' fees, and other injunctive and equitable relief.</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We are unable to predict the outcome of these matters and therefore cannot estimate the range of possible loss. The final resolution of these matters could result in significant liability and could have a material adverse effect on our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and market development may be unsuccessful.</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developing new products, including system-level memory and storage products and solutions, which complement our traditional products or leverage their underlying design or process technology. We have made significant investments in product and process technology and anticipate expending significant resources for new semiconductor product and system-level solution development over the next several years. Additionally, we are increasingly differentiating our products and solutions to meet the specific demands of our customers, which increases our reliance on our customer's ability to accurately forecast the end-customer's needs and preferences. As a result, our product demand forecasts may be impacted significantly by the strategic actions of our customers. In order to continue our success, we must develop, manufacture, and qualify the products our customers need at the time they need those products. The process to develop new products requires us to demonstrate advanced functionality and performance, often well in advance of a planned ramp of production, in order to secure design wins with our customers. In addition, some of our components have long lead-times, requiring us to place orders several months in advance of anticipated demand. Such long lead-times increase the risk of excess inventory or loss of sales in the event our forecasts vary substantially from actual demand. There can be no assurance of the following:</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our product development efforts will be successful;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successfully market these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establish or maintain key relationships with customers with specific chip set or design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we will be able to introduce new products into the market and qualify them with our customers on a timely basis; or</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margins generated from sales of these products will allow us to recover costs of development efforts.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5" w:name="page36"/>
    <w:bookmarkEnd w:id="35"/>
    <w:p>
      <w:pPr>
        <w:ind w:right="240" w:firstLine="324"/>
        <w:spacing w:after="0" w:line="277" w:lineRule="auto"/>
        <w:rPr>
          <w:sz w:val="20"/>
          <w:szCs w:val="20"/>
          <w:color w:val="auto"/>
        </w:rPr>
      </w:pPr>
      <w:r>
        <w:rPr>
          <w:rFonts w:ascii="Arial" w:cs="Arial" w:eastAsia="Arial" w:hAnsi="Arial"/>
          <w:sz w:val="18"/>
          <w:szCs w:val="18"/>
          <w:color w:val="auto"/>
        </w:rPr>
        <w:t>Our unsuccessful efforts to develop new products and solutions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ventures and strategic relationships involve numerous risks.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entered into strategic relationships, including our joint development partnership and our IMFT joint venture with Intel, to develop new manufacturing process technologies and products and to manufacture certain products. At any time through December 2018, Intel can exercise its option to require us to purchase, and from January 2019 through December 2021, we can exercise our option to purchase from Intel, Intel's interest in IMFT. On October 18, 2018, we announced our intent to exercise our option to acquire Intel's interest in IMFT. Upon such exercise, Intel can elect to set the closing date of the transaction to be any time between six months and one year from the date we exercise our option. Our joint ventures and strategic relationships are subject to various risks that could adversely affect the value of our investments and our results of operations, including the following:</w:t>
      </w:r>
    </w:p>
    <w:p>
      <w:pPr>
        <w:spacing w:after="0" w:line="192"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diverging interests between us and our partners and disagreements on the following: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ongoing or future development, manufacturing, or operational activities;</w:t>
      </w:r>
    </w:p>
    <w:p>
      <w:pPr>
        <w:spacing w:after="0" w:line="22"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amount, timing, or nature of further investments;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commercial terms in our joint ventures or strategic relationships;</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our partners;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by our partners to our proprietary product and process technology which they may use;</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transferring technology to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delays in ramping production at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control over the operations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of our partners to meet their commitments to us or our joint ventures;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differences in participation on funding capital investments in our joint ventures due to differing business models or long-term business goals;</w:t>
      </w:r>
    </w:p>
    <w:p>
      <w:pPr>
        <w:spacing w:after="0" w:line="46" w:lineRule="exact"/>
        <w:rPr>
          <w:rFonts w:ascii="Arial" w:cs="Arial" w:eastAsia="Arial" w:hAnsi="Arial"/>
          <w:sz w:val="17"/>
          <w:szCs w:val="17"/>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inadequate cash flows to fund increased capital requirements of our joint ventures;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or delays in collecting amounts due to us from our joint ventures and partners;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disputes with partners regarding the terms of arrangements or that terms of such arrangements are unfavorable; and</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that necessitate changes in the agreements with our partners.</w:t>
      </w:r>
    </w:p>
    <w:p>
      <w:pPr>
        <w:spacing w:after="0" w:line="23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Our joint ventures and strategic relationships, if unsuccessful, could have a material adverse effect on our business, results of operations, or financial condition.</w:t>
      </w:r>
    </w:p>
    <w:p>
      <w:pPr>
        <w:spacing w:after="0" w:line="166"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Increases in sales of system solutions may increase our dependency upon specific customers and our costs to develop and qualify our system solutions.</w:t>
      </w:r>
    </w:p>
    <w:p>
      <w:pPr>
        <w:spacing w:after="0" w:line="166"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in sufficient volume, quantity, and in a timely manner. If we fail to identify or develop products on a timely basis, or at all, that comply with our customers' specifications or achieve design wins with our customers, we may experience a significant adverse impact on our revenues and margins.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178"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Even if we are successful in selling system-level solutions to our customers in sufficient volume, we may be unable to generate sufficient profit if our per-unit manufacturing costs exceed our per-unit selling prices. Manufacturing system-level solutions to customer specifications requires a longer development cycle, as compared to discrete products, to design, test, and qualify, which may increase our costs. Additionally, some of our system solutions are increasingly dependent on sophisticated firmware that may require significant customization to meet customer specifications, which increases our costs and time to market. Additionally, we may need to update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016" w:right="259" w:bottom="1440" w:gutter="0" w:footer="0" w:header="0"/>
        </w:sectPr>
      </w:pPr>
    </w:p>
    <w:bookmarkStart w:id="36" w:name="page37"/>
    <w:bookmarkEnd w:id="36"/>
    <w:p>
      <w:pPr>
        <w:ind w:right="140"/>
        <w:spacing w:after="0" w:line="277" w:lineRule="auto"/>
        <w:rPr>
          <w:sz w:val="20"/>
          <w:szCs w:val="20"/>
          <w:color w:val="auto"/>
        </w:rPr>
      </w:pPr>
      <w:r>
        <w:rPr>
          <w:rFonts w:ascii="Arial" w:cs="Arial" w:eastAsia="Arial" w:hAnsi="Arial"/>
          <w:sz w:val="18"/>
          <w:szCs w:val="18"/>
          <w:color w:val="auto"/>
        </w:rPr>
        <w:t>level solutions and/or firmware in a timely manner, may result in reduced demand for our system-level products, and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52"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functions in our customers' products and may result in sharing or shifting of product or financial liability from our customers to us for costs incurred by the end user as a result of our customers' products failing to perform as specified. We could be adversely affected in several ways, including the following:</w:t>
      </w:r>
    </w:p>
    <w:p>
      <w:pPr>
        <w:spacing w:after="0" w:line="178" w:lineRule="exact"/>
        <w:rPr>
          <w:sz w:val="20"/>
          <w:szCs w:val="20"/>
          <w:color w:val="auto"/>
        </w:rPr>
      </w:pPr>
    </w:p>
    <w:p>
      <w:pPr>
        <w:ind w:left="660" w:right="3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could incur a decrease in revenue or adjustment to pricing commensurate with the reimbursement of such costs or alleged damages; and</w:t>
      </w:r>
    </w:p>
    <w:p>
      <w:pPr>
        <w:spacing w:after="0" w:line="20" w:lineRule="exact"/>
        <w:rPr>
          <w:rFonts w:ascii="Arial" w:cs="Arial" w:eastAsia="Arial" w:hAnsi="Arial"/>
          <w:sz w:val="17"/>
          <w:szCs w:val="17"/>
          <w:color w:val="auto"/>
        </w:rPr>
      </w:pPr>
    </w:p>
    <w:p>
      <w:pPr>
        <w:ind w:left="660" w:right="5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relationships with existing or potential customers.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 could adversely affect our financial condition.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restructuring of our capital structure. As of November 29, 2018, we had debt with a carrying value of $4.13 billion and may borrow up to an additional $2.50 billion under an undrawn revolving credit facility. In addition, as of November 29, 2018, the conversion value in excess of principal of our convertible notes was $877 million, based on the trading price of our common stock of $37.91 per share on such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debt obligations could adversely impact us. For example, these obligations could:</w:t>
      </w:r>
    </w:p>
    <w:p>
      <w:pPr>
        <w:spacing w:after="0" w:line="225" w:lineRule="exact"/>
        <w:rPr>
          <w:sz w:val="20"/>
          <w:szCs w:val="20"/>
          <w:color w:val="auto"/>
        </w:rPr>
      </w:pPr>
    </w:p>
    <w:p>
      <w:pPr>
        <w:ind w:left="660" w:right="22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working capital, capital expenditures, acquisitions, R&amp;D expenditures, and other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use cash and/or issue shares of our common stock to settle any conversion obligations of our convertible notes;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 in certain of our debt instruments being accelerated to be immediately due and payable or being deemed to be in default if certain terms of default are triggered, such as applicable cross payment default and/or cross-acceleration provisions;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semiconductor memory and storage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exposure to interest rate risk from variable rate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dilute our earnings per share as a result of the conversion provisions in our convertible notes; and</w:t>
      </w:r>
    </w:p>
    <w:p>
      <w:pPr>
        <w:spacing w:after="0" w:line="9" w:lineRule="exact"/>
        <w:rPr>
          <w:rFonts w:ascii="Arial" w:cs="Arial" w:eastAsia="Arial" w:hAnsi="Arial"/>
          <w:sz w:val="18"/>
          <w:szCs w:val="18"/>
          <w:color w:val="auto"/>
        </w:rPr>
      </w:pPr>
    </w:p>
    <w:p>
      <w:pPr>
        <w:ind w:left="660" w:right="38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continue to pay cash amounts substantially in excess of the principal amounts upon settlement of our convertible notes to minimize dilution of our earnings per share.</w:t>
      </w:r>
    </w:p>
    <w:p>
      <w:pPr>
        <w:spacing w:after="0" w:line="18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7" w:name="page38"/>
    <w:bookmarkEnd w:id="37"/>
    <w:p>
      <w:pPr>
        <w:ind w:right="20"/>
        <w:spacing w:after="0" w:line="257" w:lineRule="auto"/>
        <w:rPr>
          <w:sz w:val="20"/>
          <w:szCs w:val="20"/>
          <w:color w:val="auto"/>
        </w:rPr>
      </w:pPr>
      <w:r>
        <w:rPr>
          <w:rFonts w:ascii="Arial" w:cs="Arial" w:eastAsia="Arial" w:hAnsi="Arial"/>
          <w:sz w:val="18"/>
          <w:szCs w:val="18"/>
          <w:color w:val="auto"/>
        </w:rPr>
        <w:t>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protect our intellectual property or retain key employees who are knowledgeable of and develop our intellectual property.</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193"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Global competition for such skilled employees in our industry is intense. Due to the volatile nature of our industry and our operating results, a decline in our operating results and/or stock price may adversely affect our ability to retain key employees whose compensation is dependent, in part, upon the market price of our common stock, achieving certain performance metrics, levels of company profitability, or other financial or company-wide performance. If our competitors or future entrants into our industry are successful in hiring our employees, they may directly benefit from the knowledge these employees gained while they were under our employment.</w:t>
      </w:r>
    </w:p>
    <w:p>
      <w:pPr>
        <w:spacing w:after="0" w:line="193"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6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5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44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8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could have a material adverse effect on our business, results of operations, or financial condition.</w:t>
      </w:r>
    </w:p>
    <w:p>
      <w:pPr>
        <w:spacing w:after="0" w:line="229"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Any claim, with or without merit, could result in significant legal fees that could negatively impact our financial results, disrupt our operations, and require significant attention from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38" w:name="page39"/>
    <w:bookmarkEnd w:id="38"/>
    <w:p>
      <w:pPr>
        <w:ind w:right="100"/>
        <w:spacing w:after="0" w:line="253" w:lineRule="auto"/>
        <w:rPr>
          <w:sz w:val="20"/>
          <w:szCs w:val="20"/>
          <w:color w:val="auto"/>
        </w:rPr>
      </w:pPr>
      <w:r>
        <w:rPr>
          <w:rFonts w:ascii="Arial" w:cs="Arial" w:eastAsia="Arial" w:hAnsi="Arial"/>
          <w:sz w:val="18"/>
          <w:szCs w:val="18"/>
          <w:color w:val="auto"/>
        </w:rPr>
        <w:t>management. We could be subject to litigation or arbitration disputes arising from our relationships with vendors or customers, supply agreements, or contractual obligations with our subcontractors or business partners. We may also be associated with and subject to litigation arising from the actions of our subcontractors or business partners. We may also be subject to litigation as a result of indemnities we issue, primarily with our customers, the terms of our product warranties, and from product liability claims. 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There can be no assurance that we are adequately insured to protect against all claims and potential liabilities, and we may elect to self-insure with respect to certain matters. Exposures to various litigation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Additionally, our control over operations at IMFT is limited by our agreements with Intel. From time to time, there have been disruptions in the manufacturing process as a result of power outages, improperly functioning equipment, disruptions in supply of raw materials or components, equipment failures, earthquakes, or other environmental events. If production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 any of which could have a material adverse effect on our business, results of operations, or financial condition.</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Increases in tariffs or other trade restrictions or taxes on our or our customers' products or equipment and supplies could have an adverse impact on our operations.</w:t>
      </w:r>
    </w:p>
    <w:p>
      <w:pPr>
        <w:spacing w:after="0" w:line="16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2018, 88% of our revenue was from customers located outside the United States. We also purchase a significant portion of equipment and supplies from suppliers outside the United States. Additionally, a significant portion of our facilities are located outside the United States, including Taiwan, Singapore, Japan, and China. The United States and other countries have levied tariffs and taxes on certain goods. General trade tensions between the U.S. and China have been escalating in 2018, with three rounds of U.S. tariffs on Chinese goods taking effect in July, August, and September 2018, each followed by a round of retaliatory Chinese tariffs on U.S. goods. Some of our products are included in these announced tariffs. Higher duties on existing tariffs and further rounds of tariffs have been announced or threatened by U.S. and Chinese leaders. For example, a U.S. tariff on Chinese goods, including certain of our products, was scheduled to increase from 10% to 25% on January 1, 2019; however, that increase has been delayed for 90 days pending trade negotiations between the U.S. and China. If the U.S. were to impose additional tariffs on components that we or our suppliers source from China, our cost for such components would increase. We may also incur increases in manufacturing costs due to our efforts to mitigate the impact of tariffs on our customers and our operations. Additionally, tariffs on our customers' products could impact their sales of such end products, resulting in lower demand for our products. Further changes in trade policy, tariffs, additional taxes,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which could have a material adverse effect on our business, results of operations, or financial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highly skilled employees.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To remain competitive, we must attract, retain, and motivate executives and other highly skilled employees. Hiring and retaining qualified executives, engineers, technical staff, and sales representatives are critical to our business, and competition for experienced employees in our industry can be intense. Our inability to attract and retain key employees may inhibit our ability to expand our business operations. Additionally, changes to immigration policies in the numerous countries in which we operate, including the United States, may limit our ability to hire and/or retain talent in specific locations. If our total compensation programs and workplace culture cease to be viewed as competitive, our ability to attract, retain, and motivate employees could be weakened, which could have a material adverse effect on our business, results of operations, or financial condition.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0" w:right="259" w:bottom="1440" w:gutter="0" w:footer="0" w:header="0"/>
        </w:sectPr>
      </w:pPr>
    </w:p>
    <w:bookmarkStart w:id="39" w:name="page40"/>
    <w:bookmarkEnd w:id="39"/>
    <w:p>
      <w:pPr>
        <w:ind w:right="460"/>
        <w:spacing w:after="0" w:line="282" w:lineRule="auto"/>
        <w:rPr>
          <w:sz w:val="20"/>
          <w:szCs w:val="20"/>
          <w:color w:val="auto"/>
        </w:rPr>
      </w:pPr>
      <w:r>
        <w:rPr>
          <w:rFonts w:ascii="Arial" w:cs="Arial" w:eastAsia="Arial" w:hAnsi="Arial"/>
          <w:sz w:val="18"/>
          <w:szCs w:val="18"/>
          <w:b w:val="1"/>
          <w:bCs w:val="1"/>
          <w:color w:val="auto"/>
        </w:rPr>
        <w:t>The acquisition of our ownership interest in Inotera from Qimonda has been challenged by the administrator of the insolvency proceedings for Qimonda.</w:t>
      </w:r>
    </w:p>
    <w:p>
      <w:pPr>
        <w:spacing w:after="0" w:line="16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January 20, 2011, Dr. Michael Jaffé, administrator for Qimonda's insolvency proceedings, filed suit against Micron and Micron Semiconductor B.V., our Netherlands subsidiary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as of November 29, 2018,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178"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w:t>
      </w:r>
    </w:p>
    <w:p>
      <w:pPr>
        <w:ind w:right="20" w:firstLine="8"/>
        <w:spacing w:after="0" w:line="268"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ordering Micron B.V. to disclose certain information with respect to any Inotera Shares sold by it to third parties; (3) 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have no immediate, enforceable effect on us, and, accordingly, we expect to be able to continue to operate with full control of the Inotera Shares subject to further developments in the case. We have filed a notice of appeal, and the parties have submitted briefs to the appeals court.</w:t>
      </w:r>
    </w:p>
    <w:p>
      <w:pPr>
        <w:spacing w:after="0" w:line="182"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are unable to predict the outcome of the matter and, therefore, cannot estimate the range of possible loss. The final resolution of this lawsuit could result in the loss of the Inotera Shares or monetary damages, unspecified damages based on the benefits derived by Micron B.V. from the ownership of the Inotera Shares, and/or the termination of the patent cross-license, which could have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Breaches of our security systems could expose us to losses.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or employees may gain access to our facilities or network systems to steal trade secrets or other proprietary information, compromise confidential information, create system disruptions, or cause shutdowns. These parties may also be able to develop and deploy viruses, worms, and other malicious software programs that disrupt our operations and create security vulnerabilities. Breaches of our physical security and attacks on our network systems could result in significant losses and damage our reputation with customers and suppliers and may expose us to litigation if the confidential information of our customers, suppliers, or employees is compromised, which could have a material adverse effect on our business, results of operations, or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Across our global operations, significant transactions and balances are denominated in currencies other than the U.S. dollar (our reporting currency), primarily the euro, Singapore dollar, New Taiwan dollar, and yen. Although we hedge our primary exposures to changes in currency exchange rates from our monetary assets and liabilities, the effectiveness of these hedges is dependent upon our ability to accurately forecast our monetary assets and liabilities. In addition, a significant portion of our manufacturing costs are denominated in foreign currencies. Exchange rates for some of these currencies against the U.S. dollar, particularly the yen, have been volatile in recent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013"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We may make future acquisitions and/or alliances, which involve numerous risks.</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realize synergies or other expected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technological advancements, or worse-than-expected performance of the acquired business.</w:t>
      </w:r>
    </w:p>
    <w:p>
      <w:pPr>
        <w:spacing w:after="0" w:line="184"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previous years, supply of memory and storage products has significantly exceeded customer demand resulting in significant declines in average selling prices. 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17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business, results of operations, or financial condition could be adversely affected by the limited availability and quality of materials, supplies, and capital equipment, or the dependency on third-party service providers.</w:t>
      </w:r>
    </w:p>
    <w:p>
      <w:pPr>
        <w:spacing w:after="0" w:line="16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raw materials and services. However, only a limited number of suppliers are capable of delivering certain raw materials and services that meet our standards and, in some cases, materials, components, or services are provided by a single supplier. Various factors could reduce the availability of raw materials or components such as chemicals, silicon wafers, gases, photoresist, controllers, substrates, lead frames, printed circuit boards, targets, and reticle glass blanks. Shortages or increases in lead times may occur from time to time in the future. Our manufacturing processes are also dependent on our relationships with third-party manufacturers of controllers used in a number of our products and with outsourced semiconductor assembly and test providers, contract manufacturers, logistic carriers, and other service providers. Certain raw materials are primarily available in certain countries, including rare earth minerals available primarily from China, and trade disputes or other political or economic conditions may limit our availability to obtain such raw materials. We and/or our suppliers and service providers could be affected by tariffs, embargoes or other trade restrictions, as well as laws and regulations enacted in response to concerns regarding climate change, conflict minerals, and responsible sourcing practices, which could limit the supply of our raw materials and/or increase the cost. In addition, disruptions in transportation lines could delay our receipt of raw materials. Lead times for the supply of raw materials have been extended in the past. The disruption of our supply of raw materials, components, services, or the extension of our lead times could have a material adverse effect on our business, results of operations, or financial condition.</w:t>
      </w:r>
    </w:p>
    <w:p>
      <w:pPr>
        <w:spacing w:after="0" w:line="17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at new facilities and could increase our overall costs of a ramp. Our inability to obtain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96" w:right="239" w:bottom="1440" w:gutter="0" w:footer="0" w:header="0"/>
        </w:sectPr>
      </w:pPr>
    </w:p>
    <w:bookmarkStart w:id="41" w:name="page42"/>
    <w:bookmarkEnd w:id="41"/>
    <w:p>
      <w:pPr>
        <w:ind w:right="40"/>
        <w:spacing w:after="0" w:line="277" w:lineRule="auto"/>
        <w:rPr>
          <w:sz w:val="20"/>
          <w:szCs w:val="20"/>
          <w:color w:val="auto"/>
        </w:rPr>
      </w:pPr>
      <w:r>
        <w:rPr>
          <w:rFonts w:ascii="Arial" w:cs="Arial" w:eastAsia="Arial" w:hAnsi="Arial"/>
          <w:sz w:val="18"/>
          <w:szCs w:val="18"/>
          <w:color w:val="auto"/>
        </w:rPr>
        <w:t>advanced semiconductor manufacturing equipment in a timely manner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the worldwide economy may harm our business.</w:t>
      </w:r>
    </w:p>
    <w:p>
      <w:pPr>
        <w:spacing w:after="0" w:line="229"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Downturns in the worldwide economy have harmed our business in the past and future downturns could also adversely affect our business. Adverse economic conditions affect demand for devices that incorporate our products, such as personal computers, mobile devices, SSDs, and servers. Reduced demand for these products could result in significant decreases in our average selling prices and product sales. A deterioration of current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could be affected by natural disasters and other events in the locations in which we or our customers or suppliers operate.</w:t>
      </w:r>
    </w:p>
    <w:p>
      <w:pPr>
        <w:spacing w:after="0" w:line="29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We have manufacturing and other operations in locations subject to natural occurrences such as severe weather and geological events, including earthquakes or tsunamis, that could disrupt operations or result in construction delays. In addition, our suppliers and customers also have operations in such locations. A natural disaster, fire, explosion, or other event that results in a prolonged disruption to our operations, or the operations of our customers or suppliers, could have a material adverse effect on our business, results of operations, or financial condition.</w:t>
      </w:r>
    </w:p>
    <w:p>
      <w:pPr>
        <w:spacing w:after="0" w:line="16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Our incentives from various governments are conditional upon achieving or maintaining certain performance obligations and are subject to reduction, termination, or clawback.</w:t>
      </w:r>
    </w:p>
    <w:p>
      <w:pPr>
        <w:spacing w:after="0" w:line="16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perform or maintain certain levels of investment, capital spending, employment, technology deployment, or research and development activities to qualify for such incentives. We cannot guarantee that we will successfully achieve performance obligations required to qualify for these incentives or that the granting agencies will provide such funding. These incentive arrangements typically provide the granting agencies with rights to audit our performance with the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tax laws in key jurisdictions could materially increase our tax expense.</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are subject to income taxes in the U.S. and many foreign jurisdictions. Changes to income tax laws and regulations in any of the jurisdictions in which we operate, or in the interpretation of such laws, could significantly increase our effective tax rate and ultimately reduce our cash flow from operating activities and otherwise have a material adverse effect on our financial condition. For example, as a result of the Tax Cuts and Jobs Act (the "Tax Act") enacted on December 22, 2017 by the United States, our effective tax rate increased to 12.6% in the first quarter of 2019, depending on the amount and geographic mix of our taxable income. Additionally, various levels of government are increasingly focused on tax reform and other legislative action to increase tax revenue. Further changes in the tax laws of foreign jurisdictions could arise as a result of the base erosion and profit shifting project undertaken by the Organization for Economic Co-operation and Development, which represents a coalition of member countries and recommended changes to numerous long-standing tax principles. If adopted by countries, such changes, as well as changes in U.S. federal and state tax laws or in taxing jurisdictions' administrative interpretations, decisions, policies, and positions,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tax expense or become subject to additional tax exposure.</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We operate in a number of locations outside the United States, including Singapore, where we have tax incentive arrangements that are conditional, in part, upon meeting certain business operations and employment thresholds. Our domestic and international taxes are dependent upon the geographic mix of our earnings among these jurisdictions. Our provision for income taxes and cash tax liabilities in the future could be adversely affected by numerous factors, including challenges by tax</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800" w:right="259" w:bottom="1440" w:gutter="0" w:footer="0" w:header="0"/>
        </w:sectPr>
      </w:pPr>
    </w:p>
    <w:bookmarkStart w:id="42" w:name="page43"/>
    <w:bookmarkEnd w:id="42"/>
    <w:p>
      <w:pPr>
        <w:ind w:right="240"/>
        <w:spacing w:after="0" w:line="297" w:lineRule="auto"/>
        <w:rPr>
          <w:sz w:val="20"/>
          <w:szCs w:val="20"/>
          <w:color w:val="auto"/>
        </w:rPr>
      </w:pPr>
      <w:r>
        <w:rPr>
          <w:rFonts w:ascii="Arial" w:cs="Arial" w:eastAsia="Arial" w:hAnsi="Arial"/>
          <w:sz w:val="16"/>
          <w:szCs w:val="16"/>
          <w:color w:val="auto"/>
        </w:rPr>
        <w:t>authorities to our tax positions and intercompany transfer pricing agreements, failure to meet performance obligations with respect to tax incentive agreements, and changes in tax laws and regulations. Additionally, we file income tax returns with the U.S. federal government, various U.S. states, and various other jurisdictions throughout the world and certain tax returns may remain open to examination for several years. The results of audits and examinations of previously filed tax returns and continuing assessments of our tax exposures may have an adverse effect on our provision for income taxes and cash tax liability. The foregoing items could have a material adverse effect on our business, results of operations, or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restructuring charges in future periods.</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15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600" w:firstLine="324"/>
        <w:spacing w:after="0" w:line="286" w:lineRule="auto"/>
        <w:rPr>
          <w:sz w:val="20"/>
          <w:szCs w:val="20"/>
          <w:color w:val="auto"/>
        </w:rPr>
      </w:pPr>
      <w:r>
        <w:rPr>
          <w:rFonts w:ascii="Arial" w:cs="Arial" w:eastAsia="Arial" w:hAnsi="Arial"/>
          <w:sz w:val="17"/>
          <w:szCs w:val="17"/>
          <w:color w:val="auto"/>
        </w:rPr>
        <w:t>A substantial majority of our consolidated revenue is from customers located outside the United States. In addition, a substantial portion of our manufacturing operations are located outside the United States. In particular, a significant portion of our manufacturing operations are concentrated in Singapore, Taiwan, Japan, and China. Our international sales and operations are subject to a variety of risks, including:</w:t>
      </w:r>
    </w:p>
    <w:p>
      <w:pPr>
        <w:spacing w:after="0" w:line="16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customs regulations and processes, and restrictions on the transfer of funds;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export and import laws, and similar rules and regulations;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to manufacturing operations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1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Many of our customers, suppliers, and vendors operate internationally and are also subject to the foregoing risks. For example, the United States government has in the past banned American firms from selling products and software to certain of our customers and may in the future impose similar bans or other restrictions on sales to one or more of our significant customers. If we or our customers, suppliers, or vendors are impacted by these risks, it could have a material adverse effect on our business, results of operations, or financial condition.</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Compliance with customer requirements and regulations regarding the use of conflict minerals could limit the supply and increase the cost of certain metals used in manufacturing our products.</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Increased focus on environmental protection and social responsibility initiatives led to the passage of Section 1502 of the Dodd-Frank Wall Street Reform and Consumer Protection Act of 2010 (the "Dodd-Frank Act") and its implementing SEC regulations. The Dodd-Frank Act imposes supply chain diligence and disclosure requirements for certain manufacturers of products containing specific minerals that may originate in or near the Democratic Republic of the Congo (the "DRC") and finance or benefit local armed groups. These "conflict minerals" are commonly found in materials used in the manufacture of semiconductors. The implementation of these regulations may limit the sourcing and availability of some of these materials. This in turn may affect our ability to obtain materials necessary for the manufacture of our products in sufficient quantities and may affect related material pricing. Some of our customers may elect to disqualify us as a supplier or reduce purchases from us if we are unable to verify that our products are DRC conflict free. In addition, many of our customers have or are planning 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3" w:name="page44"/>
    <w:bookmarkEnd w:id="43"/>
    <w:p>
      <w:pPr>
        <w:ind w:right="340"/>
        <w:spacing w:after="0" w:line="264" w:lineRule="auto"/>
        <w:rPr>
          <w:sz w:val="20"/>
          <w:szCs w:val="20"/>
          <w:color w:val="auto"/>
        </w:rPr>
      </w:pPr>
      <w:r>
        <w:rPr>
          <w:rFonts w:ascii="Arial" w:cs="Arial" w:eastAsia="Arial" w:hAnsi="Arial"/>
          <w:sz w:val="18"/>
          <w:szCs w:val="18"/>
          <w:color w:val="auto"/>
        </w:rPr>
        <w:t>adopt responsible sourcing programs with requirements that our broader in terms of minerals and geographies than DRC conflict minerals programs. Our inability to comply with requirements regarding the use of conflict and other minerals could have a material adverse effect on our business, results of operations,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and others are subject to a variety of laws and regulations that may result in additional costs and liabilities.</w:t>
      </w:r>
    </w:p>
    <w:p>
      <w:pPr>
        <w:spacing w:after="0" w:line="229"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manufacturing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of these laws or regulations could cause us to incur additional direct costs, as well as increased indirect costs related to our relationships with our customers and suppliers, and otherwise harm our operations and financial condition. Any failure to comply with these laws or regulations could adversely impact our reputation and our financial results. Additionally, we engage various third parties to represent us or otherwise act on our behalf and we partner with other companies in our joint ventures, all of whom are also subject to a broad array of laws and regulations. Our engagement with these third parties and our ownership in these joint ventures may also expose us to risks associated with their respective compliance with these laws and regulations. As a result of these items, we could experience the following:</w:t>
      </w:r>
    </w:p>
    <w:p>
      <w:pPr>
        <w:spacing w:after="0" w:line="1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suspension of production;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1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Our failure, or the failure of our third-party agents or joint ventures, to comply with these laws and regulations could have a material adverse effect on our business,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counterparty default risks.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numerous arrangements with financial institutions that subject us to counterparty default risks, including cash deposits, investments, capped call contracts on our common stock, and derivative instruments. As a result, we are subject to the risk that the counterparty to one or more of these arrangements will default on its performance obligations. A counterparty may not comply with their contractual commitments which could then lead to their defaulting on their obligations with little or no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17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The operations of MMJ are subject to continued oversight by the Tokyo District Court during the pendency of the corporate reorganization proceedings.</w:t>
      </w:r>
    </w:p>
    <w:p>
      <w:pPr>
        <w:spacing w:after="0" w:line="16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Because MMJ's plan of reorganization provides for ongoing payments to creditors following the closing of our acquisition of MMJ, the reorganization proceedings in Japan (the "Japan Proceedings") are continuing and MMJ remains subject to the oversight of the Tokyo District Court and of the trustees (including a trustee designated by us, who we refer to as the business trustee, and a trustee designated by the Tokyo District Court, who we refer to as the legal trustee), pending completion of the reorganization proceedings. The business trustee is responsible for overseeing the operation of the business of MMJ, other than oversight in relation to acts that need to be carried out in connection with the Japan Proceedings, which are the responsibility of the legal trustee. MMJ's reorganization proceedings in Japan, and oversight of the Tokyo District Court, will continue until the final creditor payment is made under MMJ's plan of reorganization, which is scheduled to occur in December 2019, but may occur on a later date to the extent any claims of creditors remain unfixed on the final scheduled installment payment date. MMJ may petition the Tokyo District Court for an early termination of the reorganization proceedings once two-thirds of all payments under the plan of reorganization are made. Although such early terminations are customarily granted, there can be no assurance that the Tokyo District Court will grant any such petition in this particular case.</w:t>
      </w:r>
    </w:p>
    <w:p>
      <w:pPr>
        <w:spacing w:after="0" w:line="17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During the pendency of the reorganization proceedings in Japan, MMJ is obligated to provide periodic financial reports to the Tokyo District Court and may be required to obtain the consent of the Tokyo District Court prior to taking a number of significant actions relating to its businesses, including transferring or disposing of, or acquiring, certain material assets, incurring or guaranteeing material indebtedness, settling material disputes, or entering into certain material agreements. The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801" w:right="279" w:bottom="1440" w:gutter="0" w:footer="0" w:header="0"/>
        </w:sectPr>
      </w:pPr>
    </w:p>
    <w:bookmarkStart w:id="44" w:name="page45"/>
    <w:bookmarkEnd w:id="44"/>
    <w:p>
      <w:pPr>
        <w:ind w:right="180"/>
        <w:spacing w:after="0" w:line="276" w:lineRule="auto"/>
        <w:rPr>
          <w:sz w:val="20"/>
          <w:szCs w:val="20"/>
          <w:color w:val="auto"/>
        </w:rPr>
      </w:pPr>
      <w:r>
        <w:rPr>
          <w:rFonts w:ascii="Arial" w:cs="Arial" w:eastAsia="Arial" w:hAnsi="Arial"/>
          <w:sz w:val="17"/>
          <w:szCs w:val="17"/>
          <w:color w:val="auto"/>
        </w:rPr>
        <w:t>consent of the legal trustee may also be required for matters that would likely have a material impact on the operations or assets of MMJ or for transfers of material assets, to the extent the matters or transfers would reasonably be expected to materially and adversely affect execution of MMJ's plan of reorganization. Accordingly, during the pendency of the reorganization proceedings in Japan, our ability to operate MMJ as part of our global business or to cause MMJ to take certain actions that we deem advisable for its business could be adversely affected if the Tokyo District Court or the legal trustee is unwilling to consent to various actions that we may wish to take with respect to MMJ.</w:t>
      </w:r>
    </w:p>
    <w:p>
      <w:pPr>
        <w:spacing w:after="0" w:line="173"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operations of MMJ being subject to the continued oversight by the Tokyo District Court during the pendency of the corporate reorganization proceedings could have a material adverse effect on our business, results of operations, or financial condition.</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219"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In May 2018, we announced that our Board of Directors had authorized the discretionary repurchase of up to $10 billion of our outstanding common stock beginning in 2019. We may purchase shares on a discretionary basis through open-market purchases, block trades, privately-negotiated transactions, and/or derivative transactions, subject to market conditions and our ongoing determination of the best use of available cash. The repurchase authorization does not obligate us to acquire any common stock. In the first quarter of 2019, we repurchased an aggregate of 42 million shares of our common stock for $1.80 billion under an accelerated share repurchase agreement, Rule 10b5-1 plans, and through open market repurchases. The shares were recorded as treasury stock.</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(d) Maximum number (or</w:t>
            </w:r>
          </w:p>
        </w:tc>
      </w:tr>
      <w:tr>
        <w:trPr>
          <w:trHeight w:val="216"/>
        </w:trPr>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4"/>
              </w:rPr>
              <w:t>(a) Total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(c) Total number of shares</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approximate dollar value) of</w:t>
            </w:r>
          </w:p>
        </w:tc>
      </w:tr>
      <w:tr>
        <w:trPr>
          <w:trHeight w:val="216"/>
        </w:trPr>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 Average</w:t>
            </w:r>
          </w:p>
        </w:tc>
        <w:tc>
          <w:tcPr>
            <w:tcW w:w="2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(or units) purchased as</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shares (or units) that may yet be</w:t>
            </w:r>
          </w:p>
        </w:tc>
      </w:tr>
      <w:tr>
        <w:trPr>
          <w:trHeight w:val="216"/>
        </w:trPr>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2"/>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price paid</w:t>
            </w:r>
          </w:p>
        </w:tc>
        <w:tc>
          <w:tcPr>
            <w:tcW w:w="24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part of publicly announced</w:t>
            </w:r>
          </w:p>
        </w:tc>
        <w:tc>
          <w:tcPr>
            <w:tcW w:w="2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 under publicly</w:t>
            </w:r>
          </w:p>
        </w:tc>
      </w:tr>
      <w:tr>
        <w:trPr>
          <w:trHeight w:val="234"/>
        </w:trPr>
        <w:tc>
          <w:tcPr>
            <w:tcW w:w="1520" w:type="dxa"/>
            <w:vAlign w:val="bottom"/>
          </w:tcPr>
          <w:p>
            <w:pPr>
              <w:spacing w:after="0"/>
              <w:rPr>
                <w:sz w:val="20"/>
                <w:szCs w:val="20"/>
                <w:color w:val="auto"/>
              </w:rPr>
            </w:pPr>
          </w:p>
        </w:tc>
        <w:tc>
          <w:tcPr>
            <w:tcW w:w="2400" w:type="dxa"/>
            <w:vAlign w:val="bottom"/>
            <w:gridSpan w:val="3"/>
          </w:tcPr>
          <w:p>
            <w:pPr>
              <w:ind w:left="120"/>
              <w:spacing w:after="0"/>
              <w:rPr>
                <w:sz w:val="20"/>
                <w:szCs w:val="20"/>
                <w:color w:val="auto"/>
              </w:rPr>
            </w:pPr>
            <w:r>
              <w:rPr>
                <w:rFonts w:ascii="Arial" w:cs="Arial" w:eastAsia="Arial" w:hAnsi="Arial"/>
                <w:sz w:val="18"/>
                <w:szCs w:val="18"/>
                <w:b w:val="1"/>
                <w:bCs w:val="1"/>
                <w:color w:val="auto"/>
              </w:rPr>
              <w:t>Period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per share</w:t>
            </w:r>
          </w:p>
        </w:tc>
        <w:tc>
          <w:tcPr>
            <w:tcW w:w="2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plans or programs</w:t>
            </w:r>
          </w:p>
        </w:tc>
        <w:tc>
          <w:tcPr>
            <w:tcW w:w="26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announced plans or programs</w:t>
            </w:r>
          </w:p>
        </w:tc>
      </w:tr>
      <w:tr>
        <w:trPr>
          <w:trHeight w:val="27"/>
        </w:trPr>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1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31, 2018</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October 4, 2018</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25,691,192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25,691,192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43"/>
        </w:trPr>
        <w:tc>
          <w:tcPr>
            <w:tcW w:w="1520" w:type="dxa"/>
            <w:vAlign w:val="bottom"/>
          </w:tcPr>
          <w:p>
            <w:pPr>
              <w:ind w:left="40"/>
              <w:spacing w:after="0"/>
              <w:rPr>
                <w:sz w:val="20"/>
                <w:szCs w:val="20"/>
                <w:color w:val="auto"/>
              </w:rPr>
            </w:pPr>
            <w:r>
              <w:rPr>
                <w:rFonts w:ascii="Arial" w:cs="Arial" w:eastAsia="Arial" w:hAnsi="Arial"/>
                <w:sz w:val="18"/>
                <w:szCs w:val="18"/>
                <w:color w:val="auto"/>
              </w:rPr>
              <w:t>October 5, 2018</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60"/>
              <w:spacing w:after="0"/>
              <w:rPr>
                <w:sz w:val="20"/>
                <w:szCs w:val="20"/>
                <w:color w:val="auto"/>
              </w:rPr>
            </w:pPr>
            <w:r>
              <w:rPr>
                <w:rFonts w:ascii="Arial" w:cs="Arial" w:eastAsia="Arial" w:hAnsi="Arial"/>
                <w:sz w:val="18"/>
                <w:szCs w:val="18"/>
                <w:color w:val="auto"/>
              </w:rPr>
              <w:t>November 1, 2018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11,494,319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11,494,319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tcPr>
          <w:p>
            <w:pPr>
              <w:spacing w:after="0"/>
              <w:rPr>
                <w:sz w:val="21"/>
                <w:szCs w:val="21"/>
                <w:color w:val="auto"/>
              </w:rPr>
            </w:pPr>
          </w:p>
        </w:tc>
      </w:tr>
      <w:tr>
        <w:trPr>
          <w:trHeight w:val="27"/>
        </w:trPr>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70"/>
        </w:trPr>
        <w:tc>
          <w:tcPr>
            <w:tcW w:w="1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November 2, 2018</w:t>
            </w:r>
          </w:p>
        </w:tc>
        <w:tc>
          <w:tcPr>
            <w:tcW w:w="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November 29, 2018</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5,220,139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40.78</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5,220,139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spacing w:after="0"/>
              <w:rPr>
                <w:sz w:val="23"/>
                <w:szCs w:val="23"/>
                <w:color w:val="auto"/>
              </w:rPr>
            </w:pPr>
          </w:p>
        </w:tc>
      </w:tr>
      <w:tr>
        <w:trPr>
          <w:trHeight w:val="257"/>
        </w:trPr>
        <w:tc>
          <w:tcPr>
            <w:tcW w:w="1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42,405,650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8,196,303,572</w:t>
            </w:r>
          </w:p>
        </w:tc>
      </w:tr>
      <w:tr>
        <w:trPr>
          <w:trHeight w:val="20"/>
        </w:trPr>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considered common stock repurchases under an authorized common stock repurchase plan and accordingly are excluded from the amounts in the table above.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6. Exhibits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Filing</w:t>
            </w:r>
          </w:p>
        </w:tc>
      </w:tr>
      <w:tr>
        <w:trPr>
          <w:trHeight w:val="234"/>
        </w:trPr>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Number</w:t>
            </w:r>
          </w:p>
        </w:tc>
        <w:tc>
          <w:tcPr>
            <w:tcW w:w="5660" w:type="dxa"/>
            <w:vAlign w:val="bottom"/>
            <w:gridSpan w:val="10"/>
          </w:tcPr>
          <w:p>
            <w:pPr>
              <w:ind w:left="1980"/>
              <w:spacing w:after="0"/>
              <w:rPr>
                <w:sz w:val="20"/>
                <w:szCs w:val="20"/>
                <w:color w:val="auto"/>
              </w:rPr>
            </w:pPr>
            <w:r>
              <w:rPr>
                <w:rFonts w:ascii="Arial" w:cs="Arial" w:eastAsia="Arial" w:hAnsi="Arial"/>
                <w:sz w:val="18"/>
                <w:szCs w:val="18"/>
                <w:b w:val="1"/>
                <w:bCs w:val="1"/>
                <w:color w:val="auto"/>
              </w:rPr>
              <w:t>Description of Exhibit</w:t>
            </w:r>
          </w:p>
        </w:tc>
        <w:tc>
          <w:tcPr>
            <w:tcW w:w="9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Herewith</w:t>
            </w:r>
          </w:p>
        </w:tc>
        <w:tc>
          <w:tcPr>
            <w:tcW w:w="860" w:type="dxa"/>
            <w:vAlign w:val="bottom"/>
          </w:tcPr>
          <w:p>
            <w:pPr>
              <w:ind w:left="260"/>
              <w:spacing w:after="0"/>
              <w:rPr>
                <w:sz w:val="20"/>
                <w:szCs w:val="20"/>
                <w:color w:val="auto"/>
              </w:rPr>
            </w:pPr>
            <w:r>
              <w:rPr>
                <w:rFonts w:ascii="Arial" w:cs="Arial" w:eastAsia="Arial" w:hAnsi="Arial"/>
                <w:sz w:val="18"/>
                <w:szCs w:val="18"/>
                <w:b w:val="1"/>
                <w:bCs w:val="1"/>
                <w:color w:val="auto"/>
              </w:rPr>
              <w:t>Form</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Ending</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Appendix</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108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10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3.1</w:t>
            </w:r>
          </w:p>
        </w:tc>
        <w:tc>
          <w:tcPr>
            <w:tcW w:w="5660" w:type="dxa"/>
            <w:vAlign w:val="bottom"/>
            <w:gridSpan w:val="10"/>
            <w:shd w:val="clear" w:color="auto" w:fill="CCEEFF"/>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Restated Certificate of Incorporation of the Registrant</w:t>
              </w:r>
            </w:hyperlink>
          </w:p>
        </w:tc>
        <w:tc>
          <w:tcPr>
            <w:tcW w:w="980" w:type="dxa"/>
            <w:vAlign w:val="bottom"/>
            <w:shd w:val="clear" w:color="auto" w:fill="CCEEFF"/>
          </w:tcPr>
          <w:p>
            <w:pPr>
              <w:spacing w:after="0"/>
              <w:rPr>
                <w:sz w:val="21"/>
                <w:szCs w:val="21"/>
                <w:color w:val="auto"/>
              </w:rPr>
            </w:pPr>
          </w:p>
        </w:tc>
        <w:tc>
          <w:tcPr>
            <w:tcW w:w="8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8-K</w:t>
            </w:r>
          </w:p>
        </w:tc>
        <w:tc>
          <w:tcPr>
            <w:tcW w:w="8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99.2</w:t>
            </w:r>
          </w:p>
        </w:tc>
        <w:tc>
          <w:tcPr>
            <w:tcW w:w="9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1/26/15</w:t>
            </w:r>
          </w:p>
        </w:tc>
      </w:tr>
      <w:tr>
        <w:trPr>
          <w:trHeight w:val="203"/>
        </w:trPr>
        <w:tc>
          <w:tcPr>
            <w:tcW w:w="10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3.2</w:t>
            </w:r>
          </w:p>
        </w:tc>
        <w:tc>
          <w:tcPr>
            <w:tcW w:w="3880" w:type="dxa"/>
            <w:vAlign w:val="bottom"/>
            <w:tcBorders>
              <w:top w:val="single" w:sz="8" w:color="0000FF"/>
            </w:tcBorders>
            <w:gridSpan w:val="2"/>
          </w:tcPr>
          <w:p>
            <w:pPr>
              <w:spacing w:after="0" w:line="202" w:lineRule="exact"/>
              <w:rPr>
                <w:rFonts w:ascii="Arial" w:cs="Arial" w:eastAsia="Arial" w:hAnsi="Arial"/>
                <w:sz w:val="18"/>
                <w:szCs w:val="18"/>
                <w:color w:val="0000FF"/>
                <w:w w:val="98"/>
              </w:rPr>
            </w:pPr>
            <w:hyperlink r:id="rId31">
              <w:r>
                <w:rPr>
                  <w:rFonts w:ascii="Arial" w:cs="Arial" w:eastAsia="Arial" w:hAnsi="Arial"/>
                  <w:sz w:val="18"/>
                  <w:szCs w:val="18"/>
                  <w:color w:val="0000FF"/>
                  <w:w w:val="98"/>
                </w:rPr>
                <w:t>Bylaws of the Registrant, Amended and Restated</w:t>
              </w:r>
            </w:hyperlink>
          </w:p>
        </w:tc>
        <w:tc>
          <w:tcPr>
            <w:tcW w:w="1780" w:type="dxa"/>
            <w:vAlign w:val="bottom"/>
            <w:tcBorders>
              <w:top w:val="single" w:sz="8" w:color="CCEEFF"/>
            </w:tcBorders>
            <w:gridSpan w:val="8"/>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ind w:left="100"/>
              <w:spacing w:after="0" w:line="202" w:lineRule="exact"/>
              <w:rPr>
                <w:sz w:val="20"/>
                <w:szCs w:val="20"/>
                <w:color w:val="auto"/>
              </w:rPr>
            </w:pPr>
            <w:r>
              <w:rPr>
                <w:rFonts w:ascii="Arial" w:cs="Arial" w:eastAsia="Arial" w:hAnsi="Arial"/>
                <w:sz w:val="18"/>
                <w:szCs w:val="18"/>
                <w:color w:val="auto"/>
              </w:rPr>
              <w:t>8-K</w:t>
            </w:r>
          </w:p>
        </w:tc>
        <w:tc>
          <w:tcPr>
            <w:tcW w:w="8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jc w:val="right"/>
              <w:ind w:right="530"/>
              <w:spacing w:after="0" w:line="202" w:lineRule="exact"/>
              <w:rPr>
                <w:sz w:val="20"/>
                <w:szCs w:val="20"/>
                <w:color w:val="auto"/>
              </w:rPr>
            </w:pPr>
            <w:r>
              <w:rPr>
                <w:rFonts w:ascii="Arial" w:cs="Arial" w:eastAsia="Arial" w:hAnsi="Arial"/>
                <w:sz w:val="18"/>
                <w:szCs w:val="18"/>
                <w:color w:val="auto"/>
              </w:rPr>
              <w:t>99.2</w:t>
            </w:r>
          </w:p>
        </w:tc>
        <w:tc>
          <w:tcPr>
            <w:tcW w:w="960" w:type="dxa"/>
            <w:vAlign w:val="bottom"/>
            <w:tcBorders>
              <w:top w:val="single" w:sz="8" w:color="CCEEFF"/>
            </w:tcBorders>
          </w:tcPr>
          <w:p>
            <w:pPr>
              <w:ind w:left="80"/>
              <w:spacing w:after="0" w:line="202" w:lineRule="exact"/>
              <w:rPr>
                <w:sz w:val="20"/>
                <w:szCs w:val="20"/>
                <w:color w:val="auto"/>
              </w:rPr>
            </w:pPr>
            <w:r>
              <w:rPr>
                <w:rFonts w:ascii="Arial" w:cs="Arial" w:eastAsia="Arial" w:hAnsi="Arial"/>
                <w:sz w:val="18"/>
                <w:szCs w:val="18"/>
                <w:color w:val="auto"/>
              </w:rPr>
              <w:t>10/17/18</w:t>
            </w:r>
          </w:p>
        </w:tc>
      </w:tr>
      <w:tr>
        <w:trPr>
          <w:trHeight w:val="48"/>
        </w:trPr>
        <w:tc>
          <w:tcPr>
            <w:tcW w:w="1080" w:type="dxa"/>
            <w:vAlign w:val="bottom"/>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10.70</w:t>
            </w:r>
          </w:p>
        </w:tc>
        <w:tc>
          <w:tcPr>
            <w:tcW w:w="540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Incremental Amendment No. 1 to Credit Agreement dated July 3, 2018, by</w:t>
              </w:r>
            </w:hyperlink>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5660" w:type="dxa"/>
            <w:vAlign w:val="bottom"/>
            <w:gridSpan w:val="10"/>
            <w:shd w:val="clear" w:color="auto" w:fill="CCEEFF"/>
          </w:tcPr>
          <w:p>
            <w:pPr>
              <w:spacing w:after="0" w:line="196" w:lineRule="exact"/>
              <w:rPr>
                <w:rFonts w:ascii="Arial" w:cs="Arial" w:eastAsia="Arial" w:hAnsi="Arial"/>
                <w:sz w:val="18"/>
                <w:szCs w:val="18"/>
                <w:color w:val="0000FF"/>
                <w:w w:val="95"/>
              </w:rPr>
            </w:pPr>
            <w:hyperlink w:anchor="page48">
              <w:r>
                <w:rPr>
                  <w:rFonts w:ascii="Arial" w:cs="Arial" w:eastAsia="Arial" w:hAnsi="Arial"/>
                  <w:sz w:val="18"/>
                  <w:szCs w:val="18"/>
                  <w:color w:val="0000FF"/>
                  <w:w w:val="95"/>
                </w:rPr>
                <w:t>and among Micron Technology, Inc., as borrower, JPMorgan Chase Bank,</w:t>
              </w:r>
            </w:hyperlink>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
        </w:trPr>
        <w:tc>
          <w:tcPr>
            <w:tcW w:w="1080" w:type="dxa"/>
            <w:vAlign w:val="bottom"/>
            <w:shd w:val="clear" w:color="auto" w:fill="CCEE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N.A., as administrative agent and collateral agent, and the other agents party</w:t>
              </w:r>
            </w:hyperlink>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w:anchor="page48">
              <w:r>
                <w:rPr>
                  <w:rFonts w:ascii="Arial" w:cs="Arial" w:eastAsia="Arial" w:hAnsi="Arial"/>
                  <w:sz w:val="18"/>
                  <w:szCs w:val="18"/>
                  <w:color w:val="0000FF"/>
                  <w:w w:val="91"/>
                </w:rPr>
                <w:t>thereto and each financial institution party from time to time thereto</w:t>
              </w:r>
            </w:hyperlink>
          </w:p>
        </w:tc>
        <w:tc>
          <w:tcPr>
            <w:tcW w:w="760" w:type="dxa"/>
            <w:vAlign w:val="bottom"/>
            <w:tcBorders>
              <w:bottom w:val="single" w:sz="8" w:color="CCEEFF"/>
            </w:tcBorders>
            <w:gridSpan w:val="4"/>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5660" w:type="dxa"/>
            <w:vAlign w:val="bottom"/>
            <w:gridSpan w:val="10"/>
          </w:tcPr>
          <w:p>
            <w:pPr>
              <w:spacing w:after="0" w:line="202" w:lineRule="exact"/>
              <w:rPr>
                <w:rFonts w:ascii="Arial" w:cs="Arial" w:eastAsia="Arial" w:hAnsi="Arial"/>
                <w:sz w:val="18"/>
                <w:szCs w:val="18"/>
                <w:color w:val="0000FF"/>
              </w:rPr>
            </w:pPr>
            <w:hyperlink w:anchor="page58">
              <w:r>
                <w:rPr>
                  <w:rFonts w:ascii="Arial" w:cs="Arial" w:eastAsia="Arial" w:hAnsi="Arial"/>
                  <w:sz w:val="18"/>
                  <w:szCs w:val="18"/>
                  <w:color w:val="0000FF"/>
                </w:rPr>
                <w:t>Rule 13a-14(a) Certification of Chief Executive Officer</w:t>
              </w:r>
            </w:hyperlink>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3960" w:type="dxa"/>
            <w:vAlign w:val="bottom"/>
            <w:tcBorders>
              <w:bottom w:val="single" w:sz="8" w:color="0000FF"/>
            </w:tcBorders>
            <w:gridSpan w:val="3"/>
            <w:shd w:val="clear" w:color="auto" w:fill="CCEEFF"/>
          </w:tcPr>
          <w:p>
            <w:pPr>
              <w:spacing w:after="0" w:line="202" w:lineRule="exact"/>
              <w:rPr>
                <w:rFonts w:ascii="Arial" w:cs="Arial" w:eastAsia="Arial" w:hAnsi="Arial"/>
                <w:sz w:val="18"/>
                <w:szCs w:val="18"/>
                <w:color w:val="0000FF"/>
                <w:w w:val="93"/>
              </w:rPr>
            </w:pPr>
            <w:hyperlink w:anchor="page59">
              <w:r>
                <w:rPr>
                  <w:rFonts w:ascii="Arial" w:cs="Arial" w:eastAsia="Arial" w:hAnsi="Arial"/>
                  <w:sz w:val="18"/>
                  <w:szCs w:val="18"/>
                  <w:color w:val="0000FF"/>
                  <w:w w:val="93"/>
                </w:rPr>
                <w:t>Rule 13a-14(a) Certification of Chief Financial Officer</w:t>
              </w:r>
            </w:hyperlink>
          </w:p>
        </w:tc>
        <w:tc>
          <w:tcPr>
            <w:tcW w:w="1700" w:type="dxa"/>
            <w:vAlign w:val="bottom"/>
            <w:tcBorders>
              <w:bottom w:val="single" w:sz="8" w:color="CCEEFF"/>
            </w:tcBorders>
            <w:gridSpan w:val="7"/>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32.1</w:t>
            </w:r>
          </w:p>
        </w:tc>
        <w:tc>
          <w:tcPr>
            <w:tcW w:w="5660" w:type="dxa"/>
            <w:vAlign w:val="bottom"/>
            <w:gridSpan w:val="10"/>
          </w:tcPr>
          <w:p>
            <w:pPr>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Certification of Chief Executive Officer Pursuant to 18 U.S.C. 1350</w:t>
              </w:r>
            </w:hyperlink>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35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32.2</w:t>
            </w:r>
          </w:p>
        </w:tc>
        <w:tc>
          <w:tcPr>
            <w:tcW w:w="5660" w:type="dxa"/>
            <w:vAlign w:val="bottom"/>
            <w:gridSpan w:val="10"/>
            <w:shd w:val="clear" w:color="auto" w:fill="CCEEFF"/>
          </w:tcPr>
          <w:p>
            <w:pPr>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Certification of Chief Financial Officer Pursuant to 18 U.S.C. 1350</w:t>
              </w:r>
            </w:hyperlink>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ü</w:t>
            </w:r>
          </w:p>
        </w:tc>
        <w:tc>
          <w:tcPr>
            <w:tcW w:w="8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108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101.INS</w:t>
            </w:r>
          </w:p>
        </w:tc>
        <w:tc>
          <w:tcPr>
            <w:tcW w:w="48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Borders>
              <w:top w:val="single" w:sz="8" w:color="CCEEFF"/>
            </w:tcBorders>
            <w:gridSpan w:val="5"/>
          </w:tcPr>
          <w:p>
            <w:pPr>
              <w:spacing w:after="0"/>
              <w:rPr>
                <w:sz w:val="21"/>
                <w:szCs w:val="21"/>
                <w:color w:val="auto"/>
              </w:rPr>
            </w:pP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56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101.CAL</w:t>
            </w:r>
          </w:p>
        </w:tc>
        <w:tc>
          <w:tcPr>
            <w:tcW w:w="56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56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101.LAB</w:t>
            </w:r>
          </w:p>
        </w:tc>
        <w:tc>
          <w:tcPr>
            <w:tcW w:w="56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5660" w:type="dxa"/>
            <w:vAlign w:val="bottom"/>
            <w:tcBorders>
              <w:bottom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8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675"/>
        </w:trPr>
        <w:tc>
          <w:tcPr>
            <w:tcW w:w="1080" w:type="dxa"/>
            <w:vAlign w:val="bottom"/>
          </w:tcPr>
          <w:p>
            <w:pPr>
              <w:spacing w:after="0"/>
              <w:rPr>
                <w:sz w:val="24"/>
                <w:szCs w:val="24"/>
                <w:color w:val="auto"/>
              </w:rPr>
            </w:pPr>
          </w:p>
        </w:tc>
        <w:tc>
          <w:tcPr>
            <w:tcW w:w="4840" w:type="dxa"/>
            <w:vAlign w:val="bottom"/>
            <w:gridSpan w:val="5"/>
          </w:tcPr>
          <w:p>
            <w:pPr>
              <w:ind w:left="4540"/>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46" w:name="page47"/>
    <w:bookmarkEnd w:id="46"/>
    <w:p>
      <w:pPr>
        <w:ind w:left="5080"/>
        <w:spacing w:after="0"/>
        <w:rPr>
          <w:sz w:val="20"/>
          <w:szCs w:val="20"/>
          <w:color w:val="auto"/>
        </w:rPr>
      </w:pPr>
      <w:r>
        <w:rPr>
          <w:rFonts w:ascii="Arial" w:cs="Arial" w:eastAsia="Arial" w:hAnsi="Arial"/>
          <w:sz w:val="22"/>
          <w:szCs w:val="22"/>
          <w:b w:val="1"/>
          <w:bCs w:val="1"/>
          <w:color w:val="auto"/>
        </w:rPr>
        <w:t>SIGNATURE</w:t>
      </w: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19, 2018</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10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600"/>
          </w:cols>
          <w:pgMar w:left="240" w:top="801" w:right="10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INCREMENTAL AMENDMENT NO. 1,</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November 27, 2018</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the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July 3, 2018</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as Administrative Agent and 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Lead Arranger and Bookrunner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580" w:right="239" w:bottom="1440" w:gutter="0" w:footer="0" w:header="0"/>
        </w:sectPr>
      </w:pPr>
    </w:p>
    <w:bookmarkStart w:id="48" w:name="page49"/>
    <w:bookmarkEnd w:id="48"/>
    <w:p>
      <w:pPr>
        <w:jc w:val="center"/>
        <w:ind w:right="-79"/>
        <w:spacing w:after="0"/>
        <w:rPr>
          <w:sz w:val="20"/>
          <w:szCs w:val="20"/>
          <w:color w:val="auto"/>
        </w:rPr>
      </w:pPr>
      <w:r>
        <w:rPr>
          <w:rFonts w:ascii="Arial" w:cs="Arial" w:eastAsia="Arial" w:hAnsi="Arial"/>
          <w:sz w:val="18"/>
          <w:szCs w:val="18"/>
          <w:color w:val="auto"/>
        </w:rPr>
        <w:t>INCREMENTAL AMENDMENT NO. 1</w:t>
      </w:r>
    </w:p>
    <w:p>
      <w:pPr>
        <w:spacing w:after="0" w:line="225" w:lineRule="exact"/>
        <w:rPr>
          <w:sz w:val="20"/>
          <w:szCs w:val="20"/>
          <w:color w:val="auto"/>
        </w:rPr>
      </w:pPr>
    </w:p>
    <w:p>
      <w:pPr>
        <w:ind w:firstLine="1297"/>
        <w:spacing w:after="0" w:line="312" w:lineRule="auto"/>
        <w:rPr>
          <w:sz w:val="20"/>
          <w:szCs w:val="20"/>
          <w:color w:val="auto"/>
        </w:rPr>
      </w:pPr>
      <w:r>
        <w:rPr>
          <w:rFonts w:ascii="Arial" w:cs="Arial" w:eastAsia="Arial" w:hAnsi="Arial"/>
          <w:sz w:val="16"/>
          <w:szCs w:val="16"/>
          <w:color w:val="auto"/>
        </w:rPr>
        <w:t>INCREMENTAL AMENDMENT NO. 1 TO THE CREDIT AGREEMENT, dated as of November 27, 2018 (this “</w:t>
      </w:r>
      <w:r>
        <w:rPr>
          <w:rFonts w:ascii="Arial" w:cs="Arial" w:eastAsia="Arial" w:hAnsi="Arial"/>
          <w:sz w:val="16"/>
          <w:szCs w:val="16"/>
          <w:u w:val="single" w:color="auto"/>
          <w:color w:val="auto"/>
        </w:rPr>
        <w:t>Amendment</w:t>
      </w:r>
      <w:r>
        <w:rPr>
          <w:rFonts w:ascii="Arial" w:cs="Arial" w:eastAsia="Arial" w:hAnsi="Arial"/>
          <w:sz w:val="16"/>
          <w:szCs w:val="16"/>
          <w:color w:val="auto"/>
        </w:rPr>
        <w:t>”), among Micron 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Borrower</w:t>
      </w:r>
      <w:r>
        <w:rPr>
          <w:rFonts w:ascii="Arial" w:cs="Arial" w:eastAsia="Arial" w:hAnsi="Arial"/>
          <w:sz w:val="16"/>
          <w:szCs w:val="16"/>
          <w:color w:val="auto"/>
        </w:rPr>
        <w:t>”), the other Loan Parties, the lenders party hereto (the “</w:t>
      </w:r>
      <w:r>
        <w:rPr>
          <w:rFonts w:ascii="Arial" w:cs="Arial" w:eastAsia="Arial" w:hAnsi="Arial"/>
          <w:sz w:val="16"/>
          <w:szCs w:val="16"/>
          <w:u w:val="single" w:color="auto"/>
          <w:color w:val="auto"/>
        </w:rPr>
        <w:t>2018 Incremental</w:t>
      </w:r>
      <w:r>
        <w:rPr>
          <w:rFonts w:ascii="Arial" w:cs="Arial" w:eastAsia="Arial" w:hAnsi="Arial"/>
          <w:sz w:val="16"/>
          <w:szCs w:val="16"/>
          <w:color w:val="auto"/>
        </w:rPr>
        <w:t xml:space="preserve"> </w:t>
      </w:r>
      <w:r>
        <w:rPr>
          <w:rFonts w:ascii="Arial" w:cs="Arial" w:eastAsia="Arial" w:hAnsi="Arial"/>
          <w:sz w:val="16"/>
          <w:szCs w:val="16"/>
          <w:u w:val="single" w:color="auto"/>
          <w:color w:val="auto"/>
        </w:rPr>
        <w:t>Revolving Lenders</w:t>
      </w:r>
      <w:r>
        <w:rPr>
          <w:rFonts w:ascii="Arial" w:cs="Arial" w:eastAsia="Arial" w:hAnsi="Arial"/>
          <w:sz w:val="16"/>
          <w:szCs w:val="16"/>
          <w:color w:val="auto"/>
        </w:rPr>
        <w:t>”), JPMorgan Chase Bank, N.A., as administrative agent and as collateral agent under the Credit Agreement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WHEREAS, reference is hereby made to the Credit Agreement, dated as of July 3, 2018 (as amended, restated, supplemented or otherwise modified from time to time heretofore,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and as amended by this Amendment,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w:t>
      </w:r>
    </w:p>
    <w:p>
      <w:pPr>
        <w:spacing w:after="0" w:line="12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WHEREAS, the Company desires to increase the aggregate amount of Revolving Commitments by an aggregate amount of $500,000,000 (the “</w:t>
      </w:r>
      <w:r>
        <w:rPr>
          <w:rFonts w:ascii="Arial" w:cs="Arial" w:eastAsia="Arial" w:hAnsi="Arial"/>
          <w:sz w:val="18"/>
          <w:szCs w:val="18"/>
          <w:u w:val="single" w:color="auto"/>
          <w:color w:val="auto"/>
        </w:rPr>
        <w:t>2018 Incremental Revolving Commitments</w:t>
      </w:r>
      <w:r>
        <w:rPr>
          <w:rFonts w:ascii="Arial" w:cs="Arial" w:eastAsia="Arial" w:hAnsi="Arial"/>
          <w:sz w:val="18"/>
          <w:szCs w:val="18"/>
          <w:color w:val="auto"/>
        </w:rPr>
        <w:t>”); and</w:t>
      </w:r>
    </w:p>
    <w:p>
      <w:pPr>
        <w:spacing w:after="0" w:line="170"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 xml:space="preserve">WHEREAS, subject to the terms and conditions set forth herein and with the consent of the 2018 Incremental Revolving Lenders, the 2018 Incremental Revolving Lenders have agreed to provide 2018 Incremental Revolving Commitments in the amounts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terms defined in the Amended Credit Agreement and used herein shall have the meanings given to them in the Amended Credit Agreement.</w:t>
      </w:r>
    </w:p>
    <w:p>
      <w:pPr>
        <w:spacing w:after="0" w:line="170"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Incremental Revolving Facility</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9" w:lineRule="auto"/>
        <w:tabs>
          <w:tab w:leader="none" w:pos="16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Subject to the satisfaction of the conditions set forth in Section 4 below, each 2018 Incremental Revolving Lender with a 2018 Incremental Revolving Commitment set forth opposite its name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agrees to provide Revolving Commitments or increase the amount of its existing Revolving Commitments, as applicable, in such amount as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agrees, from time to time during the period from and including the 2018 Incremental Amendment Effective Date (as defined below) to the Revolving Maturity Date, to make Revolving Loans to the Borrower in an aggregate principal amount at any one time outstanding not to exceed the amount of such Lender’s Revolving Commitment (after giving effect to such 2018 Incremental Revolving Commitment) in accordance with Sections 2.1, 2.2 and 2.3 of the Amended Credit Agreement. For the avoidance of doubt, the notice requirements set forth in Section 2.25(b) are hereby satisfied. From and after the 2018 Incremental Amendment Effective Date, except where the context otherwise requires, the 2018 Incremental Revolving Commitments shall constitute “Revolving Commitments” for all purposes of the Amended Credit Agreement, and all provisions of the Amended Credit Agreement applicable to Revolving Commitments shall be applicable to the 2018 Incremental Revolving Commitments, and each 2018 Incremental Revolving Lender shall have all of the rights and obligations of a “Lender” and a “Revolving Lender” under the Amended Credit Agreement and the other Loan Documents.</w:t>
      </w:r>
    </w:p>
    <w:p>
      <w:pPr>
        <w:spacing w:after="0" w:line="182" w:lineRule="exact"/>
        <w:rPr>
          <w:rFonts w:ascii="Arial" w:cs="Arial" w:eastAsia="Arial" w:hAnsi="Arial"/>
          <w:sz w:val="17"/>
          <w:szCs w:val="17"/>
          <w:color w:val="auto"/>
        </w:rPr>
      </w:pPr>
    </w:p>
    <w:p>
      <w:pPr>
        <w:ind w:right="480" w:firstLine="1305"/>
        <w:spacing w:after="0" w:line="277" w:lineRule="auto"/>
        <w:tabs>
          <w:tab w:leader="none" w:pos="16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Lender’s Revolving Credit Exposure shall automatically be reallocated in accordance with such Lender’s Revolving Loan Percentage after giving effect to this Amendment and the 2018 Incremental Revolving Commitments made hereunder.</w:t>
      </w:r>
    </w:p>
    <w:p>
      <w:pPr>
        <w:spacing w:after="0" w:line="170"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Section 1.1 of the Existing Credit Agreement is hereby amended by adding the following definitions in proper alphabetical order:</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Amendment</w:t>
      </w:r>
      <w:r>
        <w:rPr>
          <w:rFonts w:ascii="Arial" w:cs="Arial" w:eastAsia="Arial" w:hAnsi="Arial"/>
          <w:sz w:val="18"/>
          <w:szCs w:val="18"/>
          <w:color w:val="auto"/>
        </w:rPr>
        <w:t>”: means that certain Incremental Amendment No. 1 to the Credit Agreement, dated as of November 27, 2018, among the Loan Parties, the Lenders party thereto and the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Amendment Effective Date</w:t>
      </w:r>
      <w:r>
        <w:rPr>
          <w:rFonts w:ascii="Arial" w:cs="Arial" w:eastAsia="Arial" w:hAnsi="Arial"/>
          <w:sz w:val="18"/>
          <w:szCs w:val="18"/>
          <w:color w:val="auto"/>
        </w:rPr>
        <w:t>”: as defined in the 2018 Incremental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Revolving Commitments</w:t>
      </w:r>
      <w:r>
        <w:rPr>
          <w:rFonts w:ascii="Arial" w:cs="Arial" w:eastAsia="Arial" w:hAnsi="Arial"/>
          <w:sz w:val="18"/>
          <w:szCs w:val="18"/>
          <w:color w:val="auto"/>
        </w:rPr>
        <w:t>”: as defined in the 2018 Incremental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Incremental Revolving Lenders</w:t>
      </w:r>
      <w:r>
        <w:rPr>
          <w:rFonts w:ascii="Arial" w:cs="Arial" w:eastAsia="Arial" w:hAnsi="Arial"/>
          <w:sz w:val="18"/>
          <w:szCs w:val="18"/>
          <w:color w:val="auto"/>
        </w:rPr>
        <w:t>”: as defined in the 2018 Incremental Amendment.</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4" w:right="299" w:bottom="1440" w:gutter="0" w:footer="0" w:header="0"/>
        </w:sectPr>
      </w:pPr>
    </w:p>
    <w:bookmarkStart w:id="49" w:name="page50"/>
    <w:bookmarkEnd w:id="49"/>
    <w:p>
      <w:pPr>
        <w:ind w:right="500" w:firstLine="1305"/>
        <w:spacing w:after="0" w:line="277" w:lineRule="auto"/>
        <w:tabs>
          <w:tab w:leader="none" w:pos="16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1.1 of the Existing Credit Agreement is hereby amended by amending and restating the last sentence of the definition of “Revolving Commitments” as follows:</w:t>
      </w:r>
    </w:p>
    <w:p>
      <w:pPr>
        <w:spacing w:after="0" w:line="170" w:lineRule="exact"/>
        <w:rPr>
          <w:sz w:val="20"/>
          <w:szCs w:val="20"/>
          <w:color w:val="auto"/>
        </w:rPr>
      </w:pPr>
    </w:p>
    <w:p>
      <w:pPr>
        <w:ind w:left="1300" w:right="1240"/>
        <w:spacing w:after="0" w:line="277" w:lineRule="auto"/>
        <w:rPr>
          <w:sz w:val="20"/>
          <w:szCs w:val="20"/>
          <w:color w:val="auto"/>
        </w:rPr>
      </w:pPr>
      <w:r>
        <w:rPr>
          <w:rFonts w:ascii="Arial" w:cs="Arial" w:eastAsia="Arial" w:hAnsi="Arial"/>
          <w:sz w:val="18"/>
          <w:szCs w:val="18"/>
          <w:color w:val="auto"/>
        </w:rPr>
        <w:t>“As of the 2018 Incremental Amendment Effective Date, the aggregate amount of the Lenders’ Revolving Commitments is $2,500,000,000.”</w:t>
      </w:r>
    </w:p>
    <w:p>
      <w:pPr>
        <w:spacing w:after="0" w:line="170"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Section 2.1 of the Existing Credit Agreement is hereby amended by adding the following sentence to the end of the paragraph:</w:t>
      </w:r>
    </w:p>
    <w:p>
      <w:pPr>
        <w:spacing w:after="0" w:line="225" w:lineRule="exact"/>
        <w:rPr>
          <w:sz w:val="20"/>
          <w:szCs w:val="20"/>
          <w:color w:val="auto"/>
        </w:rPr>
      </w:pPr>
    </w:p>
    <w:p>
      <w:pPr>
        <w:ind w:left="1300" w:right="180"/>
        <w:spacing w:after="0" w:line="259" w:lineRule="auto"/>
        <w:rPr>
          <w:sz w:val="20"/>
          <w:szCs w:val="20"/>
          <w:color w:val="auto"/>
        </w:rPr>
      </w:pPr>
      <w:r>
        <w:rPr>
          <w:rFonts w:ascii="Arial" w:cs="Arial" w:eastAsia="Arial" w:hAnsi="Arial"/>
          <w:sz w:val="18"/>
          <w:szCs w:val="18"/>
          <w:color w:val="auto"/>
        </w:rPr>
        <w:t>“For the avoidance of doubt, with effect from the 2018 Incremental Amendment Effective Date, unless the context otherwise requires, the 2018 Incremental Revolving Commitments shall constitute “Revolving Commitments” for all purposes of this Agreement, and all provisions of this Agreement applicable to the Revolving Commitments shall be applicable to the 2018 Incremental Revolving Commitments.”</w:t>
      </w:r>
    </w:p>
    <w:p>
      <w:pPr>
        <w:spacing w:after="0" w:line="187"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xml:space="preserve">. This Amendment and the obligation of the 2018 Incremental Revolving Lenders to make the 2018 Incremental Revolving Commitments to be made by it pursuant to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Amendment shall become effective on the date (the “</w:t>
      </w:r>
      <w:r>
        <w:rPr>
          <w:rFonts w:ascii="Arial" w:cs="Arial" w:eastAsia="Arial" w:hAnsi="Arial"/>
          <w:sz w:val="18"/>
          <w:szCs w:val="18"/>
          <w:u w:val="single" w:color="auto"/>
          <w:color w:val="auto"/>
        </w:rPr>
        <w:t>2018</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Incremental Amendment Effective Date</w:t>
      </w:r>
      <w:r>
        <w:rPr>
          <w:rFonts w:ascii="Arial" w:cs="Arial" w:eastAsia="Arial" w:hAnsi="Arial"/>
          <w:sz w:val="18"/>
          <w:szCs w:val="18"/>
          <w:color w:val="auto"/>
        </w:rPr>
        <w:t>”) that each of the following conditions shall have been satisfied or waived:</w:t>
      </w:r>
    </w:p>
    <w:p>
      <w:pPr>
        <w:spacing w:after="0" w:line="181" w:lineRule="exact"/>
        <w:rPr>
          <w:sz w:val="20"/>
          <w:szCs w:val="20"/>
          <w:color w:val="auto"/>
        </w:rPr>
      </w:pPr>
    </w:p>
    <w:p>
      <w:pPr>
        <w:ind w:right="80" w:firstLine="1305"/>
        <w:spacing w:after="0" w:line="277" w:lineRule="auto"/>
        <w:tabs>
          <w:tab w:leader="none" w:pos="16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Amendment shall have been executed and delivered by (i) a duly authorized officer of each Loan Party, (ii) the 2018 Incremental Revolving Lenders, (iii) the Administrative Agent and (iv) the Issuing Banks.</w:t>
      </w:r>
    </w:p>
    <w:p>
      <w:pPr>
        <w:spacing w:after="0" w:line="170" w:lineRule="exact"/>
        <w:rPr>
          <w:rFonts w:ascii="Arial" w:cs="Arial" w:eastAsia="Arial" w:hAnsi="Arial"/>
          <w:sz w:val="18"/>
          <w:szCs w:val="18"/>
          <w:color w:val="auto"/>
        </w:rPr>
      </w:pPr>
    </w:p>
    <w:p>
      <w:pPr>
        <w:ind w:firstLine="1305"/>
        <w:spacing w:after="0" w:line="257" w:lineRule="auto"/>
        <w:tabs>
          <w:tab w:leader="none" w:pos="16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Administrative Agent shall have received (i) a certificate of each Loan Party, dated the 2018 Incremental Amendment Effective Date, in the case of the Borrower, substantially in the form of Exhibit A-1 to the Credit Agreement, and, in the case of the Guarantors substantially in the form of Exhibit A-2 to the Credit Agreement, each with appropriate insertions and attachments, including the certificate of incorporation of each Loan Party that is a corporation certified by the relevant authority of the jurisdiction of organization of such Loan Party, and (ii) a long form good standing certificate for each Loan Party from its jurisdiction of organization.</w:t>
      </w:r>
    </w:p>
    <w:p>
      <w:pPr>
        <w:spacing w:after="0" w:line="188" w:lineRule="exact"/>
        <w:rPr>
          <w:rFonts w:ascii="Arial" w:cs="Arial" w:eastAsia="Arial" w:hAnsi="Arial"/>
          <w:sz w:val="18"/>
          <w:szCs w:val="18"/>
          <w:color w:val="auto"/>
        </w:rPr>
      </w:pPr>
    </w:p>
    <w:p>
      <w:pPr>
        <w:ind w:right="240" w:firstLine="1305"/>
        <w:spacing w:after="0" w:line="277" w:lineRule="auto"/>
        <w:tabs>
          <w:tab w:leader="none" w:pos="16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result from the effectiveness of this Amendment on the 2018 Incremental Amendment Effective Date.</w:t>
      </w:r>
    </w:p>
    <w:p>
      <w:pPr>
        <w:spacing w:after="0" w:line="170" w:lineRule="exact"/>
        <w:rPr>
          <w:rFonts w:ascii="Arial" w:cs="Arial" w:eastAsia="Arial" w:hAnsi="Arial"/>
          <w:sz w:val="18"/>
          <w:szCs w:val="18"/>
          <w:color w:val="auto"/>
        </w:rPr>
      </w:pPr>
    </w:p>
    <w:p>
      <w:pPr>
        <w:ind w:right="40" w:firstLine="1305"/>
        <w:spacing w:after="0" w:line="279" w:lineRule="auto"/>
        <w:tabs>
          <w:tab w:leader="none" w:pos="167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representations and warranties contained in the Loan Documents shall be true and correct in all material respects on and as of the 2018 Incremental Amendment Effective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171" w:lineRule="exact"/>
        <w:rPr>
          <w:rFonts w:ascii="Arial" w:cs="Arial" w:eastAsia="Arial" w:hAnsi="Arial"/>
          <w:sz w:val="17"/>
          <w:szCs w:val="17"/>
          <w:color w:val="auto"/>
        </w:rPr>
      </w:pPr>
    </w:p>
    <w:p>
      <w:pPr>
        <w:jc w:val="both"/>
        <w:ind w:right="220" w:firstLine="1305"/>
        <w:spacing w:after="0" w:line="312" w:lineRule="auto"/>
        <w:tabs>
          <w:tab w:leader="none" w:pos="16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Borrower shall be in compliance, on a pro forma basis (assuming the 2018 Incremental Revolving Commitments were drawn in full), with the financial covenants set forth in Section 6.6 of the Amended Credit Agreement recomputed as of the last day of the most recently ended fiscal quarter for which financial statements have been or were required to be delivered pursuant to Section 5.1 of the Amended Credit Agreement.</w:t>
      </w:r>
    </w:p>
    <w:p>
      <w:pPr>
        <w:spacing w:after="0" w:line="146" w:lineRule="exact"/>
        <w:rPr>
          <w:rFonts w:ascii="Arial" w:cs="Arial" w:eastAsia="Arial" w:hAnsi="Arial"/>
          <w:sz w:val="16"/>
          <w:szCs w:val="16"/>
          <w:color w:val="auto"/>
        </w:rPr>
      </w:pPr>
    </w:p>
    <w:p>
      <w:pPr>
        <w:ind w:right="140" w:firstLine="1305"/>
        <w:spacing w:after="0" w:line="257" w:lineRule="auto"/>
        <w:tabs>
          <w:tab w:leader="none" w:pos="16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of a Financial Officer certifying compliance with Sections 4(c), (d) and (e) above, together with reasonably detailed calculations demonstrating compliance with Section 4(e) above (which calculations shall, if made as of the last day of any fiscal quarter of the Borrower for which the Borrower has not delivered to the Administrative Agent the financial statements and Compliance Certificate required to be delivered by Section 5.2 of the Amended Credit Agreement, be accompanied by a reasonably detailed calculation of Consolidated EBITDA and Consolidated Interest Expense of the Borrower for the relevant period).</w:t>
      </w:r>
    </w:p>
    <w:p>
      <w:pPr>
        <w:spacing w:after="0" w:line="188" w:lineRule="exact"/>
        <w:rPr>
          <w:rFonts w:ascii="Arial" w:cs="Arial" w:eastAsia="Arial" w:hAnsi="Arial"/>
          <w:sz w:val="18"/>
          <w:szCs w:val="18"/>
          <w:color w:val="auto"/>
        </w:rPr>
      </w:pPr>
    </w:p>
    <w:p>
      <w:pPr>
        <w:ind w:right="160" w:firstLine="1305"/>
        <w:spacing w:after="0" w:line="286" w:lineRule="auto"/>
        <w:tabs>
          <w:tab w:leader="none" w:pos="168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Administrative Agent shall have received from the Company payment of all fees and expenses required to be paid to the Administrative Agent and 2018 Incremental Revolving Lenders on or before the 2018 Incremental Amendment Effective Date for which written invoices in reasonable detail have been submitted at least two Business Days prior to the 2018 Incremental Amendment Effective Date.</w:t>
      </w:r>
    </w:p>
    <w:p>
      <w:pPr>
        <w:spacing w:after="0" w:line="165" w:lineRule="exact"/>
        <w:rPr>
          <w:rFonts w:ascii="Arial" w:cs="Arial" w:eastAsia="Arial" w:hAnsi="Arial"/>
          <w:sz w:val="17"/>
          <w:szCs w:val="17"/>
          <w:color w:val="auto"/>
        </w:rPr>
      </w:pPr>
    </w:p>
    <w:p>
      <w:pPr>
        <w:ind w:right="80" w:firstLine="1305"/>
        <w:spacing w:after="0" w:line="264" w:lineRule="auto"/>
        <w:tabs>
          <w:tab w:leader="none" w:pos="16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Administrative Agent shall have received executed legal opinions from (i) Wilson Sonsini Goodrich &amp; Rosati P.C., counsel to the Borrower and the Guarantors, (ii) the general counsel of the Borrower and (iii) Stoel Rives LLP, Idaho counsel to the Loan Parties, each in form and substance satisfactory to the Administrative Agent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50" w:name="page51"/>
    <w:bookmarkEnd w:id="50"/>
    <w:p>
      <w:pPr>
        <w:ind w:right="140" w:firstLine="1305"/>
        <w:spacing w:after="0" w:line="271" w:lineRule="auto"/>
        <w:tabs>
          <w:tab w:leader="none" w:pos="164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The Administrative Agent shall have received all documentation and information as is reasonably requested in writing at least five days prior to the 2018 Incremental Amendment Effective Date by any 2018 Incremental Revolving Lender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2018 Incremental Amendment Effective Date, any 2018 Incremental Revolving Lender that has requested, in a written notice to the Borrower at least 10 days prior to the 2018 Incremental Amendment Effective Date, a Beneficial Ownership Certification in relation to the Borrower shall have received such Beneficial Ownership Certification (provided that, upon the execution and delivery by such Lender of its signature page to this Amendment, the condition set forth in this clause (ii) shall be deemed to be satisfied).</w:t>
      </w:r>
    </w:p>
    <w:p>
      <w:pPr>
        <w:spacing w:after="0" w:line="178" w:lineRule="exact"/>
        <w:rPr>
          <w:rFonts w:ascii="Arial" w:cs="Arial" w:eastAsia="Arial" w:hAnsi="Arial"/>
          <w:sz w:val="17"/>
          <w:szCs w:val="17"/>
          <w:color w:val="auto"/>
        </w:rPr>
      </w:pPr>
    </w:p>
    <w:p>
      <w:pPr>
        <w:ind w:right="40" w:firstLine="1305"/>
        <w:spacing w:after="0" w:line="297" w:lineRule="auto"/>
        <w:tabs>
          <w:tab w:leader="none" w:pos="1643"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 respect to each Mortgaged Property, the Administrative Agent shall have received a completed “life-of-loan” Federal Emergency Management Agency standard flood hazard determination, and, to the extent a Mortgaged Property is located in an area identified by the Federal Emergency Management Agency (or any successor agency) as a special flood hazard area with respect to which flood insurance has been made available under the Flood Insurance Laws, together with a notice about special flood hazard area status and flood disaster assistance duly executed by the Borrower and the applicable Loan Party relating thereto and evidence of flood insurance, as required by Section 5.4(b) of the Existing Credit Agreement.</w:t>
      </w:r>
    </w:p>
    <w:p>
      <w:pPr>
        <w:spacing w:after="0" w:line="158" w:lineRule="exact"/>
        <w:rPr>
          <w:sz w:val="20"/>
          <w:szCs w:val="20"/>
          <w:color w:val="auto"/>
        </w:rPr>
      </w:pPr>
    </w:p>
    <w:p>
      <w:pPr>
        <w:ind w:right="120" w:firstLine="1297"/>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Representations of the Loan Parties</w:t>
      </w:r>
      <w:r>
        <w:rPr>
          <w:rFonts w:ascii="Arial" w:cs="Arial" w:eastAsia="Arial" w:hAnsi="Arial"/>
          <w:sz w:val="17"/>
          <w:szCs w:val="17"/>
          <w:color w:val="auto"/>
        </w:rPr>
        <w:t>. On and as of the 2018 Incremental Amendment Effective Date, after giving effect to this Amendment, each Loan Party hereby represents and warrants to the Administrative Agent and each Lender that this Amendment has been duly authorized by all necessary corporate or other organizational action. This Amendment has been duly executed and delivered by each Loan Party party hereto and constitutes a legal, valid and binding obligation of each Loan Party party hereto,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8"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No Other Amendment or Waivers; Confirmation; Reaffirmation</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91" w:lineRule="auto"/>
        <w:tabs>
          <w:tab w:leader="none" w:pos="16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Except as expressly provided hereby, all of the terms and provisions of the Existing Credit Agreement and the other Loan Documents are and shall remain in full force and effect. The amendments contained herein shall not be construed as an amendment of any other provision of the Existing Credit Agreement or the other Loan Documents or for any purpose except as expressly set forth herein or a consent to any further or future action on the part of any Loan Party that would require the waiver or consent of the Administrative Agent or the Lenders. This Amendment shall constitute a Loan Document for purposes of the Amended Credit Agreement and from and after the 2018 Incremental Amendment Effective Date, all references to the Credit Agreement in any Loan Document and all references to “this Agreement”, “hereunder”, “hereof” or words of like import referring to the Credit Agreement in the Amended Credit Agreement shall, unless expressly provided otherwise, refer to the Amended Credit Agreement.</w:t>
      </w:r>
    </w:p>
    <w:p>
      <w:pPr>
        <w:spacing w:after="0" w:line="167" w:lineRule="exact"/>
        <w:rPr>
          <w:rFonts w:ascii="Arial" w:cs="Arial" w:eastAsia="Arial" w:hAnsi="Arial"/>
          <w:sz w:val="16"/>
          <w:szCs w:val="16"/>
          <w:color w:val="auto"/>
        </w:rPr>
      </w:pPr>
    </w:p>
    <w:p>
      <w:pPr>
        <w:ind w:firstLine="1305"/>
        <w:spacing w:after="0" w:line="276" w:lineRule="auto"/>
        <w:tabs>
          <w:tab w:leader="none" w:pos="1686" w:val="left"/>
        </w:tabs>
        <w:numPr>
          <w:ilvl w:val="0"/>
          <w:numId w:val="22"/>
        </w:numPr>
        <w:rPr>
          <w:rFonts w:ascii="Arial" w:cs="Arial" w:eastAsia="Arial" w:hAnsi="Arial"/>
          <w:sz w:val="17"/>
          <w:szCs w:val="17"/>
          <w:color w:val="auto"/>
        </w:rPr>
      </w:pPr>
      <w:r>
        <w:rPr>
          <w:rFonts w:ascii="Arial" w:cs="Arial" w:eastAsia="Arial" w:hAnsi="Arial"/>
          <w:sz w:val="17"/>
          <w:szCs w:val="17"/>
          <w:color w:val="auto"/>
        </w:rPr>
        <w:t>Each Loan Party hereby (i) expressly acknowledges the terms of the Amended Credit Agreement, (ii) ratifies and affirms its obligations under the Loan Documents (including guarantees and security agreements) to which it is a party, (iii) acknowledges, renews and extends its continued liability under all such Loan Documents and agrees such Loan Documents remain in full force and effect, (iv) agrees that each Security Document secures all Obligations of the Loan Parties in accordance with the terms thereof and (v) further confirms that each Loan Document to which it is a party is and shall continue to be in full force and effect and the same are hereby ratified and confirmed in all respects.</w:t>
      </w:r>
    </w:p>
    <w:p>
      <w:pPr>
        <w:spacing w:after="0" w:line="172" w:lineRule="exact"/>
        <w:rPr>
          <w:rFonts w:ascii="Arial" w:cs="Arial" w:eastAsia="Arial" w:hAnsi="Arial"/>
          <w:sz w:val="17"/>
          <w:szCs w:val="17"/>
          <w:color w:val="auto"/>
        </w:rPr>
      </w:pPr>
    </w:p>
    <w:p>
      <w:pPr>
        <w:ind w:right="40" w:firstLine="1305"/>
        <w:spacing w:after="0" w:line="259" w:lineRule="auto"/>
        <w:tabs>
          <w:tab w:leader="none" w:pos="16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Loan Party hereby reaffirms, as of the 2018 Incremental Amendment Effective Date, (i) the covenants and agreements contained in each Loan Document to which it is a party, including, in each case, such covenants and agreements as in effect immediately after giving effect to this Amendment and the transactions contemplated thereby, and (ii) its guarantee of payment of the Obligations pursuant to the Guarantee and Collateral Agreement and its grant of Liens on the Collateral to secure the Obligations.</w:t>
      </w:r>
    </w:p>
    <w:p>
      <w:pPr>
        <w:spacing w:after="0" w:line="18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APPLICABLE LAW; WAIVER OF JURY TRIAL.</w:t>
      </w:r>
      <w:r>
        <w:rPr>
          <w:rFonts w:ascii="Arial" w:cs="Arial" w:eastAsia="Arial" w:hAnsi="Arial"/>
          <w:sz w:val="18"/>
          <w:szCs w:val="18"/>
          <w:color w:val="auto"/>
        </w:rPr>
        <w:t xml:space="preserve"> THIS AMENDMENT SHALL BE GOVERNED BY, AND CONSTRUED IN ACCORDANCE WITH, THE LAW OF THE STATE OF NEW YORK. EACH PARTY HERETO HEREBY AGREES AS SET FORTH IN SECTION 9.16 OF THE EXISTING CREDIT AGREEMENT AS IF SUCH SECTION WERE SET FORTH IN FULL HEREIN.</w:t>
      </w:r>
    </w:p>
    <w:p>
      <w:pPr>
        <w:spacing w:after="0" w:line="181" w:lineRule="exact"/>
        <w:rPr>
          <w:sz w:val="20"/>
          <w:szCs w:val="20"/>
          <w:color w:val="auto"/>
        </w:rPr>
      </w:pPr>
    </w:p>
    <w:p>
      <w:pPr>
        <w:ind w:right="860" w:firstLine="1297"/>
        <w:spacing w:after="0" w:line="27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Miscellaneous</w:t>
      </w:r>
      <w:r>
        <w:rPr>
          <w:rFonts w:ascii="Arial" w:cs="Arial" w:eastAsia="Arial" w:hAnsi="Arial"/>
          <w:sz w:val="18"/>
          <w:szCs w:val="18"/>
          <w:color w:val="auto"/>
        </w:rPr>
        <w:t>. (a) This Amendment may be executed in counterparts (and by different parties hereto in different counterparts), each of which shall constitute an original, but all of which when taken together shall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51" w:name="page52"/>
    <w:bookmarkEnd w:id="51"/>
    <w:p>
      <w:pPr>
        <w:ind w:right="180"/>
        <w:spacing w:after="0" w:line="277" w:lineRule="auto"/>
        <w:rPr>
          <w:sz w:val="20"/>
          <w:szCs w:val="20"/>
          <w:color w:val="auto"/>
        </w:rPr>
      </w:pPr>
      <w:r>
        <w:rPr>
          <w:rFonts w:ascii="Arial" w:cs="Arial" w:eastAsia="Arial" w:hAnsi="Arial"/>
          <w:sz w:val="18"/>
          <w:szCs w:val="18"/>
          <w:color w:val="auto"/>
        </w:rPr>
        <w:t>constitute a single contract. Delivery of an executed counterpart of a signature page of this Amendment by telecopy or other electronic imaging means shall be effective as delivery of a manually executed counterpart of this Amendment.</w:t>
      </w:r>
    </w:p>
    <w:p>
      <w:pPr>
        <w:spacing w:after="0" w:line="170" w:lineRule="exact"/>
        <w:rPr>
          <w:sz w:val="20"/>
          <w:szCs w:val="20"/>
          <w:color w:val="auto"/>
        </w:rPr>
      </w:pPr>
    </w:p>
    <w:p>
      <w:pPr>
        <w:ind w:right="140" w:firstLine="1305"/>
        <w:spacing w:after="0" w:line="308" w:lineRule="auto"/>
        <w:tabs>
          <w:tab w:leader="none" w:pos="168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provisions of this Amendment shall be binding upon and inure to the benefit of the parties hereto and their respective successors and assigns permitted hereby (including permitted assignees of its Revolving Loans in whole or in part prior to effectiveness hereof).</w:t>
      </w:r>
    </w:p>
    <w:p>
      <w:pPr>
        <w:spacing w:after="0" w:line="147"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herein are included herein for convenience of reference only and shall not constitute a part hereof for any other purpose or be given any substantive effect.</w:t>
      </w:r>
    </w:p>
    <w:p>
      <w:pPr>
        <w:spacing w:after="0" w:line="170"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Post-Closing Obligations</w:t>
      </w:r>
      <w:r>
        <w:rPr>
          <w:rFonts w:ascii="Arial" w:cs="Arial" w:eastAsia="Arial" w:hAnsi="Arial"/>
          <w:sz w:val="18"/>
          <w:szCs w:val="18"/>
          <w:color w:val="auto"/>
        </w:rPr>
        <w:t>. Within 90 days after the 2018 Incremental Amendment Effective Date (which period may be extended in the reasonable discretion of the Administrative Agent upon the request of the Borrower), the Borrower or relevant Loan Party shall deliver to the Administrative Agent either:</w:t>
      </w:r>
    </w:p>
    <w:p>
      <w:pPr>
        <w:spacing w:after="0" w:line="181" w:lineRule="exact"/>
        <w:rPr>
          <w:sz w:val="20"/>
          <w:szCs w:val="20"/>
          <w:color w:val="auto"/>
        </w:rPr>
      </w:pPr>
    </w:p>
    <w:p>
      <w:pPr>
        <w:ind w:right="20" w:firstLine="1305"/>
        <w:spacing w:after="0" w:line="289" w:lineRule="auto"/>
        <w:tabs>
          <w:tab w:leader="none" w:pos="16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written confirmation (which confirmation may be provided in the form of an electronic mail acknowledgment in form and substance reasonably satisfactory to the Collateral Agent, and which may include assumptions, exclusions and limitations which are consistent with local opinion practice) from local counsel in the jurisdiction in which the Mortgaged Property is located substantially to the effect that: (x) the recording of the existing Mortgage is the only filing or recording necessary to give constructive notice to third parties of the lien created by such Mortgage as security for the Secured Obligations, including the Secured Obligations evidenced by the Existing Credit Agreement, as amended pursuant to this Amendment, for the benefit of the Secured Parties; and (y) no other documents, instruments, filings, recordings, re-recordings, re-filings or other actions, including, without limitation, the payment of any mortgage recording taxes or similar taxes, are necessary or appropriate under applicable law in order to maintain the continued enforceability, validity or priority of the lien created by such Mortgage as security for the Secured Obligations, including the Secured Obligations evidenced by the Existing Credit Agreement, as amended pursuant to this Amendment, for the benefit of the Secured Parties; or</w:t>
      </w:r>
    </w:p>
    <w:p>
      <w:pPr>
        <w:spacing w:after="0" w:line="166" w:lineRule="exact"/>
        <w:rPr>
          <w:rFonts w:ascii="Arial" w:cs="Arial" w:eastAsia="Arial" w:hAnsi="Arial"/>
          <w:sz w:val="16"/>
          <w:szCs w:val="16"/>
          <w:color w:val="auto"/>
        </w:rPr>
      </w:pPr>
    </w:p>
    <w:p>
      <w:pPr>
        <w:ind w:left="1700" w:hanging="395"/>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documents:</w:t>
      </w:r>
    </w:p>
    <w:p>
      <w:pPr>
        <w:spacing w:after="0" w:line="225" w:lineRule="exact"/>
        <w:rPr>
          <w:rFonts w:ascii="Arial" w:cs="Arial" w:eastAsia="Arial" w:hAnsi="Arial"/>
          <w:sz w:val="18"/>
          <w:szCs w:val="18"/>
          <w:color w:val="auto"/>
        </w:rPr>
      </w:pPr>
    </w:p>
    <w:p>
      <w:pPr>
        <w:ind w:left="1300" w:firstLine="653"/>
        <w:spacing w:after="0" w:line="257" w:lineRule="auto"/>
        <w:tabs>
          <w:tab w:leader="none" w:pos="22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with respect to each Mortgage encumbering a Mortgaged Property, an amendment thereof (a “</w:t>
      </w:r>
      <w:r>
        <w:rPr>
          <w:rFonts w:ascii="Arial" w:cs="Arial" w:eastAsia="Arial" w:hAnsi="Arial"/>
          <w:sz w:val="18"/>
          <w:szCs w:val="18"/>
          <w:u w:val="single" w:color="auto"/>
          <w:color w:val="auto"/>
        </w:rPr>
        <w:t>Mortgage Amendment</w:t>
      </w:r>
      <w:r>
        <w:rPr>
          <w:rFonts w:ascii="Arial" w:cs="Arial" w:eastAsia="Arial" w:hAnsi="Arial"/>
          <w:sz w:val="18"/>
          <w:szCs w:val="18"/>
          <w:color w:val="auto"/>
        </w:rPr>
        <w:t>”) duly executed and acknowledged by Borrower or the relevant Loan Party, in form for recording in the recording office where the Mortgage was recorded and in form approved by local counsel in the jurisdiction in which the Mortgaged Property is located, together with such certificates or affidavits as shall be required in connection with the recording or filing thereof under applicable law, in each case in form and substance reasonably satisfactory to the Collateral Agent;</w:t>
      </w:r>
    </w:p>
    <w:p>
      <w:pPr>
        <w:spacing w:after="0" w:line="188" w:lineRule="exact"/>
        <w:rPr>
          <w:rFonts w:ascii="Arial" w:cs="Arial" w:eastAsia="Arial" w:hAnsi="Arial"/>
          <w:sz w:val="18"/>
          <w:szCs w:val="18"/>
          <w:color w:val="auto"/>
        </w:rPr>
      </w:pPr>
    </w:p>
    <w:p>
      <w:pPr>
        <w:ind w:left="1300" w:firstLine="653"/>
        <w:spacing w:after="0" w:line="255" w:lineRule="auto"/>
        <w:tabs>
          <w:tab w:leader="none" w:pos="23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with respect to each Mortgage Amendment, a mortgage modification endorsement or other similar title product and at the reasonable request of the Agent, a recent title search or report (which shall not be required to “date-down” or otherwise extend the date of the policy) to the existing title policy relating to the Mortgage encumbering the applicable Mortgaged Property (a “</w:t>
      </w:r>
      <w:r>
        <w:rPr>
          <w:rFonts w:ascii="Arial" w:cs="Arial" w:eastAsia="Arial" w:hAnsi="Arial"/>
          <w:sz w:val="18"/>
          <w:szCs w:val="18"/>
          <w:u w:val="single" w:color="auto"/>
          <w:color w:val="auto"/>
        </w:rPr>
        <w:t>Title Policy</w:t>
      </w:r>
      <w:r>
        <w:rPr>
          <w:rFonts w:ascii="Arial" w:cs="Arial" w:eastAsia="Arial" w:hAnsi="Arial"/>
          <w:sz w:val="18"/>
          <w:szCs w:val="18"/>
          <w:color w:val="auto"/>
        </w:rPr>
        <w:t xml:space="preserve"> </w:t>
      </w:r>
      <w:r>
        <w:rPr>
          <w:rFonts w:ascii="Arial" w:cs="Arial" w:eastAsia="Arial" w:hAnsi="Arial"/>
          <w:sz w:val="18"/>
          <w:szCs w:val="18"/>
          <w:u w:val="single" w:color="auto"/>
          <w:color w:val="auto"/>
        </w:rPr>
        <w:t>Endorsement</w:t>
      </w:r>
      <w:r>
        <w:rPr>
          <w:rFonts w:ascii="Arial" w:cs="Arial" w:eastAsia="Arial" w:hAnsi="Arial"/>
          <w:sz w:val="18"/>
          <w:szCs w:val="18"/>
          <w:color w:val="auto"/>
        </w:rPr>
        <w:t>”) and each such Title Policy Endorsement shall otherwise be in form and substance reasonably satisfactory to the Collateral Agent which provide insurance to the effect that the validity and enforceability of the Mortgage, as amended by such Mortgage Amendment is not affected thereby; and</w:t>
      </w:r>
    </w:p>
    <w:p>
      <w:pPr>
        <w:spacing w:after="0" w:line="193" w:lineRule="exact"/>
        <w:rPr>
          <w:rFonts w:ascii="Arial" w:cs="Arial" w:eastAsia="Arial" w:hAnsi="Arial"/>
          <w:sz w:val="18"/>
          <w:szCs w:val="18"/>
          <w:color w:val="auto"/>
        </w:rPr>
      </w:pPr>
    </w:p>
    <w:p>
      <w:pPr>
        <w:ind w:left="1300" w:right="600" w:firstLine="653"/>
        <w:spacing w:after="0" w:line="264" w:lineRule="auto"/>
        <w:tabs>
          <w:tab w:leader="none" w:pos="239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evidence acceptable to the Collateral Agent of payment by the Borrower or relevant Loan Party of all applicable title insurance premiums, search and examination charges, and related charges, mortgage recording taxes, and expenses required for the recording of the Mortgage Amendments and issuance of the Title Policy Endorsements.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4" w:right="259" w:bottom="1440" w:gutter="0" w:footer="0" w:header="0"/>
        </w:sectPr>
      </w:pPr>
    </w:p>
    <w:bookmarkStart w:id="52" w:name="page53"/>
    <w:bookmarkEnd w:id="52"/>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duly executed and delivered by their proper and duly authorized officers as of the day and year first above written.</w:t>
      </w:r>
    </w:p>
    <w:p>
      <w:pPr>
        <w:spacing w:after="0" w:line="200" w:lineRule="exact"/>
        <w:rPr>
          <w:sz w:val="20"/>
          <w:szCs w:val="20"/>
          <w:color w:val="auto"/>
        </w:rPr>
      </w:pPr>
    </w:p>
    <w:p>
      <w:pPr>
        <w:spacing w:after="0" w:line="34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MICRON SEMICONDUCTOR</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PRODUCTS,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31750</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584" w:right="699" w:bottom="1440" w:gutter="0" w:footer="0" w:header="0"/>
        </w:sectPr>
      </w:pPr>
    </w:p>
    <w:bookmarkStart w:id="53" w:name="page54"/>
    <w:bookmarkEnd w:id="53"/>
    <w:p>
      <w:pPr>
        <w:ind w:left="488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as Administrative Agent and an Issuing</w:t>
      </w:r>
    </w:p>
    <w:p>
      <w:pPr>
        <w:spacing w:after="0" w:line="3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Bank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019"/>
          </w:cols>
          <w:pgMar w:left="1440" w:top="959" w:right="1440" w:bottom="1440" w:gutter="0" w:footer="0" w:header="0"/>
        </w:sectPr>
      </w:pPr>
    </w:p>
    <w:bookmarkStart w:id="54" w:name="page55"/>
    <w:bookmarkEnd w:id="54"/>
    <w:p>
      <w:pPr>
        <w:ind w:left="4880"/>
        <w:spacing w:after="0"/>
        <w:rPr>
          <w:sz w:val="20"/>
          <w:szCs w:val="20"/>
          <w:color w:val="auto"/>
        </w:rPr>
      </w:pPr>
      <w:r>
        <w:rPr>
          <w:rFonts w:ascii="Arial" w:cs="Arial" w:eastAsia="Arial" w:hAnsi="Arial"/>
          <w:sz w:val="18"/>
          <w:szCs w:val="18"/>
          <w:b w:val="1"/>
          <w:bCs w:val="1"/>
          <w:color w:val="auto"/>
        </w:rPr>
        <w:t>HSBC Bank USA, National</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 xml:space="preserve">Association, </w:t>
      </w:r>
      <w:r>
        <w:rPr>
          <w:rFonts w:ascii="Arial" w:cs="Arial" w:eastAsia="Arial" w:hAnsi="Arial"/>
          <w:sz w:val="15"/>
          <w:szCs w:val="15"/>
          <w:color w:val="auto"/>
        </w:rPr>
        <w:t>as an Issuing Bank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019"/>
          </w:cols>
          <w:pgMar w:left="1440" w:top="742" w:right="1440" w:bottom="1440" w:gutter="0" w:footer="0" w:header="0"/>
        </w:sectPr>
      </w:pPr>
    </w:p>
    <w:bookmarkStart w:id="55" w:name="page56"/>
    <w:bookmarkEnd w:id="55"/>
    <w:p>
      <w:pPr>
        <w:ind w:left="4880" w:right="1499" w:hanging="1"/>
        <w:spacing w:after="0" w:line="282" w:lineRule="auto"/>
        <w:tabs>
          <w:tab w:leader="none" w:pos="498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as a 2018 Incremental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Lender</w:t>
      </w:r>
    </w:p>
    <w:p>
      <w:pPr>
        <w:spacing w:after="0" w:line="200" w:lineRule="exact"/>
        <w:rPr>
          <w:sz w:val="20"/>
          <w:szCs w:val="20"/>
          <w:color w:val="auto"/>
        </w:rPr>
      </w:pPr>
    </w:p>
    <w:p>
      <w:pPr>
        <w:spacing w:after="0" w:line="39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31750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019"/>
          </w:cols>
          <w:pgMar w:left="1440" w:top="958" w:right="1440"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07"/>
        </w:trPr>
        <w:tc>
          <w:tcPr>
            <w:tcW w:w="7040" w:type="dxa"/>
            <w:vAlign w:val="bottom"/>
            <w:vMerge w:val="restart"/>
          </w:tcPr>
          <w:p>
            <w:pPr>
              <w:ind w:left="3660"/>
              <w:spacing w:after="0"/>
              <w:rPr>
                <w:sz w:val="20"/>
                <w:szCs w:val="20"/>
                <w:color w:val="auto"/>
              </w:rPr>
            </w:pPr>
            <w:r>
              <w:rPr>
                <w:rFonts w:ascii="Arial" w:cs="Arial" w:eastAsia="Arial" w:hAnsi="Arial"/>
                <w:sz w:val="18"/>
                <w:szCs w:val="18"/>
                <w:b w:val="1"/>
                <w:bCs w:val="1"/>
                <w:color w:val="auto"/>
                <w:w w:val="92"/>
              </w:rPr>
              <w:t>2018 Incremental Revolving Commitments</w:t>
            </w:r>
          </w:p>
        </w:tc>
        <w:tc>
          <w:tcPr>
            <w:tcW w:w="3980" w:type="dxa"/>
            <w:vAlign w:val="bottom"/>
            <w:gridSpan w:val="3"/>
          </w:tcPr>
          <w:p>
            <w:pPr>
              <w:ind w:left="3080"/>
              <w:spacing w:after="0"/>
              <w:rPr>
                <w:sz w:val="20"/>
                <w:szCs w:val="20"/>
                <w:color w:val="auto"/>
              </w:rPr>
            </w:pPr>
            <w:r>
              <w:rPr>
                <w:rFonts w:ascii="Arial" w:cs="Arial" w:eastAsia="Arial" w:hAnsi="Arial"/>
                <w:sz w:val="18"/>
                <w:szCs w:val="18"/>
                <w:color w:val="auto"/>
              </w:rPr>
              <w:t>EXHIBIT A</w:t>
            </w:r>
          </w:p>
        </w:tc>
        <w:tc>
          <w:tcPr>
            <w:tcW w:w="0" w:type="dxa"/>
            <w:vAlign w:val="bottom"/>
          </w:tcPr>
          <w:p>
            <w:pPr>
              <w:spacing w:after="0"/>
              <w:rPr>
                <w:sz w:val="1"/>
                <w:szCs w:val="1"/>
                <w:color w:val="auto"/>
              </w:rPr>
            </w:pPr>
          </w:p>
        </w:tc>
      </w:tr>
      <w:tr>
        <w:trPr>
          <w:trHeight w:val="237"/>
        </w:trPr>
        <w:tc>
          <w:tcPr>
            <w:tcW w:w="7040" w:type="dxa"/>
            <w:vAlign w:val="bottom"/>
            <w:vMerge w:val="continue"/>
          </w:tcPr>
          <w:p>
            <w:pPr>
              <w:spacing w:after="0"/>
              <w:rPr>
                <w:sz w:val="20"/>
                <w:szCs w:val="20"/>
                <w:color w:val="auto"/>
              </w:rPr>
            </w:pPr>
          </w:p>
        </w:tc>
        <w:tc>
          <w:tcPr>
            <w:tcW w:w="30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2018 Incremental Revolving Lender</w:t>
            </w:r>
          </w:p>
        </w:tc>
        <w:tc>
          <w:tcPr>
            <w:tcW w:w="3600" w:type="dxa"/>
            <w:vAlign w:val="bottom"/>
            <w:tcBorders>
              <w:top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1"/>
              </w:rPr>
              <w:t>2018 Incremental Revolving Commitment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JPMorgan Chase Bank, N.A.</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$22,500,000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HSBC Bank USA, National Association</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$22,500,000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BNP Paribas</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$16,000,000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Credit Agricole Corporate and Investment Bank</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$16,000,000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Mizuho Bank, Ltd.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$16,000,000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DBS Bank Ltd.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$16,000,000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Oversea-Chinese Banking Corporation Limited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$16,000,000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Wells Fargo Bank, National Association</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8"/>
              </w:rPr>
              <w:t>$176,000,000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Citibank N.A.</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$15,000,000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Industrial and Commercial Bank of China Ltd., New York Branch</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$15,000,000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MUFG Bank, Ltd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$15,000,000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Australia and New Zealand Banking Group Limited</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$11,000,000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Credit Suisse AG, Cayman Islands</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$11,000,000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Morgan Stanley Bank, N.A.</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9"/>
              </w:rPr>
              <w:t>$11,000,000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Goldman Sachs Bank USA</w:t>
            </w:r>
          </w:p>
        </w:tc>
        <w:tc>
          <w:tcPr>
            <w:tcW w:w="3080" w:type="dxa"/>
            <w:vAlign w:val="bottom"/>
          </w:tcPr>
          <w:p>
            <w:pPr>
              <w:jc w:val="center"/>
              <w:ind w:left="410"/>
              <w:spacing w:after="0"/>
              <w:rPr>
                <w:sz w:val="20"/>
                <w:szCs w:val="20"/>
                <w:color w:val="auto"/>
              </w:rPr>
            </w:pPr>
            <w:r>
              <w:rPr>
                <w:rFonts w:ascii="Arial" w:cs="Arial" w:eastAsia="Arial" w:hAnsi="Arial"/>
                <w:sz w:val="18"/>
                <w:szCs w:val="18"/>
                <w:color w:val="auto"/>
                <w:w w:val="88"/>
              </w:rPr>
              <w:t>$121,000,000</w:t>
            </w:r>
          </w:p>
        </w:tc>
        <w:tc>
          <w:tcPr>
            <w:tcW w:w="5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40" w:type="dxa"/>
            <w:vAlign w:val="bottom"/>
            <w:tcBorders>
              <w:left w:val="single" w:sz="8" w:color="auto"/>
              <w:right w:val="single" w:sz="8" w:color="auto"/>
            </w:tcBorders>
          </w:tcPr>
          <w:p>
            <w:pPr>
              <w:spacing w:after="0"/>
              <w:rPr>
                <w:sz w:val="20"/>
                <w:szCs w:val="20"/>
                <w:color w:val="auto"/>
              </w:rPr>
            </w:pPr>
          </w:p>
        </w:tc>
        <w:tc>
          <w:tcPr>
            <w:tcW w:w="36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1"/>
              </w:rPr>
              <w:t>Total: $500,000,000</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640" w:top="56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500"/>
        <w:spacing w:after="0"/>
        <w:tabs>
          <w:tab w:leader="none" w:pos="122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19, 2018</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395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Sanjay Mehrotra</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25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308" w:lineRule="auto"/>
        <w:tabs>
          <w:tab w:leader="none" w:pos="6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60" w:hanging="328"/>
        <w:spacing w:after="0" w:line="277"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19, 2018</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66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3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November 29, 2018,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14" w:lineRule="exact"/>
        <w:rPr>
          <w:sz w:val="20"/>
          <w:szCs w:val="20"/>
          <w:color w:val="auto"/>
        </w:rPr>
      </w:pPr>
    </w:p>
    <w:p>
      <w:pPr>
        <w:ind w:left="60"/>
        <w:spacing w:after="0"/>
        <w:tabs>
          <w:tab w:leader="none" w:pos="74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19, 2018</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Sanjay Mehrotra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420"/>
          </w:cols>
          <w:pgMar w:left="240" w:top="66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 David A. Zinsner, certify, pursuant to 18 U.S.C. 1350, as adopted pursuant to Section 906 of the Sarbanes-Oxley Act of 2002, that the Quarterly Report of Micron Technology, Inc. on Form 10-Q for the period ended November 29, 2018,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14"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19, 2018</w:t>
      </w:r>
      <w:r>
        <w:rPr>
          <w:sz w:val="20"/>
          <w:szCs w:val="20"/>
          <w:color w:val="auto"/>
        </w:rPr>
        <w:tab/>
      </w:r>
      <w:r>
        <w:rPr>
          <w:rFonts w:ascii="Arial" w:cs="Arial" w:eastAsia="Arial" w:hAnsi="Arial"/>
          <w:sz w:val="16"/>
          <w:szCs w:val="16"/>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2"/>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lvl w:ilvl="1">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2"/>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9"/>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lowerLetter"/>
      <w:start w:val="1"/>
    </w:lvl>
    <w:lvl w:ilvl="1">
      <w:lvlJc w:val="left"/>
      <w:lvlText w:val="(%2)"/>
      <w:numFmt w:val="lowerRoman"/>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30" Type="http://schemas.openxmlformats.org/officeDocument/2006/relationships/hyperlink" Target="http://www.sec.gov/Archives/edgar/data/723125/000110465915004447/a15-3005_2ex99d2.htm" TargetMode="External"/><Relationship Id="rId31" Type="http://schemas.openxmlformats.org/officeDocument/2006/relationships/hyperlink" Target="http://www.sec.gov/Archives/edgar/data/723125/000072312518000100/a20188-k10172018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2019-12-28T17:31:20Z</dcterms:created>
  <dcterms:modified xsi:type="dcterms:W3CDTF">2019-12-28T17:31:20Z</dcterms:modified>
</cp:coreProperties>
</file>