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October 15, 2001</w:t>
      </w:r>
    </w:p>
    <w:p>
      <w:pPr>
        <w:spacing w:after="0" w:line="225" w:lineRule="exact"/>
        <w:rPr>
          <w:sz w:val="24"/>
          <w:szCs w:val="24"/>
          <w:color w:val="auto"/>
        </w:rPr>
      </w:pPr>
    </w:p>
    <w:p>
      <w:pPr>
        <w:ind w:left="96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S-3</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MICRON TECHNOLOGY, INC.</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60" w:type="dxa"/>
        <w:tblCellMar>
          <w:top w:w="0" w:type="dxa"/>
          <w:left w:w="0" w:type="dxa"/>
          <w:bottom w:w="0" w:type="dxa"/>
          <w:right w:w="0" w:type="dxa"/>
        </w:tblCellMar>
      </w:tblPr>
      <w:tr>
        <w:trPr>
          <w:trHeight w:val="222"/>
        </w:trPr>
        <w:tc>
          <w:tcPr>
            <w:tcW w:w="4080" w:type="dxa"/>
            <w:vAlign w:val="bottom"/>
          </w:tcPr>
          <w:p>
            <w:pPr>
              <w:jc w:val="center"/>
              <w:ind w:right="1892"/>
              <w:spacing w:after="0"/>
              <w:rPr>
                <w:sz w:val="20"/>
                <w:szCs w:val="20"/>
                <w:color w:val="auto"/>
              </w:rPr>
            </w:pPr>
            <w:r>
              <w:rPr>
                <w:rFonts w:ascii="Arial" w:cs="Arial" w:eastAsia="Arial" w:hAnsi="Arial"/>
                <w:sz w:val="18"/>
                <w:szCs w:val="18"/>
                <w:b w:val="1"/>
                <w:bCs w:val="1"/>
                <w:color w:val="auto"/>
                <w:w w:val="94"/>
              </w:rPr>
              <w:t>DELAWARE</w:t>
            </w:r>
          </w:p>
        </w:tc>
        <w:tc>
          <w:tcPr>
            <w:tcW w:w="3600" w:type="dxa"/>
            <w:vAlign w:val="bottom"/>
          </w:tcPr>
          <w:p>
            <w:pPr>
              <w:jc w:val="center"/>
              <w:ind w:left="1872"/>
              <w:spacing w:after="0"/>
              <w:rPr>
                <w:sz w:val="20"/>
                <w:szCs w:val="20"/>
                <w:color w:val="auto"/>
              </w:rPr>
            </w:pPr>
            <w:r>
              <w:rPr>
                <w:rFonts w:ascii="Arial" w:cs="Arial" w:eastAsia="Arial" w:hAnsi="Arial"/>
                <w:sz w:val="18"/>
                <w:szCs w:val="18"/>
                <w:b w:val="1"/>
                <w:bCs w:val="1"/>
                <w:color w:val="auto"/>
                <w:w w:val="87"/>
              </w:rPr>
              <w:t>75-1618004</w:t>
            </w:r>
          </w:p>
        </w:tc>
      </w:tr>
      <w:tr>
        <w:trPr>
          <w:trHeight w:val="216"/>
        </w:trPr>
        <w:tc>
          <w:tcPr>
            <w:tcW w:w="4080" w:type="dxa"/>
            <w:vAlign w:val="bottom"/>
          </w:tcPr>
          <w:p>
            <w:pPr>
              <w:jc w:val="center"/>
              <w:ind w:right="1892"/>
              <w:spacing w:after="0"/>
              <w:rPr>
                <w:sz w:val="20"/>
                <w:szCs w:val="20"/>
                <w:color w:val="auto"/>
              </w:rPr>
            </w:pPr>
            <w:r>
              <w:rPr>
                <w:rFonts w:ascii="Arial" w:cs="Arial" w:eastAsia="Arial" w:hAnsi="Arial"/>
                <w:sz w:val="18"/>
                <w:szCs w:val="18"/>
                <w:color w:val="auto"/>
                <w:w w:val="89"/>
              </w:rPr>
              <w:t>(State or other jurisdiction of</w:t>
            </w:r>
          </w:p>
        </w:tc>
        <w:tc>
          <w:tcPr>
            <w:tcW w:w="3600" w:type="dxa"/>
            <w:vAlign w:val="bottom"/>
          </w:tcPr>
          <w:p>
            <w:pPr>
              <w:jc w:val="center"/>
              <w:ind w:left="1872"/>
              <w:spacing w:after="0"/>
              <w:rPr>
                <w:sz w:val="20"/>
                <w:szCs w:val="20"/>
                <w:color w:val="auto"/>
              </w:rPr>
            </w:pPr>
            <w:r>
              <w:rPr>
                <w:rFonts w:ascii="Arial" w:cs="Arial" w:eastAsia="Arial" w:hAnsi="Arial"/>
                <w:sz w:val="18"/>
                <w:szCs w:val="18"/>
                <w:color w:val="auto"/>
                <w:w w:val="90"/>
              </w:rPr>
              <w:t>(I.R.S. Employer</w:t>
            </w:r>
          </w:p>
        </w:tc>
      </w:tr>
      <w:tr>
        <w:trPr>
          <w:trHeight w:val="222"/>
        </w:trPr>
        <w:tc>
          <w:tcPr>
            <w:tcW w:w="4080" w:type="dxa"/>
            <w:vAlign w:val="bottom"/>
          </w:tcPr>
          <w:p>
            <w:pPr>
              <w:jc w:val="center"/>
              <w:ind w:right="1892"/>
              <w:spacing w:after="0"/>
              <w:rPr>
                <w:sz w:val="20"/>
                <w:szCs w:val="20"/>
                <w:color w:val="auto"/>
              </w:rPr>
            </w:pPr>
            <w:r>
              <w:rPr>
                <w:rFonts w:ascii="Arial" w:cs="Arial" w:eastAsia="Arial" w:hAnsi="Arial"/>
                <w:sz w:val="18"/>
                <w:szCs w:val="18"/>
                <w:color w:val="auto"/>
                <w:w w:val="89"/>
              </w:rPr>
              <w:t>incorporation or organization)</w:t>
            </w:r>
          </w:p>
        </w:tc>
        <w:tc>
          <w:tcPr>
            <w:tcW w:w="3600" w:type="dxa"/>
            <w:vAlign w:val="bottom"/>
          </w:tcPr>
          <w:p>
            <w:pPr>
              <w:jc w:val="center"/>
              <w:ind w:left="1892"/>
              <w:spacing w:after="0"/>
              <w:rPr>
                <w:sz w:val="20"/>
                <w:szCs w:val="20"/>
                <w:color w:val="auto"/>
              </w:rPr>
            </w:pPr>
            <w:r>
              <w:rPr>
                <w:rFonts w:ascii="Arial" w:cs="Arial" w:eastAsia="Arial" w:hAnsi="Arial"/>
                <w:sz w:val="18"/>
                <w:szCs w:val="18"/>
                <w:color w:val="auto"/>
                <w:w w:val="91"/>
              </w:rPr>
              <w:t>Identification Number)</w:t>
            </w:r>
          </w:p>
        </w:tc>
      </w:tr>
    </w:tbl>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8000 South Federal Way</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P.O. Box 6</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Boise, Idaho 83707-0006</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(208) 368-4000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W.G. Stover, Jr.</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Vice President of Finance and Chief Financial Officer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8000 South Federal Way</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Boise, Idaho 83707-0006</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(208) 368-4000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John A. Fore, Esq.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Michael A. Occhiolini, Esq.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Professional Corporation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650 Page Mill Road</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Palo Alto, CA 94304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164465</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1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48" w:lineRule="exact"/>
        <w:rPr>
          <w:sz w:val="24"/>
          <w:szCs w:val="24"/>
          <w:color w:val="auto"/>
        </w:rPr>
      </w:pPr>
    </w:p>
    <w:p>
      <w:pPr>
        <w:ind w:right="100" w:firstLine="132"/>
        <w:spacing w:after="0" w:line="332"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39" w:lineRule="exact"/>
        <w:rPr>
          <w:sz w:val="24"/>
          <w:szCs w:val="24"/>
          <w:color w:val="auto"/>
        </w:rPr>
      </w:pPr>
    </w:p>
    <w:p>
      <w:pPr>
        <w:ind w:firstLine="132"/>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6" w:lineRule="exact"/>
        <w:rPr>
          <w:sz w:val="24"/>
          <w:szCs w:val="24"/>
          <w:color w:val="auto"/>
        </w:rPr>
      </w:pPr>
    </w:p>
    <w:p>
      <w:pPr>
        <w:ind w:right="260" w:firstLine="132"/>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pacing w:after="0" w:line="186"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69" w:right="339" w:bottom="0" w:gutter="0" w:footer="0" w:header="0"/>
        </w:sectPr>
      </w:pPr>
    </w:p>
    <w:p>
      <w:pPr>
        <w:spacing w:after="0" w:line="200" w:lineRule="exact"/>
        <w:rPr>
          <w:sz w:val="24"/>
          <w:szCs w:val="24"/>
          <w:color w:val="auto"/>
        </w:rPr>
      </w:pPr>
    </w:p>
    <w:p>
      <w:pPr>
        <w:spacing w:after="0" w:line="270" w:lineRule="exact"/>
        <w:rPr>
          <w:sz w:val="24"/>
          <w:szCs w:val="24"/>
          <w:color w:val="auto"/>
        </w:rPr>
      </w:pPr>
    </w:p>
    <w:p>
      <w:pPr>
        <w:ind w:left="1340"/>
        <w:spacing w:after="0"/>
        <w:tabs>
          <w:tab w:leader="none" w:pos="4320" w:val="left"/>
          <w:tab w:leader="none" w:pos="6040" w:val="left"/>
          <w:tab w:leader="none" w:pos="8200" w:val="left"/>
          <w:tab w:leader="none" w:pos="10340" w:val="left"/>
        </w:tabs>
        <w:rPr>
          <w:sz w:val="20"/>
          <w:szCs w:val="20"/>
          <w:color w:val="auto"/>
        </w:rPr>
      </w:pPr>
      <w:r>
        <w:rPr>
          <w:rFonts w:ascii="Arial" w:cs="Arial" w:eastAsia="Arial" w:hAnsi="Arial"/>
          <w:sz w:val="14"/>
          <w:szCs w:val="14"/>
          <w:b w:val="1"/>
          <w:bCs w:val="1"/>
          <w:color w:val="auto"/>
        </w:rPr>
        <w:t>Title of Securities</w:t>
      </w:r>
      <w:r>
        <w:rPr>
          <w:sz w:val="20"/>
          <w:szCs w:val="20"/>
          <w:color w:val="auto"/>
        </w:rPr>
        <w:tab/>
      </w:r>
      <w:r>
        <w:rPr>
          <w:rFonts w:ascii="Arial" w:cs="Arial" w:eastAsia="Arial" w:hAnsi="Arial"/>
          <w:sz w:val="14"/>
          <w:szCs w:val="14"/>
          <w:b w:val="1"/>
          <w:bCs w:val="1"/>
          <w:color w:val="auto"/>
        </w:rPr>
        <w:t>Amount to</w:t>
      </w:r>
      <w:r>
        <w:rPr>
          <w:sz w:val="20"/>
          <w:szCs w:val="20"/>
          <w:color w:val="auto"/>
        </w:rPr>
        <w:tab/>
      </w:r>
      <w:r>
        <w:rPr>
          <w:rFonts w:ascii="Arial" w:cs="Arial" w:eastAsia="Arial" w:hAnsi="Arial"/>
          <w:sz w:val="14"/>
          <w:szCs w:val="14"/>
          <w:b w:val="1"/>
          <w:bCs w:val="1"/>
          <w:color w:val="auto"/>
        </w:rPr>
        <w:t>Proposed Maximum</w:t>
      </w:r>
      <w:r>
        <w:rPr>
          <w:sz w:val="20"/>
          <w:szCs w:val="20"/>
          <w:color w:val="auto"/>
        </w:rPr>
        <w:tab/>
      </w:r>
      <w:r>
        <w:rPr>
          <w:rFonts w:ascii="Arial" w:cs="Arial" w:eastAsia="Arial" w:hAnsi="Arial"/>
          <w:sz w:val="14"/>
          <w:szCs w:val="14"/>
          <w:b w:val="1"/>
          <w:bCs w:val="1"/>
          <w:color w:val="auto"/>
        </w:rPr>
        <w:t>Proposed Maximum</w:t>
      </w:r>
      <w:r>
        <w:rPr>
          <w:sz w:val="20"/>
          <w:szCs w:val="20"/>
          <w:color w:val="auto"/>
        </w:rPr>
        <w:tab/>
      </w:r>
      <w:r>
        <w:rPr>
          <w:rFonts w:ascii="Arial" w:cs="Arial" w:eastAsia="Arial" w:hAnsi="Arial"/>
          <w:sz w:val="12"/>
          <w:szCs w:val="12"/>
          <w:b w:val="1"/>
          <w:bCs w:val="1"/>
          <w:color w:val="auto"/>
        </w:rPr>
        <w:t>Amount of</w:t>
      </w:r>
    </w:p>
    <w:p>
      <w:pPr>
        <w:sectPr>
          <w:pgSz w:w="11900" w:h="16838" w:orient="portrait"/>
          <w:cols w:equalWidth="0" w:num="1">
            <w:col w:w="11320"/>
          </w:cols>
          <w:pgMar w:left="240" w:top="469" w:right="3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ind w:left="1360"/>
              <w:spacing w:after="0"/>
              <w:rPr>
                <w:sz w:val="20"/>
                <w:szCs w:val="20"/>
                <w:color w:val="auto"/>
              </w:rPr>
            </w:pPr>
            <w:r>
              <w:rPr>
                <w:rFonts w:ascii="Arial" w:cs="Arial" w:eastAsia="Arial" w:hAnsi="Arial"/>
                <w:sz w:val="14"/>
                <w:szCs w:val="14"/>
                <w:b w:val="1"/>
                <w:bCs w:val="1"/>
                <w:color w:val="auto"/>
              </w:rPr>
              <w:t>to be Registered</w:t>
            </w:r>
          </w:p>
        </w:tc>
        <w:tc>
          <w:tcPr>
            <w:tcW w:w="1780" w:type="dxa"/>
            <w:vAlign w:val="bottom"/>
          </w:tcPr>
          <w:p>
            <w:pPr>
              <w:jc w:val="center"/>
              <w:ind w:right="202"/>
              <w:spacing w:after="0"/>
              <w:rPr>
                <w:sz w:val="20"/>
                <w:szCs w:val="20"/>
                <w:color w:val="auto"/>
              </w:rPr>
            </w:pPr>
            <w:r>
              <w:rPr>
                <w:rFonts w:ascii="Arial" w:cs="Arial" w:eastAsia="Arial" w:hAnsi="Arial"/>
                <w:sz w:val="14"/>
                <w:szCs w:val="14"/>
                <w:b w:val="1"/>
                <w:bCs w:val="1"/>
                <w:color w:val="auto"/>
                <w:w w:val="85"/>
              </w:rPr>
              <w:t>be Registered(1)</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2120" w:type="dxa"/>
            <w:vAlign w:val="bottom"/>
          </w:tcPr>
          <w:p>
            <w:pPr>
              <w:jc w:val="center"/>
              <w:ind w:left="86"/>
              <w:spacing w:after="0"/>
              <w:rPr>
                <w:sz w:val="20"/>
                <w:szCs w:val="20"/>
                <w:color w:val="auto"/>
              </w:rPr>
            </w:pPr>
            <w:r>
              <w:rPr>
                <w:rFonts w:ascii="Arial" w:cs="Arial" w:eastAsia="Arial" w:hAnsi="Arial"/>
                <w:sz w:val="14"/>
                <w:szCs w:val="14"/>
                <w:b w:val="1"/>
                <w:bCs w:val="1"/>
                <w:color w:val="auto"/>
                <w:w w:val="86"/>
              </w:rPr>
              <w:t>Aggregate</w:t>
            </w:r>
          </w:p>
        </w:tc>
        <w:tc>
          <w:tcPr>
            <w:tcW w:w="1640" w:type="dxa"/>
            <w:vAlign w:val="bottom"/>
          </w:tcPr>
          <w:p>
            <w:pPr>
              <w:jc w:val="center"/>
              <w:ind w:left="82"/>
              <w:spacing w:after="0"/>
              <w:rPr>
                <w:sz w:val="20"/>
                <w:szCs w:val="20"/>
                <w:color w:val="auto"/>
              </w:rPr>
            </w:pPr>
            <w:r>
              <w:rPr>
                <w:rFonts w:ascii="Arial" w:cs="Arial" w:eastAsia="Arial" w:hAnsi="Arial"/>
                <w:sz w:val="14"/>
                <w:szCs w:val="14"/>
                <w:b w:val="1"/>
                <w:bCs w:val="1"/>
                <w:color w:val="auto"/>
                <w:w w:val="87"/>
              </w:rPr>
              <w:t>Registration Fee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7"/>
              </w:rPr>
              <w:t>Per Share(2)</w:t>
            </w:r>
          </w:p>
        </w:tc>
        <w:tc>
          <w:tcPr>
            <w:tcW w:w="2120" w:type="dxa"/>
            <w:vAlign w:val="bottom"/>
          </w:tcPr>
          <w:p>
            <w:pPr>
              <w:jc w:val="center"/>
              <w:ind w:left="86"/>
              <w:spacing w:after="0"/>
              <w:rPr>
                <w:sz w:val="20"/>
                <w:szCs w:val="20"/>
                <w:color w:val="auto"/>
              </w:rPr>
            </w:pPr>
            <w:r>
              <w:rPr>
                <w:rFonts w:ascii="Arial" w:cs="Arial" w:eastAsia="Arial" w:hAnsi="Arial"/>
                <w:sz w:val="14"/>
                <w:szCs w:val="14"/>
                <w:b w:val="1"/>
                <w:bCs w:val="1"/>
                <w:color w:val="auto"/>
                <w:w w:val="90"/>
              </w:rPr>
              <w:t>Offering Price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$0.10 par value per share, issuable</w:t>
            </w:r>
          </w:p>
        </w:tc>
        <w:tc>
          <w:tcPr>
            <w:tcW w:w="1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upon exercise of warrants to purchase shares of</w:t>
            </w:r>
          </w:p>
        </w:tc>
        <w:tc>
          <w:tcPr>
            <w:tcW w:w="1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78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29,069,767</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$56.00</w:t>
            </w:r>
          </w:p>
        </w:tc>
        <w:tc>
          <w:tcPr>
            <w:tcW w:w="2120" w:type="dxa"/>
            <w:vAlign w:val="bottom"/>
            <w:shd w:val="clear" w:color="auto" w:fill="CCEEFF"/>
          </w:tcPr>
          <w:p>
            <w:pPr>
              <w:jc w:val="center"/>
              <w:ind w:left="86"/>
              <w:spacing w:after="0"/>
              <w:rPr>
                <w:sz w:val="20"/>
                <w:szCs w:val="20"/>
                <w:color w:val="auto"/>
              </w:rPr>
            </w:pPr>
            <w:r>
              <w:rPr>
                <w:rFonts w:ascii="Arial" w:cs="Arial" w:eastAsia="Arial" w:hAnsi="Arial"/>
                <w:sz w:val="18"/>
                <w:szCs w:val="18"/>
                <w:color w:val="auto"/>
                <w:w w:val="86"/>
              </w:rPr>
              <w:t>$1,627,906,952</w:t>
            </w:r>
          </w:p>
        </w:tc>
        <w:tc>
          <w:tcPr>
            <w:tcW w:w="164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$406,977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-580390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right="60"/>
        <w:spacing w:after="0" w:line="261" w:lineRule="auto"/>
        <w:rPr>
          <w:sz w:val="20"/>
          <w:szCs w:val="20"/>
          <w:color w:val="auto"/>
        </w:rPr>
      </w:pPr>
      <w:r>
        <w:rPr>
          <w:rFonts w:ascii="Arial" w:cs="Arial" w:eastAsia="Arial" w:hAnsi="Arial"/>
          <w:sz w:val="18"/>
          <w:szCs w:val="18"/>
          <w:color w:val="auto"/>
        </w:rPr>
        <w:t>Pursuant to Rule 416 under the Securities Act, such number of shares of common stock registered hereby shall include an indeterminate number of shares of common stock that may be issued in connection with a stock split or similar event.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right="220"/>
        <w:spacing w:after="0" w:line="323" w:lineRule="auto"/>
        <w:rPr>
          <w:sz w:val="20"/>
          <w:szCs w:val="20"/>
          <w:color w:val="auto"/>
        </w:rPr>
      </w:pPr>
      <w:r>
        <w:rPr>
          <w:rFonts w:ascii="Arial" w:cs="Arial" w:eastAsia="Arial" w:hAnsi="Arial"/>
          <w:sz w:val="16"/>
          <w:szCs w:val="16"/>
          <w:color w:val="auto"/>
        </w:rPr>
        <w:t>The Proposed Maximum Offering Price Per Share was determined in accordance with Rule 457(g) under the Securities Act of 1933, as amended, under which rule the per share price is estimated by reference to the exercise price of the securities, which exercise price is $56.00.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319405</wp:posOffset>
            </wp:positionV>
            <wp:extent cx="10502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firstLine="13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213995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299720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October 15, 2001</w:t>
      </w:r>
    </w:p>
    <w:p>
      <w:pPr>
        <w:spacing w:after="0" w:line="225"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FF404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Preliminary Prospectus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29,069,767 Shares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20" w:firstLine="172"/>
        <w:spacing w:after="0" w:line="256" w:lineRule="auto"/>
        <w:rPr>
          <w:sz w:val="20"/>
          <w:szCs w:val="20"/>
          <w:color w:val="auto"/>
        </w:rPr>
      </w:pPr>
      <w:r>
        <w:rPr>
          <w:rFonts w:ascii="Arial" w:cs="Arial" w:eastAsia="Arial" w:hAnsi="Arial"/>
          <w:sz w:val="18"/>
          <w:szCs w:val="18"/>
          <w:color w:val="auto"/>
        </w:rPr>
        <w:t>This prospectus relates to 29,069,767 shares of our common stock, $0.10 par value, that are issuable upon the exercise of warrants sold initially by us in private placements in July 2001 and August 2001. This prospectus will be used by the selling stockholders identified in this prospectus to resell the common stock issuable upon exercise of their warrants. We will not receive any of the proceeds from this offering. In connection with the private placements, we have agreed to register the resale of the common stock to be offered by this prospectus.</w:t>
      </w:r>
    </w:p>
    <w:p>
      <w:pPr>
        <w:spacing w:after="0" w:line="197" w:lineRule="exact"/>
        <w:rPr>
          <w:sz w:val="20"/>
          <w:szCs w:val="20"/>
          <w:color w:val="auto"/>
        </w:rPr>
      </w:pPr>
    </w:p>
    <w:p>
      <w:pPr>
        <w:ind w:right="560" w:firstLine="176"/>
        <w:spacing w:after="0" w:line="268" w:lineRule="auto"/>
        <w:rPr>
          <w:sz w:val="20"/>
          <w:szCs w:val="20"/>
          <w:color w:val="auto"/>
        </w:rPr>
      </w:pPr>
      <w:r>
        <w:rPr>
          <w:rFonts w:ascii="Arial" w:cs="Arial" w:eastAsia="Arial" w:hAnsi="Arial"/>
          <w:sz w:val="18"/>
          <w:szCs w:val="18"/>
          <w:color w:val="auto"/>
        </w:rPr>
        <w:t>Shares of our common stock are quoted on the New York Stock Exchange under the symbol "MU." The last reported sale price of the common stock on October 12, 2001 was $25.50 per share.</w:t>
      </w:r>
    </w:p>
    <w:p>
      <w:pPr>
        <w:spacing w:after="0" w:line="167" w:lineRule="exact"/>
        <w:rPr>
          <w:sz w:val="20"/>
          <w:szCs w:val="20"/>
          <w:color w:val="auto"/>
        </w:rPr>
      </w:pPr>
    </w:p>
    <w:p>
      <w:pPr>
        <w:ind w:right="540" w:firstLine="176"/>
        <w:spacing w:after="0" w:line="256" w:lineRule="auto"/>
        <w:rPr>
          <w:sz w:val="20"/>
          <w:szCs w:val="20"/>
          <w:color w:val="auto"/>
        </w:rPr>
      </w:pPr>
      <w:r>
        <w:rPr>
          <w:rFonts w:ascii="Arial" w:cs="Arial" w:eastAsia="Arial" w:hAnsi="Arial"/>
          <w:sz w:val="22"/>
          <w:szCs w:val="22"/>
          <w:b w:val="1"/>
          <w:bCs w:val="1"/>
          <w:color w:val="auto"/>
        </w:rPr>
        <w:t>Investing in our common stock involves risks. See "Risk Factors" beginning on page 2 to read about risk factors you should consider before buying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118745</wp:posOffset>
            </wp:positionV>
            <wp:extent cx="105029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9" w:lineRule="exact"/>
        <w:rPr>
          <w:sz w:val="20"/>
          <w:szCs w:val="20"/>
          <w:color w:val="auto"/>
        </w:rPr>
      </w:pPr>
    </w:p>
    <w:p>
      <w:pPr>
        <w:ind w:right="100" w:firstLine="17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117475</wp:posOffset>
            </wp:positionV>
            <wp:extent cx="105029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180" w:type="dxa"/>
        <w:tblCellMar>
          <w:top w:w="0" w:type="dxa"/>
          <w:left w:w="0" w:type="dxa"/>
          <w:bottom w:w="0" w:type="dxa"/>
          <w:right w:w="0" w:type="dxa"/>
        </w:tblCellMar>
      </w:tblPr>
      <w:tr>
        <w:trPr>
          <w:trHeight w:val="222"/>
        </w:trPr>
        <w:tc>
          <w:tcPr>
            <w:tcW w:w="2320" w:type="dxa"/>
            <w:vAlign w:val="bottom"/>
          </w:tcPr>
          <w:p>
            <w:pPr>
              <w:spacing w:after="0"/>
              <w:rPr>
                <w:sz w:val="20"/>
                <w:szCs w:val="20"/>
                <w:color w:val="auto"/>
              </w:rPr>
            </w:pPr>
            <w:r>
              <w:rPr>
                <w:rFonts w:ascii="Arial" w:cs="Arial" w:eastAsia="Arial" w:hAnsi="Arial"/>
                <w:sz w:val="18"/>
                <w:szCs w:val="18"/>
                <w:color w:val="auto"/>
                <w:w w:val="97"/>
              </w:rPr>
              <w:t>The date of this prospectus is</w:t>
            </w:r>
          </w:p>
        </w:tc>
        <w:tc>
          <w:tcPr>
            <w:tcW w:w="740" w:type="dxa"/>
            <w:vAlign w:val="bottom"/>
          </w:tcPr>
          <w:p>
            <w:pPr>
              <w:jc w:val="right"/>
              <w:spacing w:after="0"/>
              <w:rPr>
                <w:sz w:val="20"/>
                <w:szCs w:val="20"/>
                <w:color w:val="auto"/>
              </w:rPr>
            </w:pPr>
            <w:r>
              <w:rPr>
                <w:rFonts w:ascii="Arial" w:cs="Arial" w:eastAsia="Arial" w:hAnsi="Arial"/>
                <w:sz w:val="18"/>
                <w:szCs w:val="18"/>
                <w:color w:val="auto"/>
              </w:rPr>
              <w:t>, 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20" w:firstLine="176"/>
        <w:spacing w:after="0" w:line="258" w:lineRule="auto"/>
        <w:rPr>
          <w:sz w:val="20"/>
          <w:szCs w:val="20"/>
          <w:color w:val="auto"/>
        </w:rPr>
      </w:pPr>
      <w:r>
        <w:rPr>
          <w:rFonts w:ascii="Arial" w:cs="Arial" w:eastAsia="Arial" w:hAnsi="Arial"/>
          <w:sz w:val="18"/>
          <w:szCs w:val="18"/>
          <w:b w:val="1"/>
          <w:bCs w:val="1"/>
          <w:color w:val="auto"/>
        </w:rPr>
        <w:t>You should rely only on the information incorporated by reference or provided in this prospectus or a prospectus supplement or amendment. We have not authorized anyone else to provide you with different information. We are not making an offer of these securities in any state where the offer is not permitted. You should not assume the information in this prospectus or a prospectus supplement or amendment is accurate as of any date other than the date on the front of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128270</wp:posOffset>
            </wp:positionV>
            <wp:extent cx="105029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4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2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SUMMARY</w:t>
            </w:r>
          </w:p>
        </w:tc>
        <w:tc>
          <w:tcPr>
            <w:tcW w:w="2560" w:type="dxa"/>
            <w:vAlign w:val="bottom"/>
          </w:tcPr>
          <w:p>
            <w:pPr>
              <w:ind w:left="2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2560" w:type="dxa"/>
            <w:vAlign w:val="bottom"/>
          </w:tcPr>
          <w:p>
            <w:pPr>
              <w:ind w:left="2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56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DIVIDEND POLICY</w:t>
            </w:r>
          </w:p>
        </w:tc>
        <w:tc>
          <w:tcPr>
            <w:tcW w:w="2560" w:type="dxa"/>
            <w:vAlign w:val="bottom"/>
          </w:tcPr>
          <w:p>
            <w:pPr>
              <w:ind w:left="2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84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4"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REGISTRATION RIGHTS RELATING TO THE COMMON STOCK</w:t>
            </w:r>
          </w:p>
        </w:tc>
        <w:tc>
          <w:tcPr>
            <w:tcW w:w="340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8</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3400" w:type="dxa"/>
            <w:vAlign w:val="bottom"/>
          </w:tcPr>
          <w:p>
            <w:pPr>
              <w:ind w:left="3060"/>
              <w:spacing w:after="0"/>
              <w:rPr>
                <w:sz w:val="20"/>
                <w:szCs w:val="20"/>
                <w:color w:val="auto"/>
              </w:rPr>
            </w:pPr>
            <w:r>
              <w:rPr>
                <w:rFonts w:ascii="Arial" w:cs="Arial" w:eastAsia="Arial" w:hAnsi="Arial"/>
                <w:sz w:val="18"/>
                <w:szCs w:val="18"/>
                <w:color w:val="auto"/>
              </w:rPr>
              <w:t>10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SELLING STOCKHOLDERS</w:t>
            </w:r>
          </w:p>
        </w:tc>
        <w:tc>
          <w:tcPr>
            <w:tcW w:w="340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12</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PLAN OF DISTRIBUTION</w:t>
            </w:r>
          </w:p>
        </w:tc>
        <w:tc>
          <w:tcPr>
            <w:tcW w:w="3400" w:type="dxa"/>
            <w:vAlign w:val="bottom"/>
          </w:tcPr>
          <w:p>
            <w:pPr>
              <w:ind w:left="3060"/>
              <w:spacing w:after="0"/>
              <w:rPr>
                <w:sz w:val="20"/>
                <w:szCs w:val="20"/>
                <w:color w:val="auto"/>
              </w:rPr>
            </w:pPr>
            <w:r>
              <w:rPr>
                <w:rFonts w:ascii="Arial" w:cs="Arial" w:eastAsia="Arial" w:hAnsi="Arial"/>
                <w:sz w:val="18"/>
                <w:szCs w:val="18"/>
                <w:color w:val="auto"/>
              </w:rPr>
              <w:t>14</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VALIDITY OF COMMON STOCK</w:t>
            </w:r>
          </w:p>
        </w:tc>
        <w:tc>
          <w:tcPr>
            <w:tcW w:w="340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15</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EXPERTS</w:t>
            </w:r>
          </w:p>
        </w:tc>
        <w:tc>
          <w:tcPr>
            <w:tcW w:w="3400" w:type="dxa"/>
            <w:vAlign w:val="bottom"/>
          </w:tcPr>
          <w:p>
            <w:pPr>
              <w:ind w:left="3060"/>
              <w:spacing w:after="0"/>
              <w:rPr>
                <w:sz w:val="20"/>
                <w:szCs w:val="20"/>
                <w:color w:val="auto"/>
              </w:rPr>
            </w:pPr>
            <w:r>
              <w:rPr>
                <w:rFonts w:ascii="Arial" w:cs="Arial" w:eastAsia="Arial" w:hAnsi="Arial"/>
                <w:sz w:val="18"/>
                <w:szCs w:val="18"/>
                <w:color w:val="auto"/>
              </w:rPr>
              <w:t>15</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AVAILABLE INFORMATION</w:t>
            </w:r>
          </w:p>
        </w:tc>
        <w:tc>
          <w:tcPr>
            <w:tcW w:w="340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15</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jc w:val="both"/>
        <w:ind w:right="160" w:firstLine="172"/>
        <w:spacing w:after="0" w:line="268" w:lineRule="auto"/>
        <w:rPr>
          <w:sz w:val="20"/>
          <w:szCs w:val="20"/>
          <w:color w:val="auto"/>
        </w:rPr>
      </w:pPr>
      <w:r>
        <w:rPr>
          <w:rFonts w:ascii="Arial" w:cs="Arial" w:eastAsia="Arial" w:hAnsi="Arial"/>
          <w:sz w:val="18"/>
          <w:szCs w:val="18"/>
          <w:color w:val="auto"/>
        </w:rPr>
        <w:t>The following documents filed by us with the Securities and Exchange Commission, or the "SEC," are incorporated by reference into, and are attached to and made part of, this prospectus: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Annual Report on Form 10-K for the year ended August 30, 2001;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600"/>
        <w:spacing w:after="0" w:line="323" w:lineRule="auto"/>
        <w:rPr>
          <w:sz w:val="20"/>
          <w:szCs w:val="20"/>
          <w:color w:val="auto"/>
        </w:rPr>
      </w:pPr>
      <w:r>
        <w:rPr>
          <w:rFonts w:ascii="Arial" w:cs="Arial" w:eastAsia="Arial" w:hAnsi="Arial"/>
          <w:sz w:val="16"/>
          <w:szCs w:val="16"/>
          <w:color w:val="auto"/>
        </w:rPr>
        <w:t>the description of our common stock contained in our registration statement on Form 8-A (No. 1-10658), declared effective by the SEC on November 28, 1990, including any amendments or reports filed for the purpose of updating such description.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You may request a copy of these filings, at no cost, upon writing or telephoning us at the following:</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firstLine="172"/>
        <w:spacing w:after="0" w:line="298" w:lineRule="auto"/>
        <w:rPr>
          <w:sz w:val="20"/>
          <w:szCs w:val="20"/>
          <w:color w:val="auto"/>
        </w:rPr>
      </w:pPr>
      <w:r>
        <w:rPr>
          <w:rFonts w:ascii="Arial" w:cs="Arial" w:eastAsia="Arial" w:hAnsi="Arial"/>
          <w:sz w:val="16"/>
          <w:szCs w:val="16"/>
          <w:color w:val="auto"/>
        </w:rPr>
        <w:t>We are also incorporating by reference all documents filed with the SEC by us pursuant to sections 13(a), 13(c), 14 or 15(d) of the Securities Exchange Act of 1934 subsequent to the date hereof and prior to termination of the offering made hereby. Any statement contained in a document incorporated or deemed to be incorporated by reference herein shall be deemed to be modified or superseded for purposes of this prospectus to the extent that a statement contained in any other subsequently filed document which also is or is deemed to be incorporated by reference herein modifies or supersedes such statement.</w:t>
      </w:r>
    </w:p>
    <w:p>
      <w:pPr>
        <w:spacing w:after="0" w:line="167" w:lineRule="exact"/>
        <w:rPr>
          <w:sz w:val="20"/>
          <w:szCs w:val="20"/>
          <w:color w:val="auto"/>
        </w:rPr>
      </w:pPr>
    </w:p>
    <w:p>
      <w:pPr>
        <w:ind w:right="240" w:firstLine="176"/>
        <w:spacing w:after="0" w:line="268" w:lineRule="auto"/>
        <w:rPr>
          <w:sz w:val="20"/>
          <w:szCs w:val="20"/>
          <w:color w:val="auto"/>
        </w:rPr>
      </w:pPr>
      <w:r>
        <w:rPr>
          <w:rFonts w:ascii="Arial" w:cs="Arial" w:eastAsia="Arial" w:hAnsi="Arial"/>
          <w:sz w:val="18"/>
          <w:szCs w:val="18"/>
          <w:color w:val="auto"/>
        </w:rPr>
        <w:t>Our common stock is quoted on the New York Stock Exchange. You may inspect reports and other information concerning us at the offices of the New York Stock Exchange, 11 Wall Street, New York, New York 10005.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60" w:firstLine="176"/>
        <w:spacing w:after="0" w:line="370" w:lineRule="auto"/>
        <w:rPr>
          <w:sz w:val="20"/>
          <w:szCs w:val="20"/>
          <w:color w:val="auto"/>
        </w:rPr>
      </w:pPr>
      <w:r>
        <w:rPr>
          <w:rFonts w:ascii="Arial" w:cs="Arial" w:eastAsia="Arial" w:hAnsi="Arial"/>
          <w:sz w:val="15"/>
          <w:szCs w:val="15"/>
          <w:i w:val="1"/>
          <w:iCs w:val="1"/>
          <w:color w:val="auto"/>
        </w:rPr>
        <w:t>Because this is a summary, it may not contain all the information that may be important to you. You should read this entire prospectus before making an investment decision. When used in this prospectus, unless otherwise stated, the terms "we," "our" and "us" refer to Micron Technology, Inc. and its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right="560" w:firstLine="172"/>
        <w:spacing w:after="0" w:line="268" w:lineRule="auto"/>
        <w:rPr>
          <w:sz w:val="20"/>
          <w:szCs w:val="20"/>
          <w:color w:val="auto"/>
        </w:rPr>
      </w:pPr>
      <w:r>
        <w:rPr>
          <w:rFonts w:ascii="Arial" w:cs="Arial" w:eastAsia="Arial" w:hAnsi="Arial"/>
          <w:sz w:val="18"/>
          <w:szCs w:val="18"/>
          <w:color w:val="auto"/>
        </w:rPr>
        <w:t>We principally design, develop, manufacture and market semiconductor memory products. Our semiconductor operations focus primarily on the design, development and manufacture of leading edge semiconductor memory products.</w:t>
      </w:r>
    </w:p>
    <w:p>
      <w:pPr>
        <w:spacing w:after="0" w:line="186" w:lineRule="exact"/>
        <w:rPr>
          <w:sz w:val="20"/>
          <w:szCs w:val="20"/>
          <w:color w:val="auto"/>
        </w:rPr>
      </w:pPr>
    </w:p>
    <w:p>
      <w:pPr>
        <w:ind w:right="260" w:firstLine="176"/>
        <w:spacing w:after="0" w:line="259" w:lineRule="auto"/>
        <w:rPr>
          <w:sz w:val="20"/>
          <w:szCs w:val="20"/>
          <w:color w:val="auto"/>
        </w:rPr>
      </w:pPr>
      <w:r>
        <w:rPr>
          <w:rFonts w:ascii="Arial" w:cs="Arial" w:eastAsia="Arial" w:hAnsi="Arial"/>
          <w:sz w:val="18"/>
          <w:szCs w:val="18"/>
          <w:color w:val="auto"/>
        </w:rPr>
        <w:t>Dynamic Random Access Memory ("DRAM") is our primary semiconductor memory product. A DRAM is a high density, low-cost random access memory component that stores digital information and provides high-speed storage and retrieval of data. DRAMs are the most widely used memory component in computer systems. Our DRAM products include: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940"/>
        <w:spacing w:after="0" w:line="261" w:lineRule="auto"/>
        <w:rPr>
          <w:sz w:val="20"/>
          <w:szCs w:val="20"/>
          <w:color w:val="auto"/>
        </w:rPr>
      </w:pPr>
      <w:r>
        <w:rPr>
          <w:rFonts w:ascii="Arial" w:cs="Arial" w:eastAsia="Arial" w:hAnsi="Arial"/>
          <w:sz w:val="18"/>
          <w:szCs w:val="18"/>
          <w:color w:val="auto"/>
        </w:rPr>
        <w:t>Synchronous DRAM ("SDRAM") is a memory product that operates faster than legacy DRAMs. By the addition of a clock input that synchronizes operations, SDRAMs allow a PC to transfer data at faster rates.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60"/>
        <w:spacing w:after="0" w:line="323" w:lineRule="auto"/>
        <w:rPr>
          <w:sz w:val="20"/>
          <w:szCs w:val="20"/>
          <w:color w:val="auto"/>
        </w:rPr>
      </w:pPr>
      <w:r>
        <w:rPr>
          <w:rFonts w:ascii="Arial" w:cs="Arial" w:eastAsia="Arial" w:hAnsi="Arial"/>
          <w:sz w:val="16"/>
          <w:szCs w:val="16"/>
          <w:color w:val="auto"/>
        </w:rPr>
        <w:t>Double Data Rate SDRAM ("DDR SDRAM") is a higher bandwidth memory product that leverages existing SDRAM technology to increase a memory chip's data throughput. We are currently shipping the 64 Meg DDR SDRAM and the 128 Meg DDR SDRAM in limited quantities.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addition to our DRAM memory products, we also produce Static Random Access Memory ("SRAM") and Flash Memory products: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40"/>
        <w:spacing w:after="0" w:line="255" w:lineRule="auto"/>
        <w:rPr>
          <w:sz w:val="20"/>
          <w:szCs w:val="20"/>
          <w:color w:val="auto"/>
        </w:rPr>
      </w:pPr>
      <w:r>
        <w:rPr>
          <w:rFonts w:ascii="Arial" w:cs="Arial" w:eastAsia="Arial" w:hAnsi="Arial"/>
          <w:sz w:val="18"/>
          <w:szCs w:val="18"/>
          <w:color w:val="auto"/>
        </w:rPr>
        <w:t>SRAM products perform memory functions in a manner similar to DRAM, but do not require the memory to be electronically refreshed and operate faster than DRAM. We produce SRAMs for use in applications that require a buffer of high speed memory between the central processor unit and the main DRAM memory.</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520"/>
        <w:spacing w:after="0" w:line="261" w:lineRule="auto"/>
        <w:rPr>
          <w:sz w:val="20"/>
          <w:szCs w:val="20"/>
          <w:color w:val="auto"/>
        </w:rPr>
      </w:pPr>
      <w:r>
        <w:rPr>
          <w:rFonts w:ascii="Arial" w:cs="Arial" w:eastAsia="Arial" w:hAnsi="Arial"/>
          <w:sz w:val="18"/>
          <w:szCs w:val="18"/>
          <w:color w:val="auto"/>
        </w:rPr>
        <w:t>Flash products retain memory content when the power is turned off. Flash products are used in digital cell phones, networking applications, workstations, servers and PCs.</w:t>
      </w:r>
    </w:p>
    <w:p>
      <w:pPr>
        <w:sectPr>
          <w:pgSz w:w="11900" w:h="16838" w:orient="portrait"/>
          <w:cols w:equalWidth="0" w:num="1">
            <w:col w:w="11420"/>
          </w:cols>
          <w:pgMar w:left="240" w:top="140" w:right="239" w:bottom="0" w:gutter="0" w:footer="0" w:header="0"/>
        </w:sectPr>
      </w:pPr>
    </w:p>
    <w:bookmarkStart w:id="3" w:name="page4"/>
    <w:bookmarkEnd w:id="3"/>
    <w:p>
      <w:pPr>
        <w:ind w:right="80" w:firstLine="172"/>
        <w:spacing w:after="0" w:line="268"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83707-0006, and our telephone number is (208) 368-4000. Our website is located at </w:t>
      </w:r>
      <w:r>
        <w:rPr>
          <w:rFonts w:ascii="Arial" w:cs="Arial" w:eastAsia="Arial" w:hAnsi="Arial"/>
          <w:sz w:val="18"/>
          <w:szCs w:val="18"/>
          <w:i w:val="1"/>
          <w:iCs w:val="1"/>
          <w:color w:val="auto"/>
        </w:rPr>
        <w:t>www.micron.com</w:t>
      </w:r>
      <w:r>
        <w:rPr>
          <w:rFonts w:ascii="Arial" w:cs="Arial" w:eastAsia="Arial" w:hAnsi="Arial"/>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60" w:firstLine="176"/>
        <w:spacing w:after="0" w:line="256" w:lineRule="auto"/>
        <w:rPr>
          <w:sz w:val="20"/>
          <w:szCs w:val="20"/>
          <w:color w:val="auto"/>
        </w:rPr>
      </w:pPr>
      <w:r>
        <w:rPr>
          <w:rFonts w:ascii="Arial" w:cs="Arial" w:eastAsia="Arial" w:hAnsi="Arial"/>
          <w:sz w:val="18"/>
          <w:szCs w:val="18"/>
          <w:i w:val="1"/>
          <w:iCs w:val="1"/>
          <w:color w:val="auto"/>
        </w:rPr>
        <w:t>Please keep these risk factors in mind when you read "forward-looking" statements elsewhere in this prospectus and in the documents incorporated herein by reference. These are statements that relate to our expectations for future events and time periods. Generally, the words, "anticipate," "expect," "intend" and similar expressions identify forward-looking statements. Forward-looking statements involve risks and uncertainties, and future events and circumstances could differ significantly from those anticipated in the forward-looking statements.</w:t>
      </w:r>
    </w:p>
    <w:p>
      <w:pPr>
        <w:spacing w:after="0" w:line="197" w:lineRule="exact"/>
        <w:rPr>
          <w:sz w:val="20"/>
          <w:szCs w:val="20"/>
          <w:color w:val="auto"/>
        </w:rPr>
      </w:pPr>
    </w:p>
    <w:p>
      <w:pPr>
        <w:ind w:right="100" w:firstLine="176"/>
        <w:spacing w:after="0" w:line="259" w:lineRule="auto"/>
        <w:rPr>
          <w:sz w:val="20"/>
          <w:szCs w:val="20"/>
          <w:color w:val="auto"/>
        </w:rPr>
      </w:pPr>
      <w:r>
        <w:rPr>
          <w:rFonts w:ascii="Arial" w:cs="Arial" w:eastAsia="Arial" w:hAnsi="Arial"/>
          <w:sz w:val="18"/>
          <w:szCs w:val="18"/>
          <w:i w:val="1"/>
          <w:iCs w:val="1"/>
          <w:color w:val="auto"/>
        </w:rPr>
        <w:t>You should carefully consider the risks described below before participating in this offering. If any of the following risks actually occur, our business financial condition and operating results could be materially adversely affected, the trading price of our securities could decline, and you might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average selling prices for our memory products do not increase significantly, we expect to continue to record significant losses</w:t>
      </w:r>
    </w:p>
    <w:p>
      <w:pPr>
        <w:spacing w:after="0" w:line="231" w:lineRule="exact"/>
        <w:rPr>
          <w:sz w:val="20"/>
          <w:szCs w:val="20"/>
          <w:color w:val="auto"/>
        </w:rPr>
      </w:pPr>
    </w:p>
    <w:p>
      <w:pPr>
        <w:ind w:right="40" w:firstLine="166"/>
        <w:spacing w:after="0" w:line="259" w:lineRule="auto"/>
        <w:rPr>
          <w:sz w:val="20"/>
          <w:szCs w:val="20"/>
          <w:color w:val="auto"/>
        </w:rPr>
      </w:pPr>
      <w:r>
        <w:rPr>
          <w:rFonts w:ascii="Arial" w:cs="Arial" w:eastAsia="Arial" w:hAnsi="Arial"/>
          <w:sz w:val="18"/>
          <w:szCs w:val="18"/>
          <w:color w:val="auto"/>
        </w:rPr>
        <w:t>Average selling prices for our memory products in the fourth quarter of 2001 decreased approximately 55% compared to the third quarter. In four of the last five fiscal years we experienced decreases in average selling prices, as follows: 60% decline in 2001, 37% decline in 1999, 60% decline in 1998 and 75% decline in 1997. We are unable to predict pricing conditions for any future period.</w:t>
      </w:r>
    </w:p>
    <w:p>
      <w:pPr>
        <w:spacing w:after="0" w:line="194" w:lineRule="exact"/>
        <w:rPr>
          <w:sz w:val="20"/>
          <w:szCs w:val="20"/>
          <w:color w:val="auto"/>
        </w:rPr>
      </w:pPr>
    </w:p>
    <w:p>
      <w:pPr>
        <w:ind w:right="280" w:firstLine="166"/>
        <w:spacing w:after="0" w:line="323" w:lineRule="auto"/>
        <w:rPr>
          <w:sz w:val="20"/>
          <w:szCs w:val="20"/>
          <w:color w:val="auto"/>
        </w:rPr>
      </w:pPr>
      <w:r>
        <w:rPr>
          <w:rFonts w:ascii="Arial" w:cs="Arial" w:eastAsia="Arial" w:hAnsi="Arial"/>
          <w:sz w:val="15"/>
          <w:szCs w:val="15"/>
          <w:color w:val="auto"/>
        </w:rPr>
        <w:t>Average selling prices for our memory products are currently below our manufacturing costs, and accordingly our results of operations, cash flows and financial condition are being adversely affected. If average selling prices do not improve to a level that exceeds cost, we would expect to continue to record significant losses on product sales. In addition, to the extent the estimated market price of products held in finished goods and work in process inventories at a quarterly reporting date is below the cost of these products, we must recognize a charge against operations to write down the carrying value to market value.</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average selling prices of memory products do not improve to a level that exceeds our costs, we may not be able to generate sufficient cash flow to fund our operations or make adequate capital investments</w:t>
      </w:r>
    </w:p>
    <w:p>
      <w:pPr>
        <w:spacing w:after="0" w:line="180" w:lineRule="exact"/>
        <w:rPr>
          <w:sz w:val="20"/>
          <w:szCs w:val="20"/>
          <w:color w:val="auto"/>
        </w:rPr>
      </w:pPr>
    </w:p>
    <w:p>
      <w:pPr>
        <w:ind w:right="60" w:firstLine="176"/>
        <w:spacing w:after="0" w:line="255" w:lineRule="auto"/>
        <w:rPr>
          <w:sz w:val="20"/>
          <w:szCs w:val="20"/>
          <w:color w:val="auto"/>
        </w:rPr>
      </w:pPr>
      <w:r>
        <w:rPr>
          <w:rFonts w:ascii="Arial" w:cs="Arial" w:eastAsia="Arial" w:hAnsi="Arial"/>
          <w:sz w:val="18"/>
          <w:szCs w:val="18"/>
          <w:color w:val="auto"/>
        </w:rPr>
        <w:t>Our cash flow from operations depends primarily on average selling prices and per megabit manufacturing costs of our semiconductor memory products. Average selling prices for our memory products are currently below our manufacturing costs. 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If average selling prices do not improve to a level that exceeds our costs, we may not be able to generate sufficient cash flows to sustain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Deteriorating global economic conditions and the effects of ongoing military actions against terrorists may cause significant disruptions to commerce throughout the world. To the extent that such disruptions result in delays or cancellations of customer orders, a general decrease in corporate spending on information technology, or our inability to effectively market, manufacture or ship our products, our business, results of operations and financial conditions could be adversely affected. In addition, our ability to raise capital for purposes of research and development, capital expenditures and ongoing operations is dependent upon ready access to capital markets. During times of adverse global economic and political conditions, investor confidence in and accessibility to capital markets could decrease. If capital markets are not available to us over an extended period of time, we could be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unable to fund operations, invest in capital expenditures and fully carry out our research and development efforts, which could adversely affect our business, results of operations and financial conditions.</w:t>
      </w:r>
    </w:p>
    <w:p>
      <w:pPr>
        <w:spacing w:after="0" w:line="18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the current downturn in the semiconductor memory market persists, we may need to pursue cash conservation measures which may reduce the scale and efficiency of our operations</w:t>
      </w:r>
    </w:p>
    <w:p>
      <w:pPr>
        <w:spacing w:after="0" w:line="180" w:lineRule="exact"/>
        <w:rPr>
          <w:sz w:val="20"/>
          <w:szCs w:val="20"/>
          <w:color w:val="auto"/>
        </w:rPr>
      </w:pPr>
    </w:p>
    <w:p>
      <w:pPr>
        <w:ind w:right="180" w:firstLine="176"/>
        <w:spacing w:after="0" w:line="332" w:lineRule="auto"/>
        <w:rPr>
          <w:sz w:val="20"/>
          <w:szCs w:val="20"/>
          <w:color w:val="auto"/>
        </w:rPr>
      </w:pPr>
      <w:r>
        <w:rPr>
          <w:rFonts w:ascii="Arial" w:cs="Arial" w:eastAsia="Arial" w:hAnsi="Arial"/>
          <w:sz w:val="16"/>
          <w:szCs w:val="16"/>
          <w:color w:val="auto"/>
        </w:rPr>
        <w:t>If the current semiconductor industry downturn persists, we will be required to pursue cash conservation measures, including but not limited to, reductions in our capital spending and reductions in our workforce. Any such measures may reduce the scale and efficiency of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31" w:lineRule="exact"/>
        <w:rPr>
          <w:sz w:val="20"/>
          <w:szCs w:val="20"/>
          <w:color w:val="auto"/>
        </w:rPr>
      </w:pPr>
    </w:p>
    <w:p>
      <w:pPr>
        <w:ind w:right="120" w:firstLine="176"/>
        <w:spacing w:after="0" w:line="253" w:lineRule="auto"/>
        <w:rPr>
          <w:sz w:val="20"/>
          <w:szCs w:val="20"/>
          <w:color w:val="auto"/>
        </w:rPr>
      </w:pPr>
      <w:r>
        <w:rPr>
          <w:rFonts w:ascii="Arial" w:cs="Arial" w:eastAsia="Arial" w:hAnsi="Arial"/>
          <w:sz w:val="18"/>
          <w:szCs w:val="18"/>
          <w:color w:val="auto"/>
        </w:rPr>
        <w:t>Some of our competitors receive government subsidies. To the extent that these practices continue, they may have the result of prolonging the current imbalance in supply and demand in the semiconductor memory industry. In addition, the semiconductor memory industry is highly competitive. We face intense competition from a number of companies, including Elpida Memory, Inc., Hynix Semiconductor, Inc., Infineon Technologies AG and Samsung Semiconductor, Inc. Some of these competitors are large corporations or conglomerates that may have greater resources to withstand downturns in the semiconductor memory market, invest in technology and capitalize on growth opportunities. Like us, these competitors aggressively seek to improve yields, reduce die size and decrease mask levels in their product designs. These factors have significantly increased worldwide supply and put downward pressures on prices.</w:t>
      </w:r>
    </w:p>
    <w:p>
      <w:pPr>
        <w:spacing w:after="0" w:line="195"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We are dependent on the personal computer ("PC") market as most of the memory products we sell are used in PCs or peripherals. If the growth rate of either PCs sold or the amount of memory included in each PC decreases, sales of our memory products could decrease</w:t>
      </w:r>
    </w:p>
    <w:p>
      <w:pPr>
        <w:spacing w:after="0" w:line="134" w:lineRule="exact"/>
        <w:rPr>
          <w:sz w:val="20"/>
          <w:szCs w:val="20"/>
          <w:color w:val="auto"/>
        </w:rPr>
      </w:pPr>
    </w:p>
    <w:p>
      <w:pPr>
        <w:jc w:val="both"/>
        <w:ind w:right="120" w:firstLine="176"/>
        <w:spacing w:after="0" w:line="335" w:lineRule="auto"/>
        <w:rPr>
          <w:sz w:val="20"/>
          <w:szCs w:val="20"/>
          <w:color w:val="auto"/>
        </w:rPr>
      </w:pPr>
      <w:r>
        <w:rPr>
          <w:rFonts w:ascii="Arial" w:cs="Arial" w:eastAsia="Arial" w:hAnsi="Arial"/>
          <w:sz w:val="15"/>
          <w:szCs w:val="15"/>
          <w:color w:val="auto"/>
        </w:rPr>
        <w:t>In 2001, we sold most of our memory products to PC or peripheral markets. DRAMs are the most widely used semiconductor memory components in PCs. In recent periods, the growth rate of PCs sold has slowed significantly or declined. In addition, the growth rate in 2001 for the average amount of memory included in each PC sold declined compared to several years prior to 2001. These declining growth rates affected our 2001 results of operations. If we experience a</w:t>
      </w:r>
    </w:p>
    <w:p>
      <w:pPr>
        <w:sectPr>
          <w:pgSz w:w="11900" w:h="16838" w:orient="portrait"/>
          <w:cols w:equalWidth="0" w:num="1">
            <w:col w:w="11400"/>
          </w:cols>
          <w:pgMar w:left="240" w:top="131" w:right="259" w:bottom="0" w:gutter="0" w:footer="0" w:header="0"/>
        </w:sectPr>
      </w:pPr>
    </w:p>
    <w:bookmarkStart w:id="4" w:name="page5"/>
    <w:bookmarkEnd w:id="4"/>
    <w:p>
      <w:pPr>
        <w:jc w:val="both"/>
        <w:ind w:right="20"/>
        <w:spacing w:after="0" w:line="268" w:lineRule="auto"/>
        <w:rPr>
          <w:sz w:val="20"/>
          <w:szCs w:val="20"/>
          <w:color w:val="auto"/>
        </w:rPr>
      </w:pPr>
      <w:r>
        <w:rPr>
          <w:rFonts w:ascii="Arial" w:cs="Arial" w:eastAsia="Arial" w:hAnsi="Arial"/>
          <w:sz w:val="18"/>
          <w:szCs w:val="18"/>
          <w:color w:val="auto"/>
        </w:rPr>
        <w:t>sustained reduction in the growth rate of either PCs sold or the average amount of memory included in each PC, sales of our memory products could decrease and our results of operations, cash flows and financial condition could be adversely affected.</w:t>
      </w:r>
    </w:p>
    <w:p>
      <w:pPr>
        <w:spacing w:after="0" w:line="18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and cash flows could be adversely affected</w:t>
      </w:r>
    </w:p>
    <w:p>
      <w:pPr>
        <w:spacing w:after="0" w:line="180" w:lineRule="exact"/>
        <w:rPr>
          <w:sz w:val="20"/>
          <w:szCs w:val="20"/>
          <w:color w:val="auto"/>
        </w:rPr>
      </w:pPr>
    </w:p>
    <w:p>
      <w:pPr>
        <w:jc w:val="both"/>
        <w:ind w:right="20" w:firstLine="172"/>
        <w:spacing w:after="0" w:line="259" w:lineRule="auto"/>
        <w:rPr>
          <w:sz w:val="20"/>
          <w:szCs w:val="20"/>
          <w:color w:val="auto"/>
        </w:rPr>
      </w:pPr>
      <w:r>
        <w:rPr>
          <w:rFonts w:ascii="Arial" w:cs="Arial" w:eastAsia="Arial" w:hAnsi="Arial"/>
          <w:sz w:val="18"/>
          <w:szCs w:val="18"/>
          <w:color w:val="auto"/>
        </w:rPr>
        <w:t>We supply several major PC customers with more than 30% of their memory requirements. Aggregate sales to three of our PC customers approximated 25% of our net sales in 2001. If any one of our major PC customers significantly reduces its purchases of DRAM from us, our results of operations and cash flows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worldwide DRAM production could lead to further declines in average selling prices for DRAM</w:t>
      </w:r>
    </w:p>
    <w:p>
      <w:pPr>
        <w:spacing w:after="0" w:line="231" w:lineRule="exact"/>
        <w:rPr>
          <w:sz w:val="20"/>
          <w:szCs w:val="20"/>
          <w:color w:val="auto"/>
        </w:rPr>
      </w:pPr>
    </w:p>
    <w:p>
      <w:pPr>
        <w:ind w:firstLine="172"/>
        <w:spacing w:after="0" w:line="256" w:lineRule="auto"/>
        <w:rPr>
          <w:sz w:val="20"/>
          <w:szCs w:val="20"/>
          <w:color w:val="auto"/>
        </w:rPr>
      </w:pPr>
      <w:r>
        <w:rPr>
          <w:rFonts w:ascii="Arial" w:cs="Arial" w:eastAsia="Arial" w:hAnsi="Arial"/>
          <w:sz w:val="18"/>
          <w:szCs w:val="18"/>
          <w:color w:val="auto"/>
        </w:rPr>
        <w:t>We and our competitors constantly seek to improve yields, reduce die size and use fewer manufacturing steps. These improvements increase worldwide supply of DRAM. In addition, we and several of our competitors are evaluating plans to manufacture semiconductors in facilities that process 300-millimeter ("300mm") wafers. 300mm wafers have approximately 130% greater usable surface area than 200mm wafers, the current industry standard. The widespread use of 300mm wafers in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industry, which is expected to occur within the next two to five years, could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Increases in worldwide supply of DRAM, if not offset by increases in demand, could lead to further declines in average selling prices for our products and adversely affect our results of operations, cash flows and financial condition.</w:t>
      </w:r>
    </w:p>
    <w:p>
      <w:pPr>
        <w:spacing w:after="0" w:line="16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memory products from TECH is interrupted, our results of operations could be adversely affected</w:t>
      </w:r>
    </w:p>
    <w:p>
      <w:pPr>
        <w:spacing w:after="0" w:line="180" w:lineRule="exact"/>
        <w:rPr>
          <w:sz w:val="20"/>
          <w:szCs w:val="20"/>
          <w:color w:val="auto"/>
        </w:rPr>
      </w:pPr>
    </w:p>
    <w:p>
      <w:pPr>
        <w:ind w:right="220" w:firstLine="172"/>
        <w:spacing w:after="0" w:line="294" w:lineRule="auto"/>
        <w:rPr>
          <w:sz w:val="20"/>
          <w:szCs w:val="20"/>
          <w:color w:val="auto"/>
        </w:rPr>
      </w:pPr>
      <w:r>
        <w:rPr>
          <w:rFonts w:ascii="Arial" w:cs="Arial" w:eastAsia="Arial" w:hAnsi="Arial"/>
          <w:sz w:val="16"/>
          <w:szCs w:val="16"/>
          <w:color w:val="auto"/>
        </w:rPr>
        <w:t>TECH currently supplies us with approximately 20% of our total megabits of memory produced. We have agreements to purchase all of the production from TECH subject to specific terms and conditions. Any reduction in supply could adversely affect our results of operations and cash flows. TECH has historically been required to seek additional external financing to fund its ongoing operations and transition to next generation technologies. TECH is expected to require financing in the immediate future in order to continue operations, therefore our source of supply may be interrupted if TECH is unable to obtain required financing. We have pledged $50 million as cash collateral to secure current TECH financing.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reduce per megabit manufacturing costs at the same rate as we have in the past</w:t>
      </w:r>
    </w:p>
    <w:p>
      <w:pPr>
        <w:spacing w:after="0" w:line="231" w:lineRule="exact"/>
        <w:rPr>
          <w:sz w:val="20"/>
          <w:szCs w:val="20"/>
          <w:color w:val="auto"/>
        </w:rPr>
      </w:pPr>
    </w:p>
    <w:p>
      <w:pPr>
        <w:ind w:right="120" w:firstLine="176"/>
        <w:spacing w:after="0" w:line="259" w:lineRule="auto"/>
        <w:rPr>
          <w:sz w:val="20"/>
          <w:szCs w:val="20"/>
          <w:color w:val="auto"/>
        </w:rPr>
      </w:pPr>
      <w:r>
        <w:rPr>
          <w:rFonts w:ascii="Arial" w:cs="Arial" w:eastAsia="Arial" w:hAnsi="Arial"/>
          <w:sz w:val="18"/>
          <w:szCs w:val="18"/>
          <w:color w:val="auto"/>
        </w:rPr>
        <w:t>In recent years, we have decreased per megabit manufacturing costs through improvements in our manufacturing processes, including reducing the die size of our existing products. In future periods, we may not be able to reduce our per megabit manufacturing costs at historical rates. Our ability to reduce per megabit manufacturing costs in future periods may be affected because of the following: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complete product and process technology upgrades in our international and joint venture facilities;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manufacturing yields may decrease as we implement more complex technologies;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ramp the latest reduced die size versions of existing devices or new generation devices to commercial volumes;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reduction in the scale of our operations, which would result in losing economies of scale.</w:t>
      </w:r>
    </w:p>
    <w:p>
      <w:pPr>
        <w:spacing w:after="0" w:line="21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business, results of operation and financial condition</w:t>
      </w:r>
    </w:p>
    <w:p>
      <w:pPr>
        <w:spacing w:after="0" w:line="180" w:lineRule="exact"/>
        <w:rPr>
          <w:sz w:val="20"/>
          <w:szCs w:val="20"/>
          <w:color w:val="auto"/>
        </w:rPr>
      </w:pPr>
    </w:p>
    <w:p>
      <w:pPr>
        <w:ind w:right="120" w:firstLine="176"/>
        <w:spacing w:after="0" w:line="302" w:lineRule="auto"/>
        <w:rPr>
          <w:sz w:val="20"/>
          <w:szCs w:val="20"/>
          <w:color w:val="auto"/>
        </w:rPr>
      </w:pPr>
      <w:r>
        <w:rPr>
          <w:rFonts w:ascii="Arial" w:cs="Arial" w:eastAsia="Arial" w:hAnsi="Arial"/>
          <w:sz w:val="15"/>
          <w:szCs w:val="15"/>
          <w:color w:val="auto"/>
        </w:rPr>
        <w:t>From time to time, others have asserted, and may in the future assert, that our products or processes infringe their product or process technology rights. In this regard, we are currently engaged in litigation with Rambus, Inc. ("Rambus") relating to certain of Rambus' patents and certain of our claims and defenses. Lawsuits between Rambus and us are pending in the United States, Germany, France, the United Kingdom and Italy. On August 28, 2000, we filed a declaratory judgment action against Rambus in the U.S. District Court for the District of Delaware. On February 1, 2001, we amended our complaint. Pursuant to our complaint, we are seeking (1) relief under the federal antitrust laws for violations by Rambus of Section 2 of the Sherman Act; (2) a declaratory judgment that</w:t>
      </w:r>
    </w:p>
    <w:p>
      <w:pPr>
        <w:spacing w:after="0" w:line="2" w:lineRule="exact"/>
        <w:rPr>
          <w:sz w:val="20"/>
          <w:szCs w:val="20"/>
          <w:color w:val="auto"/>
        </w:rPr>
      </w:pPr>
    </w:p>
    <w:p>
      <w:pPr>
        <w:ind w:right="40" w:firstLine="8"/>
        <w:spacing w:after="0" w:line="295" w:lineRule="auto"/>
        <w:tabs>
          <w:tab w:leader="none" w:pos="239" w:val="left"/>
        </w:tabs>
        <w:numPr>
          <w:ilvl w:val="0"/>
          <w:numId w:val="1"/>
        </w:numPr>
        <w:rPr>
          <w:rFonts w:ascii="Arial" w:cs="Arial" w:eastAsia="Arial" w:hAnsi="Arial"/>
          <w:sz w:val="16"/>
          <w:szCs w:val="16"/>
          <w:color w:val="auto"/>
        </w:rPr>
      </w:pPr>
      <w:r>
        <w:rPr>
          <w:rFonts w:ascii="Arial" w:cs="Arial" w:eastAsia="Arial" w:hAnsi="Arial"/>
          <w:sz w:val="16"/>
          <w:szCs w:val="16"/>
          <w:color w:val="auto"/>
        </w:rPr>
        <w:t>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we are entitled to</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relief and has alleged willful infringement by us of eight Rambus patents. We cannot predict the outcome of these suits. A determination that our manufacturing processes or products infringe the product or process rights of others could result in significant liability and/or require us to make material changes to its products and/or manufacturing processes. Any of the foregoing results could have a material adverse effect on our business, results of operations or financial condition.</w:t>
      </w:r>
    </w:p>
    <w:p>
      <w:pPr>
        <w:spacing w:after="0" w:line="142" w:lineRule="exact"/>
        <w:rPr>
          <w:sz w:val="20"/>
          <w:szCs w:val="20"/>
          <w:color w:val="auto"/>
        </w:rPr>
      </w:pPr>
    </w:p>
    <w:p>
      <w:pPr>
        <w:ind w:right="80" w:firstLine="172"/>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ectPr>
          <w:pgSz w:w="11900" w:h="16838" w:orient="portrait"/>
          <w:cols w:equalWidth="0" w:num="1">
            <w:col w:w="11400"/>
          </w:cols>
          <w:pgMar w:left="240" w:top="131"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We face risks associated with our foreign sales and operations that could adversely affect our operating results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Foreign sales approximated 46% of our consolidated net sales in 2001. In addition, we have or support manufacturing operations in Italy, Singapore, Japan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Scotland. Our foreign sales and foreign operations are subject to a variety of risks, including:</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problems with the transportation or delivery of our products;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employee turnover and labor unrest;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longer payment cycles and greater difficulty in collecting accounts receivable;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compliance with a variety of foreign laws.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These factors may adversely affect our business,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Interruptions in our supply of raw materials could adversely affect our results of operations, cash flows and financial position</w:t>
      </w:r>
    </w:p>
    <w:p>
      <w:pPr>
        <w:spacing w:after="0" w:line="231"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In addition, any transportation problems could delay our receipt of raw materials. Although raw materials shortages or transportation problems have not interrupted our operations in the past, shortages may occur from time to time in the future. Also, lead times for the supply of raw materials have been extended in the past. If our supply of raw materials is interrupted or our lead times extended, our results of operations could be adversely affected.</w:t>
      </w:r>
    </w:p>
    <w:p>
      <w:pPr>
        <w:spacing w:after="0" w:line="16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80" w:lineRule="exact"/>
        <w:rPr>
          <w:sz w:val="20"/>
          <w:szCs w:val="20"/>
          <w:color w:val="auto"/>
        </w:rPr>
      </w:pPr>
    </w:p>
    <w:p>
      <w:pPr>
        <w:ind w:right="120" w:firstLine="176"/>
        <w:spacing w:after="0" w:line="332" w:lineRule="auto"/>
        <w:rPr>
          <w:sz w:val="20"/>
          <w:szCs w:val="20"/>
          <w:color w:val="auto"/>
        </w:rPr>
      </w:pPr>
      <w:r>
        <w:rPr>
          <w:rFonts w:ascii="Arial" w:cs="Arial" w:eastAsia="Arial" w:hAnsi="Arial"/>
          <w:sz w:val="16"/>
          <w:szCs w:val="16"/>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qualification procedures, problems with nonconforming, defective or incompatible products occur after we have shipped such products, we could be adversely affected in one or both of the following ways: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20"/>
        <w:spacing w:after="0" w:line="261" w:lineRule="auto"/>
        <w:rPr>
          <w:sz w:val="20"/>
          <w:szCs w:val="20"/>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encounter adverse publicity, which could cause a decrease in sales of our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interrupted, our results of operations and cash flows could be adversely affected</w:t>
      </w:r>
    </w:p>
    <w:p>
      <w:pPr>
        <w:spacing w:after="0" w:line="231" w:lineRule="exact"/>
        <w:rPr>
          <w:sz w:val="20"/>
          <w:szCs w:val="20"/>
          <w:color w:val="auto"/>
        </w:rPr>
      </w:pPr>
    </w:p>
    <w:p>
      <w:pPr>
        <w:ind w:right="60" w:firstLine="172"/>
        <w:spacing w:after="0" w:line="298"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interrupt production and affect our ability to deliver products on time or cost-effectively. Additionally, if production at a fabrication facility is interrupted for any reason, we may be unable to meet our customers' demand and they may purchase products from other suppliers. The resulting loss of revenues and damage to customer relationships could be significant.</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300mm wafer manufacturing processes, the results of our operations and cash flows could be adversely affected</w:t>
      </w:r>
    </w:p>
    <w:p>
      <w:pPr>
        <w:spacing w:after="0" w:line="180" w:lineRule="exact"/>
        <w:rPr>
          <w:sz w:val="20"/>
          <w:szCs w:val="20"/>
          <w:color w:val="auto"/>
        </w:rPr>
      </w:pPr>
    </w:p>
    <w:p>
      <w:pPr>
        <w:ind w:right="140" w:firstLine="172"/>
        <w:spacing w:after="0" w:line="289"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at a slightly higher cost for each wafer, resulting in substantially reduced costs for each die. Several of our competitors are evaluating plans to shift part or all of their memory manufacturing operations to 300mm wafers in the near future. Some of these competitors have established pilot 300mm wafer lines. If these competitors are able to transition operations to 300mm wafers before us, we could be at a cost disadvantage. Our transition to 300mm wafer processing will require us to make substantial capital investments, which will depend on our ability to generate funds from operations or to obtain funds from external sources. We may also experience disruptions in manufacturing operations and reduced yields during our initial transition stage to larger wafer sizes. If we are unable to successfully transition to 300mm wafer processing at the appropriate time, our results of operations and cash flows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trading price of our common stock has been and could in the future be subject to significant fluctuations in response to:</w:t>
      </w:r>
    </w:p>
    <w:p>
      <w:pPr>
        <w:sectPr>
          <w:pgSz w:w="11900" w:h="16838" w:orient="portrait"/>
          <w:cols w:equalWidth="0" w:num="1">
            <w:col w:w="11420"/>
          </w:cols>
          <w:pgMar w:left="240" w:top="125" w:right="239" w:bottom="0" w:gutter="0" w:footer="0" w:header="0"/>
        </w:sectPr>
      </w:pPr>
    </w:p>
    <w:bookmarkStart w:id="6" w:name="page7"/>
    <w:bookmarkEnd w:id="6"/>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variations in quarterly operating results;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developments in the semiconductor industry;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general economic conditions;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securities analysts' recommendations regarding our securities.</w:t>
      </w:r>
    </w:p>
    <w:p>
      <w:pPr>
        <w:spacing w:after="0" w:line="219" w:lineRule="exact"/>
        <w:rPr>
          <w:sz w:val="20"/>
          <w:szCs w:val="20"/>
          <w:color w:val="auto"/>
        </w:rPr>
      </w:pPr>
    </w:p>
    <w:p>
      <w:pPr>
        <w:ind w:right="280" w:firstLine="176"/>
        <w:spacing w:after="0" w:line="259" w:lineRule="auto"/>
        <w:rPr>
          <w:sz w:val="20"/>
          <w:szCs w:val="20"/>
          <w:color w:val="auto"/>
        </w:rPr>
      </w:pPr>
      <w:r>
        <w:rPr>
          <w:rFonts w:ascii="Arial" w:cs="Arial" w:eastAsia="Arial" w:hAnsi="Arial"/>
          <w:sz w:val="18"/>
          <w:szCs w:val="18"/>
          <w:color w:val="auto"/>
        </w:rPr>
        <w:t>In addition, the stock market in recent years has experienced significant price and volume fluctuations which have affected the market prices of technology companies and which have often been unrelated to or disproportionately affected by the operating performance of such companies. These broad market fluctuations may adversely affect the market price of our common stock.</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176"/>
        <w:spacing w:after="0" w:line="255" w:lineRule="auto"/>
        <w:rPr>
          <w:sz w:val="20"/>
          <w:szCs w:val="20"/>
          <w:color w:val="auto"/>
        </w:rPr>
      </w:pPr>
      <w:r>
        <w:rPr>
          <w:rFonts w:ascii="Arial" w:cs="Arial" w:eastAsia="Arial" w:hAnsi="Arial"/>
          <w:sz w:val="18"/>
          <w:szCs w:val="18"/>
          <w:color w:val="auto"/>
        </w:rPr>
        <w:t>Some of the statements under "Risk Factors" and elsewhere in this prospectus constitute forward-looking statements. These statements involve known and unknown risks, uncertainties, and other factors that may cause our or our industry's actual results, levels of activity, performance or achievements to be materially different from any anticipated future results, levels of activity, performance or achievements. In some cases, you can identify forward-looking statements by terminology such as "may," "will," "should," "expects," "plans," "anticipates," "believes," "estimates," "predicts," "potential," "continue" or the negative of these terms or other comparable terminology.</w:t>
      </w:r>
    </w:p>
    <w:p>
      <w:pPr>
        <w:spacing w:after="0" w:line="197" w:lineRule="exact"/>
        <w:rPr>
          <w:sz w:val="20"/>
          <w:szCs w:val="20"/>
          <w:color w:val="auto"/>
        </w:rPr>
      </w:pPr>
    </w:p>
    <w:p>
      <w:pPr>
        <w:ind w:right="140" w:firstLine="166"/>
        <w:spacing w:after="0" w:line="306"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selling stockholders will receive all of the proceeds from the shares to be sold in this offering.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not declared and paid dividends since 1996. We do not intend to pay cash dividends on our Common Stock for the foreseeable future.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 RELATING TO THE COMMON STOCK</w:t>
      </w:r>
    </w:p>
    <w:p>
      <w:pPr>
        <w:spacing w:after="0" w:line="231" w:lineRule="exact"/>
        <w:rPr>
          <w:sz w:val="20"/>
          <w:szCs w:val="20"/>
          <w:color w:val="auto"/>
        </w:rPr>
      </w:pPr>
    </w:p>
    <w:p>
      <w:pPr>
        <w:ind w:right="140" w:firstLine="172"/>
        <w:spacing w:after="0" w:line="256" w:lineRule="auto"/>
        <w:rPr>
          <w:sz w:val="20"/>
          <w:szCs w:val="20"/>
          <w:color w:val="auto"/>
        </w:rPr>
      </w:pPr>
      <w:r>
        <w:rPr>
          <w:rFonts w:ascii="Arial" w:cs="Arial" w:eastAsia="Arial" w:hAnsi="Arial"/>
          <w:sz w:val="18"/>
          <w:szCs w:val="18"/>
          <w:color w:val="auto"/>
        </w:rPr>
        <w:t>We and Lehman Brothers, Inc. entered into a registration rights agreement on July 18, 2001. Under the registration rights agreement, we agreed to file a shelf registration statement within 90 days of July 18, 2001 and to use reasonable efforts to have the registration statement declared effective within 180 days of July 18, 2001. We agreed to use our reasonable efforts to keep such registration statement effective until the earlier of (i) July 18, 2003 or (ii) such time as there are no longer any registrable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Resale of Shares</w:t>
      </w:r>
    </w:p>
    <w:p>
      <w:pPr>
        <w:spacing w:after="0" w:line="231" w:lineRule="exact"/>
        <w:rPr>
          <w:sz w:val="20"/>
          <w:szCs w:val="20"/>
          <w:color w:val="auto"/>
        </w:rPr>
      </w:pPr>
    </w:p>
    <w:p>
      <w:pPr>
        <w:ind w:right="240" w:firstLine="176"/>
        <w:spacing w:after="0" w:line="305" w:lineRule="auto"/>
        <w:rPr>
          <w:sz w:val="20"/>
          <w:szCs w:val="20"/>
          <w:color w:val="auto"/>
        </w:rPr>
      </w:pPr>
      <w:r>
        <w:rPr>
          <w:rFonts w:ascii="Arial" w:cs="Arial" w:eastAsia="Arial" w:hAnsi="Arial"/>
          <w:sz w:val="15"/>
          <w:szCs w:val="15"/>
          <w:color w:val="auto"/>
        </w:rPr>
        <w:t>During the first two years after the issue of the warrants, a holder may make resales of common stock issued upon exercise of the warrants pursuant to this shelf registration statement, and we agreed to make available this prospectus to effect such resales pursuant to this shelf registration statement, only during the</w:t>
      </w:r>
    </w:p>
    <w:p>
      <w:pPr>
        <w:ind w:right="20"/>
        <w:spacing w:after="0" w:line="288" w:lineRule="auto"/>
        <w:rPr>
          <w:sz w:val="20"/>
          <w:szCs w:val="20"/>
          <w:color w:val="auto"/>
        </w:rPr>
      </w:pPr>
      <w:r>
        <w:rPr>
          <w:rFonts w:ascii="Arial" w:cs="Arial" w:eastAsia="Arial" w:hAnsi="Arial"/>
          <w:sz w:val="16"/>
          <w:szCs w:val="16"/>
          <w:color w:val="auto"/>
        </w:rPr>
        <w:t>30 days following the second full trading day after we file our annual report on Form 10-K and our quarterly report on Form 10-Q for the immediately preceding fiscal year or fiscal quarter, as the case may be, which period we refer to as a resale period. In order to be included on our shelf registration statement and to be eligible to resell shares of common stock under the shelf registration statement, a holder of shares of common stock issued upon exercise of the warrants must complete a notice and questionnaire, a copy of which may be obtained upon request from the warrant agent, and deliver it to the warrant agent at least 5 business days prior to the date of the holder's intended resale of such shares. However, we are not obligated to file more than one post-effective amendment or supplement for the purpose of naming holders as selling security holders who were not named in this shelf registration statement at the time of effectiveness in any 5-day period following the effectiveness of this shelf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Postponements and Suspensions</w:t>
      </w:r>
    </w:p>
    <w:p>
      <w:pPr>
        <w:spacing w:after="0" w:line="231" w:lineRule="exact"/>
        <w:rPr>
          <w:sz w:val="20"/>
          <w:szCs w:val="20"/>
          <w:color w:val="auto"/>
        </w:rPr>
      </w:pPr>
    </w:p>
    <w:p>
      <w:pPr>
        <w:ind w:right="20" w:firstLine="172"/>
        <w:spacing w:after="0" w:line="290" w:lineRule="auto"/>
        <w:rPr>
          <w:sz w:val="20"/>
          <w:szCs w:val="20"/>
          <w:color w:val="auto"/>
        </w:rPr>
      </w:pPr>
      <w:r>
        <w:rPr>
          <w:rFonts w:ascii="Arial" w:cs="Arial" w:eastAsia="Arial" w:hAnsi="Arial"/>
          <w:sz w:val="16"/>
          <w:szCs w:val="16"/>
          <w:color w:val="auto"/>
        </w:rPr>
        <w:t>We will give two trading days' notice to holders that have provided a notice and questionnaire to us that the availability of the shelf registration statement has been suspended because of a pending corporate development or other event or circumstance that makes it appropriate to suspend the availability of the shelf registration statement. The aggregate number of days of postponement and any such suspensions with respect to a resale period may not exceed 30 without our being required to pay liquidated damages in the manner described below. Postponements and suspensions will be limited to instances where we have determined that the occurrence of an event or the existence of any fact that would result in the prospectus containing any untrue statement of a material fact or omitting to state any material fact required to be stated therein or necessary to make the statements therein not misleading, such as material non-public information related to major corporate events.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Liquidated Damages</w:t>
      </w:r>
    </w:p>
    <w:p>
      <w:pPr>
        <w:sectPr>
          <w:pgSz w:w="11900" w:h="16838" w:orient="portrait"/>
          <w:cols w:equalWidth="0" w:num="1">
            <w:col w:w="11360"/>
          </w:cols>
          <w:pgMar w:left="240" w:top="131" w:right="299" w:bottom="0" w:gutter="0" w:footer="0" w:header="0"/>
        </w:sectPr>
      </w:pPr>
    </w:p>
    <w:bookmarkStart w:id="7" w:name="page8"/>
    <w:bookmarkEnd w:id="7"/>
    <w:p>
      <w:pPr>
        <w:ind w:left="18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registration statement has not been filed prior to or on the 90th day following July 18, 2001;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registration statement has not been declared effective prior to or on the 180th day following July 18, 2001;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aggregate duration of deferral periods in any resale period exceeds 30 days (each, a "resale default"),</w:t>
      </w:r>
    </w:p>
    <w:p>
      <w:pPr>
        <w:spacing w:after="0" w:line="219" w:lineRule="exact"/>
        <w:rPr>
          <w:sz w:val="20"/>
          <w:szCs w:val="20"/>
          <w:color w:val="auto"/>
        </w:rPr>
      </w:pPr>
    </w:p>
    <w:p>
      <w:pPr>
        <w:ind w:right="680"/>
        <w:spacing w:after="0" w:line="370" w:lineRule="auto"/>
        <w:rPr>
          <w:sz w:val="20"/>
          <w:szCs w:val="20"/>
          <w:color w:val="auto"/>
        </w:rPr>
      </w:pPr>
      <w:r>
        <w:rPr>
          <w:rFonts w:ascii="Arial" w:cs="Arial" w:eastAsia="Arial" w:hAnsi="Arial"/>
          <w:sz w:val="15"/>
          <w:szCs w:val="15"/>
          <w:color w:val="auto"/>
        </w:rPr>
        <w:t>liquidated damages will accrue on the shares for which the warrants are exercisable or that have been issued upon exercise of the warrants that constitute registrable securities, from and including the day following the resale default to but excluding the day on which the registration default has been cured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(or the date upon which the transfer restrictions on the shares have been terminated as a result of the application of Rule 144(k) under the Securities Act), and will accrue at a rate per year equal to:</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20"/>
        <w:spacing w:after="0" w:line="261" w:lineRule="auto"/>
        <w:rPr>
          <w:sz w:val="20"/>
          <w:szCs w:val="20"/>
          <w:color w:val="auto"/>
        </w:rPr>
      </w:pPr>
      <w:r>
        <w:rPr>
          <w:rFonts w:ascii="Arial" w:cs="Arial" w:eastAsia="Arial" w:hAnsi="Arial"/>
          <w:sz w:val="18"/>
          <w:szCs w:val="18"/>
          <w:color w:val="auto"/>
        </w:rPr>
        <w:t>0.25% of the issue price of the warrants, from the date of the occurrence of the resale default to and including the 90th day following the date of the resale default;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420"/>
        <w:spacing w:after="0" w:line="261" w:lineRule="auto"/>
        <w:rPr>
          <w:sz w:val="20"/>
          <w:szCs w:val="20"/>
          <w:color w:val="auto"/>
        </w:rPr>
      </w:pPr>
      <w:r>
        <w:rPr>
          <w:rFonts w:ascii="Arial" w:cs="Arial" w:eastAsia="Arial" w:hAnsi="Arial"/>
          <w:sz w:val="18"/>
          <w:szCs w:val="18"/>
          <w:color w:val="auto"/>
        </w:rPr>
        <w:t>0.50% of the issue price of the warrants, from and after the 91st day following the resale default to and including the 180th day following the resale default;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0.75% of the issue price of the warrants, from and after the 181st day following the resale default.</w:t>
      </w:r>
    </w:p>
    <w:p>
      <w:pPr>
        <w:spacing w:after="0" w:line="21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However, we agreed to pay liquidated damages with respect to a resale default described in (b) above only if they are not already due under a resale default described in (a) above. Further, in the case of a resale default described in (c) above, we will not pay liquidated damages if they are already due as a result of any other resale default and we will pay liquidated damages only to those holders of registrable securities that have provided a notice and questionnaire to us.</w:t>
      </w:r>
    </w:p>
    <w:p>
      <w:pPr>
        <w:spacing w:after="0" w:line="161"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color w:val="auto"/>
        </w:rPr>
        <w:t>Liquidated damages with respect to a resale period will end upon the earlier of such time as sales have been permitted for an aggregate of 30 days with respect to such resale period and such time as sales are first permitted with respect to a subsequent resale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firstLine="176"/>
        <w:spacing w:after="0" w:line="259" w:lineRule="auto"/>
        <w:rPr>
          <w:sz w:val="20"/>
          <w:szCs w:val="20"/>
          <w:color w:val="auto"/>
        </w:rPr>
      </w:pPr>
      <w:r>
        <w:rPr>
          <w:rFonts w:ascii="Arial" w:cs="Arial" w:eastAsia="Arial" w:hAnsi="Arial"/>
          <w:sz w:val="18"/>
          <w:szCs w:val="18"/>
          <w:color w:val="auto"/>
        </w:rPr>
        <w:t>Our authorized capital stock consists of 3,000,000,000 shares of common stock, $0.10 par value ("common stock"). As of October 10, 2001, there were approximately 599.3 million shares of common stock issued and outstanding. The following summary is qualified in its entirety by reference to our certificate of incorporation and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172"/>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172"/>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080" w:right="620"/>
        <w:spacing w:after="0" w:line="261" w:lineRule="auto"/>
        <w:rPr>
          <w:sz w:val="20"/>
          <w:szCs w:val="20"/>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080" w:right="40"/>
        <w:spacing w:after="0" w:line="253" w:lineRule="auto"/>
        <w:rPr>
          <w:sz w:val="20"/>
          <w:szCs w:val="20"/>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ectPr>
          <w:pgSz w:w="11900" w:h="16838" w:orient="portrait"/>
          <w:cols w:equalWidth="0" w:num="1">
            <w:col w:w="11420"/>
          </w:cols>
          <w:pgMar w:left="240" w:top="131" w:right="239" w:bottom="0" w:gutter="0" w:footer="0" w:header="0"/>
        </w:sectPr>
      </w:pPr>
    </w:p>
    <w:bookmarkStart w:id="8" w:name="page9"/>
    <w:bookmarkEnd w:id="8"/>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jc w:val="both"/>
        <w:ind w:left="1080" w:right="40"/>
        <w:spacing w:after="0" w:line="255" w:lineRule="auto"/>
        <w:rPr>
          <w:sz w:val="20"/>
          <w:szCs w:val="20"/>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Section 203 defines "business combination" to include: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merger or consolidation involving the corporation and the interested stockholder,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1080" w:right="560"/>
        <w:spacing w:after="0" w:line="261" w:lineRule="auto"/>
        <w:rPr>
          <w:sz w:val="20"/>
          <w:szCs w:val="20"/>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ind w:left="1080" w:right="720"/>
        <w:spacing w:after="0" w:line="261" w:lineRule="auto"/>
        <w:rPr>
          <w:sz w:val="20"/>
          <w:szCs w:val="20"/>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ind w:left="1080" w:right="520"/>
        <w:spacing w:after="0" w:line="261" w:lineRule="auto"/>
        <w:rPr>
          <w:sz w:val="20"/>
          <w:szCs w:val="20"/>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92" w:lineRule="exact"/>
        <w:rPr>
          <w:sz w:val="20"/>
          <w:szCs w:val="20"/>
          <w:color w:val="auto"/>
        </w:rPr>
      </w:pPr>
    </w:p>
    <w:p>
      <w:pPr>
        <w:ind w:right="400" w:firstLine="176"/>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transfer agent and registrar for our common stock is Wells Fargo Bank Minnesota, 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ind w:right="260" w:firstLine="172"/>
        <w:spacing w:after="0" w:line="306" w:lineRule="auto"/>
        <w:rPr>
          <w:sz w:val="20"/>
          <w:szCs w:val="20"/>
          <w:color w:val="auto"/>
        </w:rPr>
      </w:pPr>
      <w:r>
        <w:rPr>
          <w:rFonts w:ascii="Arial" w:cs="Arial" w:eastAsia="Arial" w:hAnsi="Arial"/>
          <w:sz w:val="16"/>
          <w:szCs w:val="16"/>
          <w:color w:val="auto"/>
        </w:rPr>
        <w:t>We originally issued warrants exercisable for common stock in private placements in July 2001 and August 2001. The warrants were resold by the initial purchasers to qualified institutional buyers under Rule 144A under the Securities Act in transactions exempt from registration under the Securities Act. Selling stockholders may offer and sell the common stock issuable upon exercise of their warrants pursuant to this prospectus.</w:t>
      </w:r>
    </w:p>
    <w:p>
      <w:pPr>
        <w:spacing w:after="0" w:line="161" w:lineRule="exact"/>
        <w:rPr>
          <w:sz w:val="20"/>
          <w:szCs w:val="20"/>
          <w:color w:val="auto"/>
        </w:rPr>
      </w:pPr>
    </w:p>
    <w:p>
      <w:pPr>
        <w:ind w:right="800" w:firstLine="172"/>
        <w:spacing w:after="0" w:line="268" w:lineRule="auto"/>
        <w:rPr>
          <w:sz w:val="20"/>
          <w:szCs w:val="20"/>
          <w:color w:val="auto"/>
        </w:rPr>
      </w:pPr>
      <w:r>
        <w:rPr>
          <w:rFonts w:ascii="Arial" w:cs="Arial" w:eastAsia="Arial" w:hAnsi="Arial"/>
          <w:sz w:val="18"/>
          <w:szCs w:val="18"/>
          <w:color w:val="auto"/>
        </w:rPr>
        <w:t>The following table contains information as of October 12, 2001, with respect to the selling stockholders and the number of shares of common stock beneficially owned by each selling stockholder that may be offered using this prospectus.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center"/>
              <w:ind w:left="776"/>
              <w:spacing w:after="0"/>
              <w:rPr>
                <w:sz w:val="20"/>
                <w:szCs w:val="20"/>
                <w:color w:val="auto"/>
              </w:rPr>
            </w:pPr>
            <w:r>
              <w:rPr>
                <w:rFonts w:ascii="Arial" w:cs="Arial" w:eastAsia="Arial" w:hAnsi="Arial"/>
                <w:sz w:val="14"/>
                <w:szCs w:val="14"/>
                <w:b w:val="1"/>
                <w:bCs w:val="1"/>
                <w:color w:val="auto"/>
                <w:w w:val="88"/>
              </w:rPr>
              <w:t>Number of</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center"/>
              <w:ind w:left="796"/>
              <w:spacing w:after="0"/>
              <w:rPr>
                <w:sz w:val="20"/>
                <w:szCs w:val="20"/>
                <w:color w:val="auto"/>
              </w:rPr>
            </w:pPr>
            <w:r>
              <w:rPr>
                <w:rFonts w:ascii="Arial" w:cs="Arial" w:eastAsia="Arial" w:hAnsi="Arial"/>
                <w:sz w:val="14"/>
                <w:szCs w:val="14"/>
                <w:b w:val="1"/>
                <w:bCs w:val="1"/>
                <w:color w:val="auto"/>
                <w:w w:val="91"/>
              </w:rPr>
              <w:t>Number of</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tcPr>
          <w:p>
            <w:pPr>
              <w:jc w:val="center"/>
              <w:ind w:left="776"/>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center"/>
              <w:ind w:left="776"/>
              <w:spacing w:after="0"/>
              <w:rPr>
                <w:sz w:val="20"/>
                <w:szCs w:val="20"/>
                <w:color w:val="auto"/>
              </w:rPr>
            </w:pPr>
            <w:r>
              <w:rPr>
                <w:rFonts w:ascii="Arial" w:cs="Arial" w:eastAsia="Arial" w:hAnsi="Arial"/>
                <w:sz w:val="14"/>
                <w:szCs w:val="14"/>
                <w:b w:val="1"/>
                <w:bCs w:val="1"/>
                <w:color w:val="auto"/>
                <w:w w:val="89"/>
              </w:rPr>
              <w:t>the Offering(1)</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Number of Shares</w:t>
            </w:r>
          </w:p>
        </w:tc>
        <w:tc>
          <w:tcPr>
            <w:tcW w:w="24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the Offering(3)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2200" w:type="dxa"/>
            <w:vAlign w:val="bottom"/>
            <w:gridSpan w:val="2"/>
            <w:vMerge w:val="restart"/>
          </w:tcPr>
          <w:p>
            <w:pPr>
              <w:ind w:left="480"/>
              <w:spacing w:after="0" w:line="149" w:lineRule="exact"/>
              <w:rPr>
                <w:sz w:val="20"/>
                <w:szCs w:val="20"/>
                <w:color w:val="auto"/>
              </w:rPr>
            </w:pPr>
            <w:r>
              <w:rPr>
                <w:rFonts w:ascii="Arial" w:cs="Arial" w:eastAsia="Arial" w:hAnsi="Arial"/>
                <w:sz w:val="14"/>
                <w:szCs w:val="14"/>
                <w:b w:val="1"/>
                <w:bCs w:val="1"/>
                <w:color w:val="auto"/>
              </w:rPr>
              <w:t>That May Be Sold</w:t>
            </w:r>
          </w:p>
        </w:tc>
        <w:tc>
          <w:tcPr>
            <w:tcW w:w="11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9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0" w:type="dxa"/>
            <w:vAlign w:val="bottom"/>
            <w:gridSpan w:val="3"/>
          </w:tcPr>
          <w:p>
            <w:pPr>
              <w:ind w:left="46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2200" w:type="dxa"/>
            <w:vAlign w:val="bottom"/>
            <w:gridSpan w:val="2"/>
          </w:tcPr>
          <w:p>
            <w:pPr>
              <w:ind w:left="480"/>
              <w:spacing w:after="0"/>
              <w:rPr>
                <w:sz w:val="20"/>
                <w:szCs w:val="20"/>
                <w:color w:val="auto"/>
              </w:rPr>
            </w:pPr>
            <w:r>
              <w:rPr>
                <w:rFonts w:ascii="Arial" w:cs="Arial" w:eastAsia="Arial" w:hAnsi="Arial"/>
                <w:sz w:val="14"/>
                <w:szCs w:val="14"/>
                <w:b w:val="1"/>
                <w:bCs w:val="1"/>
                <w:color w:val="auto"/>
              </w:rPr>
              <w:t>in the Offering(2)</w:t>
            </w:r>
          </w:p>
        </w:tc>
        <w:tc>
          <w:tcPr>
            <w:tcW w:w="1560" w:type="dxa"/>
            <w:vAlign w:val="bottom"/>
            <w:gridSpan w:val="3"/>
          </w:tcPr>
          <w:p>
            <w:pPr>
              <w:ind w:left="34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AIM Global Technology Class</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AIM Global Technology Fund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20,300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14,800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Aristeia International Limited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235,324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235,324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Aristeia Partners, L.P.</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66,374</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66,374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ASAF Invesco Technology Fund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Aspen Global Technology Fund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87,765</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87,765</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CIBC World Markets International Arbitrage</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D.E. Shaw Investments, L.P.</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110,698</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110,698</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 Shaw Valence, L.P.</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442,790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442,790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Deutsche Banc Alex Brown Inc.</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850,698</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850,698</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Union Securities Inc.</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687,272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687,272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First Union National Bank</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525,000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525,000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Union International Capital Markets, Inc.</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130,698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Global Bermuda Limited Partnership</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44,884</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44,884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Sciences and Technology Investments</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Goldman Sachs and Company</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117,617</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117,617</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Granville Capital Corporation</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251,395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251,395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Invesco Technology Fund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1,379,700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172,800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1,206,900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Invesco VIF Technology Fund</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Janus Global Technology Fund</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891,918</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891,918</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Janus Global Tech (Nomura)</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91,460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JMG Capital Partners, LP</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130,000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130,000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-3444240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-3444240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-3444240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-3444240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-3195320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-3195320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-3195320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-3195320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-3195320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-3195320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-3195320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-3195320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-3195320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-3195320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-3195320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-3195320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JMG Triton Offshore Fund, Ltd.</w:t>
            </w:r>
          </w:p>
        </w:tc>
        <w:tc>
          <w:tcPr>
            <w:tcW w:w="1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130,000</w:t>
            </w:r>
          </w:p>
        </w:tc>
        <w:tc>
          <w:tcPr>
            <w:tcW w:w="14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130,000</w:t>
            </w:r>
          </w:p>
        </w:tc>
        <w:tc>
          <w:tcPr>
            <w:tcW w:w="1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JWF Global Technology Fund</w:t>
            </w:r>
          </w:p>
        </w:tc>
        <w:tc>
          <w:tcPr>
            <w:tcW w:w="1840" w:type="dxa"/>
            <w:vAlign w:val="bottom"/>
          </w:tcPr>
          <w:p>
            <w:pPr>
              <w:jc w:val="right"/>
              <w:ind w:right="432"/>
              <w:spacing w:after="0"/>
              <w:rPr>
                <w:sz w:val="20"/>
                <w:szCs w:val="20"/>
                <w:color w:val="auto"/>
              </w:rPr>
            </w:pPr>
            <w:r>
              <w:rPr>
                <w:rFonts w:ascii="Arial" w:cs="Arial" w:eastAsia="Arial" w:hAnsi="Arial"/>
                <w:sz w:val="18"/>
                <w:szCs w:val="18"/>
                <w:color w:val="auto"/>
              </w:rPr>
              <w:t>92,050</w:t>
            </w:r>
          </w:p>
        </w:tc>
        <w:tc>
          <w:tcPr>
            <w:tcW w:w="14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2"/>
              <w:spacing w:after="0"/>
              <w:rPr>
                <w:sz w:val="20"/>
                <w:szCs w:val="20"/>
                <w:color w:val="auto"/>
              </w:rPr>
            </w:pPr>
            <w:r>
              <w:rPr>
                <w:rFonts w:ascii="Arial" w:cs="Arial" w:eastAsia="Arial" w:hAnsi="Arial"/>
                <w:sz w:val="18"/>
                <w:szCs w:val="18"/>
                <w:color w:val="auto"/>
              </w:rPr>
              <w:t>92,050</w:t>
            </w:r>
          </w:p>
        </w:tc>
        <w:tc>
          <w:tcPr>
            <w:tcW w:w="152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Lakeshore International, Ltd.</w:t>
            </w:r>
          </w:p>
        </w:tc>
        <w:tc>
          <w:tcPr>
            <w:tcW w:w="1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179,535</w:t>
            </w:r>
          </w:p>
        </w:tc>
        <w:tc>
          <w:tcPr>
            <w:tcW w:w="14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179,535</w:t>
            </w:r>
          </w:p>
        </w:tc>
        <w:tc>
          <w:tcPr>
            <w:tcW w:w="1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MSD Portfolio L.P.—Investments</w:t>
            </w:r>
          </w:p>
        </w:tc>
        <w:tc>
          <w:tcPr>
            <w:tcW w:w="1840" w:type="dxa"/>
            <w:vAlign w:val="bottom"/>
          </w:tcPr>
          <w:p>
            <w:pPr>
              <w:jc w:val="right"/>
              <w:ind w:right="432"/>
              <w:spacing w:after="0"/>
              <w:rPr>
                <w:sz w:val="20"/>
                <w:szCs w:val="20"/>
                <w:color w:val="auto"/>
              </w:rPr>
            </w:pPr>
            <w:r>
              <w:rPr>
                <w:rFonts w:ascii="Arial" w:cs="Arial" w:eastAsia="Arial" w:hAnsi="Arial"/>
                <w:sz w:val="18"/>
                <w:szCs w:val="18"/>
                <w:color w:val="auto"/>
              </w:rPr>
              <w:t>252,500</w:t>
            </w:r>
          </w:p>
        </w:tc>
        <w:tc>
          <w:tcPr>
            <w:tcW w:w="14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2"/>
              <w:spacing w:after="0"/>
              <w:rPr>
                <w:sz w:val="20"/>
                <w:szCs w:val="20"/>
                <w:color w:val="auto"/>
              </w:rPr>
            </w:pPr>
            <w:r>
              <w:rPr>
                <w:rFonts w:ascii="Arial" w:cs="Arial" w:eastAsia="Arial" w:hAnsi="Arial"/>
                <w:sz w:val="18"/>
                <w:szCs w:val="18"/>
                <w:color w:val="auto"/>
              </w:rPr>
              <w:t>252,500</w:t>
            </w:r>
          </w:p>
        </w:tc>
        <w:tc>
          <w:tcPr>
            <w:tcW w:w="152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NMS Services (Cayman) Inc.</w:t>
            </w:r>
          </w:p>
        </w:tc>
        <w:tc>
          <w:tcPr>
            <w:tcW w:w="1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1,300,000</w:t>
            </w:r>
          </w:p>
        </w:tc>
        <w:tc>
          <w:tcPr>
            <w:tcW w:w="14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1,300,000</w:t>
            </w:r>
          </w:p>
        </w:tc>
        <w:tc>
          <w:tcPr>
            <w:tcW w:w="1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Pacific Life Insurance Company</w:t>
            </w:r>
          </w:p>
        </w:tc>
        <w:tc>
          <w:tcPr>
            <w:tcW w:w="1840" w:type="dxa"/>
            <w:vAlign w:val="bottom"/>
          </w:tcPr>
          <w:p>
            <w:pPr>
              <w:jc w:val="right"/>
              <w:ind w:right="432"/>
              <w:spacing w:after="0"/>
              <w:rPr>
                <w:sz w:val="20"/>
                <w:szCs w:val="20"/>
                <w:color w:val="auto"/>
              </w:rPr>
            </w:pPr>
            <w:r>
              <w:rPr>
                <w:rFonts w:ascii="Arial" w:cs="Arial" w:eastAsia="Arial" w:hAnsi="Arial"/>
                <w:sz w:val="18"/>
                <w:szCs w:val="18"/>
                <w:color w:val="auto"/>
              </w:rPr>
              <w:t>58,140</w:t>
            </w:r>
          </w:p>
        </w:tc>
        <w:tc>
          <w:tcPr>
            <w:tcW w:w="14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2"/>
              <w:spacing w:after="0"/>
              <w:rPr>
                <w:sz w:val="20"/>
                <w:szCs w:val="20"/>
                <w:color w:val="auto"/>
              </w:rPr>
            </w:pPr>
            <w:r>
              <w:rPr>
                <w:rFonts w:ascii="Arial" w:cs="Arial" w:eastAsia="Arial" w:hAnsi="Arial"/>
                <w:sz w:val="18"/>
                <w:szCs w:val="18"/>
                <w:color w:val="auto"/>
              </w:rPr>
              <w:t>58,140</w:t>
            </w:r>
          </w:p>
        </w:tc>
        <w:tc>
          <w:tcPr>
            <w:tcW w:w="152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Pacific Select Fund—Technology Portfolio</w:t>
            </w:r>
          </w:p>
        </w:tc>
        <w:tc>
          <w:tcPr>
            <w:tcW w:w="1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12,800</w:t>
            </w:r>
          </w:p>
        </w:tc>
        <w:tc>
          <w:tcPr>
            <w:tcW w:w="14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1,300</w:t>
            </w:r>
          </w:p>
        </w:tc>
        <w:tc>
          <w:tcPr>
            <w:tcW w:w="1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11,500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Pilgrim Convertible Fund</w:t>
            </w:r>
          </w:p>
        </w:tc>
        <w:tc>
          <w:tcPr>
            <w:tcW w:w="1840" w:type="dxa"/>
            <w:vAlign w:val="bottom"/>
          </w:tcPr>
          <w:p>
            <w:pPr>
              <w:jc w:val="right"/>
              <w:ind w:right="432"/>
              <w:spacing w:after="0"/>
              <w:rPr>
                <w:sz w:val="20"/>
                <w:szCs w:val="20"/>
                <w:color w:val="auto"/>
              </w:rPr>
            </w:pPr>
            <w:r>
              <w:rPr>
                <w:rFonts w:ascii="Arial" w:cs="Arial" w:eastAsia="Arial" w:hAnsi="Arial"/>
                <w:sz w:val="18"/>
                <w:szCs w:val="18"/>
                <w:color w:val="auto"/>
              </w:rPr>
              <w:t>143,670</w:t>
            </w:r>
          </w:p>
        </w:tc>
        <w:tc>
          <w:tcPr>
            <w:tcW w:w="14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2"/>
              <w:spacing w:after="0"/>
              <w:rPr>
                <w:sz w:val="20"/>
                <w:szCs w:val="20"/>
                <w:color w:val="auto"/>
              </w:rPr>
            </w:pPr>
            <w:r>
              <w:rPr>
                <w:rFonts w:ascii="Arial" w:cs="Arial" w:eastAsia="Arial" w:hAnsi="Arial"/>
                <w:sz w:val="18"/>
                <w:szCs w:val="18"/>
                <w:color w:val="auto"/>
              </w:rPr>
              <w:t>143,670</w:t>
            </w:r>
          </w:p>
        </w:tc>
        <w:tc>
          <w:tcPr>
            <w:tcW w:w="152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Pilgrim Convertible VP Fund</w:t>
            </w:r>
          </w:p>
        </w:tc>
        <w:tc>
          <w:tcPr>
            <w:tcW w:w="1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2,400</w:t>
            </w:r>
          </w:p>
        </w:tc>
        <w:tc>
          <w:tcPr>
            <w:tcW w:w="14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2,400</w:t>
            </w:r>
          </w:p>
        </w:tc>
        <w:tc>
          <w:tcPr>
            <w:tcW w:w="1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Quattro Fund Ltd.</w:t>
            </w:r>
          </w:p>
        </w:tc>
        <w:tc>
          <w:tcPr>
            <w:tcW w:w="1840" w:type="dxa"/>
            <w:vAlign w:val="bottom"/>
          </w:tcPr>
          <w:p>
            <w:pPr>
              <w:jc w:val="right"/>
              <w:ind w:right="432"/>
              <w:spacing w:after="0"/>
              <w:rPr>
                <w:sz w:val="20"/>
                <w:szCs w:val="20"/>
                <w:color w:val="auto"/>
              </w:rPr>
            </w:pPr>
            <w:r>
              <w:rPr>
                <w:rFonts w:ascii="Arial" w:cs="Arial" w:eastAsia="Arial" w:hAnsi="Arial"/>
                <w:sz w:val="18"/>
                <w:szCs w:val="18"/>
                <w:color w:val="auto"/>
              </w:rPr>
              <w:t>116,279</w:t>
            </w:r>
          </w:p>
        </w:tc>
        <w:tc>
          <w:tcPr>
            <w:tcW w:w="14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2"/>
              <w:spacing w:after="0"/>
              <w:rPr>
                <w:sz w:val="20"/>
                <w:szCs w:val="20"/>
                <w:color w:val="auto"/>
              </w:rPr>
            </w:pPr>
            <w:r>
              <w:rPr>
                <w:rFonts w:ascii="Arial" w:cs="Arial" w:eastAsia="Arial" w:hAnsi="Arial"/>
                <w:sz w:val="18"/>
                <w:szCs w:val="18"/>
                <w:color w:val="auto"/>
              </w:rPr>
              <w:t>116,279</w:t>
            </w:r>
          </w:p>
        </w:tc>
        <w:tc>
          <w:tcPr>
            <w:tcW w:w="152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Robertson Stephens</w:t>
            </w:r>
          </w:p>
        </w:tc>
        <w:tc>
          <w:tcPr>
            <w:tcW w:w="1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500,000</w:t>
            </w:r>
          </w:p>
        </w:tc>
        <w:tc>
          <w:tcPr>
            <w:tcW w:w="14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500,000</w:t>
            </w:r>
          </w:p>
        </w:tc>
        <w:tc>
          <w:tcPr>
            <w:tcW w:w="1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Sage Capital</w:t>
            </w:r>
          </w:p>
        </w:tc>
        <w:tc>
          <w:tcPr>
            <w:tcW w:w="1840" w:type="dxa"/>
            <w:vAlign w:val="bottom"/>
          </w:tcPr>
          <w:p>
            <w:pPr>
              <w:jc w:val="right"/>
              <w:ind w:right="432"/>
              <w:spacing w:after="0"/>
              <w:rPr>
                <w:sz w:val="20"/>
                <w:szCs w:val="20"/>
                <w:color w:val="auto"/>
              </w:rPr>
            </w:pPr>
            <w:r>
              <w:rPr>
                <w:rFonts w:ascii="Arial" w:cs="Arial" w:eastAsia="Arial" w:hAnsi="Arial"/>
                <w:sz w:val="18"/>
                <w:szCs w:val="18"/>
                <w:color w:val="auto"/>
              </w:rPr>
              <w:t>131,140</w:t>
            </w:r>
          </w:p>
        </w:tc>
        <w:tc>
          <w:tcPr>
            <w:tcW w:w="14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2"/>
              <w:spacing w:after="0"/>
              <w:rPr>
                <w:sz w:val="20"/>
                <w:szCs w:val="20"/>
                <w:color w:val="auto"/>
              </w:rPr>
            </w:pPr>
            <w:r>
              <w:rPr>
                <w:rFonts w:ascii="Arial" w:cs="Arial" w:eastAsia="Arial" w:hAnsi="Arial"/>
                <w:sz w:val="18"/>
                <w:szCs w:val="18"/>
                <w:color w:val="auto"/>
              </w:rPr>
              <w:t>131,140</w:t>
            </w:r>
          </w:p>
        </w:tc>
        <w:tc>
          <w:tcPr>
            <w:tcW w:w="152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Salomon Brothers Asset Management</w:t>
            </w:r>
          </w:p>
        </w:tc>
        <w:tc>
          <w:tcPr>
            <w:tcW w:w="1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922,125</w:t>
            </w:r>
          </w:p>
        </w:tc>
        <w:tc>
          <w:tcPr>
            <w:tcW w:w="14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922,125</w:t>
            </w:r>
          </w:p>
        </w:tc>
        <w:tc>
          <w:tcPr>
            <w:tcW w:w="1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Shepherd Investments International, Ltd.</w:t>
            </w:r>
          </w:p>
        </w:tc>
        <w:tc>
          <w:tcPr>
            <w:tcW w:w="1840" w:type="dxa"/>
            <w:vAlign w:val="bottom"/>
          </w:tcPr>
          <w:p>
            <w:pPr>
              <w:jc w:val="right"/>
              <w:ind w:right="432"/>
              <w:spacing w:after="0"/>
              <w:rPr>
                <w:sz w:val="20"/>
                <w:szCs w:val="20"/>
                <w:color w:val="auto"/>
              </w:rPr>
            </w:pPr>
            <w:r>
              <w:rPr>
                <w:rFonts w:ascii="Arial" w:cs="Arial" w:eastAsia="Arial" w:hAnsi="Arial"/>
                <w:sz w:val="18"/>
                <w:szCs w:val="18"/>
                <w:color w:val="auto"/>
              </w:rPr>
              <w:t>620,494</w:t>
            </w:r>
          </w:p>
        </w:tc>
        <w:tc>
          <w:tcPr>
            <w:tcW w:w="14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2"/>
              <w:spacing w:after="0"/>
              <w:rPr>
                <w:sz w:val="20"/>
                <w:szCs w:val="20"/>
                <w:color w:val="auto"/>
              </w:rPr>
            </w:pPr>
            <w:r>
              <w:rPr>
                <w:rFonts w:ascii="Arial" w:cs="Arial" w:eastAsia="Arial" w:hAnsi="Arial"/>
                <w:sz w:val="18"/>
                <w:szCs w:val="18"/>
                <w:color w:val="auto"/>
              </w:rPr>
              <w:t>620,494</w:t>
            </w:r>
          </w:p>
        </w:tc>
        <w:tc>
          <w:tcPr>
            <w:tcW w:w="152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Stark International</w:t>
            </w:r>
          </w:p>
        </w:tc>
        <w:tc>
          <w:tcPr>
            <w:tcW w:w="1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286,483</w:t>
            </w:r>
          </w:p>
        </w:tc>
        <w:tc>
          <w:tcPr>
            <w:tcW w:w="14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286,483</w:t>
            </w:r>
          </w:p>
        </w:tc>
        <w:tc>
          <w:tcPr>
            <w:tcW w:w="1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TQA Master Fund Ltd.</w:t>
            </w:r>
          </w:p>
        </w:tc>
        <w:tc>
          <w:tcPr>
            <w:tcW w:w="1840" w:type="dxa"/>
            <w:vAlign w:val="bottom"/>
          </w:tcPr>
          <w:p>
            <w:pPr>
              <w:jc w:val="right"/>
              <w:ind w:right="432"/>
              <w:spacing w:after="0"/>
              <w:rPr>
                <w:sz w:val="20"/>
                <w:szCs w:val="20"/>
                <w:color w:val="auto"/>
              </w:rPr>
            </w:pPr>
            <w:r>
              <w:rPr>
                <w:rFonts w:ascii="Arial" w:cs="Arial" w:eastAsia="Arial" w:hAnsi="Arial"/>
                <w:sz w:val="18"/>
                <w:szCs w:val="18"/>
                <w:color w:val="auto"/>
              </w:rPr>
              <w:t>15,000</w:t>
            </w:r>
          </w:p>
        </w:tc>
        <w:tc>
          <w:tcPr>
            <w:tcW w:w="14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2"/>
              <w:spacing w:after="0"/>
              <w:rPr>
                <w:sz w:val="20"/>
                <w:szCs w:val="20"/>
                <w:color w:val="auto"/>
              </w:rPr>
            </w:pPr>
            <w:r>
              <w:rPr>
                <w:rFonts w:ascii="Arial" w:cs="Arial" w:eastAsia="Arial" w:hAnsi="Arial"/>
                <w:sz w:val="18"/>
                <w:szCs w:val="18"/>
                <w:color w:val="auto"/>
              </w:rPr>
              <w:t>15,000</w:t>
            </w:r>
          </w:p>
        </w:tc>
        <w:tc>
          <w:tcPr>
            <w:tcW w:w="152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TQA Master Plus Fund, Ltd.</w:t>
            </w:r>
          </w:p>
        </w:tc>
        <w:tc>
          <w:tcPr>
            <w:tcW w:w="1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84,710</w:t>
            </w:r>
          </w:p>
        </w:tc>
        <w:tc>
          <w:tcPr>
            <w:tcW w:w="14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84,710</w:t>
            </w:r>
          </w:p>
        </w:tc>
        <w:tc>
          <w:tcPr>
            <w:tcW w:w="1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UBS O'Connor LLC</w:t>
            </w:r>
          </w:p>
        </w:tc>
        <w:tc>
          <w:tcPr>
            <w:tcW w:w="1840" w:type="dxa"/>
            <w:vAlign w:val="bottom"/>
          </w:tcPr>
          <w:p>
            <w:pPr>
              <w:jc w:val="right"/>
              <w:ind w:right="432"/>
              <w:spacing w:after="0"/>
              <w:rPr>
                <w:sz w:val="20"/>
                <w:szCs w:val="20"/>
                <w:color w:val="auto"/>
              </w:rPr>
            </w:pPr>
            <w:r>
              <w:rPr>
                <w:rFonts w:ascii="Arial" w:cs="Arial" w:eastAsia="Arial" w:hAnsi="Arial"/>
                <w:sz w:val="18"/>
                <w:szCs w:val="18"/>
                <w:color w:val="auto"/>
              </w:rPr>
              <w:t>639,535</w:t>
            </w:r>
          </w:p>
        </w:tc>
        <w:tc>
          <w:tcPr>
            <w:tcW w:w="144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72"/>
              <w:spacing w:after="0"/>
              <w:rPr>
                <w:sz w:val="20"/>
                <w:szCs w:val="20"/>
                <w:color w:val="auto"/>
              </w:rPr>
            </w:pPr>
            <w:r>
              <w:rPr>
                <w:rFonts w:ascii="Arial" w:cs="Arial" w:eastAsia="Arial" w:hAnsi="Arial"/>
                <w:sz w:val="18"/>
                <w:szCs w:val="18"/>
                <w:color w:val="auto"/>
              </w:rPr>
              <w:t>639,535</w:t>
            </w:r>
          </w:p>
        </w:tc>
        <w:tc>
          <w:tcPr>
            <w:tcW w:w="1520" w:type="dxa"/>
            <w:vAlign w:val="bottom"/>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Any other holder of warrants or future transferee,</w:t>
            </w:r>
          </w:p>
        </w:tc>
        <w:tc>
          <w:tcPr>
            <w:tcW w:w="18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4"/>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pledgee, donee or successor of any holder(4)(5)</w:t>
            </w:r>
          </w:p>
        </w:tc>
        <w:tc>
          <w:tcPr>
            <w:tcW w:w="18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18,425,425</w:t>
            </w:r>
          </w:p>
        </w:tc>
        <w:tc>
          <w:tcPr>
            <w:tcW w:w="144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3.0</w:t>
            </w:r>
          </w:p>
        </w:tc>
        <w:tc>
          <w:tcPr>
            <w:tcW w:w="19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18,425,425</w:t>
            </w:r>
          </w:p>
        </w:tc>
        <w:tc>
          <w:tcPr>
            <w:tcW w:w="15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18"/>
        </w:trPr>
        <w:tc>
          <w:tcPr>
            <w:tcW w:w="1660" w:type="dxa"/>
            <w:vAlign w:val="bottom"/>
            <w:tcBorders>
              <w:bottom w:val="single" w:sz="8" w:color="808080"/>
            </w:tcBorders>
          </w:tcPr>
          <w:p>
            <w:pPr>
              <w:spacing w:after="0"/>
              <w:rPr>
                <w:sz w:val="10"/>
                <w:szCs w:val="10"/>
                <w:color w:val="auto"/>
              </w:rPr>
            </w:pPr>
          </w:p>
        </w:tc>
        <w:tc>
          <w:tcPr>
            <w:tcW w:w="2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than 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Calculated based on Rule 13d-3(d)(1)(i) of the Exchange Act using 599,277,188 shares of common stock outstanding as of October 10, 2001. In calculating this amount, we treated as outstanding the number of shares of common stock issuable upon exercise of all of that particular holder's warrants. However, we did not assume the exercise of any other holder's warrants.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jc w:val="both"/>
        <w:ind w:left="540" w:right="160"/>
        <w:spacing w:after="0" w:line="255" w:lineRule="auto"/>
        <w:rPr>
          <w:sz w:val="20"/>
          <w:szCs w:val="20"/>
          <w:color w:val="auto"/>
        </w:rPr>
      </w:pPr>
      <w:r>
        <w:rPr>
          <w:rFonts w:ascii="Arial" w:cs="Arial" w:eastAsia="Arial" w:hAnsi="Arial"/>
          <w:sz w:val="18"/>
          <w:szCs w:val="18"/>
          <w:color w:val="auto"/>
        </w:rPr>
        <w:t>Assumes exercise of all of the holder's warrants and that one share of common stock is issuable upon exercise of each warrant. However, the number of shares of common stock issuable upon exercise of a warrant is subject to adjustment. As a result, the amount of common stock issuable upon exercise of the warrants may increase or decrease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Assumes the sale of all shares that may be sold in the offering.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Information about other selling stockholders will be set forth in prospectus supplements, if required.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ind w:left="540" w:right="20"/>
        <w:spacing w:after="0" w:line="323" w:lineRule="auto"/>
        <w:rPr>
          <w:sz w:val="20"/>
          <w:szCs w:val="20"/>
          <w:color w:val="auto"/>
        </w:rPr>
      </w:pPr>
      <w:r>
        <w:rPr>
          <w:rFonts w:ascii="Arial" w:cs="Arial" w:eastAsia="Arial" w:hAnsi="Arial"/>
          <w:sz w:val="16"/>
          <w:szCs w:val="16"/>
          <w:color w:val="auto"/>
        </w:rPr>
        <w:t>Assumes that any other holders of warrants, or any future transferees, pledgees, donees or successors of or from any such other holders of warrants, do not beneficially own any common stock other than the common stock issuable upon exercise of the warrants at the initial exercise rate.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prepared this table based on the information supplied to us by the selling stockholders named in the table.</w:t>
      </w:r>
    </w:p>
    <w:p>
      <w:pPr>
        <w:spacing w:after="0" w:line="225" w:lineRule="exact"/>
        <w:rPr>
          <w:sz w:val="20"/>
          <w:szCs w:val="20"/>
          <w:color w:val="auto"/>
        </w:rPr>
      </w:pPr>
    </w:p>
    <w:p>
      <w:pPr>
        <w:ind w:right="120" w:firstLine="172"/>
        <w:spacing w:after="0" w:line="306" w:lineRule="auto"/>
        <w:rPr>
          <w:sz w:val="20"/>
          <w:szCs w:val="20"/>
          <w:color w:val="auto"/>
        </w:rPr>
      </w:pPr>
      <w:r>
        <w:rPr>
          <w:rFonts w:ascii="Arial" w:cs="Arial" w:eastAsia="Arial" w:hAnsi="Arial"/>
          <w:sz w:val="16"/>
          <w:szCs w:val="16"/>
          <w:color w:val="auto"/>
        </w:rPr>
        <w:t>The selling stockholders listed in the above table may have sold or transferred, in transactions exempt from the registration requirements of the Securities Act, some or all of their warrants or the underlying common stock since the date on which the information in the above table is presented. Information about the selling stockholders may change over time. Any changed information will be set forth in prospectus supplements.</w:t>
      </w:r>
    </w:p>
    <w:p>
      <w:pPr>
        <w:spacing w:after="0" w:line="161"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Because the selling stockholders may offer all or some of their common stock from time to time, we cannot estimate the amount of common stock that will be held by the selling stockholders upon the termination of any particular offering. See "Plan of Distribution."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520" w:firstLine="172"/>
        <w:spacing w:after="0" w:line="268" w:lineRule="auto"/>
        <w:rPr>
          <w:sz w:val="20"/>
          <w:szCs w:val="20"/>
          <w:color w:val="auto"/>
        </w:rPr>
      </w:pPr>
      <w:r>
        <w:rPr>
          <w:rFonts w:ascii="Arial" w:cs="Arial" w:eastAsia="Arial" w:hAnsi="Arial"/>
          <w:sz w:val="18"/>
          <w:szCs w:val="18"/>
          <w:color w:val="auto"/>
        </w:rPr>
        <w:t>We will not receive any of the proceeds of the sale of the common stock offered by this prospectus. The common stock may be sold from time to time to purchasers: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directly by the selling stockholders;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60"/>
        <w:spacing w:after="0" w:line="261" w:lineRule="auto"/>
        <w:rPr>
          <w:sz w:val="20"/>
          <w:szCs w:val="20"/>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stockholders or the purchasers of the common stock.</w:t>
      </w:r>
    </w:p>
    <w:p>
      <w:pPr>
        <w:sectPr>
          <w:pgSz w:w="11900" w:h="16838" w:orient="portrait"/>
          <w:cols w:equalWidth="0" w:num="1">
            <w:col w:w="11420"/>
          </w:cols>
          <w:pgMar w:left="240" w:top="140" w:right="239" w:bottom="128" w:gutter="0" w:footer="0" w:header="0"/>
        </w:sectPr>
      </w:pPr>
    </w:p>
    <w:bookmarkStart w:id="10" w:name="page11"/>
    <w:bookmarkEnd w:id="10"/>
    <w:p>
      <w:pPr>
        <w:ind w:right="220" w:firstLine="172"/>
        <w:spacing w:after="0" w:line="255" w:lineRule="auto"/>
        <w:rPr>
          <w:sz w:val="20"/>
          <w:szCs w:val="20"/>
          <w:color w:val="auto"/>
        </w:rPr>
      </w:pPr>
      <w:r>
        <w:rPr>
          <w:rFonts w:ascii="Arial" w:cs="Arial" w:eastAsia="Arial" w:hAnsi="Arial"/>
          <w:sz w:val="18"/>
          <w:szCs w:val="18"/>
          <w:color w:val="auto"/>
        </w:rPr>
        <w:t>The selling stockholders and any such broker-dealers or agents who participate in the distribution of the common stock may be deemed to be "underwriters." As a result, any profits on the sale of the common stock by selling stockholders and any discounts, commissions or concessions received by any such broker-dealers or agents might be deemed to be underwriting discounts and commissions under the Securities Act. If the selling stockholders were to be deemed underwriters, the selling stockholders may be subject to certain statutory liabilities of, including, but not limited to, Sections 11, 12 and 17 of the Securities Act and Rule 10b-5 under the Exchange Act.</w:t>
      </w:r>
    </w:p>
    <w:p>
      <w:pPr>
        <w:spacing w:after="0" w:line="197" w:lineRule="exact"/>
        <w:rPr>
          <w:sz w:val="20"/>
          <w:szCs w:val="20"/>
          <w:color w:val="auto"/>
        </w:rPr>
      </w:pPr>
    </w:p>
    <w:p>
      <w:pPr>
        <w:ind w:right="160" w:firstLine="176"/>
        <w:spacing w:after="0" w:line="268" w:lineRule="auto"/>
        <w:rPr>
          <w:sz w:val="20"/>
          <w:szCs w:val="20"/>
          <w:color w:val="auto"/>
        </w:rPr>
      </w:pPr>
      <w:r>
        <w:rPr>
          <w:rFonts w:ascii="Arial" w:cs="Arial" w:eastAsia="Arial" w:hAnsi="Arial"/>
          <w:sz w:val="18"/>
          <w:szCs w:val="18"/>
          <w:color w:val="auto"/>
        </w:rPr>
        <w:t>If the common stock is sold through underwriters or broker-dealers, the selling stockholders will be responsible for underwriting discounts or commissions or agent's commissions.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common stock may be sold in one or more transactions at: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fixed prices;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prevailing market prices at the time of sale;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varying prices determined at the time of sale;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center"/>
        <w:ind w:right="8020"/>
        <w:spacing w:after="0"/>
        <w:rPr>
          <w:sz w:val="20"/>
          <w:szCs w:val="20"/>
          <w:color w:val="auto"/>
        </w:rPr>
      </w:pPr>
      <w:r>
        <w:rPr>
          <w:rFonts w:ascii="Arial" w:cs="Arial" w:eastAsia="Arial" w:hAnsi="Arial"/>
          <w:sz w:val="18"/>
          <w:szCs w:val="18"/>
          <w:color w:val="auto"/>
        </w:rPr>
        <w:t>negotiated prices.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These sales may be effected in transactions: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80"/>
        <w:spacing w:after="0" w:line="261" w:lineRule="auto"/>
        <w:rPr>
          <w:sz w:val="20"/>
          <w:szCs w:val="20"/>
          <w:color w:val="auto"/>
        </w:rPr>
      </w:pPr>
      <w:r>
        <w:rPr>
          <w:rFonts w:ascii="Arial" w:cs="Arial" w:eastAsia="Arial" w:hAnsi="Arial"/>
          <w:sz w:val="18"/>
          <w:szCs w:val="18"/>
          <w:color w:val="auto"/>
        </w:rPr>
        <w:t>on any national securities exchange or quotation service on which the notes and underlying common stock may be listed or quoted at the time of the sale, including the New York Stock Exchange in the case of the common stock;</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over-the-counter market;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transactions otherwise than on such exchanges or services or in the over-the-counter market;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through the writing of options.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These transactions may include block transactions or crosses. Crosses are transactions in which the same broker acts as an agent on both sides of the trade.</w:t>
      </w:r>
    </w:p>
    <w:p>
      <w:pPr>
        <w:spacing w:after="0" w:line="248" w:lineRule="exact"/>
        <w:rPr>
          <w:sz w:val="20"/>
          <w:szCs w:val="20"/>
          <w:color w:val="auto"/>
        </w:rPr>
      </w:pPr>
    </w:p>
    <w:p>
      <w:pPr>
        <w:ind w:firstLine="176"/>
        <w:spacing w:after="0" w:line="306" w:lineRule="auto"/>
        <w:rPr>
          <w:sz w:val="20"/>
          <w:szCs w:val="20"/>
          <w:color w:val="auto"/>
        </w:rPr>
      </w:pPr>
      <w:r>
        <w:rPr>
          <w:rFonts w:ascii="Arial" w:cs="Arial" w:eastAsia="Arial" w:hAnsi="Arial"/>
          <w:sz w:val="16"/>
          <w:szCs w:val="16"/>
          <w:color w:val="auto"/>
        </w:rPr>
        <w:t>In connection with sales of the common stock, the selling stockholders may enter into hedging transactions with broker-dealers. These broker-dealers may in turn engage in short sales of the common stock in the course of hedging their positions. The selling stockholders may also sell the common stock short and deliver common stock to close out short positions, or loan or pledge common stock to broker-dealers that in turn may sell the common stock.</w:t>
      </w:r>
    </w:p>
    <w:p>
      <w:pPr>
        <w:spacing w:after="0" w:line="161" w:lineRule="exact"/>
        <w:rPr>
          <w:sz w:val="20"/>
          <w:szCs w:val="20"/>
          <w:color w:val="auto"/>
        </w:rPr>
      </w:pPr>
    </w:p>
    <w:p>
      <w:pPr>
        <w:ind w:right="80" w:firstLine="172"/>
        <w:spacing w:after="0" w:line="256" w:lineRule="auto"/>
        <w:rPr>
          <w:sz w:val="20"/>
          <w:szCs w:val="20"/>
          <w:color w:val="auto"/>
        </w:rPr>
      </w:pPr>
      <w:r>
        <w:rPr>
          <w:rFonts w:ascii="Arial" w:cs="Arial" w:eastAsia="Arial" w:hAnsi="Arial"/>
          <w:sz w:val="18"/>
          <w:szCs w:val="18"/>
          <w:color w:val="auto"/>
        </w:rPr>
        <w:t>To our knowledge, there are currently no plans, arrangement or understandings between any selling stockholders and any underwriter, broker-dealer or agent regarding the sale of the common stock by the selling stockholders. Selling stockholders may not sell any or all of the common stock offered by them pursuant to this prospectus. In addition, we cannot assure you that any such selling stockholder will not transfer, devise or gift the common stock by other means not described in this prospectus.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common stock trades on the New York Stock Exchange under the symbol "MU."</w:t>
      </w:r>
    </w:p>
    <w:p>
      <w:pPr>
        <w:spacing w:after="0" w:line="225" w:lineRule="exact"/>
        <w:rPr>
          <w:sz w:val="20"/>
          <w:szCs w:val="20"/>
          <w:color w:val="auto"/>
        </w:rPr>
      </w:pPr>
    </w:p>
    <w:p>
      <w:pPr>
        <w:jc w:val="both"/>
        <w:ind w:right="320" w:firstLine="172"/>
        <w:spacing w:after="0" w:line="259" w:lineRule="auto"/>
        <w:rPr>
          <w:sz w:val="20"/>
          <w:szCs w:val="20"/>
          <w:color w:val="auto"/>
        </w:rPr>
      </w:pPr>
      <w:r>
        <w:rPr>
          <w:rFonts w:ascii="Arial" w:cs="Arial" w:eastAsia="Arial" w:hAnsi="Arial"/>
          <w:sz w:val="18"/>
          <w:szCs w:val="18"/>
          <w:color w:val="auto"/>
        </w:rPr>
        <w:t>There can be no assurance that any selling stockholder will sell any or all of the common stock pursuant to this prospectus. In addition, any common stock covered by this prospectus that qualify for sale pursuant to Rule 144 or Rule 144A of the Securities Act may be sold under Rule 144 or Rule 144A rather than pursuant to this prospectus.</w:t>
      </w:r>
    </w:p>
    <w:p>
      <w:pPr>
        <w:spacing w:after="0" w:line="194" w:lineRule="exact"/>
        <w:rPr>
          <w:sz w:val="20"/>
          <w:szCs w:val="20"/>
          <w:color w:val="auto"/>
        </w:rPr>
      </w:pPr>
    </w:p>
    <w:p>
      <w:pPr>
        <w:ind w:right="20" w:firstLine="172"/>
        <w:spacing w:after="0" w:line="290" w:lineRule="auto"/>
        <w:rPr>
          <w:sz w:val="20"/>
          <w:szCs w:val="20"/>
          <w:color w:val="auto"/>
        </w:rPr>
      </w:pPr>
      <w:r>
        <w:rPr>
          <w:rFonts w:ascii="Arial" w:cs="Arial" w:eastAsia="Arial" w:hAnsi="Arial"/>
          <w:sz w:val="16"/>
          <w:szCs w:val="16"/>
          <w:color w:val="auto"/>
        </w:rPr>
        <w:t>The selling stockholders and any other person participating in such distribution will be subject to the Exchange Act. The Exchange Act rules include, without limitation, Regulation M, which may limit the timing of purchases and sales of any of the common stock by the selling stockholders and any other such person. In addition, Regulation M of the Exchange Act may restrict the ability of any person engaged in the distribution of the common stock to engage in market-making activities with respect to the particular common stock being distributed for a period of up to five business days prior to the commencement of such distribution. This may affect the marketability of the common stock and the ability of any person or entity to engage in market-making activities with respect to the common stock. Pursuant to the registration rights agreement filed as an exhibit to this registration statement, we and the selling stockholders will be indemnified by the other against certain liabilities, including certain liabilities under the Securities Act or will be entitled to contribution in connection with these liabilities.</w:t>
      </w:r>
    </w:p>
    <w:p>
      <w:pPr>
        <w:spacing w:after="0" w:line="172" w:lineRule="exact"/>
        <w:rPr>
          <w:sz w:val="20"/>
          <w:szCs w:val="20"/>
          <w:color w:val="auto"/>
        </w:rPr>
      </w:pPr>
    </w:p>
    <w:p>
      <w:pPr>
        <w:ind w:right="160" w:firstLine="172"/>
        <w:spacing w:after="0" w:line="268" w:lineRule="auto"/>
        <w:rPr>
          <w:sz w:val="20"/>
          <w:szCs w:val="20"/>
          <w:color w:val="auto"/>
        </w:rPr>
      </w:pPr>
      <w:r>
        <w:rPr>
          <w:rFonts w:ascii="Arial" w:cs="Arial" w:eastAsia="Arial" w:hAnsi="Arial"/>
          <w:sz w:val="18"/>
          <w:szCs w:val="18"/>
          <w:color w:val="auto"/>
        </w:rPr>
        <w:t>We have agreed to pay substantially all of the expenses incidental to the offering and sale of the warrants and the registration of the underlying common stock to the public other than commissions, fees and discounts of underwriters, brokers, dealers and agents.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VALIDITY OF COMMON STOCK</w:t>
      </w:r>
    </w:p>
    <w:p>
      <w:pPr>
        <w:spacing w:after="0" w:line="231" w:lineRule="exact"/>
        <w:rPr>
          <w:sz w:val="20"/>
          <w:szCs w:val="20"/>
          <w:color w:val="auto"/>
        </w:rPr>
      </w:pPr>
    </w:p>
    <w:p>
      <w:pPr>
        <w:ind w:right="340" w:firstLine="172"/>
        <w:spacing w:after="0" w:line="268" w:lineRule="auto"/>
        <w:rPr>
          <w:sz w:val="20"/>
          <w:szCs w:val="20"/>
          <w:color w:val="auto"/>
        </w:rPr>
      </w:pPr>
      <w:r>
        <w:rPr>
          <w:rFonts w:ascii="Arial" w:cs="Arial" w:eastAsia="Arial" w:hAnsi="Arial"/>
          <w:sz w:val="18"/>
          <w:szCs w:val="18"/>
          <w:color w:val="auto"/>
        </w:rPr>
        <w:t>The validity of the issuance of our common stock offered by this prospectus will be passed upon for us by Wilson Sonsini Goodrich &amp; Rosati, Professional Corporation, Palo Alto, California.</w:t>
      </w:r>
    </w:p>
    <w:p>
      <w:pPr>
        <w:sectPr>
          <w:pgSz w:w="11900" w:h="16838" w:orient="portrait"/>
          <w:cols w:equalWidth="0" w:num="1">
            <w:col w:w="11420"/>
          </w:cols>
          <w:pgMar w:left="240" w:top="131" w:right="239" w:bottom="95"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220" w:firstLine="172"/>
        <w:spacing w:after="0" w:line="259"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10-K for the year ended August 30, 2001, have been so incorporated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20" w:firstLine="172"/>
        <w:spacing w:after="0" w:line="298" w:lineRule="auto"/>
        <w:rPr>
          <w:sz w:val="20"/>
          <w:szCs w:val="20"/>
          <w:color w:val="auto"/>
        </w:rPr>
      </w:pPr>
      <w:r>
        <w:rPr>
          <w:rFonts w:ascii="Arial" w:cs="Arial" w:eastAsia="Arial" w:hAnsi="Arial"/>
          <w:sz w:val="16"/>
          <w:szCs w:val="16"/>
          <w:color w:val="auto"/>
        </w:rPr>
        <w:t>We are subject to the informational requirements of the Securities Exchange Act of 1934 and, in accordance therewith, files reports and other information with the SEC. Such reports and other information can be inspected and copied at the Public Reference Section of the SEC located at Room 1024, Judiciary Plaza, 450 Fifth Street, N.W., Washington D.C. 20549. Copies of such material can be obtained from the Public Reference Section of the SEC at prescribed rates. Such material may also be accessed electronically by means of the SEC's home page on the Internet (http://www.sec.gov).</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sets forth the expenses, other than any underwriting discount and commissions, in connection with the issuance and distribution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being registered. All amounts indicated are estimates (other than the registration fee):</w:t>
      </w:r>
    </w:p>
    <w:p>
      <w:pPr>
        <w:spacing w:after="0" w:line="227"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2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406,977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Warrant agent's fees and expenses</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of the registrant</w:t>
            </w:r>
          </w:p>
        </w:tc>
        <w:tc>
          <w:tcPr>
            <w:tcW w:w="1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Miscellaneous</w:t>
            </w: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13,023</w:t>
            </w:r>
          </w:p>
        </w:tc>
      </w:tr>
      <w:tr>
        <w:trPr>
          <w:trHeight w:val="112"/>
        </w:trPr>
        <w:tc>
          <w:tcPr>
            <w:tcW w:w="4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105"/>
        </w:trPr>
        <w:tc>
          <w:tcPr>
            <w:tcW w:w="4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23"/>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480,000</w:t>
            </w:r>
          </w:p>
        </w:tc>
      </w:tr>
      <w:tr>
        <w:trPr>
          <w:trHeight w:val="105"/>
        </w:trPr>
        <w:tc>
          <w:tcPr>
            <w:tcW w:w="46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61"/>
        </w:trPr>
        <w:tc>
          <w:tcPr>
            <w:tcW w:w="46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-340360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-340360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231" w:lineRule="exact"/>
        <w:rPr>
          <w:sz w:val="20"/>
          <w:szCs w:val="20"/>
          <w:color w:val="auto"/>
        </w:rPr>
      </w:pPr>
    </w:p>
    <w:p>
      <w:pPr>
        <w:ind w:firstLine="176"/>
        <w:spacing w:after="0" w:line="254" w:lineRule="auto"/>
        <w:rPr>
          <w:sz w:val="20"/>
          <w:szCs w:val="20"/>
          <w:color w:val="auto"/>
        </w:rPr>
      </w:pPr>
      <w:r>
        <w:rPr>
          <w:rFonts w:ascii="Arial" w:cs="Arial" w:eastAsia="Arial" w:hAnsi="Arial"/>
          <w:sz w:val="18"/>
          <w:szCs w:val="18"/>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The registrant's Bylaws provide for mandatory indemnification of its directors, officers, employees and other agents to the maximum extent permitted by Delaware law. The registrant has entered into indemnification agreements with its directors and certain of its officers. The indemnification agreements provide the registrant's directors and elected officers with further indemnification to the maximum extent permitted by Delaware law.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ectPr>
          <w:pgSz w:w="11900" w:h="16838" w:orient="portrait"/>
          <w:cols w:equalWidth="0" w:num="1">
            <w:col w:w="11340"/>
          </w:cols>
          <w:pgMar w:left="240" w:top="341" w:right="319" w:bottom="0" w:gutter="0" w:footer="0" w:header="0"/>
        </w:sect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7848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848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81280</wp:posOffset>
            </wp:positionV>
            <wp:extent cx="497840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7840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600"/>
          </w:cols>
          <w:pgMar w:left="240" w:top="341" w:right="319" w:bottom="0" w:gutter="0" w:footer="0" w:header="0"/>
          <w:type w:val="continuous"/>
        </w:sectPr>
      </w:pPr>
    </w:p>
    <w:p>
      <w:pPr>
        <w:spacing w:after="0" w:line="58"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Certificate of Incorporation of the Company, as amended.(1)</w:t>
      </w:r>
    </w:p>
    <w:p>
      <w:pPr>
        <w:spacing w:after="0" w:line="15"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the Company, as amended.(2)</w:t>
      </w:r>
    </w:p>
    <w:p>
      <w:pPr>
        <w:spacing w:after="0" w:line="9"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Registration Rights Agreement, dated July 18, 2001, between the Company and Lehman Brothers, Inc.(3)</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accountants.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pacing w:after="0" w:line="9" w:lineRule="exact"/>
        <w:rPr>
          <w:sz w:val="20"/>
          <w:szCs w:val="20"/>
          <w:color w:val="auto"/>
        </w:rPr>
      </w:pPr>
    </w:p>
    <w:p>
      <w:pPr>
        <w:ind w:left="1180" w:right="2380" w:hanging="576"/>
        <w:spacing w:after="0" w:line="261" w:lineRule="auto"/>
        <w:tabs>
          <w:tab w:leader="none" w:pos="1160" w:val="left"/>
        </w:tabs>
        <w:rPr>
          <w:sz w:val="20"/>
          <w:szCs w:val="20"/>
          <w:color w:val="auto"/>
        </w:rPr>
      </w:pPr>
      <w:r>
        <w:rPr>
          <w:rFonts w:ascii="Arial" w:cs="Arial" w:eastAsia="Arial" w:hAnsi="Arial"/>
          <w:sz w:val="18"/>
          <w:szCs w:val="18"/>
          <w:color w:val="auto"/>
        </w:rPr>
        <w:t>24.1</w:t>
        <w:tab/>
        <w:t>Power of Attorney of certain directors and officers of Micron Technology, Inc. (see page II-4 of initial filing of this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105029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be filed by amendment.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Incorporated by reference to Annual Report on Form 10-K for the fiscal year ended August 31,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Incorporated by reference to Quarterly Report on Form 10-Q for the fiscal quarter ended December 2, 1999.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341" w:right="319" w:bottom="0" w:gutter="0" w:footer="0" w:header="0"/>
          <w:type w:val="continuous"/>
        </w:sectPr>
      </w:pPr>
    </w:p>
    <w:bookmarkStart w:id="12" w:name="page13"/>
    <w:bookmarkEnd w:id="12"/>
    <w:p>
      <w:pPr>
        <w:ind w:left="540"/>
        <w:spacing w:after="0"/>
        <w:rPr>
          <w:sz w:val="20"/>
          <w:szCs w:val="20"/>
          <w:color w:val="auto"/>
        </w:rPr>
      </w:pPr>
      <w:r>
        <w:rPr>
          <w:rFonts w:ascii="Arial" w:cs="Arial" w:eastAsia="Arial" w:hAnsi="Arial"/>
          <w:sz w:val="18"/>
          <w:szCs w:val="18"/>
          <w:color w:val="auto"/>
        </w:rPr>
        <w:t>Incorporated by reference to Annual Report on Form 10-K for the fiscal year ended August 30, 2001.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231" w:lineRule="exact"/>
        <w:rPr>
          <w:sz w:val="20"/>
          <w:szCs w:val="20"/>
          <w:color w:val="auto"/>
        </w:rPr>
      </w:pPr>
    </w:p>
    <w:p>
      <w:pPr>
        <w:ind w:left="400" w:hanging="216"/>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60" w:hanging="236"/>
        <w:spacing w:after="0"/>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2"/>
        <w:spacing w:after="0"/>
        <w:tabs>
          <w:tab w:leader="none" w:pos="1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"Act");</w:t>
      </w:r>
    </w:p>
    <w:p>
      <w:pPr>
        <w:spacing w:after="0" w:line="225" w:lineRule="exact"/>
        <w:rPr>
          <w:rFonts w:ascii="Arial" w:cs="Arial" w:eastAsia="Arial" w:hAnsi="Arial"/>
          <w:sz w:val="18"/>
          <w:szCs w:val="18"/>
          <w:color w:val="auto"/>
        </w:rPr>
      </w:pPr>
    </w:p>
    <w:p>
      <w:pPr>
        <w:ind w:left="1080" w:right="80" w:firstLine="184"/>
        <w:spacing w:after="0" w:line="290" w:lineRule="auto"/>
        <w:tabs>
          <w:tab w:leader="none" w:pos="1511" w:val="left"/>
        </w:tabs>
        <w:numPr>
          <w:ilvl w:val="2"/>
          <w:numId w:val="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2" w:lineRule="exact"/>
        <w:rPr>
          <w:sz w:val="20"/>
          <w:szCs w:val="20"/>
          <w:color w:val="auto"/>
        </w:rPr>
      </w:pPr>
    </w:p>
    <w:p>
      <w:pPr>
        <w:ind w:left="1080" w:right="320" w:firstLine="184"/>
        <w:spacing w:after="0" w:line="268" w:lineRule="auto"/>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194" w:lineRule="exact"/>
        <w:rPr>
          <w:sz w:val="20"/>
          <w:szCs w:val="20"/>
          <w:color w:val="auto"/>
        </w:rPr>
      </w:pPr>
    </w:p>
    <w:p>
      <w:pPr>
        <w:jc w:val="both"/>
        <w:ind w:left="540" w:right="460" w:firstLine="184"/>
        <w:spacing w:after="0" w:line="259" w:lineRule="auto"/>
        <w:tabs>
          <w:tab w:leader="none" w:pos="961"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120" w:firstLine="184"/>
        <w:spacing w:after="0" w:line="268" w:lineRule="auto"/>
        <w:tabs>
          <w:tab w:leader="none" w:pos="96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right="160" w:firstLine="184"/>
        <w:spacing w:after="0" w:line="256" w:lineRule="auto"/>
        <w:tabs>
          <w:tab w:leader="none" w:pos="3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firstLine="184"/>
        <w:spacing w:after="0" w:line="290" w:lineRule="auto"/>
        <w:tabs>
          <w:tab w:leader="none" w:pos="39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00" w:hanging="216"/>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960" w:hanging="236"/>
        <w:spacing w:after="0"/>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Act, the information omitted from the form of prospectus filed as part of this registration</w:t>
      </w:r>
    </w:p>
    <w:p>
      <w:pPr>
        <w:spacing w:after="0" w:line="38" w:lineRule="exact"/>
        <w:rPr>
          <w:rFonts w:ascii="Arial" w:cs="Arial" w:eastAsia="Arial" w:hAnsi="Arial"/>
          <w:sz w:val="16"/>
          <w:szCs w:val="16"/>
          <w:color w:val="auto"/>
        </w:rPr>
      </w:pPr>
    </w:p>
    <w:p>
      <w:pPr>
        <w:ind w:left="540" w:right="160"/>
        <w:spacing w:after="0" w:line="261" w:lineRule="auto"/>
        <w:rPr>
          <w:rFonts w:ascii="Arial" w:cs="Arial" w:eastAsia="Arial" w:hAnsi="Arial"/>
          <w:sz w:val="16"/>
          <w:szCs w:val="16"/>
          <w:color w:val="auto"/>
        </w:rPr>
      </w:pPr>
      <w:r>
        <w:rPr>
          <w:rFonts w:ascii="Arial" w:cs="Arial" w:eastAsia="Arial" w:hAnsi="Arial"/>
          <w:sz w:val="18"/>
          <w:szCs w:val="18"/>
          <w:color w:val="auto"/>
        </w:rPr>
        <w:t>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91" w:lineRule="exact"/>
        <w:rPr>
          <w:rFonts w:ascii="Arial" w:cs="Arial" w:eastAsia="Arial" w:hAnsi="Arial"/>
          <w:sz w:val="16"/>
          <w:szCs w:val="16"/>
          <w:color w:val="auto"/>
        </w:rPr>
      </w:pPr>
    </w:p>
    <w:p>
      <w:pPr>
        <w:jc w:val="both"/>
        <w:ind w:left="540" w:right="60" w:firstLine="184"/>
        <w:spacing w:after="0" w:line="259"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October 15, 2001.</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43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53428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13" w:name="page14"/>
    <w:bookmarkEnd w:id="13"/>
    <w:p>
      <w:pPr>
        <w:jc w:val="center"/>
        <w:ind w:left="1960"/>
        <w:spacing w:after="0"/>
        <w:rPr>
          <w:sz w:val="20"/>
          <w:szCs w:val="20"/>
          <w:color w:val="auto"/>
        </w:rPr>
      </w:pPr>
      <w:r>
        <w:rPr>
          <w:rFonts w:ascii="Arial" w:cs="Arial" w:eastAsia="Arial" w:hAnsi="Arial"/>
          <w:sz w:val="18"/>
          <w:szCs w:val="18"/>
          <w:color w:val="auto"/>
        </w:rPr>
        <w:t>W.G. Stover, Jr.</w:t>
      </w:r>
    </w:p>
    <w:p>
      <w:pPr>
        <w:spacing w:after="0" w:line="15" w:lineRule="exact"/>
        <w:rPr>
          <w:sz w:val="20"/>
          <w:szCs w:val="20"/>
          <w:color w:val="auto"/>
        </w:rPr>
      </w:pPr>
    </w:p>
    <w:p>
      <w:pPr>
        <w:jc w:val="center"/>
        <w:ind w:left="1960"/>
        <w:spacing w:after="0"/>
        <w:rPr>
          <w:sz w:val="20"/>
          <w:szCs w:val="20"/>
          <w:color w:val="auto"/>
        </w:rPr>
      </w:pPr>
      <w:r>
        <w:rPr>
          <w:rFonts w:ascii="Arial" w:cs="Arial" w:eastAsia="Arial" w:hAnsi="Arial"/>
          <w:sz w:val="18"/>
          <w:szCs w:val="18"/>
          <w:i w:val="1"/>
          <w:iCs w:val="1"/>
          <w:color w:val="auto"/>
        </w:rPr>
        <w:t>Vice President of Finance</w:t>
      </w:r>
    </w:p>
    <w:p>
      <w:pPr>
        <w:spacing w:after="0" w:line="9" w:lineRule="exact"/>
        <w:rPr>
          <w:sz w:val="20"/>
          <w:szCs w:val="20"/>
          <w:color w:val="auto"/>
        </w:rPr>
      </w:pPr>
    </w:p>
    <w:p>
      <w:pPr>
        <w:jc w:val="center"/>
        <w:ind w:left="1960"/>
        <w:spacing w:after="0"/>
        <w:rPr>
          <w:sz w:val="20"/>
          <w:szCs w:val="20"/>
          <w:color w:val="auto"/>
        </w:rPr>
      </w:pPr>
      <w:r>
        <w:rPr>
          <w:rFonts w:ascii="Arial" w:cs="Arial" w:eastAsia="Arial" w:hAnsi="Arial"/>
          <w:sz w:val="18"/>
          <w:szCs w:val="18"/>
          <w:i w:val="1"/>
          <w:iCs w:val="1"/>
          <w:color w:val="auto"/>
        </w:rPr>
        <w:t>and Chief Financial Officer</w:t>
      </w:r>
    </w:p>
    <w:p>
      <w:pPr>
        <w:spacing w:after="0" w:line="219" w:lineRule="exact"/>
        <w:rPr>
          <w:sz w:val="20"/>
          <w:szCs w:val="20"/>
          <w:color w:val="auto"/>
        </w:rPr>
      </w:pPr>
    </w:p>
    <w:p>
      <w:pPr>
        <w:ind w:right="80" w:firstLine="176"/>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Steven R. Appleton and W. G. Stover, Jr., and each of them individually, as his true and lawful attorneys-in-fact and agents with full power of substitution and resubstitution, for him and in his name, place and stead, in any and all capacities to sign the Registration Statement filed herewith and any or all amendments to said Registration Statement (including post-effective amendments and registration statements filed pursuant to Rule 462(b) under the Securities Act of 1933, as amended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or her substitute, may lawfully do or cause to be done by virtue thereof.</w:t>
      </w:r>
    </w:p>
    <w:p>
      <w:pPr>
        <w:spacing w:after="0" w:line="172" w:lineRule="exact"/>
        <w:rPr>
          <w:sz w:val="20"/>
          <w:szCs w:val="20"/>
          <w:color w:val="auto"/>
        </w:rPr>
      </w:pPr>
    </w:p>
    <w:p>
      <w:pPr>
        <w:ind w:right="300" w:firstLine="176"/>
        <w:spacing w:after="0" w:line="268" w:lineRule="auto"/>
        <w:rPr>
          <w:sz w:val="20"/>
          <w:szCs w:val="20"/>
          <w:color w:val="auto"/>
        </w:rPr>
      </w:pPr>
      <w:r>
        <w:rPr>
          <w:rFonts w:ascii="Arial" w:cs="Arial" w:eastAsia="Arial" w:hAnsi="Arial"/>
          <w:sz w:val="18"/>
          <w:szCs w:val="18"/>
          <w:color w:val="auto"/>
        </w:rPr>
        <w:t>Pursuant to the requirements of the Securities Act of 1933, on October 15, 2001 this Registration Statement has been signed by the following persons in the capacities indicated:</w:t>
      </w:r>
    </w:p>
    <w:p>
      <w:pPr>
        <w:spacing w:after="0" w:line="182" w:lineRule="exact"/>
        <w:rPr>
          <w:sz w:val="20"/>
          <w:szCs w:val="20"/>
          <w:color w:val="auto"/>
        </w:rPr>
      </w:pPr>
    </w:p>
    <w:p>
      <w:pPr>
        <w:ind w:left="1560"/>
        <w:spacing w:after="0"/>
        <w:tabs>
          <w:tab w:leader="none" w:pos="5000" w:val="left"/>
          <w:tab w:leader="none" w:pos="76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784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218249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82495" cy="21590"/>
                    </a:xfrm>
                    <a:prstGeom prst="rect">
                      <a:avLst/>
                    </a:prstGeom>
                    <a:noFill/>
                  </pic:spPr>
                </pic:pic>
              </a:graphicData>
            </a:graphic>
          </wp:anchor>
        </w:drawing>
      </w:r>
    </w:p>
    <w:p>
      <w:pPr>
        <w:spacing w:after="0" w:line="25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Steven R. Appleton</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218249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82495" cy="21590"/>
                    </a:xfrm>
                    <a:prstGeom prst="rect">
                      <a:avLst/>
                    </a:prstGeom>
                    <a:noFill/>
                  </pic:spPr>
                </pic:pic>
              </a:graphicData>
            </a:graphic>
          </wp:anchor>
        </w:drawing>
      </w: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W.G. Stover, Jr.</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 JAMES W.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18249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82495" cy="21590"/>
                    </a:xfrm>
                    <a:prstGeom prst="rect">
                      <a:avLst/>
                    </a:prstGeom>
                    <a:noFill/>
                  </pic:spPr>
                </pic:pic>
              </a:graphicData>
            </a:graphic>
          </wp:anchor>
        </w:drawing>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James W. Bagley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Chairman of the Board of Directors,</w:t>
      </w:r>
      <w:r>
        <w:rPr>
          <w:sz w:val="20"/>
          <w:szCs w:val="20"/>
          <w:color w:val="auto"/>
        </w:rPr>
        <w:tab/>
      </w:r>
      <w:r>
        <w:rPr>
          <w:rFonts w:ascii="Arial" w:cs="Arial" w:eastAsia="Arial" w:hAnsi="Arial"/>
          <w:sz w:val="16"/>
          <w:szCs w:val="16"/>
          <w:color w:val="auto"/>
        </w:rPr>
        <w:t>October 15, 2001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46"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Vice President of Finance and Chief</w:t>
      </w:r>
      <w:r>
        <w:rPr>
          <w:sz w:val="20"/>
          <w:szCs w:val="20"/>
          <w:color w:val="auto"/>
        </w:rPr>
        <w:tab/>
      </w:r>
      <w:r>
        <w:rPr>
          <w:rFonts w:ascii="Arial" w:cs="Arial" w:eastAsia="Arial" w:hAnsi="Arial"/>
          <w:sz w:val="16"/>
          <w:szCs w:val="16"/>
          <w:color w:val="auto"/>
        </w:rPr>
        <w:t>October 15, 2001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(Principal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46" w:lineRule="exact"/>
        <w:rPr>
          <w:sz w:val="20"/>
          <w:szCs w:val="20"/>
          <w:color w:val="auto"/>
        </w:rPr>
      </w:pPr>
    </w:p>
    <w:p>
      <w:pPr>
        <w:spacing w:after="0"/>
        <w:tabs>
          <w:tab w:leader="none" w:pos="34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October 15, 2001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720"/>
          </w:cols>
          <w:pgMar w:left="240" w:top="131" w:right="239" w:bottom="0" w:gutter="0" w:footer="0" w:header="0"/>
          <w:type w:val="continuous"/>
        </w:sect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gridSpan w:val="3"/>
          </w:tcPr>
          <w:p>
            <w:pPr>
              <w:jc w:val="center"/>
              <w:ind w:right="32"/>
              <w:spacing w:after="0"/>
              <w:rPr>
                <w:sz w:val="20"/>
                <w:szCs w:val="20"/>
                <w:color w:val="auto"/>
              </w:rPr>
            </w:pPr>
            <w:r>
              <w:rPr>
                <w:rFonts w:ascii="Arial" w:cs="Arial" w:eastAsia="Arial" w:hAnsi="Arial"/>
                <w:sz w:val="18"/>
                <w:szCs w:val="18"/>
                <w:color w:val="auto"/>
                <w:w w:val="91"/>
              </w:rPr>
              <w:t>/s/ ROBERT A. LOTHROP</w:t>
            </w:r>
          </w:p>
        </w:tc>
        <w:tc>
          <w:tcPr>
            <w:tcW w:w="10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900" w:type="dxa"/>
            <w:vAlign w:val="bottom"/>
            <w:gridSpan w:val="2"/>
          </w:tcPr>
          <w:p>
            <w:pPr>
              <w:ind w:left="2680"/>
              <w:spacing w:after="0"/>
              <w:rPr>
                <w:sz w:val="20"/>
                <w:szCs w:val="20"/>
                <w:color w:val="auto"/>
              </w:rPr>
            </w:pPr>
            <w:r>
              <w:rPr>
                <w:rFonts w:ascii="Arial" w:cs="Arial" w:eastAsia="Arial" w:hAnsi="Arial"/>
                <w:sz w:val="18"/>
                <w:szCs w:val="18"/>
                <w:color w:val="auto"/>
              </w:rPr>
              <w:t>October 15, 2001</w:t>
            </w:r>
          </w:p>
        </w:tc>
      </w:tr>
      <w:tr>
        <w:trPr>
          <w:trHeight w:val="120"/>
        </w:trPr>
        <w:tc>
          <w:tcPr>
            <w:tcW w:w="9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319"/>
        </w:trPr>
        <w:tc>
          <w:tcPr>
            <w:tcW w:w="920" w:type="dxa"/>
            <w:vAlign w:val="bottom"/>
          </w:tcPr>
          <w:p>
            <w:pPr>
              <w:spacing w:after="0"/>
              <w:rPr>
                <w:sz w:val="24"/>
                <w:szCs w:val="24"/>
                <w:color w:val="auto"/>
              </w:rPr>
            </w:pPr>
          </w:p>
        </w:tc>
        <w:tc>
          <w:tcPr>
            <w:tcW w:w="2520" w:type="dxa"/>
            <w:vAlign w:val="bottom"/>
            <w:gridSpan w:val="2"/>
          </w:tcPr>
          <w:p>
            <w:pPr>
              <w:jc w:val="center"/>
              <w:ind w:right="812"/>
              <w:spacing w:after="0"/>
              <w:rPr>
                <w:sz w:val="20"/>
                <w:szCs w:val="20"/>
                <w:color w:val="auto"/>
              </w:rPr>
            </w:pPr>
            <w:r>
              <w:rPr>
                <w:rFonts w:ascii="Arial" w:cs="Arial" w:eastAsia="Arial" w:hAnsi="Arial"/>
                <w:sz w:val="18"/>
                <w:szCs w:val="18"/>
                <w:color w:val="auto"/>
                <w:w w:val="91"/>
              </w:rPr>
              <w:t>Robert A. Lothrop</w:t>
            </w:r>
          </w:p>
        </w:tc>
        <w:tc>
          <w:tcPr>
            <w:tcW w:w="10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32"/>
        </w:trPr>
        <w:tc>
          <w:tcPr>
            <w:tcW w:w="3440" w:type="dxa"/>
            <w:vAlign w:val="bottom"/>
            <w:gridSpan w:val="3"/>
          </w:tcPr>
          <w:p>
            <w:pPr>
              <w:jc w:val="center"/>
              <w:ind w:right="32"/>
              <w:spacing w:after="0"/>
              <w:rPr>
                <w:sz w:val="20"/>
                <w:szCs w:val="20"/>
                <w:color w:val="auto"/>
              </w:rPr>
            </w:pPr>
            <w:r>
              <w:rPr>
                <w:rFonts w:ascii="Arial" w:cs="Arial" w:eastAsia="Arial" w:hAnsi="Arial"/>
                <w:sz w:val="18"/>
                <w:szCs w:val="18"/>
                <w:color w:val="auto"/>
                <w:w w:val="93"/>
              </w:rPr>
              <w:t>/s/ THOMAS T. NICHOLSON</w:t>
            </w:r>
          </w:p>
        </w:tc>
        <w:tc>
          <w:tcPr>
            <w:tcW w:w="10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900" w:type="dxa"/>
            <w:vAlign w:val="bottom"/>
            <w:gridSpan w:val="2"/>
          </w:tcPr>
          <w:p>
            <w:pPr>
              <w:ind w:left="2680"/>
              <w:spacing w:after="0"/>
              <w:rPr>
                <w:sz w:val="20"/>
                <w:szCs w:val="20"/>
                <w:color w:val="auto"/>
              </w:rPr>
            </w:pPr>
            <w:r>
              <w:rPr>
                <w:rFonts w:ascii="Arial" w:cs="Arial" w:eastAsia="Arial" w:hAnsi="Arial"/>
                <w:sz w:val="18"/>
                <w:szCs w:val="18"/>
                <w:color w:val="auto"/>
              </w:rPr>
              <w:t>October 15, 2001</w:t>
            </w:r>
          </w:p>
        </w:tc>
      </w:tr>
      <w:tr>
        <w:trPr>
          <w:trHeight w:val="120"/>
        </w:trPr>
        <w:tc>
          <w:tcPr>
            <w:tcW w:w="9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319"/>
        </w:trPr>
        <w:tc>
          <w:tcPr>
            <w:tcW w:w="920" w:type="dxa"/>
            <w:vAlign w:val="bottom"/>
          </w:tcPr>
          <w:p>
            <w:pPr>
              <w:spacing w:after="0"/>
              <w:rPr>
                <w:sz w:val="24"/>
                <w:szCs w:val="24"/>
                <w:color w:val="auto"/>
              </w:rPr>
            </w:pPr>
          </w:p>
        </w:tc>
        <w:tc>
          <w:tcPr>
            <w:tcW w:w="2520" w:type="dxa"/>
            <w:vAlign w:val="bottom"/>
            <w:gridSpan w:val="2"/>
          </w:tcPr>
          <w:p>
            <w:pPr>
              <w:jc w:val="center"/>
              <w:ind w:right="832"/>
              <w:spacing w:after="0"/>
              <w:rPr>
                <w:sz w:val="20"/>
                <w:szCs w:val="20"/>
                <w:color w:val="auto"/>
              </w:rPr>
            </w:pPr>
            <w:r>
              <w:rPr>
                <w:rFonts w:ascii="Arial" w:cs="Arial" w:eastAsia="Arial" w:hAnsi="Arial"/>
                <w:sz w:val="18"/>
                <w:szCs w:val="18"/>
                <w:color w:val="auto"/>
                <w:w w:val="89"/>
              </w:rPr>
              <w:t>Thomas T. Nicholson</w:t>
            </w:r>
          </w:p>
        </w:tc>
        <w:tc>
          <w:tcPr>
            <w:tcW w:w="10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32"/>
        </w:trPr>
        <w:tc>
          <w:tcPr>
            <w:tcW w:w="3440" w:type="dxa"/>
            <w:vAlign w:val="bottom"/>
            <w:gridSpan w:val="3"/>
          </w:tcPr>
          <w:p>
            <w:pPr>
              <w:jc w:val="center"/>
              <w:ind w:right="52"/>
              <w:spacing w:after="0"/>
              <w:rPr>
                <w:sz w:val="20"/>
                <w:szCs w:val="20"/>
                <w:color w:val="auto"/>
              </w:rPr>
            </w:pPr>
            <w:r>
              <w:rPr>
                <w:rFonts w:ascii="Arial" w:cs="Arial" w:eastAsia="Arial" w:hAnsi="Arial"/>
                <w:sz w:val="18"/>
                <w:szCs w:val="18"/>
                <w:color w:val="auto"/>
                <w:w w:val="92"/>
              </w:rPr>
              <w:t>/s/ DON J. SIMPLOT</w:t>
            </w:r>
          </w:p>
        </w:tc>
        <w:tc>
          <w:tcPr>
            <w:tcW w:w="10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900" w:type="dxa"/>
            <w:vAlign w:val="bottom"/>
            <w:gridSpan w:val="2"/>
          </w:tcPr>
          <w:p>
            <w:pPr>
              <w:ind w:left="2680"/>
              <w:spacing w:after="0"/>
              <w:rPr>
                <w:sz w:val="20"/>
                <w:szCs w:val="20"/>
                <w:color w:val="auto"/>
              </w:rPr>
            </w:pPr>
            <w:r>
              <w:rPr>
                <w:rFonts w:ascii="Arial" w:cs="Arial" w:eastAsia="Arial" w:hAnsi="Arial"/>
                <w:sz w:val="18"/>
                <w:szCs w:val="18"/>
                <w:color w:val="auto"/>
              </w:rPr>
              <w:t>October 15, 2001</w:t>
            </w:r>
          </w:p>
        </w:tc>
      </w:tr>
      <w:tr>
        <w:trPr>
          <w:trHeight w:val="120"/>
        </w:trPr>
        <w:tc>
          <w:tcPr>
            <w:tcW w:w="9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319"/>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jc w:val="center"/>
              <w:ind w:right="1072"/>
              <w:spacing w:after="0"/>
              <w:rPr>
                <w:sz w:val="20"/>
                <w:szCs w:val="20"/>
                <w:color w:val="auto"/>
              </w:rPr>
            </w:pPr>
            <w:r>
              <w:rPr>
                <w:rFonts w:ascii="Arial" w:cs="Arial" w:eastAsia="Arial" w:hAnsi="Arial"/>
                <w:sz w:val="18"/>
                <w:szCs w:val="18"/>
                <w:color w:val="auto"/>
                <w:w w:val="90"/>
              </w:rPr>
              <w:t>Don J. Simplot</w:t>
            </w:r>
          </w:p>
        </w:tc>
        <w:tc>
          <w:tcPr>
            <w:tcW w:w="10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32"/>
        </w:trPr>
        <w:tc>
          <w:tcPr>
            <w:tcW w:w="3440" w:type="dxa"/>
            <w:vAlign w:val="bottom"/>
            <w:gridSpan w:val="3"/>
          </w:tcPr>
          <w:p>
            <w:pPr>
              <w:jc w:val="center"/>
              <w:ind w:right="32"/>
              <w:spacing w:after="0"/>
              <w:rPr>
                <w:sz w:val="20"/>
                <w:szCs w:val="20"/>
                <w:color w:val="auto"/>
              </w:rPr>
            </w:pPr>
            <w:r>
              <w:rPr>
                <w:rFonts w:ascii="Arial" w:cs="Arial" w:eastAsia="Arial" w:hAnsi="Arial"/>
                <w:sz w:val="18"/>
                <w:szCs w:val="18"/>
                <w:color w:val="auto"/>
                <w:w w:val="93"/>
              </w:rPr>
              <w:t>/s/ GORDON C. SMITH</w:t>
            </w:r>
          </w:p>
        </w:tc>
        <w:tc>
          <w:tcPr>
            <w:tcW w:w="10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900" w:type="dxa"/>
            <w:vAlign w:val="bottom"/>
            <w:gridSpan w:val="2"/>
          </w:tcPr>
          <w:p>
            <w:pPr>
              <w:ind w:left="2680"/>
              <w:spacing w:after="0"/>
              <w:rPr>
                <w:sz w:val="20"/>
                <w:szCs w:val="20"/>
                <w:color w:val="auto"/>
              </w:rPr>
            </w:pPr>
            <w:r>
              <w:rPr>
                <w:rFonts w:ascii="Arial" w:cs="Arial" w:eastAsia="Arial" w:hAnsi="Arial"/>
                <w:sz w:val="18"/>
                <w:szCs w:val="18"/>
                <w:color w:val="auto"/>
              </w:rPr>
              <w:t>October 15, 2001</w:t>
            </w:r>
          </w:p>
        </w:tc>
      </w:tr>
      <w:tr>
        <w:trPr>
          <w:trHeight w:val="120"/>
        </w:trPr>
        <w:tc>
          <w:tcPr>
            <w:tcW w:w="9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319"/>
        </w:trPr>
        <w:tc>
          <w:tcPr>
            <w:tcW w:w="920" w:type="dxa"/>
            <w:vAlign w:val="bottom"/>
          </w:tcPr>
          <w:p>
            <w:pPr>
              <w:spacing w:after="0"/>
              <w:rPr>
                <w:sz w:val="24"/>
                <w:szCs w:val="24"/>
                <w:color w:val="auto"/>
              </w:rPr>
            </w:pPr>
          </w:p>
        </w:tc>
        <w:tc>
          <w:tcPr>
            <w:tcW w:w="2520" w:type="dxa"/>
            <w:vAlign w:val="bottom"/>
            <w:gridSpan w:val="2"/>
          </w:tcPr>
          <w:p>
            <w:pPr>
              <w:jc w:val="center"/>
              <w:ind w:right="832"/>
              <w:spacing w:after="0"/>
              <w:rPr>
                <w:sz w:val="20"/>
                <w:szCs w:val="20"/>
                <w:color w:val="auto"/>
              </w:rPr>
            </w:pPr>
            <w:r>
              <w:rPr>
                <w:rFonts w:ascii="Arial" w:cs="Arial" w:eastAsia="Arial" w:hAnsi="Arial"/>
                <w:sz w:val="18"/>
                <w:szCs w:val="18"/>
                <w:color w:val="auto"/>
                <w:w w:val="89"/>
              </w:rPr>
              <w:t>Gordon C. Smith</w:t>
            </w:r>
          </w:p>
        </w:tc>
        <w:tc>
          <w:tcPr>
            <w:tcW w:w="10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32"/>
        </w:trPr>
        <w:tc>
          <w:tcPr>
            <w:tcW w:w="3440" w:type="dxa"/>
            <w:vAlign w:val="bottom"/>
            <w:gridSpan w:val="3"/>
          </w:tcPr>
          <w:p>
            <w:pPr>
              <w:jc w:val="center"/>
              <w:ind w:right="32"/>
              <w:spacing w:after="0"/>
              <w:rPr>
                <w:sz w:val="20"/>
                <w:szCs w:val="20"/>
                <w:color w:val="auto"/>
              </w:rPr>
            </w:pPr>
            <w:r>
              <w:rPr>
                <w:rFonts w:ascii="Arial" w:cs="Arial" w:eastAsia="Arial" w:hAnsi="Arial"/>
                <w:sz w:val="18"/>
                <w:szCs w:val="18"/>
                <w:color w:val="auto"/>
                <w:w w:val="94"/>
              </w:rPr>
              <w:t>/s/ WILLIAM P. WEBER</w:t>
            </w:r>
          </w:p>
        </w:tc>
        <w:tc>
          <w:tcPr>
            <w:tcW w:w="10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6900" w:type="dxa"/>
            <w:vAlign w:val="bottom"/>
            <w:gridSpan w:val="2"/>
          </w:tcPr>
          <w:p>
            <w:pPr>
              <w:ind w:left="2680"/>
              <w:spacing w:after="0"/>
              <w:rPr>
                <w:sz w:val="20"/>
                <w:szCs w:val="20"/>
                <w:color w:val="auto"/>
              </w:rPr>
            </w:pPr>
            <w:r>
              <w:rPr>
                <w:rFonts w:ascii="Arial" w:cs="Arial" w:eastAsia="Arial" w:hAnsi="Arial"/>
                <w:sz w:val="18"/>
                <w:szCs w:val="18"/>
                <w:color w:val="auto"/>
              </w:rPr>
              <w:t>October 15, 2001</w:t>
            </w:r>
          </w:p>
        </w:tc>
      </w:tr>
      <w:tr>
        <w:trPr>
          <w:trHeight w:val="120"/>
        </w:trPr>
        <w:tc>
          <w:tcPr>
            <w:tcW w:w="9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319"/>
        </w:trPr>
        <w:tc>
          <w:tcPr>
            <w:tcW w:w="920" w:type="dxa"/>
            <w:vAlign w:val="bottom"/>
          </w:tcPr>
          <w:p>
            <w:pPr>
              <w:spacing w:after="0"/>
              <w:rPr>
                <w:sz w:val="24"/>
                <w:szCs w:val="24"/>
                <w:color w:val="auto"/>
              </w:rPr>
            </w:pPr>
          </w:p>
        </w:tc>
        <w:tc>
          <w:tcPr>
            <w:tcW w:w="2520" w:type="dxa"/>
            <w:vAlign w:val="bottom"/>
            <w:gridSpan w:val="2"/>
          </w:tcPr>
          <w:p>
            <w:pPr>
              <w:jc w:val="center"/>
              <w:ind w:right="832"/>
              <w:spacing w:after="0"/>
              <w:rPr>
                <w:sz w:val="20"/>
                <w:szCs w:val="20"/>
                <w:color w:val="auto"/>
              </w:rPr>
            </w:pPr>
            <w:r>
              <w:rPr>
                <w:rFonts w:ascii="Arial" w:cs="Arial" w:eastAsia="Arial" w:hAnsi="Arial"/>
                <w:sz w:val="18"/>
                <w:szCs w:val="18"/>
                <w:color w:val="auto"/>
                <w:w w:val="89"/>
              </w:rPr>
              <w:t>William P. Weber</w:t>
            </w:r>
          </w:p>
        </w:tc>
        <w:tc>
          <w:tcPr>
            <w:tcW w:w="10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900" w:type="dxa"/>
            <w:vAlign w:val="bottom"/>
            <w:gridSpan w:val="2"/>
          </w:tcPr>
          <w:p>
            <w:pPr>
              <w:ind w:left="1040"/>
              <w:spacing w:after="0"/>
              <w:rPr>
                <w:sz w:val="20"/>
                <w:szCs w:val="20"/>
                <w:color w:val="auto"/>
              </w:rPr>
            </w:pPr>
            <w:r>
              <w:rPr>
                <w:rFonts w:ascii="Arial" w:cs="Arial" w:eastAsia="Arial" w:hAnsi="Arial"/>
                <w:sz w:val="18"/>
                <w:szCs w:val="18"/>
                <w:color w:val="auto"/>
              </w:rPr>
              <w:t>II–5</w:t>
            </w:r>
          </w:p>
        </w:tc>
      </w:tr>
      <w:tr>
        <w:trPr>
          <w:trHeight w:val="228"/>
        </w:trPr>
        <w:tc>
          <w:tcPr>
            <w:tcW w:w="9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r>
        <w:trPr>
          <w:trHeight w:val="643"/>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900" w:type="dxa"/>
            <w:vAlign w:val="bottom"/>
            <w:gridSpan w:val="2"/>
          </w:tcPr>
          <w:p>
            <w:pPr>
              <w:ind w:left="500"/>
              <w:spacing w:after="0"/>
              <w:rPr>
                <w:sz w:val="20"/>
                <w:szCs w:val="20"/>
                <w:color w:val="auto"/>
              </w:rPr>
            </w:pPr>
            <w:r>
              <w:rPr>
                <w:rFonts w:ascii="Arial" w:cs="Arial" w:eastAsia="Arial" w:hAnsi="Arial"/>
                <w:sz w:val="18"/>
                <w:szCs w:val="18"/>
                <w:b w:val="1"/>
                <w:bCs w:val="1"/>
                <w:color w:val="auto"/>
              </w:rPr>
              <w:t>EXHIBIT INDEX</w:t>
            </w:r>
          </w:p>
        </w:tc>
      </w:tr>
      <w:tr>
        <w:trPr>
          <w:trHeight w:val="380"/>
        </w:trPr>
        <w:tc>
          <w:tcPr>
            <w:tcW w:w="3440" w:type="dxa"/>
            <w:vAlign w:val="bottom"/>
            <w:gridSpan w:val="3"/>
          </w:tcPr>
          <w:p>
            <w:pPr>
              <w:ind w:left="220"/>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spacing w:after="0"/>
              <w:rPr>
                <w:sz w:val="24"/>
                <w:szCs w:val="24"/>
                <w:color w:val="auto"/>
              </w:rPr>
            </w:pPr>
          </w:p>
        </w:tc>
        <w:tc>
          <w:tcPr>
            <w:tcW w:w="690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 Title</w:t>
            </w:r>
          </w:p>
        </w:tc>
      </w:tr>
      <w:tr>
        <w:trPr>
          <w:trHeight w:val="105"/>
        </w:trPr>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-3641725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-3641725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-3075940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-3075940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-2510155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-2510155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-1943735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-1943735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-1377950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-1377950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-742950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Certificate of Incorporation of the Company, as amended.(1)</w:t>
      </w:r>
    </w:p>
    <w:p>
      <w:pPr>
        <w:spacing w:after="0" w:line="225"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the Company, as amended.(2)</w:t>
      </w:r>
    </w:p>
    <w:p>
      <w:pPr>
        <w:spacing w:after="0" w:line="225" w:lineRule="exact"/>
        <w:rPr>
          <w:sz w:val="20"/>
          <w:szCs w:val="20"/>
          <w:color w:val="auto"/>
        </w:rPr>
      </w:pPr>
    </w:p>
    <w:p>
      <w:pPr>
        <w:ind w:left="700"/>
        <w:spacing w:after="0"/>
        <w:tabs>
          <w:tab w:leader="none" w:pos="11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22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Registration Rights Agreement, dated July 18, 2001, between the Company and Lehman Brothers, Inc.(3)</w:t>
      </w:r>
    </w:p>
    <w:p>
      <w:pPr>
        <w:spacing w:after="0" w:line="22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accountants.</w:t>
      </w:r>
    </w:p>
    <w:p>
      <w:pPr>
        <w:spacing w:after="0" w:line="225"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ectPr>
          <w:pgSz w:w="11900" w:h="16838" w:orient="portrait"/>
          <w:cols w:equalWidth="0" w:num="1">
            <w:col w:w="11420"/>
          </w:cols>
          <w:pgMar w:left="240" w:top="131" w:right="239" w:bottom="0" w:gutter="0" w:footer="0" w:header="0"/>
          <w:type w:val="continuous"/>
        </w:sectPr>
      </w:pPr>
    </w:p>
    <w:bookmarkStart w:id="14" w:name="page15"/>
    <w:bookmarkEnd w:id="14"/>
    <w:p>
      <w:pPr>
        <w:ind w:left="1180" w:right="1259" w:hanging="576"/>
        <w:spacing w:after="0" w:line="268" w:lineRule="auto"/>
        <w:tabs>
          <w:tab w:leader="none" w:pos="1160" w:val="left"/>
        </w:tabs>
        <w:rPr>
          <w:sz w:val="20"/>
          <w:szCs w:val="20"/>
          <w:color w:val="auto"/>
        </w:rPr>
      </w:pPr>
      <w:r>
        <w:rPr>
          <w:rFonts w:ascii="Arial" w:cs="Arial" w:eastAsia="Arial" w:hAnsi="Arial"/>
          <w:sz w:val="18"/>
          <w:szCs w:val="18"/>
          <w:color w:val="auto"/>
        </w:rPr>
        <w:t>24.1</w:t>
        <w:tab/>
        <w:t>Power of Attorney of certain directors and officers of Micron Technology, Inc. (see page II-4 of initial filing of this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105029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be filed by amendment.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Incorporated by reference to Annual Report on Form 10-K for the fiscal year ended August 31,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Incorporated by reference to Quarterly Report on Form 10-Q for the fiscal quarter ended December 2, 1999.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Incorporated by reference to Annual Report on Form 10-K for the fiscal year ended August 30,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INCORPORATION OF CERTAIN DOCUMENTS BY REFERENCE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REGISTRATION RIGHTS RELATING TO THE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SELLING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PLAN OF DISTRIBUTION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VALIDITY OF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AVAILABLE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PART II INFORMATION NOT REQUIRED IN THE PROSPECTUS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14. Other Expenses of Issuance and Distribution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15. Indemnification of Directors and Officers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16. Exhibits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131" w:right="1440" w:bottom="1440" w:gutter="0" w:footer="0" w:header="0"/>
        </w:sectPr>
      </w:pPr>
    </w:p>
    <w:bookmarkStart w:id="15" w:name="page16"/>
    <w:bookmarkEnd w:id="15"/>
    <w:p>
      <w:pPr>
        <w:spacing w:after="0"/>
        <w:rPr>
          <w:rFonts w:ascii="Arial" w:cs="Arial" w:eastAsia="Arial" w:hAnsi="Arial"/>
          <w:sz w:val="22"/>
          <w:szCs w:val="22"/>
          <w:color w:val="0000EE"/>
        </w:rPr>
      </w:pPr>
      <w:hyperlink w:anchor="page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firstLine="172"/>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September 25, 2001 relating to the financial statements and the financial statement schedule, which appears in Micron Technology Inc.'s Annual Report on Form 10-K for the year ended August 30, 2001. We also consent to the references to us under the headings "Experts" in such Registration Statement.</w:t>
      </w:r>
    </w:p>
    <w:p>
      <w:pPr>
        <w:spacing w:after="0" w:line="16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Boise, ID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12,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CONSENT OF INDEPENDENT ACCOUNTANTS</w:t>
        </w:r>
      </w:hyperlink>
    </w:p>
    <w:sectPr>
      <w:pgSz w:w="11900" w:h="16838" w:orient="portrait"/>
      <w:cols w:equalWidth="0" w:num="1">
        <w:col w:w="11400"/>
      </w:cols>
      <w:pgMar w:left="240" w:top="36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decimal"/>
      <w:start w:val="1"/>
    </w:lvl>
    <w:lvl w:ilvl="1">
      <w:lvlJc w:val="left"/>
      <w:lvlText w:val="(%2)"/>
      <w:numFmt w:val="decimal"/>
      <w:start w:val="2"/>
    </w:lvl>
  </w:abstractNum>
  <w:abstractNum w:abstractNumId="4">
    <w:nsid w:val="3D1B58BA"/>
    <w:multiLevelType w:val="hybridMultilevel"/>
    <w:lvl w:ilvl="0">
      <w:lvlJc w:val="left"/>
      <w:lvlText w:val="%1."/>
      <w:numFmt w:val="decimal"/>
      <w:start w:val="2"/>
    </w:lvl>
    <w:lvl w:ilvl="1">
      <w:lvlJc w:val="left"/>
      <w:lvlText w:val="%2"/>
      <w:numFmt w:val="decimal"/>
      <w:start w:val="1"/>
    </w:lvl>
  </w:abstractNum>
  <w:abstractNum w:abstractNumId="5">
    <w:nsid w:val="507ED7AB"/>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2019-12-13T13:19:21Z</dcterms:created>
  <dcterms:modified xsi:type="dcterms:W3CDTF">2019-12-13T13:19:21Z</dcterms:modified>
</cp:coreProperties>
</file>