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929640</wp:posOffset>
            </wp:positionH>
            <wp:positionV relativeFrom="page">
              <wp:posOffset>612140</wp:posOffset>
            </wp:positionV>
            <wp:extent cx="57029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2935" cy="8890"/>
                    </a:xfrm>
                    <a:prstGeom prst="rect">
                      <a:avLst/>
                    </a:prstGeom>
                    <a:noFill/>
                  </pic:spPr>
                </pic:pic>
              </a:graphicData>
            </a:graphic>
          </wp:anchor>
        </w:drawing>
        <w:drawing>
          <wp:anchor simplePos="0" relativeHeight="251657728" behindDoc="1" locked="0" layoutInCell="0" allowOverlap="1">
            <wp:simplePos x="0" y="0"/>
            <wp:positionH relativeFrom="page">
              <wp:posOffset>929640</wp:posOffset>
            </wp:positionH>
            <wp:positionV relativeFrom="page">
              <wp:posOffset>629285</wp:posOffset>
            </wp:positionV>
            <wp:extent cx="57029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22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July 20, 2016</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751205</wp:posOffset>
            </wp:positionH>
            <wp:positionV relativeFrom="paragraph">
              <wp:posOffset>40005</wp:posOffset>
            </wp:positionV>
            <wp:extent cx="5763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3260" cy="8890"/>
                    </a:xfrm>
                    <a:prstGeom prst="rect">
                      <a:avLst/>
                    </a:prstGeom>
                    <a:noFill/>
                  </pic:spPr>
                </pic:pic>
              </a:graphicData>
            </a:graphic>
          </wp:anchor>
        </w:drawing>
      </w:r>
    </w:p>
    <w:p>
      <w:pPr>
        <w:spacing w:after="0" w:line="6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5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Delaware</w:t>
            </w:r>
          </w:p>
        </w:tc>
        <w:tc>
          <w:tcPr>
            <w:tcW w:w="2560" w:type="dxa"/>
            <w:vAlign w:val="bottom"/>
          </w:tcPr>
          <w:p>
            <w:pPr>
              <w:jc w:val="right"/>
              <w:ind w:right="910"/>
              <w:spacing w:after="0"/>
              <w:rPr>
                <w:sz w:val="20"/>
                <w:szCs w:val="20"/>
                <w:color w:val="auto"/>
              </w:rPr>
            </w:pPr>
            <w:r>
              <w:rPr>
                <w:rFonts w:ascii="Arial" w:cs="Arial" w:eastAsia="Arial" w:hAnsi="Arial"/>
                <w:sz w:val="18"/>
                <w:szCs w:val="18"/>
                <w:b w:val="1"/>
                <w:bCs w:val="1"/>
                <w:color w:val="auto"/>
              </w:rPr>
              <w:t>1-10658</w:t>
            </w:r>
          </w:p>
        </w:tc>
        <w:tc>
          <w:tcPr>
            <w:tcW w:w="3020" w:type="dxa"/>
            <w:vAlign w:val="bottom"/>
          </w:tcPr>
          <w:p>
            <w:pPr>
              <w:jc w:val="right"/>
              <w:ind w:right="9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35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jc w:val="center"/>
              <w:ind w:right="70"/>
              <w:spacing w:after="0"/>
              <w:rPr>
                <w:sz w:val="20"/>
                <w:szCs w:val="20"/>
                <w:color w:val="auto"/>
              </w:rPr>
            </w:pPr>
            <w:r>
              <w:rPr>
                <w:rFonts w:ascii="Arial" w:cs="Arial" w:eastAsia="Arial" w:hAnsi="Arial"/>
                <w:sz w:val="18"/>
                <w:szCs w:val="18"/>
                <w:color w:val="auto"/>
                <w:w w:val="92"/>
              </w:rPr>
              <w:t>(State or other jurisdiction of incorporation)</w:t>
            </w:r>
          </w:p>
        </w:tc>
        <w:tc>
          <w:tcPr>
            <w:tcW w:w="256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02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r>
    </w:tbl>
    <w:p>
      <w:pPr>
        <w:spacing w:after="0" w:line="38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34290</wp:posOffset>
            </wp:positionV>
            <wp:extent cx="2066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5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0" w:lineRule="exact"/>
        <w:rPr>
          <w:sz w:val="24"/>
          <w:szCs w:val="24"/>
          <w:color w:val="auto"/>
        </w:rPr>
      </w:pPr>
    </w:p>
    <w:p>
      <w:pPr>
        <w:spacing w:after="0" w:line="214"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34290</wp:posOffset>
            </wp:positionV>
            <wp:extent cx="26498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57"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777240</wp:posOffset>
            </wp:positionH>
            <wp:positionV relativeFrom="paragraph">
              <wp:posOffset>589280</wp:posOffset>
            </wp:positionV>
            <wp:extent cx="5702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293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606425</wp:posOffset>
            </wp:positionV>
            <wp:extent cx="5702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p>
      <w:pPr>
        <w:ind w:left="60"/>
        <w:spacing w:after="0"/>
        <w:tabs>
          <w:tab w:leader="none" w:pos="14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Definitive Material Agreement.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contained in Item 3.03 below regarding the Rights Agreement (as defined below) is incorporated by reference into this Item 1.01.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4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On July 20, 2016, the Board of Directors of Micron Technology, Inc., a Delaware corporation (the “Company”), declared a dividend of one right (each, a “Right”) for each share of common stock, par value $0.10 per share (the “Common Stock”), of the Company outstanding at the close of business on August 1, 2016 (the “Record Date”), pursuant to the terms and conditions of the Section 382 Rights Agreement, dated as of July 20, 2016, between the Company and Wells Fargo Bank, National Association, as Rights Agent (the “Rights Agreement”). The Rights Agreement is intended to avoid an “ownership change” within the meaning of Section 382 of the Internal Revenue Code of 1986, as amended (the “Code”), and thereby preserve the current ability of the Company to utilize certain net operating loss carryforwards and other tax benefits of the Company and its subsidiaries (the “Tax Benefits”).</w:t>
      </w:r>
    </w:p>
    <w:p>
      <w:pPr>
        <w:spacing w:after="0" w:line="5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Prior to the Distribution Date, the Rights will be evidenced by the shares of Common Stock held in book-entry form or, in the case of certificated shares, Common Stock certificates and will be transferred with the Common Stock, and the registered holders of the Common Stock will be deemed to be the registered holders of the Rights. After the Distribution Date, the Rights Agent will mail separate certificates evidencing the Rights to each record holder of the Common Stock as of the close of business on the Distribution Date, and thereafter the Rights will be transferable separately from the Common Stock.</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“Distribution Date” means the close of business on the earlier of:</w:t>
      </w:r>
    </w:p>
    <w:p>
      <w:pPr>
        <w:spacing w:after="0" w:line="117" w:lineRule="exact"/>
        <w:rPr>
          <w:sz w:val="20"/>
          <w:szCs w:val="20"/>
          <w:color w:val="auto"/>
        </w:rPr>
      </w:pPr>
    </w:p>
    <w:p>
      <w:pPr>
        <w:ind w:left="980" w:right="420" w:hanging="324"/>
        <w:spacing w:after="0" w:line="27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tenth calendar day after the date of the first public announcement (including the filing of a report on Schedule 13D under the Securities Exchange Act of 1934, as amended, (or any comparable or successor report)) that a person or group of affiliated or associated persons (an “Acquiring Person”) has acquired beneficial ownership of 4.99% or more (or in the case of a Grandfathered Person (as defined below), has exceeded and is exceeding such Grandfathered Person’s Grandfathered Percentage (as defined below) by 0.5% or more) of the shares of Common Stock then outstanding (the “Stock Acquisition Date”); and</w:t>
      </w:r>
    </w:p>
    <w:p>
      <w:pPr>
        <w:spacing w:after="0" w:line="64" w:lineRule="exact"/>
        <w:rPr>
          <w:rFonts w:ascii="Arial" w:cs="Arial" w:eastAsia="Arial" w:hAnsi="Arial"/>
          <w:sz w:val="17"/>
          <w:szCs w:val="17"/>
          <w:color w:val="auto"/>
        </w:rPr>
      </w:pPr>
    </w:p>
    <w:p>
      <w:pPr>
        <w:ind w:left="980" w:right="40" w:hanging="324"/>
        <w:spacing w:after="0" w:line="27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tenth business day (or such later date as may be determined by action of the Board of Directors prior to such time as any person becomes an Acquiring Person) after the date of commencement by any person of, or after the date of the first public announcement of the intention of any person to commence, a tender or exchange offer the consummation of which could result in any person becoming the beneficial owner of 4.99% or more (or in the case of a Grandfathered Person, has exceeded and is exceeding such Grandfathered Person’s Grandfathered Percentage by 0.5% or more) of the shares of Common Stock of the Company then outstanding.</w:t>
      </w:r>
    </w:p>
    <w:p>
      <w:pPr>
        <w:spacing w:after="0" w:line="6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For purposes of calculating percentage ownership under the Rights Agreement, “outstanding shares” of Common Stock include all of the shares of common stock actually issued and outstanding. Beneficial ownership is determined as provided in the Rights Agreement and generally includes, without limitation, any ownership of securities a Person would be deemed to actually or constructively own for purposes of Section 382 of the Code or the Treasury Regulations promulgated thereunder. In addition, securities “beneficially owned” by any Person will include all of the shares of Common Stock that such Person would have had the right or obligation to acquire.</w:t>
      </w:r>
    </w:p>
    <w:p>
      <w:pPr>
        <w:spacing w:after="0" w:line="80"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An Acquiring Person will not include the Company; any of its subsidiaries; any employee benefit or compensation plan of the Company or of any of its subsidiaries; any person organized, appointed or established by the Company and holding shares of Common Stock for or pursuant to the terms of any such plan; or any Grandfathered Person unless such person exceeds the Grandfathered Percentage by 0.5% or more.</w:t>
      </w:r>
    </w:p>
    <w:p>
      <w:pPr>
        <w:spacing w:after="0" w:line="57"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“Grandfathered Person” means any person who or which is, as of the Record Date, the beneficial owner of 4.99% or more of the shares of Common Stock then outstanding. Any Grandfathered Person who after the Record Date becomes the beneficial owner of less than 4.99% of the shares of Common Stock then outstanding shall cease to be a Grandfathered Person.</w:t>
      </w:r>
    </w:p>
    <w:p>
      <w:pPr>
        <w:spacing w:after="0" w:line="73"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“Grandfathered Percentage” means the percentage of the outstanding shares of Common Stock of the Company that such Grandfathered Person beneficially owns as of the Record Date; provided that, in the event any Grandfathered Person shall sell, transfer, or otherwise dispose of any outstanding shares of Common Stock after the Record Date, the Grandfathered Percentage shall, subsequent to such sale, transfer or disposition, mean, with respect to such Grandfathered Person, the lesser of (a) the Grandfathered Percentage as in effect immediately prior to such sale, transfer or disposition or (b) the percentage of outstanding shares of Common Stock of the Company that such Grandfathered Person beneficially owns immediately following such sale, transfer or disposition.</w:t>
      </w:r>
    </w:p>
    <w:p>
      <w:pPr>
        <w:sectPr>
          <w:pgSz w:w="11900" w:h="16838" w:orient="portrait"/>
          <w:cols w:equalWidth="0" w:num="1">
            <w:col w:w="11420"/>
          </w:cols>
          <w:pgMar w:left="240" w:top="850" w:right="239" w:bottom="1440" w:gutter="0" w:footer="0" w:header="0"/>
        </w:sectPr>
      </w:pPr>
    </w:p>
    <w:bookmarkStart w:id="2" w:name="page3"/>
    <w:bookmarkEnd w:id="2"/>
    <w:p>
      <w:pPr>
        <w:ind w:firstLine="324"/>
        <w:spacing w:after="0" w:line="268" w:lineRule="auto"/>
        <w:rPr>
          <w:sz w:val="20"/>
          <w:szCs w:val="20"/>
          <w:color w:val="auto"/>
        </w:rPr>
      </w:pPr>
      <w:r>
        <w:rPr>
          <w:rFonts w:ascii="Arial" w:cs="Arial" w:eastAsia="Arial" w:hAnsi="Arial"/>
          <w:sz w:val="17"/>
          <w:szCs w:val="17"/>
          <w:color w:val="auto"/>
        </w:rPr>
        <w:t>Notwithstanding the foregoing, no person will become an Acquiring Person as a result of an acquisition of Common Stock by the Company or any of its subsidiaries which, by reducing the number of shares of Common Stock of the Company outstanding, increases the proportionate number of shares of Common Stock of the Company beneficially owned by such person to 4.99% or more (or in the case of a Grandfathered Person, increases such Grandfathered Person’s Grandfathered Percentage by 0.5% or more) of the shares of Common Stock of the Company then outstanding unless such person thereafter becomes the beneficial owner of any additional shares of Common Stock of the Company, in which case such person will be deemed to be an Acquiring Person. An Acquiring Person will not include any person that the Board of Directors of the Company, in good faith, determines has inadvertently become an Acquiring Person if such person promptly divests a sufficient number of shares of Common Stock so that such person would no longer be an Acquiring Person. In addition, the Rights Agreement provides that a person shall not become an Acquiring Person for purpose of the Rights Agreement in a transaction that the Board of Directors determines is exempt from the Rights Agreement, which determination shall be made in the sole and absolute discretion of the Board of Directors, upon request by any person prior to the date upon which such person would otherwise become an Acquiring Person, including, without limitation, if the Board of Directors determines that (i) neither the beneficial ownership of shares of Common Stock by such person, directly or indirectly, as a result of such transaction nor any other aspect of such transaction would jeopardize or endanger the availability to the Company of the Tax Benefits or (ii) such transaction is otherwise in the best interests of the Company.</w:t>
      </w:r>
    </w:p>
    <w:p>
      <w:pPr>
        <w:spacing w:after="0" w:line="8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Prior to the Distribution Date, the Rights will not be exercisable. After the Distribution Date, but prior to the time a person becomes an Acquiring Person, each Right will be exercisable to purchase, for $10.00 (the “Purchase Price”), one-half of one share of Common Stock.</w:t>
      </w:r>
    </w:p>
    <w:p>
      <w:pPr>
        <w:spacing w:after="0" w:line="62"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If any person becomes an Acquiring Person, each Right (other than Rights beneficially owned by the Acquiring Person and certain affiliated persons) will entitle the holder to purchase, for the Purchase Price, a number of shares of Common Stock having a market value of two times the Purchase Price.</w:t>
      </w:r>
    </w:p>
    <w:p>
      <w:pPr>
        <w:spacing w:after="0" w:line="16"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If, after any person has become an Acquiring Person, (1) the Company is involved in a merger, consolidation or other business combination in which the Company is not the surviving corporation or its Common Stock is exchanged for other securities or (2) the Company and/or one or more of its subsidiaries sells or otherwise transfers assets or earning power aggregating more than 50% of the assets or earning power of the Company and its subsidiaries, taken as a whole, then each Right (other than Rights beneficially owned by the Acquiring Person and certain affiliated persons) will entitle the holder to purchase, for the Purchase Price, a number of shares of common stock of the other party to such business combination or sale (or in certain circumstances, an affiliate) having a market value of two times the Purchase Price.</w:t>
      </w:r>
    </w:p>
    <w:p>
      <w:pPr>
        <w:spacing w:after="0" w:line="70" w:lineRule="exact"/>
        <w:rPr>
          <w:sz w:val="20"/>
          <w:szCs w:val="20"/>
          <w:color w:val="auto"/>
        </w:rPr>
      </w:pPr>
    </w:p>
    <w:p>
      <w:pPr>
        <w:jc w:val="both"/>
        <w:ind w:right="340" w:firstLine="243"/>
        <w:spacing w:after="0" w:line="312" w:lineRule="auto"/>
        <w:rPr>
          <w:sz w:val="20"/>
          <w:szCs w:val="20"/>
          <w:color w:val="auto"/>
        </w:rPr>
      </w:pPr>
      <w:r>
        <w:rPr>
          <w:rFonts w:ascii="Arial" w:cs="Arial" w:eastAsia="Arial" w:hAnsi="Arial"/>
          <w:sz w:val="16"/>
          <w:szCs w:val="16"/>
          <w:color w:val="auto"/>
        </w:rPr>
        <w:t>At any time after any person has become an Acquiring Person, but before any person becomes the beneficial owner of 50% or more of the outstanding shares of Common Stock, the Board of Directors of the Company may exchange all or part of the Rights (other than the Rights beneficially owned by the Acquiring Person and certain affiliated persons) for shares of Common Stock at an exchange ratio of one-half of one share of Common Stock per Right.</w:t>
      </w:r>
    </w:p>
    <w:p>
      <w:pPr>
        <w:spacing w:after="0" w:line="3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Board of Directors may, at its option and at any time prior to the close of business on the earlier of the (1) Stock Acquisition Date and (2) July 19, 2019, redeem all, but not less than all, of the then outstanding Rights at a redemption price of $0.001 per Right, which price will be adjusted to reflect any stock split, stock dividend or similar transaction occurring after July 20, 2016. Any such redemption of the Rights by the Board of Directors may be made effective at such time, on such basis and with such conditions as the Board of Directors in its sole discretion may establish. The Company may, at its option, pay the redemption price in cash, shares of Common Stock or any other form of consideration that the Board of Directors deems appropriate, or any combination thereof.</w:t>
      </w:r>
    </w:p>
    <w:p>
      <w:pPr>
        <w:spacing w:after="0" w:line="8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Rights will expire on the earliest of (a) July 19, 2019, (b) the time at which all Rights are redeemed or exchanged, (c) the date on which the Board of Directors determines that the Rights Agreement is no longer necessary for the preservation the Tax Benefits, (d) the beginning of a taxable year of the Company to which the Board of Directors determines that no Tax Benefits may be carried forward, (e) the date on which the Board of Directors determines that the Rights Agreement is no longer in the best interest of the Company and its stockholders and (f) the Close of Business on July 19, 2017, if stockholder approval of the Rights Agreement has not been obtained by or on such date.</w:t>
      </w:r>
    </w:p>
    <w:p>
      <w:pPr>
        <w:spacing w:after="0" w:line="64"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Prior to the time that any person becomes an Acquiring Person, the Rights Agreement may be amended in any respect. From and after the time that any person becomes an Acquiring Person, the Rights Agreement may only be amended in order to cure any ambiguity, to correct any defect or inconsistency or to make changes that do not adversely affect the interests of holders of Rights (other than an Acquiring Person and its affiliated and associated persons).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Rights holders have no rights as stockholders of the Company, including the right to vote and to receive dividends.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ectPr>
          <w:pgSz w:w="11900" w:h="16838" w:orient="portrait"/>
          <w:cols w:equalWidth="0" w:num="1">
            <w:col w:w="11420"/>
          </w:cols>
          <w:pgMar w:left="240" w:top="692" w:right="239" w:bottom="1440" w:gutter="0" w:footer="0" w:header="0"/>
        </w:sectPr>
      </w:pPr>
    </w:p>
    <w:bookmarkStart w:id="3" w:name="page4"/>
    <w:bookmarkEnd w:id="3"/>
    <w:p>
      <w:pPr>
        <w:ind w:right="40" w:firstLine="324"/>
        <w:spacing w:after="0" w:line="259" w:lineRule="auto"/>
        <w:rPr>
          <w:sz w:val="20"/>
          <w:szCs w:val="20"/>
          <w:color w:val="auto"/>
        </w:rPr>
      </w:pPr>
      <w:r>
        <w:rPr>
          <w:rFonts w:ascii="Arial" w:cs="Arial" w:eastAsia="Arial" w:hAnsi="Arial"/>
          <w:sz w:val="18"/>
          <w:szCs w:val="18"/>
          <w:color w:val="auto"/>
        </w:rPr>
        <w:t>A committee of independent directors of the Company will review and evaluate the Rights Agreement at least annually in order to consider whether the maintenance of the Rights Agreement continues to be in the best interests of the Company and its stockholders. Following each such review, the committee will communicate its conclusions to the full Board of Directors, including any recommendation in light thereof as to whether the Rights Agreement should be modified or the Rights should be redeemed.</w:t>
      </w:r>
    </w:p>
    <w:p>
      <w:pPr>
        <w:spacing w:after="0" w:line="79" w:lineRule="exact"/>
        <w:rPr>
          <w:sz w:val="20"/>
          <w:szCs w:val="20"/>
          <w:color w:val="auto"/>
        </w:rPr>
      </w:pPr>
    </w:p>
    <w:p>
      <w:pPr>
        <w:jc w:val="both"/>
        <w:ind w:right="320" w:firstLine="324"/>
        <w:spacing w:after="0" w:line="312" w:lineRule="auto"/>
        <w:rPr>
          <w:sz w:val="20"/>
          <w:szCs w:val="20"/>
          <w:color w:val="auto"/>
        </w:rPr>
      </w:pPr>
      <w:r>
        <w:rPr>
          <w:rFonts w:ascii="Arial" w:cs="Arial" w:eastAsia="Arial" w:hAnsi="Arial"/>
          <w:sz w:val="16"/>
          <w:szCs w:val="16"/>
          <w:color w:val="auto"/>
        </w:rPr>
        <w:t>Although the distribution of the Rights will not be taxable to stockholders or to the Company, stockholders may, depending upon the circumstances, recognize taxable income if the Rights become exercisable as set forth above. If the Rights become exercisable, holders of Common Stock should consult their own tax advisors concerning the specific tax consequences to them of acquiring, holding, exercising or disposing of the Rights.</w:t>
      </w:r>
    </w:p>
    <w:p>
      <w:pPr>
        <w:spacing w:after="0" w:line="39"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Rights issued pursuant to the Rights Agreement are in all respects subject to and governed by the provisions of the Rights Agreement. Copies of the Rights Agreement are available free of charge from the Company. The foregoing description of the Rights does not purport to be complete and is qualified in its entirety by reference to the full text of the Rights Agreement, a copy of which is attached as Exhibit 4.1 hereto and incorporated herein by reference.</w:t>
      </w: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6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978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780" w:type="dxa"/>
            <w:vAlign w:val="bottom"/>
            <w:tcBorders>
              <w:bottom w:val="single" w:sz="8" w:color="auto"/>
            </w:tcBorders>
          </w:tcPr>
          <w:p>
            <w:pPr>
              <w:spacing w:after="0"/>
              <w:rPr>
                <w:sz w:val="2"/>
                <w:szCs w:val="2"/>
                <w:color w:val="auto"/>
              </w:rPr>
            </w:pPr>
          </w:p>
        </w:tc>
      </w:tr>
      <w:tr>
        <w:trPr>
          <w:trHeight w:val="222"/>
        </w:trPr>
        <w:tc>
          <w:tcPr>
            <w:tcW w:w="1360" w:type="dxa"/>
            <w:vAlign w:val="bottom"/>
          </w:tcPr>
          <w:p>
            <w:pPr>
              <w:jc w:val="right"/>
              <w:ind w:right="49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w w:val="92"/>
              </w:rPr>
              <w:t>Section 382 Rights Agreement, dated as of July 20, 2016, by and between Micron Technology, Inc. and Wells Fargo Bank, National</w:t>
            </w:r>
          </w:p>
        </w:tc>
      </w:tr>
      <w:tr>
        <w:trPr>
          <w:trHeight w:val="230"/>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Association, as rights agent.</w:t>
            </w:r>
          </w:p>
        </w:tc>
      </w:tr>
    </w:tbl>
    <w:p>
      <w:pPr>
        <w:sectPr>
          <w:pgSz w:w="11900" w:h="16838" w:orient="portrait"/>
          <w:cols w:equalWidth="0" w:num="1">
            <w:col w:w="11400"/>
          </w:cols>
          <w:pgMar w:left="240" w:top="692" w:right="259" w:bottom="1440" w:gutter="0" w:footer="0" w:header="0"/>
        </w:sectPr>
      </w:pPr>
    </w:p>
    <w:bookmarkStart w:id="4" w:name="page5"/>
    <w:bookmarkEnd w:id="4"/>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180" w:type="dxa"/>
            <w:vAlign w:val="bottom"/>
            <w:gridSpan w:val="2"/>
          </w:tcPr>
          <w:p>
            <w:pPr>
              <w:ind w:left="1900"/>
              <w:spacing w:after="0"/>
              <w:rPr>
                <w:sz w:val="20"/>
                <w:szCs w:val="20"/>
                <w:color w:val="auto"/>
              </w:rPr>
            </w:pPr>
            <w:r>
              <w:rPr>
                <w:rFonts w:ascii="Arial" w:cs="Arial" w:eastAsia="Arial" w:hAnsi="Arial"/>
                <w:sz w:val="18"/>
                <w:szCs w:val="18"/>
                <w:b w:val="1"/>
                <w:bCs w:val="1"/>
                <w:color w:val="auto"/>
              </w:rPr>
              <w:t>MICRON TECHNOLOGY, INC.</w:t>
            </w: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80"/>
              <w:spacing w:after="0"/>
              <w:rPr>
                <w:sz w:val="20"/>
                <w:szCs w:val="20"/>
                <w:color w:val="auto"/>
              </w:rPr>
            </w:pPr>
            <w:r>
              <w:rPr>
                <w:rFonts w:ascii="Arial" w:cs="Arial" w:eastAsia="Arial" w:hAnsi="Arial"/>
                <w:sz w:val="18"/>
                <w:szCs w:val="18"/>
                <w:color w:val="auto"/>
              </w:rPr>
              <w:t>July 22, 2016</w:t>
            </w:r>
          </w:p>
        </w:tc>
        <w:tc>
          <w:tcPr>
            <w:tcW w:w="2840" w:type="dxa"/>
            <w:vAlign w:val="bottom"/>
          </w:tcPr>
          <w:p>
            <w:pPr>
              <w:ind w:left="190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r>
      <w:tr>
        <w:trPr>
          <w:trHeight w:val="27"/>
        </w:trPr>
        <w:tc>
          <w:tcPr>
            <w:tcW w:w="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40" w:type="dxa"/>
            <w:vAlign w:val="bottom"/>
          </w:tcPr>
          <w:p>
            <w:pPr>
              <w:ind w:left="1900"/>
              <w:spacing w:after="0"/>
              <w:rPr>
                <w:sz w:val="20"/>
                <w:szCs w:val="20"/>
                <w:color w:val="auto"/>
              </w:rPr>
            </w:pPr>
            <w:r>
              <w:rPr>
                <w:rFonts w:ascii="Arial" w:cs="Arial" w:eastAsia="Arial" w:hAnsi="Arial"/>
                <w:sz w:val="18"/>
                <w:szCs w:val="18"/>
                <w:color w:val="auto"/>
              </w:rPr>
              <w:t>Name:</w:t>
            </w: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r>
      <w:tr>
        <w:trPr>
          <w:trHeight w:val="256"/>
        </w:trPr>
        <w:tc>
          <w:tcPr>
            <w:tcW w:w="58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2840" w:type="dxa"/>
            <w:vAlign w:val="bottom"/>
          </w:tcPr>
          <w:p>
            <w:pPr>
              <w:ind w:left="190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r>
      <w:tr>
        <w:trPr>
          <w:trHeight w:val="230"/>
        </w:trPr>
        <w:tc>
          <w:tcPr>
            <w:tcW w:w="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r>
    </w:tbl>
    <w:p>
      <w:pPr>
        <w:sectPr>
          <w:pgSz w:w="11900" w:h="16838" w:orient="portrait"/>
          <w:cols w:equalWidth="0" w:num="1">
            <w:col w:w="10860"/>
          </w:cols>
          <w:pgMar w:left="240" w:top="580" w:right="7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CURRENT REPORT ON FORM 8-K DATED JULY 22,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22"/>
        </w:trPr>
        <w:tc>
          <w:tcPr>
            <w:tcW w:w="1380" w:type="dxa"/>
            <w:vAlign w:val="bottom"/>
          </w:tcPr>
          <w:p>
            <w:pPr>
              <w:jc w:val="right"/>
              <w:ind w:right="49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Section 382 Rights Agreement, dated as of July 20, 2016, by and between Micron Technology, Inc. and Wells Fargo Bank, National</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Association, as rights agent.</w:t>
            </w:r>
          </w:p>
        </w:tc>
      </w:tr>
    </w:tbl>
    <w:p>
      <w:pPr>
        <w:sectPr>
          <w:pgSz w:w="11900" w:h="16838" w:orient="portrait"/>
          <w:cols w:equalWidth="0" w:num="1">
            <w:col w:w="11420"/>
          </w:cols>
          <w:pgMar w:left="240" w:top="58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SECTION 382 RIGHTS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July 20, 2016</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Rights Agent</w:t>
      </w:r>
    </w:p>
    <w:p>
      <w:pPr>
        <w:sectPr>
          <w:pgSz w:w="11900" w:h="16838" w:orient="portrait"/>
          <w:cols w:equalWidth="0" w:num="1">
            <w:col w:w="10220"/>
          </w:cols>
          <w:pgMar w:left="1440" w:top="229"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9420" w:type="dxa"/>
            <w:vAlign w:val="bottom"/>
          </w:tcPr>
          <w:p>
            <w:pPr>
              <w:ind w:left="366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54"/>
        </w:trPr>
        <w:tc>
          <w:tcPr>
            <w:tcW w:w="106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r>
      <w:tr>
        <w:trPr>
          <w:trHeight w:val="507"/>
        </w:trPr>
        <w:tc>
          <w:tcPr>
            <w:tcW w:w="1060" w:type="dxa"/>
            <w:vAlign w:val="bottom"/>
          </w:tcPr>
          <w:p>
            <w:pPr>
              <w:ind w:left="20"/>
              <w:spacing w:after="0"/>
              <w:rPr>
                <w:sz w:val="20"/>
                <w:szCs w:val="20"/>
                <w:color w:val="auto"/>
              </w:rPr>
            </w:pPr>
            <w:r>
              <w:rPr>
                <w:rFonts w:ascii="Arial" w:cs="Arial" w:eastAsia="Arial" w:hAnsi="Arial"/>
                <w:sz w:val="18"/>
                <w:szCs w:val="18"/>
                <w:color w:val="auto"/>
              </w:rPr>
              <w:t>Section 1.</w:t>
            </w:r>
          </w:p>
        </w:tc>
        <w:tc>
          <w:tcPr>
            <w:tcW w:w="9420" w:type="dxa"/>
            <w:vAlign w:val="bottom"/>
          </w:tcPr>
          <w:p>
            <w:pPr>
              <w:ind w:left="220"/>
              <w:spacing w:after="0"/>
              <w:rPr>
                <w:sz w:val="20"/>
                <w:szCs w:val="20"/>
                <w:color w:val="auto"/>
              </w:rPr>
            </w:pPr>
            <w:r>
              <w:rPr>
                <w:rFonts w:ascii="Arial" w:cs="Arial" w:eastAsia="Arial" w:hAnsi="Arial"/>
                <w:sz w:val="18"/>
                <w:szCs w:val="18"/>
                <w:color w:val="auto"/>
              </w:rPr>
              <w:t>Certain Definitions</w:t>
            </w: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4"/>
                <w:szCs w:val="24"/>
                <w:color w:val="auto"/>
              </w:rPr>
            </w:pPr>
          </w:p>
        </w:tc>
      </w:tr>
      <w:tr>
        <w:trPr>
          <w:trHeight w:val="135"/>
        </w:trPr>
        <w:tc>
          <w:tcPr>
            <w:tcW w:w="106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w:t>
            </w:r>
          </w:p>
        </w:tc>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Appointment of Rights Agent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24"/>
                <w:szCs w:val="24"/>
                <w:color w:val="auto"/>
              </w:rPr>
            </w:pPr>
          </w:p>
        </w:tc>
      </w:tr>
      <w:tr>
        <w:trPr>
          <w:trHeight w:val="135"/>
        </w:trPr>
        <w:tc>
          <w:tcPr>
            <w:tcW w:w="1060" w:type="dxa"/>
            <w:vAlign w:val="bottom"/>
            <w:shd w:val="clear" w:color="auto" w:fill="CCEEFF"/>
          </w:tcPr>
          <w:p>
            <w:pPr>
              <w:spacing w:after="0"/>
              <w:rPr>
                <w:sz w:val="11"/>
                <w:szCs w:val="11"/>
                <w:color w:val="auto"/>
              </w:rPr>
            </w:pPr>
          </w:p>
        </w:tc>
        <w:tc>
          <w:tcPr>
            <w:tcW w:w="9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3.</w:t>
            </w:r>
          </w:p>
        </w:tc>
        <w:tc>
          <w:tcPr>
            <w:tcW w:w="9420" w:type="dxa"/>
            <w:vAlign w:val="bottom"/>
          </w:tcPr>
          <w:p>
            <w:pPr>
              <w:ind w:left="220"/>
              <w:spacing w:after="0"/>
              <w:rPr>
                <w:sz w:val="20"/>
                <w:szCs w:val="20"/>
                <w:color w:val="auto"/>
              </w:rPr>
            </w:pPr>
            <w:r>
              <w:rPr>
                <w:rFonts w:ascii="Arial" w:cs="Arial" w:eastAsia="Arial" w:hAnsi="Arial"/>
                <w:sz w:val="18"/>
                <w:szCs w:val="18"/>
                <w:color w:val="auto"/>
              </w:rPr>
              <w:t>Issue of Right Certificates</w:t>
            </w:r>
          </w:p>
        </w:tc>
        <w:tc>
          <w:tcPr>
            <w:tcW w:w="360" w:type="dxa"/>
            <w:vAlign w:val="bottom"/>
          </w:tcPr>
          <w:p>
            <w:pPr>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24"/>
                <w:szCs w:val="24"/>
                <w:color w:val="auto"/>
              </w:rPr>
            </w:pPr>
          </w:p>
        </w:tc>
      </w:tr>
      <w:tr>
        <w:trPr>
          <w:trHeight w:val="135"/>
        </w:trPr>
        <w:tc>
          <w:tcPr>
            <w:tcW w:w="106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w:t>
            </w:r>
          </w:p>
        </w:tc>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Form of Right Certificates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24"/>
                <w:szCs w:val="24"/>
                <w:color w:val="auto"/>
              </w:rPr>
            </w:pPr>
          </w:p>
        </w:tc>
      </w:tr>
      <w:tr>
        <w:trPr>
          <w:trHeight w:val="135"/>
        </w:trPr>
        <w:tc>
          <w:tcPr>
            <w:tcW w:w="1060" w:type="dxa"/>
            <w:vAlign w:val="bottom"/>
            <w:shd w:val="clear" w:color="auto" w:fill="CCEEFF"/>
          </w:tcPr>
          <w:p>
            <w:pPr>
              <w:spacing w:after="0"/>
              <w:rPr>
                <w:sz w:val="11"/>
                <w:szCs w:val="11"/>
                <w:color w:val="auto"/>
              </w:rPr>
            </w:pPr>
          </w:p>
        </w:tc>
        <w:tc>
          <w:tcPr>
            <w:tcW w:w="9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5.</w:t>
            </w:r>
          </w:p>
        </w:tc>
        <w:tc>
          <w:tcPr>
            <w:tcW w:w="9420" w:type="dxa"/>
            <w:vAlign w:val="bottom"/>
          </w:tcPr>
          <w:p>
            <w:pPr>
              <w:ind w:left="220"/>
              <w:spacing w:after="0"/>
              <w:rPr>
                <w:sz w:val="20"/>
                <w:szCs w:val="20"/>
                <w:color w:val="auto"/>
              </w:rPr>
            </w:pPr>
            <w:r>
              <w:rPr>
                <w:rFonts w:ascii="Arial" w:cs="Arial" w:eastAsia="Arial" w:hAnsi="Arial"/>
                <w:sz w:val="18"/>
                <w:szCs w:val="18"/>
                <w:color w:val="auto"/>
              </w:rPr>
              <w:t>Countersignature and Registration</w:t>
            </w:r>
          </w:p>
        </w:tc>
        <w:tc>
          <w:tcPr>
            <w:tcW w:w="360" w:type="dxa"/>
            <w:vAlign w:val="bottom"/>
          </w:tcPr>
          <w:p>
            <w:pPr>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24"/>
                <w:szCs w:val="24"/>
                <w:color w:val="auto"/>
              </w:rPr>
            </w:pPr>
          </w:p>
        </w:tc>
      </w:tr>
      <w:tr>
        <w:trPr>
          <w:trHeight w:val="135"/>
        </w:trPr>
        <w:tc>
          <w:tcPr>
            <w:tcW w:w="106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6.</w:t>
            </w:r>
          </w:p>
        </w:tc>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Transfer, Split Up, Combination and Exchange of Right Certificates; Mutilated, Destroyed, Lost or Stolen Right Certificate</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spacing w:after="0"/>
              <w:rPr>
                <w:sz w:val="24"/>
                <w:szCs w:val="24"/>
                <w:color w:val="auto"/>
              </w:rPr>
            </w:pPr>
          </w:p>
        </w:tc>
      </w:tr>
      <w:tr>
        <w:trPr>
          <w:trHeight w:val="135"/>
        </w:trPr>
        <w:tc>
          <w:tcPr>
            <w:tcW w:w="1060" w:type="dxa"/>
            <w:vAlign w:val="bottom"/>
            <w:shd w:val="clear" w:color="auto" w:fill="CCEEFF"/>
          </w:tcPr>
          <w:p>
            <w:pPr>
              <w:spacing w:after="0"/>
              <w:rPr>
                <w:sz w:val="11"/>
                <w:szCs w:val="11"/>
                <w:color w:val="auto"/>
              </w:rPr>
            </w:pPr>
          </w:p>
        </w:tc>
        <w:tc>
          <w:tcPr>
            <w:tcW w:w="9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7.</w:t>
            </w:r>
          </w:p>
        </w:tc>
        <w:tc>
          <w:tcPr>
            <w:tcW w:w="9420" w:type="dxa"/>
            <w:vAlign w:val="bottom"/>
          </w:tcPr>
          <w:p>
            <w:pPr>
              <w:ind w:left="220"/>
              <w:spacing w:after="0"/>
              <w:rPr>
                <w:sz w:val="20"/>
                <w:szCs w:val="20"/>
                <w:color w:val="auto"/>
              </w:rPr>
            </w:pPr>
            <w:r>
              <w:rPr>
                <w:rFonts w:ascii="Arial" w:cs="Arial" w:eastAsia="Arial" w:hAnsi="Arial"/>
                <w:sz w:val="18"/>
                <w:szCs w:val="18"/>
                <w:color w:val="auto"/>
              </w:rPr>
              <w:t>Exercise of Rights; Purchase Price; Expiration Date of Rights</w:t>
            </w:r>
          </w:p>
        </w:tc>
        <w:tc>
          <w:tcPr>
            <w:tcW w:w="360" w:type="dxa"/>
            <w:vAlign w:val="bottom"/>
          </w:tcPr>
          <w:p>
            <w:pPr>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24"/>
                <w:szCs w:val="24"/>
                <w:color w:val="auto"/>
              </w:rPr>
            </w:pPr>
          </w:p>
        </w:tc>
      </w:tr>
      <w:tr>
        <w:trPr>
          <w:trHeight w:val="135"/>
        </w:trPr>
        <w:tc>
          <w:tcPr>
            <w:tcW w:w="106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8.</w:t>
            </w:r>
          </w:p>
        </w:tc>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Cancellation and Destruction of Right Certificates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24"/>
                <w:szCs w:val="24"/>
                <w:color w:val="auto"/>
              </w:rPr>
            </w:pPr>
          </w:p>
        </w:tc>
      </w:tr>
      <w:tr>
        <w:trPr>
          <w:trHeight w:val="135"/>
        </w:trPr>
        <w:tc>
          <w:tcPr>
            <w:tcW w:w="1060" w:type="dxa"/>
            <w:vAlign w:val="bottom"/>
            <w:shd w:val="clear" w:color="auto" w:fill="CCEEFF"/>
          </w:tcPr>
          <w:p>
            <w:pPr>
              <w:spacing w:after="0"/>
              <w:rPr>
                <w:sz w:val="11"/>
                <w:szCs w:val="11"/>
                <w:color w:val="auto"/>
              </w:rPr>
            </w:pPr>
          </w:p>
        </w:tc>
        <w:tc>
          <w:tcPr>
            <w:tcW w:w="9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9.</w:t>
            </w:r>
          </w:p>
        </w:tc>
        <w:tc>
          <w:tcPr>
            <w:tcW w:w="9420" w:type="dxa"/>
            <w:vAlign w:val="bottom"/>
          </w:tcPr>
          <w:p>
            <w:pPr>
              <w:ind w:left="220"/>
              <w:spacing w:after="0"/>
              <w:rPr>
                <w:sz w:val="20"/>
                <w:szCs w:val="20"/>
                <w:color w:val="auto"/>
              </w:rPr>
            </w:pPr>
            <w:r>
              <w:rPr>
                <w:rFonts w:ascii="Arial" w:cs="Arial" w:eastAsia="Arial" w:hAnsi="Arial"/>
                <w:sz w:val="18"/>
                <w:szCs w:val="18"/>
                <w:color w:val="auto"/>
              </w:rPr>
              <w:t>Listing and Registration of Capital Stock</w:t>
            </w:r>
          </w:p>
        </w:tc>
        <w:tc>
          <w:tcPr>
            <w:tcW w:w="360" w:type="dxa"/>
            <w:vAlign w:val="bottom"/>
          </w:tcPr>
          <w:p>
            <w:pPr>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24"/>
                <w:szCs w:val="24"/>
                <w:color w:val="auto"/>
              </w:rPr>
            </w:pPr>
          </w:p>
        </w:tc>
      </w:tr>
      <w:tr>
        <w:trPr>
          <w:trHeight w:val="135"/>
        </w:trPr>
        <w:tc>
          <w:tcPr>
            <w:tcW w:w="106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10.</w:t>
            </w:r>
          </w:p>
        </w:tc>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Record Date</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24"/>
                <w:szCs w:val="24"/>
                <w:color w:val="auto"/>
              </w:rPr>
            </w:pPr>
          </w:p>
        </w:tc>
      </w:tr>
      <w:tr>
        <w:trPr>
          <w:trHeight w:val="135"/>
        </w:trPr>
        <w:tc>
          <w:tcPr>
            <w:tcW w:w="1060" w:type="dxa"/>
            <w:vAlign w:val="bottom"/>
            <w:shd w:val="clear" w:color="auto" w:fill="CCEEFF"/>
          </w:tcPr>
          <w:p>
            <w:pPr>
              <w:spacing w:after="0"/>
              <w:rPr>
                <w:sz w:val="11"/>
                <w:szCs w:val="11"/>
                <w:color w:val="auto"/>
              </w:rPr>
            </w:pPr>
          </w:p>
        </w:tc>
        <w:tc>
          <w:tcPr>
            <w:tcW w:w="9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11.</w:t>
            </w:r>
          </w:p>
        </w:tc>
        <w:tc>
          <w:tcPr>
            <w:tcW w:w="9420" w:type="dxa"/>
            <w:vAlign w:val="bottom"/>
          </w:tcPr>
          <w:p>
            <w:pPr>
              <w:ind w:left="220"/>
              <w:spacing w:after="0"/>
              <w:rPr>
                <w:sz w:val="20"/>
                <w:szCs w:val="20"/>
                <w:color w:val="auto"/>
              </w:rPr>
            </w:pPr>
            <w:r>
              <w:rPr>
                <w:rFonts w:ascii="Arial" w:cs="Arial" w:eastAsia="Arial" w:hAnsi="Arial"/>
                <w:sz w:val="18"/>
                <w:szCs w:val="18"/>
                <w:color w:val="auto"/>
              </w:rPr>
              <w:t>Adjustment of Purchase Price, Number and Kind of Shares or Number of Rights</w:t>
            </w:r>
          </w:p>
        </w:tc>
        <w:tc>
          <w:tcPr>
            <w:tcW w:w="360" w:type="dxa"/>
            <w:vAlign w:val="bottom"/>
          </w:tcPr>
          <w:p>
            <w:pPr>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r>
      <w:tr>
        <w:trPr>
          <w:trHeight w:val="135"/>
        </w:trPr>
        <w:tc>
          <w:tcPr>
            <w:tcW w:w="106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12.</w:t>
            </w:r>
          </w:p>
        </w:tc>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Adjusted Purchase Price or Number of Shares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24"/>
                <w:szCs w:val="24"/>
                <w:color w:val="auto"/>
              </w:rPr>
            </w:pPr>
          </w:p>
        </w:tc>
      </w:tr>
      <w:tr>
        <w:trPr>
          <w:trHeight w:val="135"/>
        </w:trPr>
        <w:tc>
          <w:tcPr>
            <w:tcW w:w="1060" w:type="dxa"/>
            <w:vAlign w:val="bottom"/>
            <w:shd w:val="clear" w:color="auto" w:fill="CCEEFF"/>
          </w:tcPr>
          <w:p>
            <w:pPr>
              <w:spacing w:after="0"/>
              <w:rPr>
                <w:sz w:val="11"/>
                <w:szCs w:val="11"/>
                <w:color w:val="auto"/>
              </w:rPr>
            </w:pPr>
          </w:p>
        </w:tc>
        <w:tc>
          <w:tcPr>
            <w:tcW w:w="9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13.</w:t>
            </w:r>
          </w:p>
        </w:tc>
        <w:tc>
          <w:tcPr>
            <w:tcW w:w="9420" w:type="dxa"/>
            <w:vAlign w:val="bottom"/>
          </w:tcPr>
          <w:p>
            <w:pPr>
              <w:ind w:left="220"/>
              <w:spacing w:after="0"/>
              <w:rPr>
                <w:sz w:val="20"/>
                <w:szCs w:val="20"/>
                <w:color w:val="auto"/>
              </w:rPr>
            </w:pPr>
            <w:r>
              <w:rPr>
                <w:rFonts w:ascii="Arial" w:cs="Arial" w:eastAsia="Arial" w:hAnsi="Arial"/>
                <w:sz w:val="18"/>
                <w:szCs w:val="18"/>
                <w:color w:val="auto"/>
              </w:rPr>
              <w:t>Consolidation, Merger or Sale or Transfer of Assets or Earning Power</w:t>
            </w:r>
          </w:p>
        </w:tc>
        <w:tc>
          <w:tcPr>
            <w:tcW w:w="360" w:type="dxa"/>
            <w:vAlign w:val="bottom"/>
          </w:tcPr>
          <w:p>
            <w:pPr>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24"/>
                <w:szCs w:val="24"/>
                <w:color w:val="auto"/>
              </w:rPr>
            </w:pPr>
          </w:p>
        </w:tc>
      </w:tr>
      <w:tr>
        <w:trPr>
          <w:trHeight w:val="135"/>
        </w:trPr>
        <w:tc>
          <w:tcPr>
            <w:tcW w:w="106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14.</w:t>
            </w:r>
          </w:p>
        </w:tc>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Fractional Rights and Fractional Shares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spacing w:after="0"/>
              <w:rPr>
                <w:sz w:val="24"/>
                <w:szCs w:val="24"/>
                <w:color w:val="auto"/>
              </w:rPr>
            </w:pPr>
          </w:p>
        </w:tc>
      </w:tr>
      <w:tr>
        <w:trPr>
          <w:trHeight w:val="135"/>
        </w:trPr>
        <w:tc>
          <w:tcPr>
            <w:tcW w:w="1060" w:type="dxa"/>
            <w:vAlign w:val="bottom"/>
            <w:shd w:val="clear" w:color="auto" w:fill="CCEEFF"/>
          </w:tcPr>
          <w:p>
            <w:pPr>
              <w:spacing w:after="0"/>
              <w:rPr>
                <w:sz w:val="11"/>
                <w:szCs w:val="11"/>
                <w:color w:val="auto"/>
              </w:rPr>
            </w:pPr>
          </w:p>
        </w:tc>
        <w:tc>
          <w:tcPr>
            <w:tcW w:w="9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15.</w:t>
            </w:r>
          </w:p>
        </w:tc>
        <w:tc>
          <w:tcPr>
            <w:tcW w:w="9420" w:type="dxa"/>
            <w:vAlign w:val="bottom"/>
          </w:tcPr>
          <w:p>
            <w:pPr>
              <w:ind w:left="220"/>
              <w:spacing w:after="0"/>
              <w:rPr>
                <w:sz w:val="20"/>
                <w:szCs w:val="20"/>
                <w:color w:val="auto"/>
              </w:rPr>
            </w:pPr>
            <w:r>
              <w:rPr>
                <w:rFonts w:ascii="Arial" w:cs="Arial" w:eastAsia="Arial" w:hAnsi="Arial"/>
                <w:sz w:val="18"/>
                <w:szCs w:val="18"/>
                <w:color w:val="auto"/>
              </w:rPr>
              <w:t>Rights of Action</w:t>
            </w:r>
          </w:p>
        </w:tc>
        <w:tc>
          <w:tcPr>
            <w:tcW w:w="360" w:type="dxa"/>
            <w:vAlign w:val="bottom"/>
          </w:tcPr>
          <w:p>
            <w:pPr>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24"/>
                <w:szCs w:val="24"/>
                <w:color w:val="auto"/>
              </w:rPr>
            </w:pPr>
          </w:p>
        </w:tc>
      </w:tr>
      <w:tr>
        <w:trPr>
          <w:trHeight w:val="135"/>
        </w:trPr>
        <w:tc>
          <w:tcPr>
            <w:tcW w:w="106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16.</w:t>
            </w:r>
          </w:p>
        </w:tc>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Agreement of Right Holders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spacing w:after="0"/>
              <w:rPr>
                <w:sz w:val="24"/>
                <w:szCs w:val="24"/>
                <w:color w:val="auto"/>
              </w:rPr>
            </w:pPr>
          </w:p>
        </w:tc>
      </w:tr>
      <w:tr>
        <w:trPr>
          <w:trHeight w:val="135"/>
        </w:trPr>
        <w:tc>
          <w:tcPr>
            <w:tcW w:w="1060" w:type="dxa"/>
            <w:vAlign w:val="bottom"/>
            <w:shd w:val="clear" w:color="auto" w:fill="CCEEFF"/>
          </w:tcPr>
          <w:p>
            <w:pPr>
              <w:spacing w:after="0"/>
              <w:rPr>
                <w:sz w:val="11"/>
                <w:szCs w:val="11"/>
                <w:color w:val="auto"/>
              </w:rPr>
            </w:pPr>
          </w:p>
        </w:tc>
        <w:tc>
          <w:tcPr>
            <w:tcW w:w="9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17.</w:t>
            </w:r>
          </w:p>
        </w:tc>
        <w:tc>
          <w:tcPr>
            <w:tcW w:w="9420" w:type="dxa"/>
            <w:vAlign w:val="bottom"/>
          </w:tcPr>
          <w:p>
            <w:pPr>
              <w:ind w:left="220"/>
              <w:spacing w:after="0"/>
              <w:rPr>
                <w:sz w:val="20"/>
                <w:szCs w:val="20"/>
                <w:color w:val="auto"/>
              </w:rPr>
            </w:pPr>
            <w:r>
              <w:rPr>
                <w:rFonts w:ascii="Arial" w:cs="Arial" w:eastAsia="Arial" w:hAnsi="Arial"/>
                <w:sz w:val="18"/>
                <w:szCs w:val="18"/>
                <w:color w:val="auto"/>
              </w:rPr>
              <w:t>Right Certificate Holder Not Deemed a Stockholder</w:t>
            </w:r>
          </w:p>
        </w:tc>
        <w:tc>
          <w:tcPr>
            <w:tcW w:w="360" w:type="dxa"/>
            <w:vAlign w:val="bottom"/>
          </w:tcPr>
          <w:p>
            <w:pPr>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24"/>
                <w:szCs w:val="24"/>
                <w:color w:val="auto"/>
              </w:rPr>
            </w:pPr>
          </w:p>
        </w:tc>
      </w:tr>
      <w:tr>
        <w:trPr>
          <w:trHeight w:val="135"/>
        </w:trPr>
        <w:tc>
          <w:tcPr>
            <w:tcW w:w="106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18.</w:t>
            </w:r>
          </w:p>
        </w:tc>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Concerning the Rights Agent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spacing w:after="0"/>
              <w:rPr>
                <w:sz w:val="24"/>
                <w:szCs w:val="24"/>
                <w:color w:val="auto"/>
              </w:rPr>
            </w:pPr>
          </w:p>
        </w:tc>
      </w:tr>
      <w:tr>
        <w:trPr>
          <w:trHeight w:val="135"/>
        </w:trPr>
        <w:tc>
          <w:tcPr>
            <w:tcW w:w="1060" w:type="dxa"/>
            <w:vAlign w:val="bottom"/>
            <w:shd w:val="clear" w:color="auto" w:fill="CCEEFF"/>
          </w:tcPr>
          <w:p>
            <w:pPr>
              <w:spacing w:after="0"/>
              <w:rPr>
                <w:sz w:val="11"/>
                <w:szCs w:val="11"/>
                <w:color w:val="auto"/>
              </w:rPr>
            </w:pPr>
          </w:p>
        </w:tc>
        <w:tc>
          <w:tcPr>
            <w:tcW w:w="9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19.</w:t>
            </w:r>
          </w:p>
        </w:tc>
        <w:tc>
          <w:tcPr>
            <w:tcW w:w="9420" w:type="dxa"/>
            <w:vAlign w:val="bottom"/>
          </w:tcPr>
          <w:p>
            <w:pPr>
              <w:ind w:left="220"/>
              <w:spacing w:after="0"/>
              <w:rPr>
                <w:sz w:val="20"/>
                <w:szCs w:val="20"/>
                <w:color w:val="auto"/>
              </w:rPr>
            </w:pPr>
            <w:r>
              <w:rPr>
                <w:rFonts w:ascii="Arial" w:cs="Arial" w:eastAsia="Arial" w:hAnsi="Arial"/>
                <w:sz w:val="18"/>
                <w:szCs w:val="18"/>
                <w:color w:val="auto"/>
              </w:rPr>
              <w:t>Merger or Consolidation or Change of Name of Rights Agent</w:t>
            </w:r>
          </w:p>
        </w:tc>
        <w:tc>
          <w:tcPr>
            <w:tcW w:w="360" w:type="dxa"/>
            <w:vAlign w:val="bottom"/>
          </w:tcPr>
          <w:p>
            <w:pPr>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24"/>
                <w:szCs w:val="24"/>
                <w:color w:val="auto"/>
              </w:rPr>
            </w:pPr>
          </w:p>
        </w:tc>
      </w:tr>
      <w:tr>
        <w:trPr>
          <w:trHeight w:val="135"/>
        </w:trPr>
        <w:tc>
          <w:tcPr>
            <w:tcW w:w="106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20.</w:t>
            </w:r>
          </w:p>
        </w:tc>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Duties of Rights Agent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CEEFF"/>
          </w:tcPr>
          <w:p>
            <w:pPr>
              <w:spacing w:after="0"/>
              <w:rPr>
                <w:sz w:val="24"/>
                <w:szCs w:val="24"/>
                <w:color w:val="auto"/>
              </w:rPr>
            </w:pPr>
          </w:p>
        </w:tc>
      </w:tr>
      <w:tr>
        <w:trPr>
          <w:trHeight w:val="135"/>
        </w:trPr>
        <w:tc>
          <w:tcPr>
            <w:tcW w:w="1060" w:type="dxa"/>
            <w:vAlign w:val="bottom"/>
            <w:shd w:val="clear" w:color="auto" w:fill="CCEEFF"/>
          </w:tcPr>
          <w:p>
            <w:pPr>
              <w:spacing w:after="0"/>
              <w:rPr>
                <w:sz w:val="11"/>
                <w:szCs w:val="11"/>
                <w:color w:val="auto"/>
              </w:rPr>
            </w:pPr>
          </w:p>
        </w:tc>
        <w:tc>
          <w:tcPr>
            <w:tcW w:w="9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21.</w:t>
            </w:r>
          </w:p>
        </w:tc>
        <w:tc>
          <w:tcPr>
            <w:tcW w:w="9420" w:type="dxa"/>
            <w:vAlign w:val="bottom"/>
          </w:tcPr>
          <w:p>
            <w:pPr>
              <w:ind w:left="220"/>
              <w:spacing w:after="0"/>
              <w:rPr>
                <w:sz w:val="20"/>
                <w:szCs w:val="20"/>
                <w:color w:val="auto"/>
              </w:rPr>
            </w:pPr>
            <w:r>
              <w:rPr>
                <w:rFonts w:ascii="Arial" w:cs="Arial" w:eastAsia="Arial" w:hAnsi="Arial"/>
                <w:sz w:val="18"/>
                <w:szCs w:val="18"/>
                <w:color w:val="auto"/>
              </w:rPr>
              <w:t>Change of Rights Agent</w:t>
            </w:r>
          </w:p>
        </w:tc>
        <w:tc>
          <w:tcPr>
            <w:tcW w:w="360" w:type="dxa"/>
            <w:vAlign w:val="bottom"/>
          </w:tcPr>
          <w:p>
            <w:pPr>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24"/>
                <w:szCs w:val="24"/>
                <w:color w:val="auto"/>
              </w:rPr>
            </w:pPr>
          </w:p>
        </w:tc>
      </w:tr>
      <w:tr>
        <w:trPr>
          <w:trHeight w:val="135"/>
        </w:trPr>
        <w:tc>
          <w:tcPr>
            <w:tcW w:w="106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22.</w:t>
            </w:r>
          </w:p>
        </w:tc>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New Right Certificates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spacing w:after="0"/>
              <w:rPr>
                <w:sz w:val="24"/>
                <w:szCs w:val="24"/>
                <w:color w:val="auto"/>
              </w:rPr>
            </w:pPr>
          </w:p>
        </w:tc>
      </w:tr>
      <w:tr>
        <w:trPr>
          <w:trHeight w:val="135"/>
        </w:trPr>
        <w:tc>
          <w:tcPr>
            <w:tcW w:w="1060" w:type="dxa"/>
            <w:vAlign w:val="bottom"/>
            <w:shd w:val="clear" w:color="auto" w:fill="CCEEFF"/>
          </w:tcPr>
          <w:p>
            <w:pPr>
              <w:spacing w:after="0"/>
              <w:rPr>
                <w:sz w:val="11"/>
                <w:szCs w:val="11"/>
                <w:color w:val="auto"/>
              </w:rPr>
            </w:pPr>
          </w:p>
        </w:tc>
        <w:tc>
          <w:tcPr>
            <w:tcW w:w="9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23.</w:t>
            </w:r>
          </w:p>
        </w:tc>
        <w:tc>
          <w:tcPr>
            <w:tcW w:w="9420" w:type="dxa"/>
            <w:vAlign w:val="bottom"/>
          </w:tcPr>
          <w:p>
            <w:pPr>
              <w:ind w:left="220"/>
              <w:spacing w:after="0"/>
              <w:rPr>
                <w:sz w:val="20"/>
                <w:szCs w:val="20"/>
                <w:color w:val="auto"/>
              </w:rPr>
            </w:pPr>
            <w:r>
              <w:rPr>
                <w:rFonts w:ascii="Arial" w:cs="Arial" w:eastAsia="Arial" w:hAnsi="Arial"/>
                <w:sz w:val="18"/>
                <w:szCs w:val="18"/>
                <w:color w:val="auto"/>
              </w:rPr>
              <w:t>Redemption</w:t>
            </w:r>
          </w:p>
        </w:tc>
        <w:tc>
          <w:tcPr>
            <w:tcW w:w="360" w:type="dxa"/>
            <w:vAlign w:val="bottom"/>
          </w:tcPr>
          <w:p>
            <w:pPr>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24"/>
                <w:szCs w:val="24"/>
                <w:color w:val="auto"/>
              </w:rPr>
            </w:pPr>
          </w:p>
        </w:tc>
      </w:tr>
      <w:tr>
        <w:trPr>
          <w:trHeight w:val="135"/>
        </w:trPr>
        <w:tc>
          <w:tcPr>
            <w:tcW w:w="106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24.</w:t>
            </w:r>
          </w:p>
        </w:tc>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Exchange</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24"/>
                <w:szCs w:val="24"/>
                <w:color w:val="auto"/>
              </w:rPr>
            </w:pPr>
          </w:p>
        </w:tc>
      </w:tr>
      <w:tr>
        <w:trPr>
          <w:trHeight w:val="135"/>
        </w:trPr>
        <w:tc>
          <w:tcPr>
            <w:tcW w:w="1060" w:type="dxa"/>
            <w:vAlign w:val="bottom"/>
            <w:shd w:val="clear" w:color="auto" w:fill="CCEEFF"/>
          </w:tcPr>
          <w:p>
            <w:pPr>
              <w:spacing w:after="0"/>
              <w:rPr>
                <w:sz w:val="11"/>
                <w:szCs w:val="11"/>
                <w:color w:val="auto"/>
              </w:rPr>
            </w:pPr>
          </w:p>
        </w:tc>
        <w:tc>
          <w:tcPr>
            <w:tcW w:w="9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25.</w:t>
            </w:r>
          </w:p>
        </w:tc>
        <w:tc>
          <w:tcPr>
            <w:tcW w:w="9420" w:type="dxa"/>
            <w:vAlign w:val="bottom"/>
          </w:tcPr>
          <w:p>
            <w:pPr>
              <w:ind w:left="220"/>
              <w:spacing w:after="0"/>
              <w:rPr>
                <w:sz w:val="20"/>
                <w:szCs w:val="20"/>
                <w:color w:val="auto"/>
              </w:rPr>
            </w:pPr>
            <w:r>
              <w:rPr>
                <w:rFonts w:ascii="Arial" w:cs="Arial" w:eastAsia="Arial" w:hAnsi="Arial"/>
                <w:sz w:val="18"/>
                <w:szCs w:val="18"/>
                <w:color w:val="auto"/>
              </w:rPr>
              <w:t>Notice of Certain Events</w:t>
            </w:r>
          </w:p>
        </w:tc>
        <w:tc>
          <w:tcPr>
            <w:tcW w:w="360" w:type="dxa"/>
            <w:vAlign w:val="bottom"/>
          </w:tcPr>
          <w:p>
            <w:pPr>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24"/>
                <w:szCs w:val="24"/>
                <w:color w:val="auto"/>
              </w:rPr>
            </w:pPr>
          </w:p>
        </w:tc>
      </w:tr>
      <w:tr>
        <w:trPr>
          <w:trHeight w:val="135"/>
        </w:trPr>
        <w:tc>
          <w:tcPr>
            <w:tcW w:w="106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26.</w:t>
            </w:r>
          </w:p>
        </w:tc>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Notices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520" w:type="dxa"/>
            <w:vAlign w:val="bottom"/>
            <w:shd w:val="clear" w:color="auto" w:fill="CCEEFF"/>
          </w:tcPr>
          <w:p>
            <w:pPr>
              <w:spacing w:after="0"/>
              <w:rPr>
                <w:sz w:val="24"/>
                <w:szCs w:val="24"/>
                <w:color w:val="auto"/>
              </w:rPr>
            </w:pPr>
          </w:p>
        </w:tc>
      </w:tr>
      <w:tr>
        <w:trPr>
          <w:trHeight w:val="135"/>
        </w:trPr>
        <w:tc>
          <w:tcPr>
            <w:tcW w:w="1060" w:type="dxa"/>
            <w:vAlign w:val="bottom"/>
            <w:shd w:val="clear" w:color="auto" w:fill="CCEEFF"/>
          </w:tcPr>
          <w:p>
            <w:pPr>
              <w:spacing w:after="0"/>
              <w:rPr>
                <w:sz w:val="11"/>
                <w:szCs w:val="11"/>
                <w:color w:val="auto"/>
              </w:rPr>
            </w:pPr>
          </w:p>
        </w:tc>
        <w:tc>
          <w:tcPr>
            <w:tcW w:w="9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27.</w:t>
            </w:r>
          </w:p>
        </w:tc>
        <w:tc>
          <w:tcPr>
            <w:tcW w:w="9420" w:type="dxa"/>
            <w:vAlign w:val="bottom"/>
          </w:tcPr>
          <w:p>
            <w:pPr>
              <w:ind w:left="220"/>
              <w:spacing w:after="0"/>
              <w:rPr>
                <w:sz w:val="20"/>
                <w:szCs w:val="20"/>
                <w:color w:val="auto"/>
              </w:rPr>
            </w:pPr>
            <w:r>
              <w:rPr>
                <w:rFonts w:ascii="Arial" w:cs="Arial" w:eastAsia="Arial" w:hAnsi="Arial"/>
                <w:sz w:val="18"/>
                <w:szCs w:val="18"/>
                <w:color w:val="auto"/>
              </w:rPr>
              <w:t>Supplements and Amendments</w:t>
            </w:r>
          </w:p>
        </w:tc>
        <w:tc>
          <w:tcPr>
            <w:tcW w:w="360" w:type="dxa"/>
            <w:vAlign w:val="bottom"/>
          </w:tcPr>
          <w:p>
            <w:pPr>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24"/>
                <w:szCs w:val="24"/>
                <w:color w:val="auto"/>
              </w:rPr>
            </w:pPr>
          </w:p>
        </w:tc>
      </w:tr>
      <w:tr>
        <w:trPr>
          <w:trHeight w:val="135"/>
        </w:trPr>
        <w:tc>
          <w:tcPr>
            <w:tcW w:w="106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28.</w:t>
            </w:r>
          </w:p>
        </w:tc>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Process to Seek Exemption</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520" w:type="dxa"/>
            <w:vAlign w:val="bottom"/>
            <w:shd w:val="clear" w:color="auto" w:fill="CCEEFF"/>
          </w:tcPr>
          <w:p>
            <w:pPr>
              <w:spacing w:after="0"/>
              <w:rPr>
                <w:sz w:val="24"/>
                <w:szCs w:val="24"/>
                <w:color w:val="auto"/>
              </w:rPr>
            </w:pPr>
          </w:p>
        </w:tc>
      </w:tr>
      <w:tr>
        <w:trPr>
          <w:trHeight w:val="135"/>
        </w:trPr>
        <w:tc>
          <w:tcPr>
            <w:tcW w:w="1060" w:type="dxa"/>
            <w:vAlign w:val="bottom"/>
            <w:shd w:val="clear" w:color="auto" w:fill="CCEEFF"/>
          </w:tcPr>
          <w:p>
            <w:pPr>
              <w:spacing w:after="0"/>
              <w:rPr>
                <w:sz w:val="11"/>
                <w:szCs w:val="11"/>
                <w:color w:val="auto"/>
              </w:rPr>
            </w:pPr>
          </w:p>
        </w:tc>
        <w:tc>
          <w:tcPr>
            <w:tcW w:w="9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243"/>
        </w:trPr>
        <w:tc>
          <w:tcPr>
            <w:tcW w:w="1060" w:type="dxa"/>
            <w:vAlign w:val="bottom"/>
          </w:tcPr>
          <w:p>
            <w:pPr>
              <w:ind w:left="20"/>
              <w:spacing w:after="0"/>
              <w:rPr>
                <w:sz w:val="20"/>
                <w:szCs w:val="20"/>
                <w:color w:val="auto"/>
              </w:rPr>
            </w:pPr>
            <w:r>
              <w:rPr>
                <w:rFonts w:ascii="Arial" w:cs="Arial" w:eastAsia="Arial" w:hAnsi="Arial"/>
                <w:sz w:val="18"/>
                <w:szCs w:val="18"/>
                <w:color w:val="auto"/>
              </w:rPr>
              <w:t>Section 29.</w:t>
            </w:r>
          </w:p>
        </w:tc>
        <w:tc>
          <w:tcPr>
            <w:tcW w:w="9420" w:type="dxa"/>
            <w:vAlign w:val="bottom"/>
          </w:tcPr>
          <w:p>
            <w:pPr>
              <w:ind w:left="220"/>
              <w:spacing w:after="0"/>
              <w:rPr>
                <w:sz w:val="20"/>
                <w:szCs w:val="20"/>
                <w:color w:val="auto"/>
              </w:rPr>
            </w:pPr>
            <w:r>
              <w:rPr>
                <w:rFonts w:ascii="Arial" w:cs="Arial" w:eastAsia="Arial" w:hAnsi="Arial"/>
                <w:sz w:val="18"/>
                <w:szCs w:val="18"/>
                <w:color w:val="auto"/>
              </w:rPr>
              <w:t>Acquiring Person</w:t>
            </w:r>
          </w:p>
        </w:tc>
        <w:tc>
          <w:tcPr>
            <w:tcW w:w="360" w:type="dxa"/>
            <w:vAlign w:val="bottom"/>
          </w:tcPr>
          <w:p>
            <w:pPr>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21"/>
                <w:szCs w:val="21"/>
                <w:color w:val="auto"/>
              </w:rPr>
            </w:pPr>
          </w:p>
        </w:tc>
      </w:tr>
      <w:tr>
        <w:trPr>
          <w:trHeight w:val="27"/>
        </w:trPr>
        <w:tc>
          <w:tcPr>
            <w:tcW w:w="1060" w:type="dxa"/>
            <w:vAlign w:val="bottom"/>
          </w:tcPr>
          <w:p>
            <w:pPr>
              <w:spacing w:after="0"/>
              <w:rPr>
                <w:sz w:val="2"/>
                <w:szCs w:val="2"/>
                <w:color w:val="auto"/>
              </w:rPr>
            </w:pPr>
          </w:p>
        </w:tc>
        <w:tc>
          <w:tcPr>
            <w:tcW w:w="9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30.</w:t>
            </w:r>
          </w:p>
        </w:tc>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Successors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24"/>
                <w:szCs w:val="24"/>
                <w:color w:val="auto"/>
              </w:rPr>
            </w:pPr>
          </w:p>
        </w:tc>
      </w:tr>
      <w:tr>
        <w:trPr>
          <w:trHeight w:val="135"/>
        </w:trPr>
        <w:tc>
          <w:tcPr>
            <w:tcW w:w="1060" w:type="dxa"/>
            <w:vAlign w:val="bottom"/>
            <w:shd w:val="clear" w:color="auto" w:fill="CCEEFF"/>
          </w:tcPr>
          <w:p>
            <w:pPr>
              <w:spacing w:after="0"/>
              <w:rPr>
                <w:sz w:val="11"/>
                <w:szCs w:val="11"/>
                <w:color w:val="auto"/>
              </w:rPr>
            </w:pPr>
          </w:p>
        </w:tc>
        <w:tc>
          <w:tcPr>
            <w:tcW w:w="9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31.</w:t>
            </w:r>
          </w:p>
        </w:tc>
        <w:tc>
          <w:tcPr>
            <w:tcW w:w="9420" w:type="dxa"/>
            <w:vAlign w:val="bottom"/>
          </w:tcPr>
          <w:p>
            <w:pPr>
              <w:ind w:left="220"/>
              <w:spacing w:after="0"/>
              <w:rPr>
                <w:sz w:val="20"/>
                <w:szCs w:val="20"/>
                <w:color w:val="auto"/>
              </w:rPr>
            </w:pPr>
            <w:r>
              <w:rPr>
                <w:rFonts w:ascii="Arial" w:cs="Arial" w:eastAsia="Arial" w:hAnsi="Arial"/>
                <w:sz w:val="18"/>
                <w:szCs w:val="18"/>
                <w:color w:val="auto"/>
              </w:rPr>
              <w:t>Determinations and Actions by the Board of Directors</w:t>
            </w:r>
          </w:p>
        </w:tc>
        <w:tc>
          <w:tcPr>
            <w:tcW w:w="360" w:type="dxa"/>
            <w:vAlign w:val="bottom"/>
          </w:tcPr>
          <w:p>
            <w:pPr>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24"/>
                <w:szCs w:val="24"/>
                <w:color w:val="auto"/>
              </w:rPr>
            </w:pPr>
          </w:p>
        </w:tc>
      </w:tr>
    </w:tbl>
    <w:p>
      <w:pPr>
        <w:sectPr>
          <w:pgSz w:w="11900" w:h="16838" w:orient="portrait"/>
          <w:cols w:equalWidth="0" w:num="1">
            <w:col w:w="11360"/>
          </w:cols>
          <w:pgMar w:left="280" w:top="580" w:right="259" w:bottom="9"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920" w:type="dxa"/>
            <w:vAlign w:val="bottom"/>
            <w:gridSpan w:val="3"/>
          </w:tcPr>
          <w:p>
            <w:pPr>
              <w:ind w:left="180"/>
              <w:spacing w:after="0"/>
              <w:rPr>
                <w:sz w:val="20"/>
                <w:szCs w:val="20"/>
                <w:color w:val="auto"/>
              </w:rPr>
            </w:pPr>
            <w:r>
              <w:rPr>
                <w:rFonts w:ascii="Arial" w:cs="Arial" w:eastAsia="Arial" w:hAnsi="Arial"/>
                <w:sz w:val="20"/>
                <w:szCs w:val="20"/>
                <w:b w:val="1"/>
                <w:bCs w:val="1"/>
                <w:color w:val="auto"/>
              </w:rPr>
              <w:t>TABLE OF CONTENTS</w:t>
            </w:r>
          </w:p>
        </w:tc>
      </w:tr>
      <w:tr>
        <w:trPr>
          <w:trHeight w:val="256"/>
        </w:trPr>
        <w:tc>
          <w:tcPr>
            <w:tcW w:w="10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6920" w:type="dxa"/>
            <w:vAlign w:val="bottom"/>
            <w:gridSpan w:val="3"/>
          </w:tcPr>
          <w:p>
            <w:pPr>
              <w:ind w:left="720"/>
              <w:spacing w:after="0"/>
              <w:rPr>
                <w:sz w:val="20"/>
                <w:szCs w:val="20"/>
                <w:color w:val="auto"/>
              </w:rPr>
            </w:pPr>
            <w:r>
              <w:rPr>
                <w:rFonts w:ascii="Arial" w:cs="Arial" w:eastAsia="Arial" w:hAnsi="Arial"/>
                <w:sz w:val="20"/>
                <w:szCs w:val="20"/>
                <w:b w:val="1"/>
                <w:bCs w:val="1"/>
                <w:color w:val="auto"/>
              </w:rPr>
              <w:t>(Continued)</w:t>
            </w:r>
          </w:p>
        </w:tc>
      </w:tr>
      <w:tr>
        <w:trPr>
          <w:trHeight w:val="563"/>
        </w:trPr>
        <w:tc>
          <w:tcPr>
            <w:tcW w:w="10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20"/>
                <w:szCs w:val="20"/>
                <w:b w:val="1"/>
                <w:bCs w:val="1"/>
                <w:color w:val="auto"/>
              </w:rPr>
              <w:t>Page</w:t>
            </w:r>
          </w:p>
        </w:tc>
      </w:tr>
      <w:tr>
        <w:trPr>
          <w:trHeight w:val="20"/>
        </w:trPr>
        <w:tc>
          <w:tcPr>
            <w:tcW w:w="10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07"/>
        </w:trPr>
        <w:tc>
          <w:tcPr>
            <w:tcW w:w="1060" w:type="dxa"/>
            <w:vAlign w:val="bottom"/>
          </w:tcPr>
          <w:p>
            <w:pPr>
              <w:ind w:left="20"/>
              <w:spacing w:after="0"/>
              <w:rPr>
                <w:sz w:val="20"/>
                <w:szCs w:val="20"/>
                <w:color w:val="auto"/>
              </w:rPr>
            </w:pPr>
            <w:r>
              <w:rPr>
                <w:rFonts w:ascii="Arial" w:cs="Arial" w:eastAsia="Arial" w:hAnsi="Arial"/>
                <w:sz w:val="18"/>
                <w:szCs w:val="18"/>
                <w:color w:val="auto"/>
              </w:rPr>
              <w:t>Section 32.</w:t>
            </w:r>
          </w:p>
        </w:tc>
        <w:tc>
          <w:tcPr>
            <w:tcW w:w="3380" w:type="dxa"/>
            <w:vAlign w:val="bottom"/>
          </w:tcPr>
          <w:p>
            <w:pPr>
              <w:ind w:left="220"/>
              <w:spacing w:after="0"/>
              <w:rPr>
                <w:sz w:val="20"/>
                <w:szCs w:val="20"/>
                <w:color w:val="auto"/>
              </w:rPr>
            </w:pPr>
            <w:r>
              <w:rPr>
                <w:rFonts w:ascii="Arial" w:cs="Arial" w:eastAsia="Arial" w:hAnsi="Arial"/>
                <w:sz w:val="18"/>
                <w:szCs w:val="18"/>
                <w:color w:val="auto"/>
              </w:rPr>
              <w:t>Benefits of this Agreement</w:t>
            </w:r>
          </w:p>
        </w:tc>
        <w:tc>
          <w:tcPr>
            <w:tcW w:w="6440" w:type="dxa"/>
            <w:vAlign w:val="bottom"/>
            <w:gridSpan w:val="2"/>
          </w:tcPr>
          <w:p>
            <w:pPr>
              <w:ind w:left="6040"/>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24"/>
                <w:szCs w:val="24"/>
                <w:color w:val="auto"/>
              </w:rPr>
            </w:pPr>
          </w:p>
        </w:tc>
      </w:tr>
      <w:tr>
        <w:trPr>
          <w:trHeight w:val="135"/>
        </w:trPr>
        <w:tc>
          <w:tcPr>
            <w:tcW w:w="10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33.</w:t>
            </w: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Annual Review by Independent Directors</w:t>
            </w:r>
          </w:p>
        </w:tc>
        <w:tc>
          <w:tcPr>
            <w:tcW w:w="6440" w:type="dxa"/>
            <w:vAlign w:val="bottom"/>
            <w:gridSpan w:val="2"/>
            <w:shd w:val="clear" w:color="auto" w:fill="CCEEFF"/>
          </w:tcPr>
          <w:p>
            <w:pPr>
              <w:ind w:left="6040"/>
              <w:spacing w:after="0"/>
              <w:rPr>
                <w:sz w:val="20"/>
                <w:szCs w:val="20"/>
                <w:color w:val="auto"/>
              </w:rPr>
            </w:pPr>
            <w:r>
              <w:rPr>
                <w:rFonts w:ascii="Arial" w:cs="Arial" w:eastAsia="Arial" w:hAnsi="Arial"/>
                <w:sz w:val="18"/>
                <w:szCs w:val="18"/>
                <w:color w:val="auto"/>
              </w:rPr>
              <w:t>25</w:t>
            </w:r>
          </w:p>
        </w:tc>
        <w:tc>
          <w:tcPr>
            <w:tcW w:w="480" w:type="dxa"/>
            <w:vAlign w:val="bottom"/>
            <w:shd w:val="clear" w:color="auto" w:fill="CCEEFF"/>
          </w:tcPr>
          <w:p>
            <w:pPr>
              <w:spacing w:after="0"/>
              <w:rPr>
                <w:sz w:val="24"/>
                <w:szCs w:val="24"/>
                <w:color w:val="auto"/>
              </w:rPr>
            </w:pPr>
          </w:p>
        </w:tc>
      </w:tr>
      <w:tr>
        <w:trPr>
          <w:trHeight w:val="135"/>
        </w:trPr>
        <w:tc>
          <w:tcPr>
            <w:tcW w:w="106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60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34.</w:t>
            </w:r>
          </w:p>
        </w:tc>
        <w:tc>
          <w:tcPr>
            <w:tcW w:w="338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6440" w:type="dxa"/>
            <w:vAlign w:val="bottom"/>
            <w:gridSpan w:val="2"/>
          </w:tcPr>
          <w:p>
            <w:pPr>
              <w:ind w:left="604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24"/>
                <w:szCs w:val="24"/>
                <w:color w:val="auto"/>
              </w:rPr>
            </w:pPr>
          </w:p>
        </w:tc>
      </w:tr>
      <w:tr>
        <w:trPr>
          <w:trHeight w:val="135"/>
        </w:trPr>
        <w:tc>
          <w:tcPr>
            <w:tcW w:w="10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35.</w:t>
            </w: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Governing Law</w:t>
            </w:r>
          </w:p>
        </w:tc>
        <w:tc>
          <w:tcPr>
            <w:tcW w:w="6440" w:type="dxa"/>
            <w:vAlign w:val="bottom"/>
            <w:gridSpan w:val="2"/>
            <w:shd w:val="clear" w:color="auto" w:fill="CCEEFF"/>
          </w:tcPr>
          <w:p>
            <w:pPr>
              <w:ind w:left="6040"/>
              <w:spacing w:after="0"/>
              <w:rPr>
                <w:sz w:val="20"/>
                <w:szCs w:val="20"/>
                <w:color w:val="auto"/>
              </w:rPr>
            </w:pPr>
            <w:r>
              <w:rPr>
                <w:rFonts w:ascii="Arial" w:cs="Arial" w:eastAsia="Arial" w:hAnsi="Arial"/>
                <w:sz w:val="18"/>
                <w:szCs w:val="18"/>
                <w:color w:val="auto"/>
              </w:rPr>
              <w:t>25</w:t>
            </w:r>
          </w:p>
        </w:tc>
        <w:tc>
          <w:tcPr>
            <w:tcW w:w="480" w:type="dxa"/>
            <w:vAlign w:val="bottom"/>
            <w:shd w:val="clear" w:color="auto" w:fill="CCEEFF"/>
          </w:tcPr>
          <w:p>
            <w:pPr>
              <w:spacing w:after="0"/>
              <w:rPr>
                <w:sz w:val="24"/>
                <w:szCs w:val="24"/>
                <w:color w:val="auto"/>
              </w:rPr>
            </w:pPr>
          </w:p>
        </w:tc>
      </w:tr>
      <w:tr>
        <w:trPr>
          <w:trHeight w:val="135"/>
        </w:trPr>
        <w:tc>
          <w:tcPr>
            <w:tcW w:w="106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60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36.</w:t>
            </w:r>
          </w:p>
        </w:tc>
        <w:tc>
          <w:tcPr>
            <w:tcW w:w="3380" w:type="dxa"/>
            <w:vAlign w:val="bottom"/>
          </w:tcPr>
          <w:p>
            <w:pPr>
              <w:ind w:left="220"/>
              <w:spacing w:after="0"/>
              <w:rPr>
                <w:sz w:val="20"/>
                <w:szCs w:val="20"/>
                <w:color w:val="auto"/>
              </w:rPr>
            </w:pPr>
            <w:r>
              <w:rPr>
                <w:rFonts w:ascii="Arial" w:cs="Arial" w:eastAsia="Arial" w:hAnsi="Arial"/>
                <w:sz w:val="18"/>
                <w:szCs w:val="18"/>
                <w:color w:val="auto"/>
              </w:rPr>
              <w:t>Exclusive Jurisdiction</w:t>
            </w:r>
          </w:p>
        </w:tc>
        <w:tc>
          <w:tcPr>
            <w:tcW w:w="6440" w:type="dxa"/>
            <w:vAlign w:val="bottom"/>
            <w:gridSpan w:val="2"/>
          </w:tcPr>
          <w:p>
            <w:pPr>
              <w:ind w:left="604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24"/>
                <w:szCs w:val="24"/>
                <w:color w:val="auto"/>
              </w:rPr>
            </w:pPr>
          </w:p>
        </w:tc>
      </w:tr>
      <w:tr>
        <w:trPr>
          <w:trHeight w:val="135"/>
        </w:trPr>
        <w:tc>
          <w:tcPr>
            <w:tcW w:w="10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37.</w:t>
            </w: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Counterparts</w:t>
            </w:r>
          </w:p>
        </w:tc>
        <w:tc>
          <w:tcPr>
            <w:tcW w:w="6440" w:type="dxa"/>
            <w:vAlign w:val="bottom"/>
            <w:gridSpan w:val="2"/>
            <w:shd w:val="clear" w:color="auto" w:fill="CCEEFF"/>
          </w:tcPr>
          <w:p>
            <w:pPr>
              <w:ind w:left="6040"/>
              <w:spacing w:after="0"/>
              <w:rPr>
                <w:sz w:val="20"/>
                <w:szCs w:val="20"/>
                <w:color w:val="auto"/>
              </w:rPr>
            </w:pPr>
            <w:r>
              <w:rPr>
                <w:rFonts w:ascii="Arial" w:cs="Arial" w:eastAsia="Arial" w:hAnsi="Arial"/>
                <w:sz w:val="18"/>
                <w:szCs w:val="18"/>
                <w:color w:val="auto"/>
              </w:rPr>
              <w:t>25</w:t>
            </w:r>
          </w:p>
        </w:tc>
        <w:tc>
          <w:tcPr>
            <w:tcW w:w="480" w:type="dxa"/>
            <w:vAlign w:val="bottom"/>
            <w:shd w:val="clear" w:color="auto" w:fill="CCEEFF"/>
          </w:tcPr>
          <w:p>
            <w:pPr>
              <w:spacing w:after="0"/>
              <w:rPr>
                <w:sz w:val="24"/>
                <w:szCs w:val="24"/>
                <w:color w:val="auto"/>
              </w:rPr>
            </w:pPr>
          </w:p>
        </w:tc>
      </w:tr>
      <w:tr>
        <w:trPr>
          <w:trHeight w:val="135"/>
        </w:trPr>
        <w:tc>
          <w:tcPr>
            <w:tcW w:w="106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60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38.</w:t>
            </w:r>
          </w:p>
        </w:tc>
        <w:tc>
          <w:tcPr>
            <w:tcW w:w="3380" w:type="dxa"/>
            <w:vAlign w:val="bottom"/>
          </w:tcPr>
          <w:p>
            <w:pPr>
              <w:ind w:left="220"/>
              <w:spacing w:after="0"/>
              <w:rPr>
                <w:sz w:val="20"/>
                <w:szCs w:val="20"/>
                <w:color w:val="auto"/>
              </w:rPr>
            </w:pPr>
            <w:r>
              <w:rPr>
                <w:rFonts w:ascii="Arial" w:cs="Arial" w:eastAsia="Arial" w:hAnsi="Arial"/>
                <w:sz w:val="18"/>
                <w:szCs w:val="18"/>
                <w:color w:val="auto"/>
              </w:rPr>
              <w:t>Descriptive Headings</w:t>
            </w:r>
          </w:p>
        </w:tc>
        <w:tc>
          <w:tcPr>
            <w:tcW w:w="6440" w:type="dxa"/>
            <w:vAlign w:val="bottom"/>
            <w:gridSpan w:val="2"/>
          </w:tcPr>
          <w:p>
            <w:pPr>
              <w:ind w:left="604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80" w:top="359"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SECTION 382 RIGHTS AGREEMENT</w:t>
      </w:r>
    </w:p>
    <w:p>
      <w:pPr>
        <w:spacing w:after="0" w:line="229"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This Section 382 Rights Agreement, dated as of July 20, 2016 (the “</w:t>
      </w:r>
      <w:r>
        <w:rPr>
          <w:rFonts w:ascii="Arial" w:cs="Arial" w:eastAsia="Arial" w:hAnsi="Arial"/>
          <w:sz w:val="17"/>
          <w:szCs w:val="17"/>
          <w:u w:val="single" w:color="auto"/>
          <w:color w:val="auto"/>
        </w:rPr>
        <w:t>Agreement</w:t>
      </w:r>
      <w:r>
        <w:rPr>
          <w:rFonts w:ascii="Arial" w:cs="Arial" w:eastAsia="Arial" w:hAnsi="Arial"/>
          <w:sz w:val="17"/>
          <w:szCs w:val="17"/>
          <w:color w:val="auto"/>
        </w:rPr>
        <w:t>”), is between MICRON TECHNOLOGY,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WELLS FARGO BANK, NATIONAL ASSOCIATION, as Rights Agent (the “</w:t>
      </w:r>
      <w:r>
        <w:rPr>
          <w:rFonts w:ascii="Arial" w:cs="Arial" w:eastAsia="Arial" w:hAnsi="Arial"/>
          <w:sz w:val="17"/>
          <w:szCs w:val="17"/>
          <w:u w:val="single" w:color="auto"/>
          <w:color w:val="auto"/>
        </w:rPr>
        <w:t>Rights Agent</w:t>
      </w:r>
      <w:r>
        <w:rPr>
          <w:rFonts w:ascii="Arial" w:cs="Arial" w:eastAsia="Arial" w:hAnsi="Arial"/>
          <w:sz w:val="17"/>
          <w:szCs w:val="17"/>
          <w:color w:val="auto"/>
        </w:rPr>
        <w: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WHEREAS, the Company has generated NOLs and other Tax Benefits (as such terms are hereinafter defined) for United States Federal income tax purposes; and such NOLs and other Tax Benefits may potentially provide valuable tax benefits to the Company; the Company desires to avoid an “ownership change” within the meaning of Section 382 and the Treasury Regulations (as such terms are hereinafter defined) promulgated thereunder, and thereby preserve the ability to utilize fully such NOLs and other Tax Benefits; and, in furtherance of such objective, the Company desires to enter into this Agreement; and</w:t>
      </w:r>
    </w:p>
    <w:p>
      <w:pPr>
        <w:spacing w:after="0" w:line="18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WHEREAS, on July 20, 2016 (the “</w:t>
      </w:r>
      <w:r>
        <w:rPr>
          <w:rFonts w:ascii="Arial" w:cs="Arial" w:eastAsia="Arial" w:hAnsi="Arial"/>
          <w:sz w:val="16"/>
          <w:szCs w:val="16"/>
          <w:u w:val="single" w:color="auto"/>
          <w:color w:val="auto"/>
        </w:rPr>
        <w:t>Rights Dividend Declaration Date</w:t>
      </w:r>
      <w:r>
        <w:rPr>
          <w:rFonts w:ascii="Arial" w:cs="Arial" w:eastAsia="Arial" w:hAnsi="Arial"/>
          <w:sz w:val="16"/>
          <w:szCs w:val="16"/>
          <w:color w:val="auto"/>
        </w:rPr>
        <w:t>”), the Board of Directors of the Company authorized and declared a dividend of one common stock purchase right (a “</w:t>
      </w:r>
      <w:r>
        <w:rPr>
          <w:rFonts w:ascii="Arial" w:cs="Arial" w:eastAsia="Arial" w:hAnsi="Arial"/>
          <w:sz w:val="16"/>
          <w:szCs w:val="16"/>
          <w:u w:val="single" w:color="auto"/>
          <w:color w:val="auto"/>
        </w:rPr>
        <w:t>Right</w:t>
      </w:r>
      <w:r>
        <w:rPr>
          <w:rFonts w:ascii="Arial" w:cs="Arial" w:eastAsia="Arial" w:hAnsi="Arial"/>
          <w:sz w:val="16"/>
          <w:szCs w:val="16"/>
          <w:color w:val="auto"/>
        </w:rPr>
        <w:t>”) for each share of Common Stock (as hereinafter defined) outstanding at the Close of Business on August 1, 2016 (the “</w:t>
      </w:r>
      <w:r>
        <w:rPr>
          <w:rFonts w:ascii="Arial" w:cs="Arial" w:eastAsia="Arial" w:hAnsi="Arial"/>
          <w:sz w:val="16"/>
          <w:szCs w:val="16"/>
          <w:u w:val="single" w:color="auto"/>
          <w:color w:val="auto"/>
        </w:rPr>
        <w:t>Record Date</w:t>
      </w:r>
      <w:r>
        <w:rPr>
          <w:rFonts w:ascii="Arial" w:cs="Arial" w:eastAsia="Arial" w:hAnsi="Arial"/>
          <w:sz w:val="16"/>
          <w:szCs w:val="16"/>
          <w:color w:val="auto"/>
        </w:rPr>
        <w:t>”) and has authorized the issuance, upon the terms and subject to the conditions hereinafter set forth, of one Right in respect of each share of Common Stock issued between the Record Date and the earlier of the Distribution Date and the Expiration Date, each Right initially representing the right to purchase one-half of one share of Common Stock upon the terms and subject to the conditions hereinafter set forth; and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Company desires to appoint the Rights Agent to act as rights agent hereunder, in accordance with the terms and conditions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premises and the mutual agreements herein set forth, the parties hereto agree as follows:</w:t>
      </w:r>
    </w:p>
    <w:p>
      <w:pPr>
        <w:spacing w:after="0" w:line="117"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Certain Definitions</w:t>
      </w:r>
      <w:r>
        <w:rPr>
          <w:rFonts w:ascii="Arial" w:cs="Arial" w:eastAsia="Arial" w:hAnsi="Arial"/>
          <w:sz w:val="17"/>
          <w:szCs w:val="17"/>
          <w:color w:val="auto"/>
        </w:rPr>
        <w:t>. The defined terms herein, whether defined in this Section 1 or elsewhere in this Agreement, shall apply equally to both singular and plural forms of the terms defined. For purposes of this Agreement, the following terms have the meanings indicated:</w:t>
      </w:r>
    </w:p>
    <w:p>
      <w:pPr>
        <w:spacing w:after="0" w:line="147"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Acquiring Person</w:t>
      </w:r>
      <w:r>
        <w:rPr>
          <w:rFonts w:ascii="Arial" w:cs="Arial" w:eastAsia="Arial" w:hAnsi="Arial"/>
          <w:sz w:val="16"/>
          <w:szCs w:val="16"/>
          <w:color w:val="auto"/>
        </w:rPr>
        <w:t>” shall mean any Person who or which, alone or together with all Affiliates and Associates of such Person, shall be the Beneficial Owner of 4.99% or more of the shares of Common Stock then outstanding, but not including (a) the Company, any Subsidiary of the Company, any employee benefit or compensation plan of the Company or of any of its Subsidiaries or any Person organized, appointed or established by the Company and holding shares of Common Stock for or pursuant to the terms of any such employee benefit or compensation plan, (b) any Grandfathered Person, unless such Grandfathered Person becomes the Beneficial Owner of a percentage of the Common Stock then outstanding exceeding such Grandfathered Person’s Grandfathered Percentage by 0.5% or more or (c) any Exempt Person; provided, however, that no Person who or which, alone or together with all Affiliates and Associates of such Person, has become and is the Beneficial Owner of 4.99% or more (or in the case of a Grandfathered Person, has exceeded and is exceeding such Grandfathered Person’s Grandfathered Percentage by 0.5% or more) of the shares of Common Stock at the time outstanding, will be deemed to have become an Acquiring Person solely as the result of (i) a change in the aggregate number of shares of Common Stock outstanding since the last date on which such Person acquired Beneficial Ownership of any shares of Common Stock, including pursuant to a dividend or distribution of shares by the Company made on a pro rata basis to all holders of Common Stock or the issuance of shares by the Company pursuant to a split or subdivision of the outstanding Common Stock; (ii) equity compensation awards granted to such Person by the Company or as a result of an adjustment to the number of shares of Common Stock represented by such equity compensation award pursuant to the terms thereof, unless and until such time, in the case of clause (i) and clause (ii), as such Person or one or more of its Affiliates or Associates thereafter acquires Beneficial Ownership of one additional share of Common Stock (other than any shares of Common Stock acquired as described in clause (i) or (ii) above); or (iii) the acquisition by such Person or one or more of its Affiliates or Associates of Beneficial Ownership of additional shares of Common Stock if the Board of Directors determines that such acquisition was made in good faith without the knowledge by such Person or one or more of its Affiliates or Associates that such Person would thereby become an Acquiring Person (including because (A) such Person was unaware that it Beneficially Owned a percentage of then-outstanding Common Stock that would otherwise cause such Person, together with all Affiliates and Associates of such Person, to become an “Acquiring Person” or (B) such Person was aware of the extent of its Beneficial Ownership but was unaware of the consequences of such Beneficial Ownership under this Agreement), which determination of the Board of Directors shall be conclusive and binding on such Person, the Rights Agent, the holders of the Rights and all other Persons.</w:t>
      </w:r>
    </w:p>
    <w:p>
      <w:pPr>
        <w:sectPr>
          <w:pgSz w:w="11900" w:h="16838" w:orient="portrait"/>
          <w:cols w:equalWidth="0" w:num="1">
            <w:col w:w="11420"/>
          </w:cols>
          <w:pgMar w:left="240" w:top="688" w:right="239" w:bottom="1440" w:gutter="0" w:footer="0" w:header="0"/>
        </w:sectPr>
      </w:pPr>
    </w:p>
    <w:bookmarkStart w:id="10" w:name="page11"/>
    <w:bookmarkEnd w:id="10"/>
    <w:p>
      <w:pPr>
        <w:ind w:right="40" w:firstLine="1297"/>
        <w:spacing w:after="0" w:line="271" w:lineRule="auto"/>
        <w:rPr>
          <w:sz w:val="20"/>
          <w:szCs w:val="20"/>
          <w:color w:val="auto"/>
        </w:rPr>
      </w:pPr>
      <w:r>
        <w:rPr>
          <w:rFonts w:ascii="Arial" w:cs="Arial" w:eastAsia="Arial" w:hAnsi="Arial"/>
          <w:sz w:val="17"/>
          <w:szCs w:val="17"/>
          <w:color w:val="auto"/>
        </w:rPr>
        <w:t>Notwithstanding clause (iii) of the proviso in the prior sentence, unless the Board of Directors determines pursuant to the definition of “Exempt Person” that an Inadvertent Acquiror is an Exempt Person, if any Person that is not an Acquiring Person due to such clause (iii) does not reduce its, together with all of its Affiliates and Associates, percentage of Beneficial Ownership of Common Stock to less than 4.99% by the Close of Business on the tenth calendar day after notice from the Company (the date of notice being the first day) that such Person’s Beneficial Ownership of shares of Common Stock would make it an Acquiring Person, such Person shall, at the end of such ten calendar day period, become an Acquiring Person (and such clause (iii) shall no longer apply to such Person). If any Person that is not an Acquiring Person due to such clause (iii) and the requirements of the prior sentence shall again become the Beneficial Owner of 4.99% or more of the shares of Common Stock then outstanding, such Person shall be deemed an “Acquiring Person”, subject to the exceptions set forth in this definition.</w:t>
      </w:r>
    </w:p>
    <w:p>
      <w:pPr>
        <w:spacing w:after="0" w:line="179" w:lineRule="exact"/>
        <w:rPr>
          <w:sz w:val="20"/>
          <w:szCs w:val="20"/>
          <w:color w:val="auto"/>
        </w:rPr>
      </w:pPr>
    </w:p>
    <w:p>
      <w:pPr>
        <w:ind w:right="160"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and “</w:t>
      </w:r>
      <w:r>
        <w:rPr>
          <w:rFonts w:ascii="Arial" w:cs="Arial" w:eastAsia="Arial" w:hAnsi="Arial"/>
          <w:sz w:val="16"/>
          <w:szCs w:val="16"/>
          <w:u w:val="single" w:color="auto"/>
          <w:color w:val="auto"/>
        </w:rPr>
        <w:t>Associate</w:t>
      </w:r>
      <w:r>
        <w:rPr>
          <w:rFonts w:ascii="Arial" w:cs="Arial" w:eastAsia="Arial" w:hAnsi="Arial"/>
          <w:sz w:val="16"/>
          <w:szCs w:val="16"/>
          <w:color w:val="auto"/>
        </w:rPr>
        <w:t>”, when used with reference to any Person, shall have the respective meanings ascribed to such terms in Rule 12b-2 of the General Rules and Regulations under the Exchange Act, as in effect on the date of this Agreement, and to the extent not included within the foregoing, shall also include with respect to any Person, any other Person whose shares of Common Stock would be deemed to be constructively owned by such first Person, owned by a single “entity” as defined in Section 1.382-3(a)(1) of the Treasury Regulations, or otherwise aggregated with shares owned by such first Person, pursuant to the provisions of the Code, or any successor or replacement provision, and the Treasury Regulations promulgated thereunder.</w:t>
      </w:r>
    </w:p>
    <w:p>
      <w:pPr>
        <w:spacing w:after="0" w:line="158"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A Person shall be deemed the “</w:t>
      </w:r>
      <w:r>
        <w:rPr>
          <w:rFonts w:ascii="Arial" w:cs="Arial" w:eastAsia="Arial" w:hAnsi="Arial"/>
          <w:sz w:val="18"/>
          <w:szCs w:val="18"/>
          <w:u w:val="single" w:color="auto"/>
          <w:color w:val="auto"/>
        </w:rPr>
        <w:t>Beneficial Owner</w:t>
      </w:r>
      <w:r>
        <w:rPr>
          <w:rFonts w:ascii="Arial" w:cs="Arial" w:eastAsia="Arial" w:hAnsi="Arial"/>
          <w:sz w:val="18"/>
          <w:szCs w:val="18"/>
          <w:color w:val="auto"/>
        </w:rPr>
        <w:t>” of, and shall be deemed to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shall be deemed to have “</w:t>
      </w:r>
      <w:r>
        <w:rPr>
          <w:rFonts w:ascii="Arial" w:cs="Arial" w:eastAsia="Arial" w:hAnsi="Arial"/>
          <w:sz w:val="18"/>
          <w:szCs w:val="18"/>
          <w:u w:val="single" w:color="auto"/>
          <w:color w:val="auto"/>
        </w:rPr>
        <w:t>Beneficial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Ownership</w:t>
      </w:r>
      <w:r>
        <w:rPr>
          <w:rFonts w:ascii="Arial" w:cs="Arial" w:eastAsia="Arial" w:hAnsi="Arial"/>
          <w:sz w:val="18"/>
          <w:szCs w:val="18"/>
          <w:color w:val="auto"/>
        </w:rPr>
        <w:t>” of, any securities:</w:t>
      </w:r>
    </w:p>
    <w:p>
      <w:pPr>
        <w:spacing w:after="0" w:line="170" w:lineRule="exact"/>
        <w:rPr>
          <w:sz w:val="20"/>
          <w:szCs w:val="20"/>
          <w:color w:val="auto"/>
        </w:rPr>
      </w:pPr>
    </w:p>
    <w:p>
      <w:pPr>
        <w:ind w:right="120" w:firstLine="1305"/>
        <w:spacing w:after="0" w:line="255" w:lineRule="auto"/>
        <w:tabs>
          <w:tab w:leader="none" w:pos="154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such Person or any of such Person’s Affiliates or Associates is deemed to “beneficially own” within the meaning of Rule 13d-3 of the General Rules and Regulations under the Exchange Act, as in effect on the date of this Agreement; provided, however, that a Person shall not be deemed the Beneficial Owner of, or to Beneficially Own, or to have Beneficial Ownership of, any shares of Common Stock by virtue of owning securities or other interests (including rights, options or warrants) that are convertible or exchangeable into, or exercisable for, shares of Common Stock, except to the extent that upon the acquisition or transfer of such securities or other interests, such securities or other interests would be treated as exercised under Section 1.382-4(d) or other applicable sections of the Treasury Regulations;</w:t>
      </w:r>
    </w:p>
    <w:p>
      <w:pPr>
        <w:spacing w:after="0" w:line="193" w:lineRule="exact"/>
        <w:rPr>
          <w:rFonts w:ascii="Arial" w:cs="Arial" w:eastAsia="Arial" w:hAnsi="Arial"/>
          <w:sz w:val="18"/>
          <w:szCs w:val="18"/>
          <w:color w:val="auto"/>
        </w:rPr>
      </w:pPr>
    </w:p>
    <w:p>
      <w:pPr>
        <w:ind w:firstLine="1305"/>
        <w:spacing w:after="0" w:line="288" w:lineRule="auto"/>
        <w:tabs>
          <w:tab w:leader="none" w:pos="1551" w:val="left"/>
        </w:tabs>
        <w:numPr>
          <w:ilvl w:val="0"/>
          <w:numId w:val="3"/>
        </w:numPr>
        <w:rPr>
          <w:rFonts w:ascii="Arial" w:cs="Arial" w:eastAsia="Arial" w:hAnsi="Arial"/>
          <w:sz w:val="16"/>
          <w:szCs w:val="16"/>
          <w:color w:val="auto"/>
        </w:rPr>
      </w:pPr>
      <w:r>
        <w:rPr>
          <w:rFonts w:ascii="Arial" w:cs="Arial" w:eastAsia="Arial" w:hAnsi="Arial"/>
          <w:sz w:val="16"/>
          <w:szCs w:val="16"/>
          <w:color w:val="auto"/>
        </w:rPr>
        <w:t>that such Person or any of such Person’s Affiliates or Associates has, directly or indirectly, the legal, equitable or contractual right or obligation to acquire (whether such right is exercisable immediately or only after the passage of time, compliance with regulatory requirements, fulfillment of a condition or otherwise, or whether within the control of such Person) pursuant to any agreement, arrangement or understanding (written or oral), or upon the exercise of conversion rights, exchange rights, other rights (other than the Rights), warrants or options, or otherwise; provided, however, that a Person shall not be deemed under this clause (b) to be the Beneficial Owner of, or to Beneficially Own, or to have Beneficial Ownership of (i) any shares of Common Stock by virtue of owning securities or other interests (including rights, options or warrants) that are convertible or exchangeable into, or exercisable for, shares of Common Stock, except to the extent that upon the acquisition or transfer of such securities or other interests, such securities or other interests would be treated as exercised under Section 1.382-4(d) or other applicable sections of the Treasury Regulations or (ii) any securities tendered pursuant to a tender or exchange offer made by or on behalf of such Person or any of such Person’s Affiliates or Associates until such tendered securities are accepted for purchase or exchange thereunder or cease to be subject to withdrawal by the tendering security holder;</w:t>
      </w:r>
    </w:p>
    <w:p>
      <w:pPr>
        <w:spacing w:after="0" w:line="169" w:lineRule="exact"/>
        <w:rPr>
          <w:rFonts w:ascii="Arial" w:cs="Arial" w:eastAsia="Arial" w:hAnsi="Arial"/>
          <w:sz w:val="16"/>
          <w:szCs w:val="16"/>
          <w:color w:val="auto"/>
        </w:rPr>
      </w:pPr>
    </w:p>
    <w:p>
      <w:pPr>
        <w:ind w:right="60" w:firstLine="1305"/>
        <w:spacing w:after="0" w:line="293" w:lineRule="auto"/>
        <w:tabs>
          <w:tab w:leader="none" w:pos="1541" w:val="left"/>
        </w:tabs>
        <w:numPr>
          <w:ilvl w:val="0"/>
          <w:numId w:val="3"/>
        </w:numPr>
        <w:rPr>
          <w:rFonts w:ascii="Arial" w:cs="Arial" w:eastAsia="Arial" w:hAnsi="Arial"/>
          <w:sz w:val="16"/>
          <w:szCs w:val="16"/>
          <w:color w:val="auto"/>
        </w:rPr>
      </w:pPr>
      <w:r>
        <w:rPr>
          <w:rFonts w:ascii="Arial" w:cs="Arial" w:eastAsia="Arial" w:hAnsi="Arial"/>
          <w:sz w:val="16"/>
          <w:szCs w:val="16"/>
          <w:color w:val="auto"/>
        </w:rPr>
        <w:t>that such Person or any of such Person’s Affiliates or Associates has the right to vote pursuant to any agreement, arrangement or understanding (written or oral); provided, however, that a Person shall not be deemed under this clause (c) to be the Beneficial Owner of, or to Beneficially Own, or to have Beneficial Ownership of, any security if (i) the agreement, arrangement or understanding to vote such security arises solely from a revocable proxy or consent given to such Person in response to a public proxy or consent solicitation made generally to all holders of shares of Common Stock of the Company pursuant to, and in accordance with, the applicable rules and regulations under the Exchange Act and (ii) the beneficial ownership of such security is not also then reportable on Schedule 13D or 13G under the Exchange Act (or any comparable or successor report);</w:t>
      </w:r>
    </w:p>
    <w:p>
      <w:pPr>
        <w:spacing w:after="0" w:line="164" w:lineRule="exact"/>
        <w:rPr>
          <w:rFonts w:ascii="Arial" w:cs="Arial" w:eastAsia="Arial" w:hAnsi="Arial"/>
          <w:sz w:val="16"/>
          <w:szCs w:val="16"/>
          <w:color w:val="auto"/>
        </w:rPr>
      </w:pPr>
    </w:p>
    <w:p>
      <w:pPr>
        <w:ind w:right="120" w:firstLine="1305"/>
        <w:spacing w:after="0" w:line="277" w:lineRule="auto"/>
        <w:tabs>
          <w:tab w:leader="none" w:pos="155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such Person or any of such Person’s Affiliates or Associates has the right to dispose of, pursuant to any agreement, arrangement or understanding (written or oral);</w:t>
      </w:r>
    </w:p>
    <w:p>
      <w:pPr>
        <w:spacing w:after="0" w:line="170" w:lineRule="exact"/>
        <w:rPr>
          <w:rFonts w:ascii="Arial" w:cs="Arial" w:eastAsia="Arial" w:hAnsi="Arial"/>
          <w:sz w:val="18"/>
          <w:szCs w:val="18"/>
          <w:color w:val="auto"/>
        </w:rPr>
      </w:pPr>
    </w:p>
    <w:p>
      <w:pPr>
        <w:ind w:firstLine="1305"/>
        <w:spacing w:after="0" w:line="264" w:lineRule="auto"/>
        <w:tabs>
          <w:tab w:leader="none" w:pos="154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are beneficially owned, directly or indirectly, by any other Person (or an Affiliate or Associate thereof) with which such Person (or any of such Person’s Affiliates or Associates) has any agreement, arrangement or understanding (written or oral) for the purpose of acquiring (except pursuant to a tender or exchange offer subject to withdrawal as described</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908" w:right="259" w:bottom="1440" w:gutter="0" w:footer="0" w:header="0"/>
        </w:sectPr>
      </w:pPr>
    </w:p>
    <w:bookmarkStart w:id="11" w:name="page12"/>
    <w:bookmarkEnd w:id="11"/>
    <w:p>
      <w:pPr>
        <w:ind w:right="20"/>
        <w:spacing w:after="0" w:line="277" w:lineRule="auto"/>
        <w:rPr>
          <w:sz w:val="20"/>
          <w:szCs w:val="20"/>
          <w:color w:val="auto"/>
        </w:rPr>
      </w:pPr>
      <w:r>
        <w:rPr>
          <w:rFonts w:ascii="Arial" w:cs="Arial" w:eastAsia="Arial" w:hAnsi="Arial"/>
          <w:sz w:val="18"/>
          <w:szCs w:val="18"/>
          <w:color w:val="auto"/>
        </w:rPr>
        <w:t>in the proviso to clause (b) of this definition) such securities, but only if the effect of such agreement, arrangement or understanding is to treat such Persons as an “entity” under Section 1.382-3(a)(1) or other applicable sections of the Treasury Regulations; or</w:t>
      </w:r>
    </w:p>
    <w:p>
      <w:pPr>
        <w:spacing w:after="0" w:line="170" w:lineRule="exact"/>
        <w:rPr>
          <w:sz w:val="20"/>
          <w:szCs w:val="20"/>
          <w:color w:val="auto"/>
        </w:rPr>
      </w:pPr>
    </w:p>
    <w:p>
      <w:pPr>
        <w:ind w:right="100" w:firstLine="1305"/>
        <w:spacing w:after="0" w:line="272" w:lineRule="auto"/>
        <w:tabs>
          <w:tab w:leader="none" w:pos="1521" w:val="left"/>
        </w:tabs>
        <w:numPr>
          <w:ilvl w:val="0"/>
          <w:numId w:val="4"/>
        </w:numPr>
        <w:rPr>
          <w:rFonts w:ascii="Arial" w:cs="Arial" w:eastAsia="Arial" w:hAnsi="Arial"/>
          <w:sz w:val="17"/>
          <w:szCs w:val="17"/>
          <w:color w:val="auto"/>
        </w:rPr>
      </w:pPr>
      <w:r>
        <w:rPr>
          <w:rFonts w:ascii="Arial" w:cs="Arial" w:eastAsia="Arial" w:hAnsi="Arial"/>
          <w:sz w:val="17"/>
          <w:szCs w:val="17"/>
          <w:color w:val="auto"/>
        </w:rPr>
        <w:t>which are the subject of, or the reference securities for, or that underlie, any derivative security (as defined under Rule 16a-1 under the Exchange Act) Beneficially Owned by such Person or any of such Person’s Affiliates or Associates, with the number of shares of Common Stock deemed Beneficially Owned being the notional or other number of shares of Common Stock specified in the documentation evidencing such derivative security as being subject to be acquired upon the exercise or settlement of such derivative security or as the basis upon which the value or settlement amount of such derivative security is to be calculated in whole or in part or, if no such number of shares of Common Stock is specified in such documentation, as determined by the Board of Directors in its sole discretion to be the number of shares of Common Stock to which such derivative security relates, to the extent that such derivative security is being used to evade the ownership change rules under Section 382.</w:t>
      </w:r>
    </w:p>
    <w:p>
      <w:pPr>
        <w:spacing w:after="0" w:line="178"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Notwithstanding the foregoing, nothing contained in this definition shall cause a Person to be deemed the “Beneficial Owner” of, or to “Beneficially Own”, or to have “Beneficial Ownership” of, securities (A) if the Person is ordinarily engaged in business as an underwriter of securities and has acquired such securities in a bona fide firm commitment underwriting pursuant to an underwriting agreement with the Company until the expiration of 40 calendar days (or such later date as the Board of Directors may determine in any specific case) after the date of such acquisition, and then only if such securities continue to be owned by such Person at such expiration of 40 calendar days (or such later date as the Board of Directors may determine in any specific case), or (B) if such Person is a “clearing agency” (as defined in Section 3(a)(23) of the Exchange Act) and has acquired such securities solely as a result of such status.</w:t>
      </w:r>
    </w:p>
    <w:p>
      <w:pPr>
        <w:spacing w:after="0" w:line="189"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Notwithstanding anything in this Agreement to the contrary, to the extent not contained in this definition, a Person shall be deemed the “Beneficial Owner” of and shall be deemed to “Beneficially Own” or have “Beneficial Ownership” of, shares of Common Stock that such Person would be deemed to constructively own or that otherwise would be aggregated with shares owned by such Person pursuant to Section 382, or any successor provision or replacement provision of the Code and the Treasury Regulations promulgated thereunder. “Board of Directors” means the Board of Directors of the Company.</w:t>
      </w:r>
    </w:p>
    <w:p>
      <w:pPr>
        <w:spacing w:after="0" w:line="188" w:lineRule="exact"/>
        <w:rPr>
          <w:sz w:val="20"/>
          <w:szCs w:val="20"/>
          <w:color w:val="auto"/>
        </w:rPr>
      </w:pPr>
    </w:p>
    <w:p>
      <w:pPr>
        <w:ind w:right="40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a day on which banking institutions in the State of New York (or such other state in which the principal office of the Rights Agent is located) are authorized or obligated by law or executive order to close.</w:t>
      </w:r>
    </w:p>
    <w:p>
      <w:pPr>
        <w:spacing w:after="0" w:line="147"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Close of Business</w:t>
      </w:r>
      <w:r>
        <w:rPr>
          <w:rFonts w:ascii="Arial" w:cs="Arial" w:eastAsia="Arial" w:hAnsi="Arial"/>
          <w:sz w:val="18"/>
          <w:szCs w:val="18"/>
          <w:color w:val="auto"/>
        </w:rPr>
        <w:t xml:space="preserve">” on any given date means 5:00 p.m., New York City time, on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date is not a Business Day, “Close of Business” means 5:00 p.m., New York City time, on the next succeeding Business Day.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right="20"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when used with reference to the Company prior to a Business Combination, shall mean the shares of Common Stock, par value $.10 per share, of the Company, or any other shares of capital stock of the Company into which the Common Stock shall be reclassified or changed and any other interest that would be treated as “stock” of the Company for purposes of Section 382 (including but not limited to Treasury Regulation Section</w:t>
      </w:r>
    </w:p>
    <w:p>
      <w:pPr>
        <w:spacing w:after="0" w:line="267" w:lineRule="auto"/>
        <w:rPr>
          <w:sz w:val="20"/>
          <w:szCs w:val="20"/>
          <w:color w:val="auto"/>
        </w:rPr>
      </w:pPr>
      <w:r>
        <w:rPr>
          <w:rFonts w:ascii="Arial" w:cs="Arial" w:eastAsia="Arial" w:hAnsi="Arial"/>
          <w:sz w:val="17"/>
          <w:szCs w:val="17"/>
          <w:color w:val="auto"/>
        </w:rPr>
        <w:t>1.382-2T(f)(18)) in this Section 1 and all other provisions of this Agreement in which such meaning is necessary in order to ensure that this Agreement is effective in carrying out its stated purpose and intent of preserving the Company’s NOLs and other Tax Benefits; “Common Stock”, when used with reference to any Person (other than the Company prior to a Business Combination), shall mean shares of capital stock of such Person (if such Person is a corporation) of any class or series, or units of equity interests in such Person (if such Person is not a corporation) of any class or series, the terms of which do not limit (as a maximum amount and not merely in proportional terms) the amount of dividends or income payable or distributable on such class or series or the amount of assets distributable on such class or series upon any voluntary or involuntary liquidation, dissolution or winding up of such Person and do not provide that such class or series is subject to redemption at the option of such Person, or any shares of capital stock or units of equity interests into which the foregoing shall be reclassified or changed, and if there shall be more than one class or series of such shares of capital stock or units of equity interests of such Person, then “Common Stock” of such Person shall mean the class or series of capital stock of such Person or units of equity interests in such Person having voting power (being the power under ordinary circumstances (and not merely upon the happening of a contingency) to vote in the election of directors of such Person (if such Person is a corporation) or to participate in the management and control of such Person (if such Person is not a corporation)), or in the case of multiple classes or series having such voting power, having the greatest voting power.</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08" w:right="239" w:bottom="1440" w:gutter="0" w:footer="0" w:header="0"/>
        </w:sectPr>
      </w:pPr>
    </w:p>
    <w:bookmarkStart w:id="12" w:name="page13"/>
    <w:bookmarkEnd w:id="12"/>
    <w:p>
      <w:pPr>
        <w:jc w:val="both"/>
        <w:ind w:right="22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Current Exchange Value</w:t>
      </w:r>
      <w:r>
        <w:rPr>
          <w:rFonts w:ascii="Arial" w:cs="Arial" w:eastAsia="Arial" w:hAnsi="Arial"/>
          <w:sz w:val="17"/>
          <w:szCs w:val="17"/>
          <w:color w:val="auto"/>
        </w:rPr>
        <w:t>” means the product of the current market price per share of Common Stock on the date of the occurrence of an Exchange Determination (or the next Business Day, if such date is not a Business Day) multiplied by the number of shares of Common Stock for which the Right would otherwise be exchangeable (without regard to whether there were sufficient shares of Common Stock available therefor).</w:t>
      </w:r>
    </w:p>
    <w:p>
      <w:pPr>
        <w:spacing w:after="0" w:line="166" w:lineRule="exact"/>
        <w:rPr>
          <w:sz w:val="20"/>
          <w:szCs w:val="20"/>
          <w:color w:val="auto"/>
        </w:rPr>
      </w:pPr>
    </w:p>
    <w:p>
      <w:pPr>
        <w:ind w:right="16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Definitive Acquisition Agreement</w:t>
      </w:r>
      <w:r>
        <w:rPr>
          <w:rFonts w:ascii="Arial" w:cs="Arial" w:eastAsia="Arial" w:hAnsi="Arial"/>
          <w:sz w:val="16"/>
          <w:szCs w:val="16"/>
          <w:color w:val="auto"/>
        </w:rPr>
        <w:t>” means any agreement entered into by the Company that is conditioned on the approval by the holders of not less than a majority of the outstanding shares of Common Stock at a meeting of stockholders with respect to (i) a merger, consolidation, recapitalization, reorganization, share exchange, business combination or similar transaction involving the Company or (ii) the acquisition in any manner, directly or indirectly, of more than 50% of the consolidated total assets (including, without limitation, equity securities of its Subsidiaries) of the Company.</w:t>
      </w:r>
    </w:p>
    <w:p>
      <w:pPr>
        <w:spacing w:after="0" w:line="154"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Distribution Date</w:t>
      </w:r>
      <w:r>
        <w:rPr>
          <w:rFonts w:ascii="Arial" w:cs="Arial" w:eastAsia="Arial" w:hAnsi="Arial"/>
          <w:sz w:val="16"/>
          <w:szCs w:val="16"/>
          <w:color w:val="auto"/>
        </w:rPr>
        <w:t>” means the Close of Business on the earlier of (i) the tenth calendar day after the Stock Acquisition Date and (ii) the tenth Business Day (or such later date as may be determined by action of the Board of Directors prior to such time as any Person becomes an Acquiring Person) after the date of commencement by any Person (other than the Company, any Subsidiary of the Company, any employee benefit plan of the Company or any Subsidiary of the Company, or any Person organized, appointed or established by the Company or any of its Subsidiaries for or pursuant to the terms of any such plan) of, or after the date of the first public announcement of the intention of any Person (other than the Company, any Subsidiary of the Company, any employee benefit plan of the Company or any Subsidiary of the Company, or any Person organized, appointed or established by the Company or any of its Subsidiaries for or pursuant to the terms of any such plan) to commence, a tender or exchange offer the consummation of which could result in any Person becoming the Beneficial Owner of 4.99% or more of the shares of Common Stock of the Company then outstanding.</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20"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Person</w:t>
      </w:r>
      <w:r>
        <w:rPr>
          <w:rFonts w:ascii="Arial" w:cs="Arial" w:eastAsia="Arial" w:hAnsi="Arial"/>
          <w:sz w:val="16"/>
          <w:szCs w:val="16"/>
          <w:color w:val="auto"/>
        </w:rPr>
        <w:t>” shall mean any Person, alone or together with all Affiliates and Associates of such Person, whose Beneficial Ownership of 4.99% or more of the then outstanding shares of Common Stock, as determined by the Board of Directors in its sole discretion, or a duly constituted committee of Independent Directors, in its sole discretion, including a determination pursuant to Section 28, (a) would not jeopardize or endanger the availability to the Company of its NOLs or other Tax Benefits, taking into account all relevant facts and circumstances, including the potential for the Company to issue a reasonable amount of equity in the future without jeopardizing the availability of its NOLs and other Tax Benefits or (b) is otherwise in the best interests of the Company; provided, however, that the Board of Directors, or a duly constituted committee of Independent Directors, makes such determination either (x) before the time such Person otherwise would have become an Acquiring Person, or (y) after the time such Person otherwise would have become an Acquiring Person if the Board of Directors has determined that such Person is an Inadvertent Acquiror; provided, further, that such Person will cease to be an “Exempt Person” if the Board of Directors, in its sole discretion, or a duly constituted committee of Independent Directors, makes a contrary determination with respect to the effect of such Person’s Beneficial Ownership (together with all Affiliates and Associates of such Person) with respect to the availability to the Company of its NOLs or other Tax Benefits, taking into account all relevant facts and circumstances, including the potential for the Company to issue a reasonable amount of equity in the future without jeopardizing the availability of its NOLs and other Tax Benefits. In granting an exemption under this definition, the Board of Directors may require any Person who would otherwise be an Acquiring Person to make certain representations, undertakings or covenants or to agree that any violation or attempted violation of such representations, undertakings or covenants will result in such consequences and be subject to such conditions as the Board of Directors, or a duly constituted committee of Independent Directors, may determine in its sole discretion, including that any such violation shall result in such Person becoming an Acquiring Person.</w:t>
      </w:r>
    </w:p>
    <w:p>
      <w:pPr>
        <w:spacing w:after="0" w:line="178" w:lineRule="exact"/>
        <w:rPr>
          <w:sz w:val="20"/>
          <w:szCs w:val="20"/>
          <w:color w:val="auto"/>
        </w:rPr>
      </w:pPr>
    </w:p>
    <w:p>
      <w:pPr>
        <w:ind w:right="40"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Exempt Transaction</w:t>
      </w:r>
      <w:r>
        <w:rPr>
          <w:rFonts w:ascii="Arial" w:cs="Arial" w:eastAsia="Arial" w:hAnsi="Arial"/>
          <w:sz w:val="17"/>
          <w:szCs w:val="17"/>
          <w:color w:val="auto"/>
        </w:rPr>
        <w:t>” shall mean any transaction that the Board of Directors determines, or a duly constituted committee of Independent Directors determines, is exempt from this Agreement, which determination shall be made in the sole discretion of the Board of Directors (or any such committee) prior to the date of such transaction, including if the Board of Directors determines that (a) neither the Beneficial Ownership of shares of Common Stock by any Person, directly or indirectly, as a result of such transaction nor any other aspect of such transaction would jeopardize or endanger the availability to the Company of the NOLs or other Tax Benefits, taking into account all relevant facts and circumstances, including the potential for the Company to issue a reasonable amount of equity in the future without jeopardizing the availability of its NOLs and other Tax Benefits or (b) such transaction is otherwise in the best interests of the Company. In granting an exemption under this definition, the Board of Directors may require any Person who would otherwise be an Acquiring Person to make certain representations, undertakings or covenants or to agree that any violation or attempted violation of such representations, undertakings or covenants will result in such consequences and be subject to such conditions as the Board of Directors, or a duly constituted committee of Independent Directors, may determine in its sole discretion, including that any such violation shall result in such Person becoming an Acquiring Person.</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08" w:right="239" w:bottom="1440" w:gutter="0" w:footer="0" w:header="0"/>
        </w:sectPr>
      </w:pPr>
    </w:p>
    <w:bookmarkStart w:id="13" w:name="page14"/>
    <w:bookmarkEnd w:id="1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Exemption Request</w:t>
      </w:r>
      <w:r>
        <w:rPr>
          <w:rFonts w:ascii="Arial" w:cs="Arial" w:eastAsia="Arial" w:hAnsi="Arial"/>
          <w:sz w:val="18"/>
          <w:szCs w:val="18"/>
          <w:color w:val="auto"/>
        </w:rPr>
        <w:t>” shall have the meaning set forth in Section 28.</w:t>
      </w:r>
    </w:p>
    <w:p>
      <w:pPr>
        <w:spacing w:after="0" w:line="225" w:lineRule="exact"/>
        <w:rPr>
          <w:sz w:val="20"/>
          <w:szCs w:val="20"/>
          <w:color w:val="auto"/>
        </w:rPr>
      </w:pPr>
    </w:p>
    <w:p>
      <w:pPr>
        <w:ind w:right="16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Expiration Date</w:t>
      </w:r>
      <w:r>
        <w:rPr>
          <w:rFonts w:ascii="Arial" w:cs="Arial" w:eastAsia="Arial" w:hAnsi="Arial"/>
          <w:sz w:val="17"/>
          <w:szCs w:val="17"/>
          <w:color w:val="auto"/>
        </w:rPr>
        <w:t>” means the earliest of (a) the Final Expiration Date, (b) the time at which all Rights are redeemed as provided in Section 23 or exchanged as provided in Section 24, (c) the date on which the Board of Directors determines in its sole discretion that this Agreement is no longer necessary for the preservation of material valuable Tax Benefits, (d) the beginning of a taxable year of the Company to which the Board of Directors determines in its sole discretion that no Tax Benefits may be carried forward, (e) the date on which the Board of Directors determines in its sole discretion that this Agreement is no longer in the best interest of the Company and its stockholders and (f) the Close of Business on July 19, 2017, if stockholder approval of this Agreement has not been obtained by or on such date.</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Expiration Date</w:t>
      </w:r>
      <w:r>
        <w:rPr>
          <w:rFonts w:ascii="Arial" w:cs="Arial" w:eastAsia="Arial" w:hAnsi="Arial"/>
          <w:sz w:val="18"/>
          <w:szCs w:val="18"/>
          <w:color w:val="auto"/>
        </w:rPr>
        <w:t>” means the Close of Business on July 19, 2019.</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Percentage</w:t>
      </w:r>
      <w:r>
        <w:rPr>
          <w:rFonts w:ascii="Arial" w:cs="Arial" w:eastAsia="Arial" w:hAnsi="Arial"/>
          <w:sz w:val="18"/>
          <w:szCs w:val="18"/>
          <w:color w:val="auto"/>
        </w:rPr>
        <w:t>” shall mean, with respect to any Grandfathered Person, the percentage of the outstanding shares of Common Stock of the Company that such Grandfathered Person, together with all Affiliates and Associates of such Grandfathered Person, Beneficially Owns as of the Rights Dividend Declaration Date; provided that, in the event any Grandfathered Person shall sell, transfer, or otherwise dispose of any outstanding shares of Common Stock after the Rights Dividend Declaration Date, the Grandfathered Percentage shall, subsequent to such sale, transfer or disposition, mean, with respect to such Grandfathered Person, the lesser of (a) the Grandfathered Percentage as in effect immediately prior to such sale, transfer or disposition or (b) the percentage of outstanding shares of Common Stock of the Company that such Grandfathered Person Beneficially Owns immediately following such sale, transfer or disposition.</w:t>
      </w:r>
    </w:p>
    <w:p>
      <w:pPr>
        <w:spacing w:after="0" w:line="189"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Person</w:t>
      </w:r>
      <w:r>
        <w:rPr>
          <w:rFonts w:ascii="Arial" w:cs="Arial" w:eastAsia="Arial" w:hAnsi="Arial"/>
          <w:sz w:val="18"/>
          <w:szCs w:val="18"/>
          <w:color w:val="auto"/>
        </w:rPr>
        <w:t>” shall mean any Person who or which, together with all Affiliates and Associates of such Person, is, as of the Rights Dividend Declaration Date, the Beneficial Owner (as disclosed in public filings with the Securities and Exchange Commission on the Rights Dividend Declaration Date) of 4.99% or more of the shares of Common Stock then outstanding. Notwithstanding anything to the contrary provided in this Agreement, any Grandfathered Person who after the Rights Dividend Declaration Date becomes the Beneficial Owner of less than 4.99% of the shares of Common Stock then outstanding shall cease to be a Grandfathered Person and shall be subject to all of the provisions of this Agreement in the same manner as any Person who or which is not and was never a Grandfathered Person.</w:t>
      </w:r>
    </w:p>
    <w:p>
      <w:pPr>
        <w:spacing w:after="0" w:line="193"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Inadvertent Acquiror</w:t>
      </w:r>
      <w:r>
        <w:rPr>
          <w:rFonts w:ascii="Arial" w:cs="Arial" w:eastAsia="Arial" w:hAnsi="Arial"/>
          <w:sz w:val="18"/>
          <w:szCs w:val="18"/>
          <w:color w:val="auto"/>
        </w:rPr>
        <w:t>” shall mean any Person who would be an Acquiring Person but for clause (iii) of the proviso in the definition of “Acquiring Person”.</w:t>
      </w:r>
    </w:p>
    <w:p>
      <w:pPr>
        <w:spacing w:after="0" w:line="170"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Directors</w:t>
      </w:r>
      <w:r>
        <w:rPr>
          <w:rFonts w:ascii="Arial" w:cs="Arial" w:eastAsia="Arial" w:hAnsi="Arial"/>
          <w:sz w:val="18"/>
          <w:szCs w:val="18"/>
          <w:color w:val="auto"/>
        </w:rPr>
        <w:t>” mean members of the Board of Directors who are not officers, employees or Affiliates (or designees of Affiliates) of the Company or any of its Subsidiaries.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Stock Market LLC.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NOLs</w:t>
      </w:r>
      <w:r>
        <w:rPr>
          <w:rFonts w:ascii="Arial" w:cs="Arial" w:eastAsia="Arial" w:hAnsi="Arial"/>
          <w:sz w:val="18"/>
          <w:szCs w:val="18"/>
          <w:color w:val="auto"/>
        </w:rPr>
        <w:t>” shall mean the Company’s net operating loss carryforwards.</w:t>
      </w:r>
    </w:p>
    <w:p>
      <w:pPr>
        <w:spacing w:after="0" w:line="225"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association, trust, unincorporated organization or any other entity or organization.</w:t>
      </w:r>
    </w:p>
    <w:p>
      <w:pPr>
        <w:spacing w:after="0" w:line="170" w:lineRule="exact"/>
        <w:rPr>
          <w:sz w:val="20"/>
          <w:szCs w:val="20"/>
          <w:color w:val="auto"/>
        </w:rPr>
      </w:pPr>
    </w:p>
    <w:p>
      <w:pPr>
        <w:ind w:right="3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the price (subject to adjustment as provided herein) at which a holder of a Right may purchase one-half of one share of Common Stock (subject to adjustment from time to time as provided herein) upon exercise of a Right, which price shall initially be $10.00.</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Dividend Declaration Date</w:t>
      </w:r>
      <w:r>
        <w:rPr>
          <w:rFonts w:ascii="Arial" w:cs="Arial" w:eastAsia="Arial" w:hAnsi="Arial"/>
          <w:sz w:val="18"/>
          <w:szCs w:val="18"/>
          <w:color w:val="auto"/>
        </w:rPr>
        <w:t>” shall have the meaning set forth in the introductory paragraph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11(a)(ii) Event</w:t>
      </w:r>
      <w:r>
        <w:rPr>
          <w:rFonts w:ascii="Arial" w:cs="Arial" w:eastAsia="Arial" w:hAnsi="Arial"/>
          <w:sz w:val="18"/>
          <w:szCs w:val="18"/>
          <w:color w:val="auto"/>
        </w:rPr>
        <w:t>” means any event described in the first clause of Section 11(a)(ii).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13 Event</w:t>
      </w:r>
      <w:r>
        <w:rPr>
          <w:rFonts w:ascii="Arial" w:cs="Arial" w:eastAsia="Arial" w:hAnsi="Arial"/>
          <w:sz w:val="18"/>
          <w:szCs w:val="18"/>
          <w:color w:val="auto"/>
        </w:rPr>
        <w:t>” means any event described in clauses (i), (ii) or (iii) of Section 13(a).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382</w:t>
      </w:r>
      <w:r>
        <w:rPr>
          <w:rFonts w:ascii="Arial" w:cs="Arial" w:eastAsia="Arial" w:hAnsi="Arial"/>
          <w:sz w:val="18"/>
          <w:szCs w:val="18"/>
          <w:color w:val="auto"/>
        </w:rPr>
        <w:t>” shall mean Section 382 of the Code, or any successor provision or replacement provision.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Acquisition Date</w:t>
      </w:r>
      <w:r>
        <w:rPr>
          <w:rFonts w:ascii="Arial" w:cs="Arial" w:eastAsia="Arial" w:hAnsi="Arial"/>
          <w:sz w:val="18"/>
          <w:szCs w:val="18"/>
          <w:color w:val="auto"/>
        </w:rPr>
        <w:t>” means the date of the first public announcement (which, for purposes of this definition, shall include, without limitation, a report filed or amended pursuant to Section 13(d) under the Exchange Act (or any</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908" w:right="279" w:bottom="1440" w:gutter="0" w:footer="0" w:header="0"/>
        </w:sectPr>
      </w:pPr>
    </w:p>
    <w:bookmarkStart w:id="14" w:name="page15"/>
    <w:bookmarkEnd w:id="14"/>
    <w:p>
      <w:pPr>
        <w:ind w:right="260"/>
        <w:spacing w:after="0" w:line="264" w:lineRule="auto"/>
        <w:rPr>
          <w:sz w:val="20"/>
          <w:szCs w:val="20"/>
          <w:color w:val="auto"/>
        </w:rPr>
      </w:pPr>
      <w:r>
        <w:rPr>
          <w:rFonts w:ascii="Arial" w:cs="Arial" w:eastAsia="Arial" w:hAnsi="Arial"/>
          <w:sz w:val="18"/>
          <w:szCs w:val="18"/>
          <w:color w:val="auto"/>
        </w:rPr>
        <w:t xml:space="preserve">comparable or successor report)) by the Company or an Acquiring Person indicating that an Acquiring Person has become such;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Person is determined not to have become an Acquiring Person pursuant to the definition of “Acquiring Person” in this Section 1, then no Stock Acquisition Date shall be deemed to have occurred.</w:t>
      </w:r>
    </w:p>
    <w:p>
      <w:pPr>
        <w:spacing w:after="0" w:line="181"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with respect to any Person, means any other Person of which securities or other ownership interests having ordinary voting power sufficient, in the absence of contingencies, to elect a majority of the board of directors or other persons performing similar functions of such other Person are at the time directly or indirectly Beneficially Owned or otherwise controlled by such Person either alone or together with one or more Affiliates of such Person.</w:t>
      </w:r>
    </w:p>
    <w:p>
      <w:pPr>
        <w:spacing w:after="0" w:line="187"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Benefits</w:t>
      </w:r>
      <w:r>
        <w:rPr>
          <w:rFonts w:ascii="Arial" w:cs="Arial" w:eastAsia="Arial" w:hAnsi="Arial"/>
          <w:sz w:val="16"/>
          <w:szCs w:val="16"/>
          <w:color w:val="auto"/>
        </w:rPr>
        <w:t>” shall mean the net operating loss carryovers, capital loss carryovers, general business credit carryovers, alternative minimum tax credit carryovers, foreign tax credit carryovers, research and development credit carryovers and any loss or deduction attributable to a “net unrealized built-in loss” within the meaning of Section 382, and the Treasury Regulations promulgated thereunder, of the Company or any of its Subsidiaries.</w:t>
      </w:r>
    </w:p>
    <w:p>
      <w:pPr>
        <w:spacing w:after="0" w:line="147"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national securities exchange or quotation system on which the shares of Common Stock are listed or admitted to trading or quoted is open for the transaction of business or, if the shares of Common Stock are not listed or admitted to trading or quoted on any national securities exchange or quotation system, a Business Day.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shall mean final, temporary and proposed tax regulations promulgated under the Code,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w:t>
      </w:r>
      <w:r>
        <w:rPr>
          <w:rFonts w:ascii="Arial" w:cs="Arial" w:eastAsia="Arial" w:hAnsi="Arial"/>
          <w:sz w:val="18"/>
          <w:szCs w:val="18"/>
          <w:color w:val="auto"/>
        </w:rPr>
        <w:t>” means any Section 11(a)(ii) Event or any Section 13 Event.</w:t>
      </w:r>
    </w:p>
    <w:p>
      <w:pPr>
        <w:spacing w:after="0" w:line="117"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Appointment of Rights Agent</w:t>
      </w:r>
      <w:r>
        <w:rPr>
          <w:rFonts w:ascii="Arial" w:cs="Arial" w:eastAsia="Arial" w:hAnsi="Arial"/>
          <w:sz w:val="18"/>
          <w:szCs w:val="18"/>
          <w:color w:val="auto"/>
        </w:rPr>
        <w:t>. The Company hereby appoints the Rights Agent to act as agent for the Company and the holders of the Rights (who, in accordance with Section 3 hereof, shall prior to the Distribution Date also be the holders of the Common Stock of the Company) in accordance with the terms and conditions hereof, and the Rights Agent hereby accepts such appointment and hereby agrees to comply with the applicable requirements governing transfer agents and registrars. The Company may from time to time appoint such Co-Rights Agents as it may deem necessary or desirable. If the Company appoints one or more Co-Rights Agents, the respective duties of the Rights Agent and any Co-Rights Agents shall be as the Company shall determine.</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Issue of Right Certificates</w:t>
      </w:r>
    </w:p>
    <w:p>
      <w:pPr>
        <w:spacing w:after="0" w:line="117" w:lineRule="exact"/>
        <w:rPr>
          <w:sz w:val="20"/>
          <w:szCs w:val="20"/>
          <w:color w:val="auto"/>
        </w:rPr>
      </w:pPr>
    </w:p>
    <w:p>
      <w:pPr>
        <w:ind w:right="40" w:firstLine="1305"/>
        <w:spacing w:after="0" w:line="291" w:lineRule="auto"/>
        <w:tabs>
          <w:tab w:leader="none" w:pos="1676" w:val="left"/>
        </w:tabs>
        <w:numPr>
          <w:ilvl w:val="1"/>
          <w:numId w:val="5"/>
        </w:numPr>
        <w:rPr>
          <w:rFonts w:ascii="Arial" w:cs="Arial" w:eastAsia="Arial" w:hAnsi="Arial"/>
          <w:sz w:val="16"/>
          <w:szCs w:val="16"/>
          <w:color w:val="auto"/>
        </w:rPr>
      </w:pPr>
      <w:r>
        <w:rPr>
          <w:rFonts w:ascii="Arial" w:cs="Arial" w:eastAsia="Arial" w:hAnsi="Arial"/>
          <w:sz w:val="16"/>
          <w:szCs w:val="16"/>
          <w:color w:val="auto"/>
        </w:rPr>
        <w:t>Prior to the Distribution Date, (i) the Rights will be evidenced by the certificates for the Common Stock registered in the names of the record holders thereof, which certificates representing shares of Common Stock also will be deemed to be Right Certificates (as hereinafter defined) or, in the case of uncertificated Common Stock registered in book entry form (“</w:t>
      </w:r>
      <w:r>
        <w:rPr>
          <w:rFonts w:ascii="Arial" w:cs="Arial" w:eastAsia="Arial" w:hAnsi="Arial"/>
          <w:sz w:val="16"/>
          <w:szCs w:val="16"/>
          <w:u w:val="single" w:color="auto"/>
          <w:color w:val="auto"/>
        </w:rPr>
        <w:t>Book Entry Shares</w:t>
      </w:r>
      <w:r>
        <w:rPr>
          <w:rFonts w:ascii="Arial" w:cs="Arial" w:eastAsia="Arial" w:hAnsi="Arial"/>
          <w:sz w:val="16"/>
          <w:szCs w:val="16"/>
          <w:color w:val="auto"/>
        </w:rPr>
        <w:t xml:space="preserve">”), by notation in book entry, and not by separate Right Certificates, and the registered holders of the Common Stock shall be deemed to be the registered holders of the associated Rights, (ii) the Rights will be transferable only in connection with the transfer of the underlying shares of Common Stock and (iii) the transfer of any shares of Common Stock in respect of which Rights have been issued will also constitute the transfer of the Rights associated with such shares of Common Stock. The Company has prepared a summary of the Rights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 copy of which is available free of charge upon written request to the Company.</w:t>
      </w:r>
    </w:p>
    <w:p>
      <w:pPr>
        <w:spacing w:after="0" w:line="59" w:lineRule="exact"/>
        <w:rPr>
          <w:rFonts w:ascii="Arial" w:cs="Arial" w:eastAsia="Arial" w:hAnsi="Arial"/>
          <w:sz w:val="16"/>
          <w:szCs w:val="16"/>
          <w:color w:val="auto"/>
        </w:rPr>
      </w:pPr>
    </w:p>
    <w:p>
      <w:pPr>
        <w:ind w:right="20" w:firstLine="1305"/>
        <w:spacing w:after="0" w:line="290" w:lineRule="auto"/>
        <w:tabs>
          <w:tab w:leader="none" w:pos="1676" w:val="left"/>
        </w:tabs>
        <w:numPr>
          <w:ilvl w:val="1"/>
          <w:numId w:val="5"/>
        </w:numPr>
        <w:rPr>
          <w:rFonts w:ascii="Arial" w:cs="Arial" w:eastAsia="Arial" w:hAnsi="Arial"/>
          <w:sz w:val="16"/>
          <w:szCs w:val="16"/>
          <w:color w:val="auto"/>
        </w:rPr>
      </w:pPr>
      <w:r>
        <w:rPr>
          <w:rFonts w:ascii="Arial" w:cs="Arial" w:eastAsia="Arial" w:hAnsi="Arial"/>
          <w:sz w:val="16"/>
          <w:szCs w:val="16"/>
          <w:color w:val="auto"/>
        </w:rPr>
        <w:t>As soon as practicable after the Company has notified the Rights Agent of the occurrence of the Distribution Date, the Company shall prepare and execute, the Rights Agent shall countersign, and the Company shall send or cause to be sent (and the Rights Agent shall, if requested and provided with all necessary information, send), by first-class, insured, postage prepaid mail, to each record holder of the Common Stock as of the Close of Business on the Distribution Date, at the address of such holder shown on the records of the Company, one or more Right Certificates evidencing one Right (subject to adjustment as provided herein) for each share of Common Stock so held. If an adjustment in the number of Rights per share of Common Stock has been made pursuant to Section 11(i), the Company shall, at the time of distribution of the Right Certificates, make the necessary and appropriate rounding adjustments (in accordance with Section 14(a)) so that Right Certificates representing only whole numbers of Rights are distributed and cash is paid in lieu of any fractional Rights. As of and after the Distribution Date, the Rights will be evidenced solely by such Right Certificates.</w:t>
      </w:r>
    </w:p>
    <w:p>
      <w:pPr>
        <w:spacing w:after="0" w:line="58" w:lineRule="exact"/>
        <w:rPr>
          <w:rFonts w:ascii="Arial" w:cs="Arial" w:eastAsia="Arial" w:hAnsi="Arial"/>
          <w:sz w:val="16"/>
          <w:szCs w:val="16"/>
          <w:color w:val="auto"/>
        </w:rPr>
      </w:pPr>
    </w:p>
    <w:p>
      <w:pPr>
        <w:ind w:right="40" w:firstLine="1305"/>
        <w:spacing w:after="0" w:line="288" w:lineRule="auto"/>
        <w:tabs>
          <w:tab w:leader="none" w:pos="1676" w:val="left"/>
        </w:tabs>
        <w:numPr>
          <w:ilvl w:val="1"/>
          <w:numId w:val="5"/>
        </w:numPr>
        <w:rPr>
          <w:rFonts w:ascii="Arial" w:cs="Arial" w:eastAsia="Arial" w:hAnsi="Arial"/>
          <w:sz w:val="16"/>
          <w:szCs w:val="16"/>
          <w:color w:val="auto"/>
        </w:rPr>
      </w:pPr>
      <w:r>
        <w:rPr>
          <w:rFonts w:ascii="Arial" w:cs="Arial" w:eastAsia="Arial" w:hAnsi="Arial"/>
          <w:sz w:val="16"/>
          <w:szCs w:val="16"/>
          <w:color w:val="auto"/>
        </w:rPr>
        <w:t>Rights shall be issued by the Company in respect of all shares of Common Stock outstanding as of the Record Date or issued (whether originally issued or delivered from the Company’s treasury) after the Record Date but prior to the earlier of the Distribution Date and the Expiration Date. In addition, in connection with the issuance or sale of shares of Common Stock following the Distribution Date and prior to the Expiration Date, the Company</w:t>
      </w:r>
    </w:p>
    <w:p>
      <w:pPr>
        <w:ind w:left="220" w:hanging="212"/>
        <w:spacing w:after="0"/>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shall, with respect to shares of Common Stock so issued or sold (x) pursuant to the exercise of stock options or under any employee plan or arrangement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the exercise, conversion or exchange of other securities issued by the Company prior to the Distribution Date and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908" w:right="259" w:bottom="1440" w:gutter="0" w:footer="0" w:header="0"/>
        </w:sectPr>
      </w:pPr>
    </w:p>
    <w:bookmarkStart w:id="15" w:name="page16"/>
    <w:bookmarkEnd w:id="15"/>
    <w:p>
      <w:pPr>
        <w:ind w:right="280" w:firstLine="8"/>
        <w:spacing w:after="0" w:line="302" w:lineRule="auto"/>
        <w:tabs>
          <w:tab w:leader="none" w:pos="265"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may, in any other case, if deemed necessary or appropriate by the Board of Directors, issue Right Certificates representing the appropriate number of Rights in connection with such issuance or sale;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Right Certificate shall be issued if, and to the extent that (i) the Company shall be advised by counsel that such issuance would create a significant risk of material adverse tax consequences to the Company or the Person to whom such Right Certificate would be issued or (ii) appropriate adjustment shall otherwise have been made in lieu of the issuance thereof.</w:t>
      </w:r>
    </w:p>
    <w:p>
      <w:pPr>
        <w:spacing w:after="0" w:line="46" w:lineRule="exact"/>
        <w:rPr>
          <w:rFonts w:ascii="Arial" w:cs="Arial" w:eastAsia="Arial" w:hAnsi="Arial"/>
          <w:sz w:val="16"/>
          <w:szCs w:val="16"/>
          <w:color w:val="auto"/>
        </w:rPr>
      </w:pPr>
    </w:p>
    <w:p>
      <w:pPr>
        <w:ind w:right="40" w:firstLine="1305"/>
        <w:spacing w:after="0" w:line="276" w:lineRule="auto"/>
        <w:tabs>
          <w:tab w:leader="none" w:pos="1686" w:val="left"/>
        </w:tabs>
        <w:numPr>
          <w:ilvl w:val="1"/>
          <w:numId w:val="8"/>
        </w:numPr>
        <w:rPr>
          <w:rFonts w:ascii="Arial" w:cs="Arial" w:eastAsia="Arial" w:hAnsi="Arial"/>
          <w:sz w:val="17"/>
          <w:szCs w:val="17"/>
          <w:color w:val="auto"/>
        </w:rPr>
      </w:pPr>
      <w:r>
        <w:rPr>
          <w:rFonts w:ascii="Arial" w:cs="Arial" w:eastAsia="Arial" w:hAnsi="Arial"/>
          <w:sz w:val="17"/>
          <w:szCs w:val="17"/>
          <w:color w:val="auto"/>
        </w:rPr>
        <w:t>Certificates for the Common Stock issued after the Record Date but prior to the earlier of the Distribution Date and the Expiration Date shall also be deemed to be certificates for Rights and shall have impressed on, printed on, written on or otherwise affixed to them the following legend or such similar legend as the Company may deem appropriate and as is not inconsistent with the provisions of this Agreement, or as may be required to comply with any applicable law or with any rule or regulation made pursuant thereto or with any rule or regulation of any stock exchange or quotation system on which the Common Stock may from time to time be listed or quoted, or to conform to usage:</w:t>
      </w:r>
    </w:p>
    <w:p>
      <w:pPr>
        <w:spacing w:after="0" w:line="64"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 xml:space="preserve">THIS CERTIFICATE ALSO EVIDENCES AND ENTITLES THE HOLDER HEREOF TO CERTAIN RIGHTS AS SET FORTH IN THE SECTION 382 RIGHTS AGREEMENT BETWEEN MICRON TECHNOLOGY, INC. AND THE RIGHTS AGENT DATED AS OF JULY 20, 2016, AS AMENDED, RESTATED, RENEWED, SUPPLEMENTED OR EXTENDED FROM TIME TO TIME (THE “RIGHTS AGREEMENT”), THE TERMS OF WHICH ARE HEREBY INCORPORATED HEREIN BY REFERENCE AND A COPY OF WHICH IS ON FILE AT THE PRINCIPLE EXECUTIVE OFFICES OF THE COMPANY. THE RIGHTS ARE NOT EXERCISABLE PRIOR TO THE OCCURRENCE OF CERTAIN EVENTS SPECIFIED IN THE RIGHTS AGREEMENT. THE COMPANY WILL MAIL TO THE HOLDER OF THIS CERTIFICATE A COPY OF THE RIGHTS AGREEMENT WITHOUT CHARGE PROMPTLY AFTER RECEIPT OF A WRITTEN REQUEST THEREFOR. UNDER CERTAIN CIRCUMSTANCES, AS SET FORTH IN THE RIGHTS AGREEMENT, SUCH RIGHTS MAY BE EVIDENCE BY SEPARATE CERTIFICATES AND NO LONGER BE EVIDENCED BY CERTIFICATE, MAY BE REDEEMED OR EXCHANGED OR MAY EXPIRE. </w:t>
      </w:r>
      <w:r>
        <w:rPr>
          <w:rFonts w:ascii="Arial" w:cs="Arial" w:eastAsia="Arial" w:hAnsi="Arial"/>
          <w:sz w:val="17"/>
          <w:szCs w:val="17"/>
          <w:b w:val="1"/>
          <w:bCs w:val="1"/>
          <w:color w:val="auto"/>
        </w:rPr>
        <w:t>AS SET FORTH IN THE RIGHTS AGREEMENT, RIGHTS</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b w:val="1"/>
          <w:bCs w:val="1"/>
          <w:color w:val="auto"/>
        </w:rPr>
        <w:t>ISSUED TO, OR HELD BY, ANY PERSON WHO IS, WAS OR BECOMES AN ACQUIRING PERSON OR AN AFFILIATE OR ASSOCIATE THEREOF (AS SUCH TERMS ARE DEFINED IN THE RIGHTS AGREEMENT), WHETHER CURRENTLY HELD BY OR ON BEHALF OF SUCH PERSON OR BY ANY SUBSEQUENT HOLDER, MAY BE NULL AND VOID.</w:t>
      </w:r>
    </w:p>
    <w:p>
      <w:pPr>
        <w:spacing w:after="0" w:line="19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With respect to any Book Entry Shares, such legend shall be included in a notice to the record holder of such shares in accordance with applicable law. Until the Distribution Date, the Rights associated with the Common Stock represented by such certificates and such Book Entry Shares shall be evidenced by such certificates and such Book Entry Shares alone, and registered holders of Common Stock shall also be deemed to be the registered holders of the associated Rights, and the surrender for transfer of any of such certificates shall also constitute the transfer of the Rights associated with the Common Stock represented by such certificates.</w:t>
      </w:r>
    </w:p>
    <w:p>
      <w:pPr>
        <w:spacing w:after="0" w:line="18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If the Company purchases or otherwise acquires any shares of Common Stock after the Record Date but prior to the Distribution Date, any Rights associated with such shares of Common Stock shall be deemed cancelled and retired so that the Company shall not be entitled to exercise any Rights associated with the shares of Common Stock that are no longer outstanding.</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Notwithstanding this Section 3(d), the omission of a legend shall not affect the enforceability of any part of this Agreement or the rights of any holder of the Rights.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Form of Right Certificates</w:t>
      </w:r>
      <w:r>
        <w:rPr>
          <w:rFonts w:ascii="Arial" w:cs="Arial" w:eastAsia="Arial" w:hAnsi="Arial"/>
          <w:sz w:val="18"/>
          <w:szCs w:val="18"/>
          <w:color w:val="auto"/>
        </w:rPr>
        <w:t>.</w:t>
      </w:r>
    </w:p>
    <w:p>
      <w:pPr>
        <w:spacing w:after="0" w:line="117" w:lineRule="exact"/>
        <w:rPr>
          <w:sz w:val="20"/>
          <w:szCs w:val="20"/>
          <w:color w:val="auto"/>
        </w:rPr>
      </w:pPr>
    </w:p>
    <w:p>
      <w:pPr>
        <w:ind w:firstLine="1305"/>
        <w:spacing w:after="0" w:line="254" w:lineRule="auto"/>
        <w:tabs>
          <w:tab w:leader="none" w:pos="167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certificates evidencing the Rights (and the forms of assignment, election to purchase and certificates to be printed on the reverse thereof) (the “</w:t>
      </w:r>
      <w:r>
        <w:rPr>
          <w:rFonts w:ascii="Arial" w:cs="Arial" w:eastAsia="Arial" w:hAnsi="Arial"/>
          <w:sz w:val="18"/>
          <w:szCs w:val="18"/>
          <w:u w:val="single" w:color="auto"/>
          <w:color w:val="auto"/>
        </w:rPr>
        <w:t>Right Certificates</w:t>
      </w:r>
      <w:r>
        <w:rPr>
          <w:rFonts w:ascii="Arial" w:cs="Arial" w:eastAsia="Arial" w:hAnsi="Arial"/>
          <w:sz w:val="18"/>
          <w:szCs w:val="18"/>
          <w:color w:val="auto"/>
        </w:rPr>
        <w:t xml:space="preserve">”) shall each be substantially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rule or regulation or with any rule or regulation of any stock exchange or quotation system on which the Rights may from time to time be listed or quoted, or to conform to usage. The Right Certificates, whenever distributed, shall be dated as of the Record Date. Subject to the provisions of Section 22, the Right Certificates, in each case, on their face shall entitle the holders thereof to purchase such number of shares of Common Stock as shall be set forth therein at the Purchase Price, but the number of such shares and the Purchase Price shall be subject to adjustment as provided herein.</w:t>
      </w:r>
    </w:p>
    <w:p>
      <w:pPr>
        <w:spacing w:after="0" w:line="84" w:lineRule="exact"/>
        <w:rPr>
          <w:rFonts w:ascii="Arial" w:cs="Arial" w:eastAsia="Arial" w:hAnsi="Arial"/>
          <w:sz w:val="18"/>
          <w:szCs w:val="18"/>
          <w:color w:val="auto"/>
        </w:rPr>
      </w:pPr>
    </w:p>
    <w:p>
      <w:pPr>
        <w:jc w:val="both"/>
        <w:ind w:right="60" w:firstLine="1305"/>
        <w:spacing w:after="0" w:line="259" w:lineRule="auto"/>
        <w:tabs>
          <w:tab w:leader="none" w:pos="1676"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Right Certificate representing Rights Beneficially Owned by any Person referred to in clauses (i), (ii) or (iii) of the first sentence of Section 7(d), and any Right Certificate issued pursuant to Sections 6 or 11 upon transfer, split up, combination or exchange of any such Rights shall (to the extent feasible) contain the following legend or such similar legend as the Company may deem appropriate and as is not inconsistent with the provisions of this Agreement, or as may be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0" w:right="239" w:bottom="1440" w:gutter="0" w:footer="0" w:header="0"/>
        </w:sectPr>
      </w:pPr>
    </w:p>
    <w:bookmarkStart w:id="16" w:name="page17"/>
    <w:bookmarkEnd w:id="16"/>
    <w:p>
      <w:pPr>
        <w:ind w:right="480"/>
        <w:spacing w:after="0" w:line="277" w:lineRule="auto"/>
        <w:rPr>
          <w:sz w:val="20"/>
          <w:szCs w:val="20"/>
          <w:color w:val="auto"/>
        </w:rPr>
      </w:pPr>
      <w:r>
        <w:rPr>
          <w:rFonts w:ascii="Arial" w:cs="Arial" w:eastAsia="Arial" w:hAnsi="Arial"/>
          <w:sz w:val="18"/>
          <w:szCs w:val="18"/>
          <w:color w:val="auto"/>
        </w:rPr>
        <w:t>required to comply with any applicable law or with any rule or regulation made pursuant thereto or with any rule or regulation of any stock exchange or quotation system on which the Common Stock may from time to time be listed or quoted, or to conform to usage:</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RIGHTS REPRESENTED BY THIS RIGHT CERTIFICATE ARE OR WERE BENEFICIALLY OWNED BY A PERSON WHO WAS OR BECAME AN ACQUIRING PERSON OR AN AFFILIATE OR ASSOCIATE OF AN ACQUIRING PERSON (AS SUCH TERMS ARE DEFINED IN THE RIGHTS AGREEMENT). THIS RIGHT CERTIFICATE AND THE RIGHTS REPRESENTED HEREBY MY BE OR MAY BECOME NULL AND VOID IN THE CIRCUMSTANCES SPECIFIED IN SECTION 7(D) OF SUCH AGREEMENT.</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provisions of Section 7(d) of this Agreement shall be operative whether or not the foregoing legend is contained on any such Right Certificate. The Company shall give notice to the Rights Agent promptly after it becomes aware of the existence of any Acquiring Person or any Associate or Affiliate thereof.</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Countersignature and Registration</w:t>
      </w:r>
      <w:r>
        <w:rPr>
          <w:rFonts w:ascii="Arial" w:cs="Arial" w:eastAsia="Arial" w:hAnsi="Arial"/>
          <w:sz w:val="18"/>
          <w:szCs w:val="18"/>
          <w:color w:val="auto"/>
        </w:rPr>
        <w:t>.</w:t>
      </w:r>
    </w:p>
    <w:p>
      <w:pPr>
        <w:spacing w:after="0" w:line="117" w:lineRule="exact"/>
        <w:rPr>
          <w:sz w:val="20"/>
          <w:szCs w:val="20"/>
          <w:color w:val="auto"/>
        </w:rPr>
      </w:pPr>
    </w:p>
    <w:p>
      <w:pPr>
        <w:ind w:firstLine="1305"/>
        <w:spacing w:after="0" w:line="270" w:lineRule="auto"/>
        <w:tabs>
          <w:tab w:leader="none" w:pos="167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Right Certificates shall be executed on behalf of the Company by its Chairman of the Board, its Chief Executive Officer, President or any Vice President, either manually or by facsimile signature, and shall have affixed thereto the Company’s seal or a facsimile thereof which shall be attested by the Secretary or an Assistant Secretary of the Company, either manually or by facsimile signature. The Right Certificates shall be countersigned, either manually or by facsimile signature, by an authorized signatory of the Rights Agent and shall not be valid for any purpose unless so countersigned. If any officer of the Company whose manual or facsimile signature is affixed to the Right Certificates shall cease to be such officer of the Company before countersignature by an authorized signatory of the Rights Agent and issuance and delivery by the Company, such Right Certificates nevertheless may be countersigned by the Rights Agent and issued and delivered by the Company with the same force and effect as though the Person who signed such Right Certificates had not ceased to be such officer of the Company. Any Right Certificate may be signed on behalf of the Company by any Person who, at the actual date of the execution of such Right Certificate, shall be a proper officer of the Company to sign such Right Certificate, although at the date of the execution of this Agreement any such Person was not such an officer.</w:t>
      </w:r>
    </w:p>
    <w:p>
      <w:pPr>
        <w:spacing w:after="0" w:line="69" w:lineRule="exact"/>
        <w:rPr>
          <w:rFonts w:ascii="Arial" w:cs="Arial" w:eastAsia="Arial" w:hAnsi="Arial"/>
          <w:sz w:val="17"/>
          <w:szCs w:val="17"/>
          <w:color w:val="auto"/>
        </w:rPr>
      </w:pPr>
    </w:p>
    <w:p>
      <w:pPr>
        <w:ind w:right="20" w:firstLine="1305"/>
        <w:spacing w:after="0" w:line="257" w:lineRule="auto"/>
        <w:tabs>
          <w:tab w:leader="none" w:pos="16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Following the Distribution Date, the Rights Agent shall keep or cause to be kept, at its principal office or offices designated for such purpose and at such other offices as may be required to comply with any applicable law or with any rule or regulation made pursuant thereto or with any rule or regulation of any stock exchange or any quotation system on which the Rights may from time to time be listed or quoted, books for registration and transfer of the Right Certificates issued hereunder. Such books shall show with respect to each Right Certificate the name and address of the registered holder, the number of Rights indicated on the certificate and the certificate number.</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Transfer, Split Up, Combination and Exchange of Right Certificates; Mutilated, Destroyed, Lost or Stolen Right Certificates</w:t>
      </w:r>
      <w:r>
        <w:rPr>
          <w:rFonts w:ascii="Arial" w:cs="Arial" w:eastAsia="Arial" w:hAnsi="Arial"/>
          <w:sz w:val="18"/>
          <w:szCs w:val="18"/>
          <w:color w:val="auto"/>
        </w:rPr>
        <w:t>.</w:t>
      </w:r>
    </w:p>
    <w:p>
      <w:pPr>
        <w:spacing w:after="0" w:line="117" w:lineRule="exact"/>
        <w:rPr>
          <w:sz w:val="20"/>
          <w:szCs w:val="20"/>
          <w:color w:val="auto"/>
        </w:rPr>
      </w:pPr>
    </w:p>
    <w:p>
      <w:pPr>
        <w:ind w:right="40" w:firstLine="1305"/>
        <w:spacing w:after="0" w:line="268" w:lineRule="auto"/>
        <w:tabs>
          <w:tab w:leader="none" w:pos="1676"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Subject to the provisions of Sections 7(d), 14 and 24 hereof, at any time after the Close of Business on the Distribution Date and prior to the Close of Business on the Expiration Date, any Right Certificate or Certificates (other than Right Certificates representing Rights that have become void pursuant to Section 7(d) hereof or that have been exchanged pursuant to Section 24 hereof) may, upon the terms and subject to the conditions set forth below in this Section 6(a), be transferred, split up, combined or exchanged for another Right Certificate or Certificates entitling the registered holder to purchase a like number of shares of Common Stock as the Right Certificate or Certificates surrendered then entitled such holder (or former holder, in the case of a transfer) to purchase. Any registered holder desiring to transfer, split up, combine or exchange any Right Certificate or Certificates must make such request in writing delivered to the Rights Agent and must surrender such Right Certificate or Certificates (with, in the case of a transfer, the form of assignment and certificate on the reverse side thereof duly executed) to the Rights Agent at the principal office or offices of the Rights Agent designated for such purpose. Neither the Rights Agent nor the Company shall be obligated to take any action whatsoever with respect to the transfer of any such surrendered Right Certificate or Certificates until the registered holder of the Rights has complied with the requirements of Section 7(e). Upon satisfaction of the foregoing requirements, the Rights Agent shall, subject to Sections 4(b), 7(d), 14 and 24, countersign and deliver to the Person entitled thereto a Right Certificate or Certificates, as the case may be, as so requested. As a condition to such transfer, split up, combination or exchange, the Company may require payment of a sum sufficient to cover any transfer tax or other governmental charge that may be imposed in connection with any transfer, split up, combination or exchange of any Right Certificate or Certificates.</w:t>
      </w:r>
    </w:p>
    <w:p>
      <w:pPr>
        <w:spacing w:after="0" w:line="77" w:lineRule="exact"/>
        <w:rPr>
          <w:rFonts w:ascii="Arial" w:cs="Arial" w:eastAsia="Arial" w:hAnsi="Arial"/>
          <w:sz w:val="17"/>
          <w:szCs w:val="17"/>
          <w:color w:val="auto"/>
        </w:rPr>
      </w:pPr>
    </w:p>
    <w:p>
      <w:pPr>
        <w:ind w:right="100" w:firstLine="1305"/>
        <w:spacing w:after="0" w:line="257" w:lineRule="auto"/>
        <w:tabs>
          <w:tab w:leader="none" w:pos="16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prepare, execute and deliver a new Right Certificate of like tenor to the Rights Agent and the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0" w:right="239" w:bottom="1440" w:gutter="0" w:footer="0" w:header="0"/>
        </w:sectPr>
      </w:pPr>
    </w:p>
    <w:bookmarkStart w:id="17" w:name="page18"/>
    <w:bookmarkEnd w:id="17"/>
    <w:p>
      <w:pPr>
        <w:ind w:right="500"/>
        <w:spacing w:after="0" w:line="277" w:lineRule="auto"/>
        <w:rPr>
          <w:sz w:val="20"/>
          <w:szCs w:val="20"/>
          <w:color w:val="auto"/>
        </w:rPr>
      </w:pPr>
      <w:r>
        <w:rPr>
          <w:rFonts w:ascii="Arial" w:cs="Arial" w:eastAsia="Arial" w:hAnsi="Arial"/>
          <w:sz w:val="18"/>
          <w:szCs w:val="18"/>
          <w:color w:val="auto"/>
        </w:rPr>
        <w:t>Rights Agent will countersign and deliver such new Right Certificate to the registered holder in lieu of the Right Certificate so lost, stolen, destroyed or mutilated.</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Exercise of Rights; Purchase Price; Expiration Date of Rights</w:t>
      </w:r>
      <w:r>
        <w:rPr>
          <w:rFonts w:ascii="Arial" w:cs="Arial" w:eastAsia="Arial" w:hAnsi="Arial"/>
          <w:sz w:val="18"/>
          <w:szCs w:val="18"/>
          <w:color w:val="auto"/>
        </w:rPr>
        <w:t>.</w:t>
      </w:r>
    </w:p>
    <w:p>
      <w:pPr>
        <w:spacing w:after="0" w:line="117" w:lineRule="exact"/>
        <w:rPr>
          <w:sz w:val="20"/>
          <w:szCs w:val="20"/>
          <w:color w:val="auto"/>
        </w:rPr>
      </w:pPr>
    </w:p>
    <w:p>
      <w:pPr>
        <w:ind w:firstLine="1305"/>
        <w:spacing w:after="0" w:line="290" w:lineRule="auto"/>
        <w:tabs>
          <w:tab w:leader="none" w:pos="1666" w:val="left"/>
        </w:tabs>
        <w:numPr>
          <w:ilvl w:val="1"/>
          <w:numId w:val="12"/>
        </w:numPr>
        <w:rPr>
          <w:rFonts w:ascii="Arial" w:cs="Arial" w:eastAsia="Arial" w:hAnsi="Arial"/>
          <w:sz w:val="16"/>
          <w:szCs w:val="16"/>
          <w:color w:val="auto"/>
        </w:rPr>
      </w:pPr>
      <w:r>
        <w:rPr>
          <w:rFonts w:ascii="Arial" w:cs="Arial" w:eastAsia="Arial" w:hAnsi="Arial"/>
          <w:sz w:val="16"/>
          <w:szCs w:val="16"/>
          <w:color w:val="auto"/>
        </w:rPr>
        <w:t>As provided herein, each Right shall be exercisable to purchase one-half of one share of Common Stock, subject to adjustment. The registered holder of any Right Certificate may exercise the Rights evidenced thereby (except as otherwise provided herein, including Sections 7(d) and (e), 9(c), 11(a)(iii) and 24) in whole or in part at any time after the Distribution Date and prior to the Expiration Date upon surrender of the Right Certificate, with the form of election to purchase and the certificate on the reverse side thereof duly executed, to the Rights Agent at the principal office or offices of the Rights Agent designated for such purpose, together with payment (in lawful money of the United States of America by certified check or bank draft payable to the order of the Company or by wire transfer of immediately available funds to an account designated by the Company), equal to the sum of (i) the Purchase Price for the total number of securities as to which such surrendered Rights are exercised and (ii) an amount equal to any applicable transfer tax or other governmental charge required to be paid by the holder of such Right Certificate in accordance with the provisions of Section 9(e).</w:t>
      </w:r>
    </w:p>
    <w:p>
      <w:pPr>
        <w:spacing w:after="0" w:line="58" w:lineRule="exact"/>
        <w:rPr>
          <w:rFonts w:ascii="Arial" w:cs="Arial" w:eastAsia="Arial" w:hAnsi="Arial"/>
          <w:sz w:val="16"/>
          <w:szCs w:val="16"/>
          <w:color w:val="auto"/>
        </w:rPr>
      </w:pPr>
    </w:p>
    <w:p>
      <w:pPr>
        <w:ind w:right="20" w:firstLine="1305"/>
        <w:spacing w:after="0" w:line="285" w:lineRule="auto"/>
        <w:tabs>
          <w:tab w:leader="none" w:pos="1686" w:val="left"/>
        </w:tabs>
        <w:numPr>
          <w:ilvl w:val="1"/>
          <w:numId w:val="12"/>
        </w:numPr>
        <w:rPr>
          <w:rFonts w:ascii="Arial" w:cs="Arial" w:eastAsia="Arial" w:hAnsi="Arial"/>
          <w:sz w:val="16"/>
          <w:szCs w:val="16"/>
          <w:color w:val="auto"/>
        </w:rPr>
      </w:pPr>
      <w:r>
        <w:rPr>
          <w:rFonts w:ascii="Arial" w:cs="Arial" w:eastAsia="Arial" w:hAnsi="Arial"/>
          <w:sz w:val="16"/>
          <w:szCs w:val="16"/>
          <w:color w:val="auto"/>
        </w:rPr>
        <w:t>Upon satisfaction of the requirements of Section 7(a) and subject to Section 20(k), the Rights Agent shall thereupon promptly (i)(A) requisition from any transfer agent of the Common Stock (or make available, if the Rights Agent is the transfer agent therefor) certificates representing the total number of shares or fractions of a share of Common Stock to be purchased or, in the case of Book Entry Shares or other uncertificated securities, requisition from any transfer agent therefor a notice setting forth such number of shares or other securities to be purchased for which registration will be made on the stock transfer books of the Company (and the Company hereby irrevocably authorizes and directs its transfer agent to comply with all such requests) or</w:t>
      </w:r>
    </w:p>
    <w:p>
      <w:pPr>
        <w:spacing w:after="0" w:line="2" w:lineRule="exact"/>
        <w:rPr>
          <w:rFonts w:ascii="Arial" w:cs="Arial" w:eastAsia="Arial" w:hAnsi="Arial"/>
          <w:sz w:val="16"/>
          <w:szCs w:val="16"/>
          <w:color w:val="auto"/>
        </w:rPr>
      </w:pPr>
    </w:p>
    <w:p>
      <w:pPr>
        <w:ind w:firstLine="8"/>
        <w:spacing w:after="0" w:line="268" w:lineRule="auto"/>
        <w:tabs>
          <w:tab w:leader="none" w:pos="28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the Company shall have elected to deposit the shares of Common Stock issuable upon exercise of the Rights hereunder with a depositary agent, requisition from the depositary agent depositary receipts representing such number of shares or fractions of a share of Common Stock as are to be purchased (in which case certificates for the shares of Common Stock represented by such receipts shall be deposited by the transfer agent with the depositary agent) and the Company will direct the depositary agent to comply with such request, (ii) when appropriate, requisition from the Company the amount of cash, if any, to be paid in lieu of issuance of fractional shares in accordance with Section 14 and (iii) when appropriate, after receipt of such certificates or depositary receipts and cash, if any, cause the same to be delivered to or upon the order of the registered holder of such Right Certificate (with such certificates or receipts registered in such name or names as may be designated by such holder). If the Company is obligated to deliver Common Stock, other securities or assets pursuant to this Agreement, the Company will make all arrangements necessary so that such other securities and assets are available for delivery by the Rights Agent, if and when appropriate.</w:t>
      </w:r>
    </w:p>
    <w:p>
      <w:pPr>
        <w:spacing w:after="0" w:line="73" w:lineRule="exact"/>
        <w:rPr>
          <w:rFonts w:ascii="Arial" w:cs="Arial" w:eastAsia="Arial" w:hAnsi="Arial"/>
          <w:sz w:val="17"/>
          <w:szCs w:val="17"/>
          <w:color w:val="auto"/>
        </w:rPr>
      </w:pPr>
    </w:p>
    <w:p>
      <w:pPr>
        <w:ind w:right="200" w:firstLine="1305"/>
        <w:spacing w:after="0" w:line="312" w:lineRule="auto"/>
        <w:tabs>
          <w:tab w:leader="none" w:pos="1676" w:val="left"/>
        </w:tabs>
        <w:numPr>
          <w:ilvl w:val="1"/>
          <w:numId w:val="13"/>
        </w:numPr>
        <w:rPr>
          <w:rFonts w:ascii="Arial" w:cs="Arial" w:eastAsia="Arial" w:hAnsi="Arial"/>
          <w:sz w:val="16"/>
          <w:szCs w:val="16"/>
          <w:color w:val="auto"/>
        </w:rPr>
      </w:pPr>
      <w:r>
        <w:rPr>
          <w:rFonts w:ascii="Arial" w:cs="Arial" w:eastAsia="Arial" w:hAnsi="Arial"/>
          <w:sz w:val="16"/>
          <w:szCs w:val="16"/>
          <w:color w:val="auto"/>
        </w:rPr>
        <w:t>If the registered holder of any Right Certificate shall exercise less than all the Rights evidenced thereby, the Company will prepare, execute and deliver a new Right Certificate evidencing the number of Rights remaining unexercised and the Rights Agent will countersign and deliver such new Right Certificate to the registered holder of such Right Certificate or to such holder’s duly authorized assigns, subject to the provisions of Section 14.</w:t>
      </w:r>
    </w:p>
    <w:p>
      <w:pPr>
        <w:spacing w:after="0" w:line="38" w:lineRule="exact"/>
        <w:rPr>
          <w:rFonts w:ascii="Arial" w:cs="Arial" w:eastAsia="Arial" w:hAnsi="Arial"/>
          <w:sz w:val="16"/>
          <w:szCs w:val="16"/>
          <w:color w:val="auto"/>
        </w:rPr>
      </w:pPr>
    </w:p>
    <w:p>
      <w:pPr>
        <w:ind w:left="1700" w:hanging="395"/>
        <w:spacing w:after="0"/>
        <w:tabs>
          <w:tab w:leader="none" w:pos="17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from and after the first occurrence of a Section 11(a)(ii) Event, any Rights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Beneficially Owned by</w:t>
      </w:r>
    </w:p>
    <w:p>
      <w:pPr>
        <w:spacing w:after="0" w:line="102" w:lineRule="exact"/>
        <w:rPr>
          <w:rFonts w:ascii="Arial" w:cs="Arial" w:eastAsia="Arial" w:hAnsi="Arial"/>
          <w:sz w:val="16"/>
          <w:szCs w:val="16"/>
          <w:color w:val="auto"/>
        </w:rPr>
      </w:pPr>
    </w:p>
    <w:p>
      <w:pPr>
        <w:ind w:left="2300" w:hanging="347"/>
        <w:spacing w:after="0"/>
        <w:tabs>
          <w:tab w:leader="none" w:pos="23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 Acquiring Person or an Associate or Affiliate of an Acquiring Person,</w:t>
      </w:r>
    </w:p>
    <w:p>
      <w:pPr>
        <w:spacing w:after="0" w:line="117" w:lineRule="exact"/>
        <w:rPr>
          <w:rFonts w:ascii="Arial" w:cs="Arial" w:eastAsia="Arial" w:hAnsi="Arial"/>
          <w:sz w:val="18"/>
          <w:szCs w:val="18"/>
          <w:color w:val="auto"/>
        </w:rPr>
      </w:pPr>
    </w:p>
    <w:p>
      <w:pPr>
        <w:ind w:left="2360" w:hanging="407"/>
        <w:spacing w:after="0"/>
        <w:tabs>
          <w:tab w:leader="none" w:pos="2360" w:val="left"/>
        </w:tabs>
        <w:numPr>
          <w:ilvl w:val="2"/>
          <w:numId w:val="13"/>
        </w:numPr>
        <w:rPr>
          <w:rFonts w:ascii="Arial" w:cs="Arial" w:eastAsia="Arial" w:hAnsi="Arial"/>
          <w:sz w:val="17"/>
          <w:szCs w:val="17"/>
          <w:color w:val="auto"/>
        </w:rPr>
      </w:pPr>
      <w:r>
        <w:rPr>
          <w:rFonts w:ascii="Arial" w:cs="Arial" w:eastAsia="Arial" w:hAnsi="Arial"/>
          <w:sz w:val="17"/>
          <w:szCs w:val="17"/>
          <w:color w:val="auto"/>
        </w:rPr>
        <w:t>a transferee of an Acquiring Person (or of any such Associate or Affiliate) who becomes a transferee after the Acquiring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Person becomes such, or</w:t>
      </w:r>
    </w:p>
    <w:p>
      <w:pPr>
        <w:spacing w:after="0" w:line="102" w:lineRule="exact"/>
        <w:rPr>
          <w:rFonts w:ascii="Arial" w:cs="Arial" w:eastAsia="Arial" w:hAnsi="Arial"/>
          <w:sz w:val="17"/>
          <w:szCs w:val="17"/>
          <w:color w:val="auto"/>
        </w:rPr>
      </w:pPr>
    </w:p>
    <w:p>
      <w:pPr>
        <w:ind w:right="40" w:firstLine="1953"/>
        <w:spacing w:after="0" w:line="277" w:lineRule="auto"/>
        <w:tabs>
          <w:tab w:leader="none" w:pos="2395" w:val="left"/>
        </w:tabs>
        <w:numPr>
          <w:ilvl w:val="2"/>
          <w:numId w:val="13"/>
        </w:numPr>
        <w:rPr>
          <w:rFonts w:ascii="Arial" w:cs="Arial" w:eastAsia="Arial" w:hAnsi="Arial"/>
          <w:sz w:val="18"/>
          <w:szCs w:val="18"/>
          <w:color w:val="auto"/>
        </w:rPr>
      </w:pPr>
      <w:r>
        <w:rPr>
          <w:rFonts w:ascii="Arial" w:cs="Arial" w:eastAsia="Arial" w:hAnsi="Arial"/>
          <w:sz w:val="18"/>
          <w:szCs w:val="18"/>
          <w:color w:val="auto"/>
        </w:rPr>
        <w:t>a transferee of an Acquiring Person (or of any such Associate or Affiliate) who becomes a transferee prior to or concurrently with the Acquiring Person becoming such and receives such Rights pursuant to either</w:t>
      </w:r>
    </w:p>
    <w:p>
      <w:pPr>
        <w:spacing w:after="0" w:line="62" w:lineRule="exact"/>
        <w:rPr>
          <w:rFonts w:ascii="Arial" w:cs="Arial" w:eastAsia="Arial" w:hAnsi="Arial"/>
          <w:sz w:val="18"/>
          <w:szCs w:val="18"/>
          <w:color w:val="auto"/>
        </w:rPr>
      </w:pPr>
    </w:p>
    <w:p>
      <w:pPr>
        <w:ind w:right="480" w:firstLine="2601"/>
        <w:spacing w:after="0" w:line="277" w:lineRule="auto"/>
        <w:tabs>
          <w:tab w:leader="none" w:pos="3023" w:val="left"/>
        </w:tabs>
        <w:numPr>
          <w:ilvl w:val="3"/>
          <w:numId w:val="13"/>
        </w:numPr>
        <w:rPr>
          <w:rFonts w:ascii="Arial" w:cs="Arial" w:eastAsia="Arial" w:hAnsi="Arial"/>
          <w:sz w:val="18"/>
          <w:szCs w:val="18"/>
          <w:color w:val="auto"/>
        </w:rPr>
      </w:pPr>
      <w:r>
        <w:rPr>
          <w:rFonts w:ascii="Arial" w:cs="Arial" w:eastAsia="Arial" w:hAnsi="Arial"/>
          <w:sz w:val="18"/>
          <w:szCs w:val="18"/>
          <w:color w:val="auto"/>
        </w:rPr>
        <w:t>a transfer (whether or not for consideration) from the Acquiring Person (or any such Associate or Affiliate) to holders of equity interests in such Acquiring Person (or in any such Associate or Affiliate),</w:t>
      </w:r>
    </w:p>
    <w:p>
      <w:pPr>
        <w:spacing w:after="0" w:line="62" w:lineRule="exact"/>
        <w:rPr>
          <w:rFonts w:ascii="Arial" w:cs="Arial" w:eastAsia="Arial" w:hAnsi="Arial"/>
          <w:sz w:val="18"/>
          <w:szCs w:val="18"/>
          <w:color w:val="auto"/>
        </w:rPr>
      </w:pPr>
    </w:p>
    <w:p>
      <w:pPr>
        <w:ind w:right="200" w:firstLine="2601"/>
        <w:spacing w:after="0" w:line="264" w:lineRule="auto"/>
        <w:tabs>
          <w:tab w:leader="none" w:pos="3013" w:val="left"/>
        </w:tabs>
        <w:numPr>
          <w:ilvl w:val="3"/>
          <w:numId w:val="13"/>
        </w:numPr>
        <w:rPr>
          <w:rFonts w:ascii="Arial" w:cs="Arial" w:eastAsia="Arial" w:hAnsi="Arial"/>
          <w:sz w:val="18"/>
          <w:szCs w:val="18"/>
          <w:color w:val="auto"/>
        </w:rPr>
      </w:pPr>
      <w:r>
        <w:rPr>
          <w:rFonts w:ascii="Arial" w:cs="Arial" w:eastAsia="Arial" w:hAnsi="Arial"/>
          <w:sz w:val="18"/>
          <w:szCs w:val="18"/>
          <w:color w:val="auto"/>
        </w:rPr>
        <w:t>a transfer (whether or not for consideration) from the Acquiring Person (or any such Associate or Affiliate) to any Person with whom the Acquiring Person (or any such Associate or Affiliate) has any continuing agreement, arrangement or understanding regarding the transferred Rights, or</w:t>
      </w:r>
    </w:p>
    <w:p>
      <w:pPr>
        <w:spacing w:after="0" w:line="73" w:lineRule="exact"/>
        <w:rPr>
          <w:rFonts w:ascii="Arial" w:cs="Arial" w:eastAsia="Arial" w:hAnsi="Arial"/>
          <w:sz w:val="18"/>
          <w:szCs w:val="18"/>
          <w:color w:val="auto"/>
        </w:rPr>
      </w:pPr>
    </w:p>
    <w:p>
      <w:pPr>
        <w:ind w:right="280" w:firstLine="2601"/>
        <w:spacing w:after="0" w:line="277" w:lineRule="auto"/>
        <w:tabs>
          <w:tab w:leader="none" w:pos="3013" w:val="left"/>
        </w:tabs>
        <w:numPr>
          <w:ilvl w:val="3"/>
          <w:numId w:val="13"/>
        </w:numPr>
        <w:rPr>
          <w:rFonts w:ascii="Arial" w:cs="Arial" w:eastAsia="Arial" w:hAnsi="Arial"/>
          <w:sz w:val="18"/>
          <w:szCs w:val="18"/>
          <w:color w:val="auto"/>
        </w:rPr>
      </w:pPr>
      <w:r>
        <w:rPr>
          <w:rFonts w:ascii="Arial" w:cs="Arial" w:eastAsia="Arial" w:hAnsi="Arial"/>
          <w:sz w:val="18"/>
          <w:szCs w:val="18"/>
          <w:color w:val="auto"/>
        </w:rPr>
        <w:t>a transfer that the Board of Directors has determined is part of a plan, arrangement or understanding that has as a primary purpose or effect the avoidance of this Section 7(d),</w:t>
      </w:r>
    </w:p>
    <w:p>
      <w:pPr>
        <w:spacing w:after="0" w:line="1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shall become null and void without any further action, and no holder of such Rights shall have any rights whatsoever with respect to such Rights, whether under any provision of this Agreement or otherwise. No Right Certificate shall be issued pursuant to Sections 3 or 6 that represents Rights Beneficially Owned by an Acquiring Person whose Rights would be void pursuant to the preceding sentence or any Associate or Affiliate thereof; no Right Certificate shall be issued at any time upon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18" w:name="page19"/>
    <w:bookmarkEnd w:id="18"/>
    <w:p>
      <w:pPr>
        <w:spacing w:after="0" w:line="291" w:lineRule="auto"/>
        <w:rPr>
          <w:sz w:val="20"/>
          <w:szCs w:val="20"/>
          <w:color w:val="auto"/>
        </w:rPr>
      </w:pPr>
      <w:r>
        <w:rPr>
          <w:rFonts w:ascii="Arial" w:cs="Arial" w:eastAsia="Arial" w:hAnsi="Arial"/>
          <w:sz w:val="16"/>
          <w:szCs w:val="16"/>
          <w:color w:val="auto"/>
        </w:rPr>
        <w:t>the transfer of any Rights to an Acquiring Person whose Rights would be void pursuant to the preceding sentence or any Associate or Affiliate thereof or to any nominee of such Acquiring Person, Associate or Affiliate; and any Right Certificate delivered to the Rights Agent for transfer to an Acquiring Person whose Rights would be void pursuant to the preceding sentence shall be cancelled. The Company shall use all reasonable efforts to insure that the provisions of this Section 7(d) and Section 4(b) are complied with, but shall have no liability to any holder of Right Certificates or other Person as a result of its failure to make any determinations with respect to an Acquiring Person or its Affiliates and Associates or any transferee of any of them hereunder. If any Rights are held in book-entry form through the Depository Trust Company or other depositary (the “</w:t>
      </w:r>
      <w:r>
        <w:rPr>
          <w:rFonts w:ascii="Arial" w:cs="Arial" w:eastAsia="Arial" w:hAnsi="Arial"/>
          <w:sz w:val="16"/>
          <w:szCs w:val="16"/>
          <w:u w:val="single" w:color="auto"/>
          <w:color w:val="auto"/>
        </w:rPr>
        <w:t>Depositary</w:t>
      </w:r>
      <w:r>
        <w:rPr>
          <w:rFonts w:ascii="Arial" w:cs="Arial" w:eastAsia="Arial" w:hAnsi="Arial"/>
          <w:sz w:val="16"/>
          <w:szCs w:val="16"/>
          <w:color w:val="auto"/>
        </w:rPr>
        <w:t>”), or such Depositary’s nominee, the Company and the Rights Agent may take such actions as either of them may deem necessary or desirable to assure that the provisions of this Section 7(d) are given effect.</w:t>
      </w:r>
    </w:p>
    <w:p>
      <w:pPr>
        <w:spacing w:after="0" w:line="59" w:lineRule="exact"/>
        <w:rPr>
          <w:sz w:val="20"/>
          <w:szCs w:val="20"/>
          <w:color w:val="auto"/>
        </w:rPr>
      </w:pPr>
    </w:p>
    <w:p>
      <w:pPr>
        <w:ind w:firstLine="1305"/>
        <w:spacing w:after="0" w:line="272" w:lineRule="auto"/>
        <w:tabs>
          <w:tab w:leader="none" w:pos="1676"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neither the Rights Agent nor the Company shall be obligated to undertake any action with respect to a registered holder of Rights upon the occurrence of any purported transfer, split-up, combination or exchange of any Right Certificate pursuant to Section 6 or exercise of a Right Certificate pursuant to this Section 7 unless such registered holder (i) shall have completed and signed the certificate contained in the form of assignment or election to purchase, as the case may be, set forth on the reverse side of the Right Certificate surrendered for such transfer, split up, combination, exchange or exercise, as the case may be, (ii) shall not have indicated an affirmative response to clause 1 or 2 thereof and (iii) shall have provided such additional evidence of the identity of the Beneficial Owner (or former Beneficial Owner) or Affiliates or Associates thereof as the Company or the Rights Agent may reasonably request.</w:t>
      </w:r>
    </w:p>
    <w:p>
      <w:pPr>
        <w:spacing w:after="0" w:line="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Cancellation and Destruction of Right Certificates</w:t>
      </w:r>
      <w:r>
        <w:rPr>
          <w:rFonts w:ascii="Arial" w:cs="Arial" w:eastAsia="Arial" w:hAnsi="Arial"/>
          <w:sz w:val="18"/>
          <w:szCs w:val="18"/>
          <w:color w:val="auto"/>
        </w:rPr>
        <w:t>. All Right Certificates surrendered for exercise, transfer, split up, combination or exchange shall, if surrendered to the Company or to any of its agents, be delivered to the Rights Agent for cancellation or in cancelled form, or, if surrendered to the Rights Agent, shall be cancelled by it, and no Right Certificates shall be issued in lieu thereof except as expressly permitted by this Agreement. The Company shall deliver to the Rights Agent for cancellation and retirement, and the Rights Agent shall cancel and retire, any other Right Certificate purchased or acquired by the Company otherwise than upon the exercise thereof. The Rights Agent shall deliver all cancelled Right Certificates to the Company, or shall, at the written request of the Company, destroy such cancelled Right Certificates, and in such case shall deliver to the Company a certificate evidencing the destruction thereof.</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Listing and Registration of Capital Stock</w:t>
      </w:r>
      <w:r>
        <w:rPr>
          <w:rFonts w:ascii="Arial" w:cs="Arial" w:eastAsia="Arial" w:hAnsi="Arial"/>
          <w:sz w:val="18"/>
          <w:szCs w:val="18"/>
          <w:color w:val="auto"/>
        </w:rPr>
        <w:t>.</w:t>
      </w:r>
    </w:p>
    <w:p>
      <w:pPr>
        <w:spacing w:after="0" w:line="117" w:lineRule="exact"/>
        <w:rPr>
          <w:sz w:val="20"/>
          <w:szCs w:val="20"/>
          <w:color w:val="auto"/>
        </w:rPr>
      </w:pPr>
    </w:p>
    <w:p>
      <w:pPr>
        <w:ind w:right="220" w:firstLine="1305"/>
        <w:spacing w:after="0" w:line="302" w:lineRule="auto"/>
        <w:tabs>
          <w:tab w:leader="none" w:pos="16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So long as the Common Stock (and, following the occurrence of a Triggering Event, other securities) issuable upon the exercise of Rights may be listed or admitted to trading on any national securities exchange or quoted on an automated quotation system, the Company shall use its best efforts to cause, from and after such time as the Rights become exercisable, all securities reserved for issuance upon the exercise of Rights to be listed or admitted to trading on any such exchange or quoted on such automated quotation system upon official notice of issuance upon such exercise.</w:t>
      </w:r>
    </w:p>
    <w:p>
      <w:pPr>
        <w:spacing w:after="0" w:line="46" w:lineRule="exact"/>
        <w:rPr>
          <w:rFonts w:ascii="Arial" w:cs="Arial" w:eastAsia="Arial" w:hAnsi="Arial"/>
          <w:sz w:val="16"/>
          <w:szCs w:val="16"/>
          <w:color w:val="auto"/>
        </w:rPr>
      </w:pPr>
    </w:p>
    <w:p>
      <w:pPr>
        <w:ind w:firstLine="1305"/>
        <w:spacing w:after="0" w:line="285" w:lineRule="auto"/>
        <w:tabs>
          <w:tab w:leader="none" w:pos="16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shall use its reasonable efforts to (i) file on an appropriate form, as soon as practicable following the earliest date after the occurrence of a Section 11(a)(ii) Event as of which the consideration to be delivered by the Company upon exercise of the Rights has been determined in accordance with Section 11(a)(iii), or as soon as is required by law following the Distribution Date, as the case may be, a registration statement under the Securities Act with respect to the securities issuable upon exercise of the Rights, (ii) cause such registration statement to become effective as soon as practicable after such filing and (iii) cause such registration statement to remain effective (with a prospectus at all times meeting the requirements of the Securities Act) until the earlier of (A) the date as of which the Rights are no longer exercisable for such securities and (B) the Expiration Date. The Company will also take such action as may be appropriate under, or to ensure compliance with, the applicable securities or blue sky laws of the various states in connection with the exercisability of the Rights. The Company may temporarily suspend, for a period of time not to exceed 120 calendar days after the date set forth in clause (i) of the first sentence of this Section 9(c), the exercisability of the Rights in order to prepare and file such registration statement and permit it to become effective. Upon any such suspension, the Company shall issue a public announcement stating that the exercisability of the Rights has been temporarily suspended, as well as a public announcement at such time as the suspension is no longer in effect. In addition, if the Company determines that a registration statement is required to be filed under the Securities Act or any state securities laws following the Distribution Date, the Company may temporarily suspend the exercisability of the Rights in each relevant jurisdiction until such time as a registration statement has been declared effective and, upon any such suspension, the Company will issue a public announcement stating that the exercisability of the Rights has been temporarily suspended, as well as a public announcement at such time as the suspension is no longer in effect. Notwithstanding any such provision of this Agreement to the contrary, the Rights shall not be exercisable for securities in any jurisdiction if the requisite qualification in such jurisdiction shall not have been obtained, such exercise therefor shall not be permitted under applicable law or a registration statement in respect of such securities shall not have been declared effective.</w:t>
      </w:r>
    </w:p>
    <w:p>
      <w:pPr>
        <w:spacing w:after="0" w:line="67" w:lineRule="exact"/>
        <w:rPr>
          <w:rFonts w:ascii="Arial" w:cs="Arial" w:eastAsia="Arial" w:hAnsi="Arial"/>
          <w:sz w:val="16"/>
          <w:szCs w:val="16"/>
          <w:color w:val="auto"/>
        </w:rPr>
      </w:pPr>
    </w:p>
    <w:p>
      <w:pPr>
        <w:ind w:right="320" w:firstLine="1305"/>
        <w:spacing w:after="0" w:line="277" w:lineRule="auto"/>
        <w:tabs>
          <w:tab w:leader="none" w:pos="16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covenants and agrees that it will take all such action as may be necessary to ensure that all shares of Common Stock (and following the occurrence of a Triggering Event, other securities) issuable upon exercise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908" w:right="239" w:bottom="1440" w:gutter="0" w:footer="0" w:header="0"/>
        </w:sectPr>
      </w:pPr>
    </w:p>
    <w:bookmarkStart w:id="19" w:name="page20"/>
    <w:bookmarkEnd w:id="19"/>
    <w:p>
      <w:pPr>
        <w:ind w:right="380"/>
        <w:spacing w:after="0" w:line="277" w:lineRule="auto"/>
        <w:rPr>
          <w:sz w:val="20"/>
          <w:szCs w:val="20"/>
          <w:color w:val="auto"/>
        </w:rPr>
      </w:pPr>
      <w:r>
        <w:rPr>
          <w:rFonts w:ascii="Arial" w:cs="Arial" w:eastAsia="Arial" w:hAnsi="Arial"/>
          <w:sz w:val="18"/>
          <w:szCs w:val="18"/>
          <w:color w:val="auto"/>
        </w:rPr>
        <w:t>of Rights shall, at the time of delivery of the certificates for such securities (subject to payment of the Purchase Price), be duly authorized, validly issued, fully paid and nonassessable.</w:t>
      </w:r>
    </w:p>
    <w:p>
      <w:pPr>
        <w:spacing w:after="0" w:line="62" w:lineRule="exact"/>
        <w:rPr>
          <w:sz w:val="20"/>
          <w:szCs w:val="20"/>
          <w:color w:val="auto"/>
        </w:rPr>
      </w:pPr>
    </w:p>
    <w:p>
      <w:pPr>
        <w:ind w:right="60" w:firstLine="1305"/>
        <w:spacing w:after="0" w:line="290" w:lineRule="auto"/>
        <w:tabs>
          <w:tab w:leader="none" w:pos="16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further covenants and agrees that it will pay when due and payable any and all federal and state transfer taxes and other governmental charges which may be payable in respect of the issuance or delivery of the Right Certificates and of any certificates representing Common Stock upon the exercise of Rights. The Company shall not, however, be required to pay any transfer tax or other governmental charge which may be payable in respect of any transfer or delivery of Right Certificates to a Person other than, or the issuance or delivery of certificates or depositary receipts representing (or the registration of) securities issued upon the exercise of Rights in a name other than that of, the registered holder of the Right Certificate evidencing Rights surrendered for exercise, or to issue or deliver any certificates, depositary receipts or notices representing securities issued upon the exercise of any Rights until any such tax or charge has been paid (any such tax or charge being payable by the holder of such Right Certificate at the time of surrender) or until it has been established to the Company’s satisfaction that no such tax or other governmental charge is due.</w:t>
      </w:r>
    </w:p>
    <w:p>
      <w:pPr>
        <w:spacing w:after="0" w:line="5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Common Stock Record Date</w:t>
      </w:r>
      <w:r>
        <w:rPr>
          <w:rFonts w:ascii="Arial" w:cs="Arial" w:eastAsia="Arial" w:hAnsi="Arial"/>
          <w:sz w:val="17"/>
          <w:szCs w:val="17"/>
          <w:color w:val="auto"/>
        </w:rPr>
        <w:t xml:space="preserve">. Each Person (other than the Company) in whose name any certificate representing Common Stock is issued upon the exercise of Rights shall for all purposes be deemed to have become the holder of record of such Common Stock represented thereby on, and such certificate shall be dated, the date upon which the Right Certificate evidencing such Rights, together with the form of election to purchase duly completed and executed, was duly surrendered and payment of the Purchase Price and any applicable transfer taxes or other governmental charges was made;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the date of such surrender and payment is a date upon which the transfer books of the Company relating to the Common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securities, as the case may be, are closed, such Person shall be deemed to have become the record holder of such shares on, and such certificate shall be dated, the next succeeding Business Day on which the applicable transfer books of the Company for the Common Stock or other securities, as the case may be, are open. Prior to the exercise of the Rights evidenced thereby, the holder of a Right Certificate shall not be entitled to any rights of a stockholder of the Company with respect to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7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Adjustment of Purchase Price, Number and Kind of Shares or Number of Rights</w:t>
      </w:r>
      <w:r>
        <w:rPr>
          <w:rFonts w:ascii="Arial" w:cs="Arial" w:eastAsia="Arial" w:hAnsi="Arial"/>
          <w:sz w:val="16"/>
          <w:szCs w:val="16"/>
          <w:color w:val="auto"/>
        </w:rPr>
        <w:t>. The Purchase Price, the number of shares of Common Stock covered by each Right and the number of Rights outstanding are subject to adjustment from time to time as provided in this Section 11.</w:t>
      </w:r>
    </w:p>
    <w:p>
      <w:pPr>
        <w:spacing w:after="0" w:line="16" w:lineRule="exact"/>
        <w:rPr>
          <w:sz w:val="20"/>
          <w:szCs w:val="20"/>
          <w:color w:val="auto"/>
        </w:rPr>
      </w:pPr>
    </w:p>
    <w:p>
      <w:pPr>
        <w:ind w:firstLine="1305"/>
        <w:spacing w:after="0" w:line="287" w:lineRule="auto"/>
        <w:tabs>
          <w:tab w:leader="none" w:pos="1676"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In the event the Company shall at any time after the date of this Agreement (A) declare a dividend on the Common Stock payable in shares of Common Stock, (B) subdivide the outstanding Common Stock, (C) combine the outstanding Common Stock into a smaller number of shares of Common Stock, or (D) issue any shares of its capital stock in a reclassification of the Common Stock (including any such reclassification in connection with a consolidation or merger in which the Company is the continuing or surviving corporation), except as otherwise provided in this Section 11(a),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 immediately prior to such date and at a time when the Common Stock transfer books of the Company were open, such holder would have owned upon such exercise and been entitled to receive by virtue of such dividend, subdivision, combination or reclassification; provided, however, that in no event shall the consideration to be paid upon the exercise of one Right be less than the aggregate par value of the shares of capital stock of the Company issuable upon exercise of one Right. If an event occurs that would require an adjustment under both this subparagraph (a)(i) and subparagraph (a)(ii) below, the adjustment provided for in this subparagraph (a)(i) shall be in addition to, and shall be made prior to, any adjustment required pursuant to subparagraph (a)(ii).</w:t>
      </w:r>
    </w:p>
    <w:p>
      <w:pPr>
        <w:spacing w:after="0" w:line="60" w:lineRule="exact"/>
        <w:rPr>
          <w:rFonts w:ascii="Arial" w:cs="Arial" w:eastAsia="Arial" w:hAnsi="Arial"/>
          <w:sz w:val="16"/>
          <w:szCs w:val="16"/>
          <w:color w:val="auto"/>
        </w:rPr>
      </w:pPr>
    </w:p>
    <w:p>
      <w:pPr>
        <w:ind w:right="40" w:firstLine="1953"/>
        <w:spacing w:after="0" w:line="276" w:lineRule="auto"/>
        <w:tabs>
          <w:tab w:leader="none" w:pos="2345" w:val="left"/>
        </w:tabs>
        <w:numPr>
          <w:ilvl w:val="1"/>
          <w:numId w:val="17"/>
        </w:numPr>
        <w:rPr>
          <w:rFonts w:ascii="Arial" w:cs="Arial" w:eastAsia="Arial" w:hAnsi="Arial"/>
          <w:sz w:val="17"/>
          <w:szCs w:val="17"/>
          <w:color w:val="auto"/>
        </w:rPr>
      </w:pPr>
      <w:r>
        <w:rPr>
          <w:rFonts w:ascii="Arial" w:cs="Arial" w:eastAsia="Arial" w:hAnsi="Arial"/>
          <w:sz w:val="17"/>
          <w:szCs w:val="17"/>
          <w:color w:val="auto"/>
        </w:rPr>
        <w:t>Subject to Section 24 hereof, if any Person, alone or together with its Affiliates and Associates, shall, at any time after the date of this Agreement, become an Acquiring Person, then each holder of a Right shall (except as otherwise provided herein, including Section 7(d)) thereafter be entitled to receive, upon exercise thereof at the Purchase Price in effect immediately prior to the first occurrence of a Section 11(a)(ii) Event, such number of duly authorized, validly issued, fully paid and nonassessable shares of Common Stock of the Company (such number of shares being referred to herein as the “</w:t>
      </w:r>
      <w:r>
        <w:rPr>
          <w:rFonts w:ascii="Arial" w:cs="Arial" w:eastAsia="Arial" w:hAnsi="Arial"/>
          <w:sz w:val="17"/>
          <w:szCs w:val="17"/>
          <w:u w:val="single" w:color="auto"/>
          <w:color w:val="auto"/>
        </w:rPr>
        <w:t>Adjustment Shares</w:t>
      </w:r>
      <w:r>
        <w:rPr>
          <w:rFonts w:ascii="Arial" w:cs="Arial" w:eastAsia="Arial" w:hAnsi="Arial"/>
          <w:sz w:val="17"/>
          <w:szCs w:val="17"/>
          <w:color w:val="auto"/>
        </w:rPr>
        <w:t>”) as shall be equal to the result obtained by dividing</w:t>
      </w:r>
    </w:p>
    <w:p>
      <w:pPr>
        <w:spacing w:after="0" w:line="64" w:lineRule="exact"/>
        <w:rPr>
          <w:rFonts w:ascii="Arial" w:cs="Arial" w:eastAsia="Arial" w:hAnsi="Arial"/>
          <w:sz w:val="17"/>
          <w:szCs w:val="17"/>
          <w:color w:val="auto"/>
        </w:rPr>
      </w:pPr>
    </w:p>
    <w:p>
      <w:pPr>
        <w:ind w:right="260" w:firstLine="2601"/>
        <w:spacing w:after="0" w:line="286" w:lineRule="auto"/>
        <w:tabs>
          <w:tab w:leader="none" w:pos="3023" w:val="left"/>
        </w:tabs>
        <w:numPr>
          <w:ilvl w:val="2"/>
          <w:numId w:val="17"/>
        </w:numPr>
        <w:rPr>
          <w:rFonts w:ascii="Arial" w:cs="Arial" w:eastAsia="Arial" w:hAnsi="Arial"/>
          <w:sz w:val="17"/>
          <w:szCs w:val="17"/>
          <w:color w:val="auto"/>
        </w:rPr>
      </w:pPr>
      <w:r>
        <w:rPr>
          <w:rFonts w:ascii="Arial" w:cs="Arial" w:eastAsia="Arial" w:hAnsi="Arial"/>
          <w:sz w:val="17"/>
          <w:szCs w:val="17"/>
          <w:color w:val="auto"/>
        </w:rPr>
        <w:t>the product obtained by multiplying (1) the Purchase Price in effect immediately prior to the first occurrence of a Section 11(a)(ii) Event by (2) the number of halves of one share of Common Stock for which a Right was exercisable immediately prior to such first occurrence (such product being thereafter referred to as the “</w:t>
      </w:r>
      <w:r>
        <w:rPr>
          <w:rFonts w:ascii="Arial" w:cs="Arial" w:eastAsia="Arial" w:hAnsi="Arial"/>
          <w:sz w:val="17"/>
          <w:szCs w:val="17"/>
          <w:u w:val="single" w:color="auto"/>
          <w:color w:val="auto"/>
        </w:rPr>
        <w:t>Purchase Price</w:t>
      </w:r>
      <w:r>
        <w:rPr>
          <w:rFonts w:ascii="Arial" w:cs="Arial" w:eastAsia="Arial" w:hAnsi="Arial"/>
          <w:sz w:val="17"/>
          <w:szCs w:val="17"/>
          <w:color w:val="auto"/>
        </w:rPr>
        <w:t>” for each Right and for all purposes of this Agreement) by</w:t>
      </w:r>
    </w:p>
    <w:p>
      <w:pPr>
        <w:spacing w:after="0" w:line="57" w:lineRule="exact"/>
        <w:rPr>
          <w:rFonts w:ascii="Arial" w:cs="Arial" w:eastAsia="Arial" w:hAnsi="Arial"/>
          <w:sz w:val="17"/>
          <w:szCs w:val="17"/>
          <w:color w:val="auto"/>
        </w:rPr>
      </w:pPr>
    </w:p>
    <w:p>
      <w:pPr>
        <w:ind w:left="3020" w:hanging="419"/>
        <w:spacing w:after="0"/>
        <w:tabs>
          <w:tab w:leader="none" w:pos="3020" w:val="left"/>
        </w:tabs>
        <w:numPr>
          <w:ilvl w:val="2"/>
          <w:numId w:val="17"/>
        </w:numPr>
        <w:rPr>
          <w:rFonts w:ascii="Arial" w:cs="Arial" w:eastAsia="Arial" w:hAnsi="Arial"/>
          <w:sz w:val="16"/>
          <w:szCs w:val="16"/>
          <w:color w:val="auto"/>
        </w:rPr>
      </w:pPr>
      <w:r>
        <w:rPr>
          <w:rFonts w:ascii="Arial" w:cs="Arial" w:eastAsia="Arial" w:hAnsi="Arial"/>
          <w:sz w:val="16"/>
          <w:szCs w:val="16"/>
          <w:color w:val="auto"/>
        </w:rPr>
        <w:t>50% of the current market price per share (determined pursuant to Section 11(d)(i)) of Common Stock on the date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first occurrence;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20" w:name="page21"/>
    <w:bookmarkEnd w:id="20"/>
    <w:p>
      <w:pPr>
        <w:ind w:right="16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transaction that would otherwise give rise to the foregoing adjustment is also subject to the provisions of Section 13, then only</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provisions of Section 13 shall apply and no adjustment shall be made pursuant to this Section 11(a)(ii).</w:t>
      </w:r>
    </w:p>
    <w:p>
      <w:pPr>
        <w:spacing w:after="0" w:line="62" w:lineRule="exact"/>
        <w:rPr>
          <w:sz w:val="20"/>
          <w:szCs w:val="20"/>
          <w:color w:val="auto"/>
        </w:rPr>
      </w:pPr>
    </w:p>
    <w:p>
      <w:pPr>
        <w:ind w:firstLine="1953"/>
        <w:spacing w:after="0" w:line="283" w:lineRule="auto"/>
        <w:tabs>
          <w:tab w:leader="none" w:pos="2395" w:val="left"/>
        </w:tabs>
        <w:numPr>
          <w:ilvl w:val="1"/>
          <w:numId w:val="18"/>
        </w:numPr>
        <w:rPr>
          <w:rFonts w:ascii="Arial" w:cs="Arial" w:eastAsia="Arial" w:hAnsi="Arial"/>
          <w:sz w:val="16"/>
          <w:szCs w:val="16"/>
          <w:color w:val="auto"/>
        </w:rPr>
      </w:pPr>
      <w:r>
        <w:rPr>
          <w:rFonts w:ascii="Arial" w:cs="Arial" w:eastAsia="Arial" w:hAnsi="Arial"/>
          <w:sz w:val="16"/>
          <w:szCs w:val="16"/>
          <w:color w:val="auto"/>
        </w:rPr>
        <w:t>If the number of shares of Common Stock that are authorized by the Company’s certificate of incorporation but not outstanding or reserved for issuance other than upon exercise of the Rights is not sufficient to permit the exercise in full of the Rights in accordance with Section 11(a)(ii), the Company, with respect to each Right and to the extent necessary and permitted by applicable law and any agreements or instruments in effect on the date of this Agreement to which it is a party, shall: (A) determine the excess of (1) the value of the Adjustment Shares issuable upon the exercise of a Right (the “</w:t>
      </w:r>
      <w:r>
        <w:rPr>
          <w:rFonts w:ascii="Arial" w:cs="Arial" w:eastAsia="Arial" w:hAnsi="Arial"/>
          <w:sz w:val="16"/>
          <w:szCs w:val="16"/>
          <w:u w:val="single" w:color="auto"/>
          <w:color w:val="auto"/>
        </w:rPr>
        <w:t>Current Value</w:t>
      </w:r>
      <w:r>
        <w:rPr>
          <w:rFonts w:ascii="Arial" w:cs="Arial" w:eastAsia="Arial" w:hAnsi="Arial"/>
          <w:sz w:val="16"/>
          <w:szCs w:val="16"/>
          <w:color w:val="auto"/>
        </w:rPr>
        <w:t>”) over (2) the Purchase Price (such excess, the “</w:t>
      </w:r>
      <w:r>
        <w:rPr>
          <w:rFonts w:ascii="Arial" w:cs="Arial" w:eastAsia="Arial" w:hAnsi="Arial"/>
          <w:sz w:val="16"/>
          <w:szCs w:val="16"/>
          <w:u w:val="single" w:color="auto"/>
          <w:color w:val="auto"/>
        </w:rPr>
        <w:t>Spread</w:t>
      </w:r>
      <w:r>
        <w:rPr>
          <w:rFonts w:ascii="Arial" w:cs="Arial" w:eastAsia="Arial" w:hAnsi="Arial"/>
          <w:sz w:val="16"/>
          <w:szCs w:val="16"/>
          <w:color w:val="auto"/>
        </w:rPr>
        <w:t>”), and (B) with respect to each Right (other than Rights that have become void pursuant to Section 7(d) hereof or exchanged pursuant to Section 24 hereof), make adequate provision to substitute for the Adjustment Shares, upon payment of the applicable Purchase Price, (1) a reduction in the Purchase Price payable with respect to such Right, (2) shares of Common Stock of the Company (to the extent available), (3) equity securities of the Company (including, without limitation, shares, or units of shares, of preferred stock which the Board of Directors has deemed to have the same value as the shares of Common Stock (such shares of preferred stock, hereinafter referred to as “</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 Equivalents</w:t>
      </w:r>
      <w:r>
        <w:rPr>
          <w:rFonts w:ascii="Arial" w:cs="Arial" w:eastAsia="Arial" w:hAnsi="Arial"/>
          <w:sz w:val="16"/>
          <w:szCs w:val="16"/>
          <w:color w:val="auto"/>
        </w:rPr>
        <w:t xml:space="preserve">”)), (4) debt securities of the Company, (5) cash, (6) other assets (including, without limitation, securities of a Subsidiary of the Company) or (7) any combination of the foregoing, having an aggregate value equal to the Current Value, where such aggregate value has been determined by the Board of Directors based upon the advice of a nationally recognized investment banking firm selected by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shall not have made adequate provision to substitute for the Adjustment Shares pursuant to clause (B) above within 30 calendar days following the later of the first occurrence of a Section 11(a)(ii) Event and the first date that the right to redeem the Rights pursuant to Section 23 shall expire, then the Company shall be obligated to deliver, to the extent necessary and permitted by applicable law and any agreements or instruments in effect on the date of this Agreement to which it is a party, upon the surrender for exercise of a Right and without requiring payment of any portion of the Purchase Price, (1) shares of Common Stock (to the extent available) and then (2) (to the extent available) Common Stock Equivalents and then, if necessary, (3) other equity or debt securities of the Company, cash or other assets or any combination of the foregoing, in any case having an aggregate value (as determined by the Board of Directors based upon the advice of a nationally recognized investment banking firm selected by the Board of Directors) equal to the Spread. If the Board of Directors shall determine in good faith that it is likely that sufficient additional shares of Common Stock could be authorized for issuance upon exercise in full of the Rights, the 30-calendar-day period set forth above (such period, as it may be extended, being referred to herein as the “</w:t>
      </w:r>
      <w:r>
        <w:rPr>
          <w:rFonts w:ascii="Arial" w:cs="Arial" w:eastAsia="Arial" w:hAnsi="Arial"/>
          <w:sz w:val="16"/>
          <w:szCs w:val="16"/>
          <w:u w:val="single" w:color="auto"/>
          <w:color w:val="auto"/>
        </w:rPr>
        <w:t>Substitution Period</w:t>
      </w:r>
      <w:r>
        <w:rPr>
          <w:rFonts w:ascii="Arial" w:cs="Arial" w:eastAsia="Arial" w:hAnsi="Arial"/>
          <w:sz w:val="16"/>
          <w:szCs w:val="16"/>
          <w:color w:val="auto"/>
        </w:rPr>
        <w:t>”) may be extended to the extent necessary, but not more than 120 calendar days following the first occurrence of a Section 11(a)(ii) Event, in order that the Company may seek stockholder approval for the authorization of such additional shares. To the extent that the Company determines that some action is to be taken pursuant to the first and/or second sentence of this Section 11(a)(iii), the Company (x) shall provide, subject to Section 7(d), that such action shall apply uniformly to all outstanding Rights and (y) may suspend the exercisability of the Rights until the expiration of the Substitution Period in order to seek any authorization of additional shares and/or to decide the appropriate form and value of any consideration to be delivered as referred to in such first and/or second sentence. If any such suspension occurs, the Company shall issue a public announcement stating that the exercisability of the Rights has been temporarily suspended, as well as a public announcement at such time as the suspension is no longer in effect. For purposes of this Section 11(a)(iii), the value of the Common Stock shall be the current market price per share of Common Stock (as determined pursuant to Section 11(d)) on the later of the date of the first occurrence of a Section 11(a)(ii) Event and the first date that the right to redeem the Rights pursuant to Section 23 shall expire; the value of any Common Stock Equivalent shall be deemed to have the same value as the Common Stock on such date; and the value of other securities or assets shall be determined pursuant to Section 11(d)(ii).</w:t>
      </w:r>
    </w:p>
    <w:p>
      <w:pPr>
        <w:spacing w:after="0" w:line="297" w:lineRule="exact"/>
        <w:rPr>
          <w:rFonts w:ascii="Arial" w:cs="Arial" w:eastAsia="Arial" w:hAnsi="Arial"/>
          <w:sz w:val="16"/>
          <w:szCs w:val="16"/>
          <w:color w:val="auto"/>
        </w:rPr>
      </w:pPr>
    </w:p>
    <w:p>
      <w:pPr>
        <w:ind w:firstLine="1305"/>
        <w:spacing w:after="0" w:line="286" w:lineRule="auto"/>
        <w:tabs>
          <w:tab w:leader="none" w:pos="1686"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the Company shall fix a record date for the issuance of rights, options or warrants to all holders of Common Stock entitling them to subscribe for or purchase (for a period expiring within 45 calendar days after such record date) Common Stock (or securities having the same rights, privileges and preferences as the shares of Common Stock (“</w:t>
      </w:r>
      <w:r>
        <w:rPr>
          <w:rFonts w:ascii="Arial" w:cs="Arial" w:eastAsia="Arial" w:hAnsi="Arial"/>
          <w:sz w:val="16"/>
          <w:szCs w:val="16"/>
          <w:u w:val="single" w:color="auto"/>
          <w:color w:val="auto"/>
        </w:rPr>
        <w:t>equivalent common stock</w:t>
      </w:r>
      <w:r>
        <w:rPr>
          <w:rFonts w:ascii="Arial" w:cs="Arial" w:eastAsia="Arial" w:hAnsi="Arial"/>
          <w:sz w:val="16"/>
          <w:szCs w:val="16"/>
          <w:color w:val="auto"/>
        </w:rPr>
        <w:t xml:space="preserve">”)) or securities convertible into or exercisable for Common Stock or equivalent common stock at a price per share of Common Stock or equivalent common stock (in each case, taking account of any conversion or exercise price) less than the current market price (as determined pursuant to Section 11(d)) per share of Common Stock on such record date, the Purchase Price to be in effect after such record date shall be determined by multiplying the Purchase Price in effect immediately prior to such date by a fraction, the numerator of which shall be the number of shares of Common Stock outstanding on such record date, plus the number of shares of Common Stock which the aggregate price (taking account of any conversion or exercise price) of the total number of shares of Common Stock (and/or equivalent common stock) so to be offered would purchase at such current market price and the denominator of which shall be the number of shares of Common Stock outstanding on such record date plus the number of additional shares of Common Stock (and/or equivalent common stock) so to be offered;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the consideration to be paid upon the exercise of one Right be less than the aggregate par value of the shares of capital stock of the Company issuable upon exercise of one Right. If such subscription price may be paid by delivery of consideration part or all of which is in a form other than cash, the value of such consideration shall be as determined in good faith by the Board of Directors, whose determination shall be described in a statement filed with</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908" w:right="239" w:bottom="1440" w:gutter="0" w:footer="0" w:header="0"/>
        </w:sectPr>
      </w:pPr>
    </w:p>
    <w:bookmarkStart w:id="21" w:name="page22"/>
    <w:bookmarkEnd w:id="21"/>
    <w:p>
      <w:pPr>
        <w:ind w:right="200"/>
        <w:spacing w:after="0" w:line="259" w:lineRule="auto"/>
        <w:rPr>
          <w:sz w:val="20"/>
          <w:szCs w:val="20"/>
          <w:color w:val="auto"/>
        </w:rPr>
      </w:pPr>
      <w:r>
        <w:rPr>
          <w:rFonts w:ascii="Arial" w:cs="Arial" w:eastAsia="Arial" w:hAnsi="Arial"/>
          <w:sz w:val="18"/>
          <w:szCs w:val="18"/>
          <w:color w:val="auto"/>
        </w:rPr>
        <w:t>the Rights Agent and shall be conclusive for all purposes. Shares of Common Stock owned by or held for the account of the Company shall not be deemed outstanding for the purpose of any such computation. Such adjustment shall be made successively whenever such a record date is fixed, and if such rights, options or warrants are not so issued, the Purchase Price shall be adjusted to be the Purchase Price which would then be in effect if such record date had not been fixed.</w:t>
      </w:r>
    </w:p>
    <w:p>
      <w:pPr>
        <w:spacing w:after="0" w:line="79" w:lineRule="exact"/>
        <w:rPr>
          <w:sz w:val="20"/>
          <w:szCs w:val="20"/>
          <w:color w:val="auto"/>
        </w:rPr>
      </w:pPr>
    </w:p>
    <w:p>
      <w:pPr>
        <w:ind w:right="20" w:firstLine="1305"/>
        <w:spacing w:after="0" w:line="287" w:lineRule="auto"/>
        <w:tabs>
          <w:tab w:leader="none" w:pos="16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If the Company shall fix a record date for the making of a distribution to all holders of Common Stock (including any such distribution made in connection with a consolidation or merger in which the Company is the continuing or surviving corporation) of evidences of indebtedness, equity securities other than Common Stock, assets, cash (other than a regular periodic cash dividend out of the earnings or retained earnings of the Company) or rights, options or warrants (excluding those referred to in Section 11(b)), the Purchase Price to be in effect after such record date shall be determined by multiplying the Purchase Price in effect immediately prior to such record date by a fraction, the numerator of which shall be the current market price (as determined pursuant to Section 11(d)) per share of the Common Stock on such record date, less the value (as determined pursuant to Section 11(d)(ii)) of such evidences of indebtedness, equity securities, cash, assets, rights, options or warrants so to be distributed with respect to one share of Common Stock and the denominator of which shall be such current market price per share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may the consideration to be paid upon the exercise of one Right be less than the aggregate par value of the shares of capital stock of the Company issuable upon exercise of one Right. Such adjustment shall be made successively whenever such a record date is fixed, and, if such distribution is not so made, the Purchase Price shall be adjusted to be the Purchase Price which would then be in effect if such record date had not been fixed.</w:t>
      </w:r>
    </w:p>
    <w:p>
      <w:pPr>
        <w:spacing w:after="0" w:line="64" w:lineRule="exact"/>
        <w:rPr>
          <w:rFonts w:ascii="Arial" w:cs="Arial" w:eastAsia="Arial" w:hAnsi="Arial"/>
          <w:sz w:val="16"/>
          <w:szCs w:val="16"/>
          <w:color w:val="auto"/>
        </w:rPr>
      </w:pPr>
    </w:p>
    <w:p>
      <w:pPr>
        <w:ind w:firstLine="1305"/>
        <w:spacing w:after="0" w:line="284" w:lineRule="auto"/>
        <w:tabs>
          <w:tab w:leader="none" w:pos="16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For the purpose of any computation hereunder other than computations made pursuant to Sections 11(a)(iii) or 14, the “</w:t>
      </w:r>
      <w:r>
        <w:rPr>
          <w:rFonts w:ascii="Arial" w:cs="Arial" w:eastAsia="Arial" w:hAnsi="Arial"/>
          <w:sz w:val="16"/>
          <w:szCs w:val="16"/>
          <w:u w:val="single" w:color="auto"/>
          <w:color w:val="auto"/>
        </w:rPr>
        <w:t>current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market price</w:t>
      </w:r>
      <w:r>
        <w:rPr>
          <w:rFonts w:ascii="Arial" w:cs="Arial" w:eastAsia="Arial" w:hAnsi="Arial"/>
          <w:sz w:val="16"/>
          <w:szCs w:val="16"/>
          <w:color w:val="auto"/>
        </w:rPr>
        <w:t>” per share of Common Stock on any date shall be deemed to be the average of the daily closing prices per share of such Common Stock for the 30 consecutive Trading Days immediately prior to such date; for purposes of computations made pursuant to Section 11(a)(iii), the “</w:t>
      </w:r>
      <w:r>
        <w:rPr>
          <w:rFonts w:ascii="Arial" w:cs="Arial" w:eastAsia="Arial" w:hAnsi="Arial"/>
          <w:sz w:val="16"/>
          <w:szCs w:val="16"/>
          <w:u w:val="single" w:color="auto"/>
          <w:color w:val="auto"/>
        </w:rPr>
        <w:t>current market price</w:t>
      </w:r>
      <w:r>
        <w:rPr>
          <w:rFonts w:ascii="Arial" w:cs="Arial" w:eastAsia="Arial" w:hAnsi="Arial"/>
          <w:sz w:val="16"/>
          <w:szCs w:val="16"/>
          <w:color w:val="auto"/>
        </w:rPr>
        <w:t>” per share of Common Stock on any date shall be deemed to be the average of the daily closing prices per share of such Common Stock for the 10 consecutive Trading Days immediately following such date; and for purposes of computations made pursuant to Section 14, the “</w:t>
      </w:r>
      <w:r>
        <w:rPr>
          <w:rFonts w:ascii="Arial" w:cs="Arial" w:eastAsia="Arial" w:hAnsi="Arial"/>
          <w:sz w:val="16"/>
          <w:szCs w:val="16"/>
          <w:u w:val="single" w:color="auto"/>
          <w:color w:val="auto"/>
        </w:rPr>
        <w:t>current market price</w:t>
      </w:r>
      <w:r>
        <w:rPr>
          <w:rFonts w:ascii="Arial" w:cs="Arial" w:eastAsia="Arial" w:hAnsi="Arial"/>
          <w:sz w:val="16"/>
          <w:szCs w:val="16"/>
          <w:color w:val="auto"/>
        </w:rPr>
        <w:t xml:space="preserve">” per share of Common Stock for any Trading Day shall be deemed to be the closing price per share of Common Stock for such Trading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current market price per share of the Common Stock is determined during a period following the announcement by the issuer of such Common Stock of (A) a dividend or distribution on such Common Stock payable in shares of such Common Stock or securities exercisable for or convertible into shares of such Common Stock (other than the Rights), or (B) any subdivision, combination or reclassification of such Common Stock, and prior to the expiration of the requisite 30 Trading Day or 10 Trading Day period, as set forth above, after the ex-dividend date for such dividend or distribution, or the record date for such subdivision, combination or reclassification, then, and in each such case, the “current market price” shall be properly adjusted to take into account ex-dividend trading or to reflect the current market price per unit of equivalent common stock. The closing price for each Trading Day shall be the last sale price, regular way, or, if no such sale takes place on such day, the average of the closing bid and asked prices, regular way, in either case as reported in the principal consolidated transaction reporting system with respect to securities listed or admitted to trading on NASDAQ or, if the shares of Common Stock are not listed or admitted to trading on NASDAQ, on the principal national securities exchange on which the shares of Common Stock are listed or admitted to trading or, if the shares of Common Stock are not listed or admitted to trading on any national securities exchange, the last quoted price or, if not so quoted, the average of the high bid and low asked prices in the over-the-counter market, as reported by NASDAQ or such other system then in use or, if on any such date the shares of Common Stock are not quoted by any such organization, the average of the closing bid and asked prices as furnished by a professional market maker making a market in the Common Stock selected by the Board of Directors. If on any such date no market maker is making a market in the Common Stock, the fair value of such shares on such date as determined in good faith by the Board of Directors shall be used. If the Common Stock is not publicly held or not so listed or traded, or is not the subject of available bid and asked quotes, the “current market price” per share means the fair value per share as determined in good faith by the Board of Directors, which determination shall be described in a statement filed with the Rights Agent and shall be conclusive for all purposes. For the purposes of this Agreement, the current market price of one half of one share of Common Stock will be equal to the current market price of one share of Common Stock divided by two.</w:t>
      </w:r>
    </w:p>
    <w:p>
      <w:pPr>
        <w:spacing w:after="0" w:line="286" w:lineRule="exact"/>
        <w:rPr>
          <w:rFonts w:ascii="Arial" w:cs="Arial" w:eastAsia="Arial" w:hAnsi="Arial"/>
          <w:sz w:val="16"/>
          <w:szCs w:val="16"/>
          <w:color w:val="auto"/>
        </w:rPr>
      </w:pPr>
    </w:p>
    <w:p>
      <w:pPr>
        <w:ind w:right="100" w:firstLine="1953"/>
        <w:spacing w:after="0" w:line="264" w:lineRule="auto"/>
        <w:tabs>
          <w:tab w:leader="none" w:pos="2345" w:val="left"/>
        </w:tabs>
        <w:numPr>
          <w:ilvl w:val="1"/>
          <w:numId w:val="20"/>
        </w:numPr>
        <w:rPr>
          <w:rFonts w:ascii="Arial" w:cs="Arial" w:eastAsia="Arial" w:hAnsi="Arial"/>
          <w:sz w:val="18"/>
          <w:szCs w:val="18"/>
          <w:color w:val="auto"/>
        </w:rPr>
      </w:pPr>
      <w:r>
        <w:rPr>
          <w:rFonts w:ascii="Arial" w:cs="Arial" w:eastAsia="Arial" w:hAnsi="Arial"/>
          <w:sz w:val="18"/>
          <w:szCs w:val="18"/>
          <w:color w:val="auto"/>
        </w:rPr>
        <w:t>For the purpose of any computation hereunder, the value of any securities or assets other than Common Stock or equivalent Common Stock shall be the fair value as determined in good faith by the Board of Directors, which determination shall be described in a statement filed with the Rights Agent and shall be conclusive for all purposes.</w:t>
      </w:r>
    </w:p>
    <w:p>
      <w:pPr>
        <w:spacing w:after="0" w:line="73" w:lineRule="exact"/>
        <w:rPr>
          <w:rFonts w:ascii="Arial" w:cs="Arial" w:eastAsia="Arial" w:hAnsi="Arial"/>
          <w:sz w:val="18"/>
          <w:szCs w:val="18"/>
          <w:color w:val="auto"/>
        </w:rPr>
      </w:pPr>
    </w:p>
    <w:p>
      <w:pPr>
        <w:ind w:right="100" w:firstLine="1305"/>
        <w:spacing w:after="0" w:line="302" w:lineRule="auto"/>
        <w:tabs>
          <w:tab w:leader="none" w:pos="1666"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Anything herein to the contrary notwithstanding, no adjustment in the Purchase Price shall be required unless such adjustment would require an increase or decrease of at least 1% in the Purchase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adjustments which by reason of this Section 11(e) are not required to be made shall be carried forward and taken into account in any subsequent adjustment. All calculations under this Section 11 shall be made to the nearest cent or to the nearest ten-thousandth of a share of Common Stock. Notwithstanding the first sentence of this Section 11(e), any adjustment required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22" w:name="page23"/>
    <w:bookmarkEnd w:id="22"/>
    <w:p>
      <w:pPr>
        <w:ind w:right="40"/>
        <w:spacing w:after="0" w:line="277" w:lineRule="auto"/>
        <w:rPr>
          <w:sz w:val="20"/>
          <w:szCs w:val="20"/>
          <w:color w:val="auto"/>
        </w:rPr>
      </w:pPr>
      <w:r>
        <w:rPr>
          <w:rFonts w:ascii="Arial" w:cs="Arial" w:eastAsia="Arial" w:hAnsi="Arial"/>
          <w:sz w:val="18"/>
          <w:szCs w:val="18"/>
          <w:color w:val="auto"/>
        </w:rPr>
        <w:t>by this Section 11 shall be made no later than the earlier of (i) three years from the date of the transaction that requires such adjustment and (ii) the Expiration Date.</w:t>
      </w:r>
    </w:p>
    <w:p>
      <w:pPr>
        <w:spacing w:after="0" w:line="62" w:lineRule="exact"/>
        <w:rPr>
          <w:sz w:val="20"/>
          <w:szCs w:val="20"/>
          <w:color w:val="auto"/>
        </w:rPr>
      </w:pPr>
    </w:p>
    <w:p>
      <w:pPr>
        <w:ind w:right="20" w:firstLine="1305"/>
        <w:spacing w:after="0" w:line="293" w:lineRule="auto"/>
        <w:tabs>
          <w:tab w:leader="none" w:pos="1656"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at any time, as a result of an adjustment made pursuant to Section 11(a)(ii) or Section 13(a), the holder of any Right shall be entitled to receive upon exercise of such Right any securities of the Company other than Common Stock, thereafter the number and/or kind of such other securities so receivable upon exercise of any Right (and/or the Purchase Price in respect thereof) shall be subject to adjustment from time-to-time in a manner and on terms as nearly equivalent as practicable to the provisions with respect to the Common Stock (and the Purchase Price in respect thereof) contained in Section 11(a), (b), (c), (e), (g), (h), (i), (j), (k) and (m), and the provisions of Sections 7, 9, 10, 13 and 14 with respect to the Common Stock (and the Purchase Price in respect thereof) shall apply on like terms to any such other securities (and the Purchase Price in respect thereof).</w:t>
      </w:r>
    </w:p>
    <w:p>
      <w:pPr>
        <w:spacing w:after="0" w:line="56" w:lineRule="exact"/>
        <w:rPr>
          <w:rFonts w:ascii="Arial" w:cs="Arial" w:eastAsia="Arial" w:hAnsi="Arial"/>
          <w:sz w:val="16"/>
          <w:szCs w:val="16"/>
          <w:color w:val="auto"/>
        </w:rPr>
      </w:pPr>
    </w:p>
    <w:p>
      <w:pPr>
        <w:ind w:right="60" w:firstLine="1305"/>
        <w:spacing w:after="0" w:line="286" w:lineRule="auto"/>
        <w:tabs>
          <w:tab w:leader="none" w:pos="16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Rights originally issued by the Company subsequent to any adjustment made to the Purchase Price hereunder shall evidence the right to purchase, at the adjusted Purchase Price, the then applicable number of halves of one share of Common Stock and other capital stock of the Company issuable from time to time hereunder upon exercise of the Rights, all subject to further adjustment as provided herein.</w:t>
      </w:r>
    </w:p>
    <w:p>
      <w:pPr>
        <w:spacing w:after="0" w:line="57" w:lineRule="exact"/>
        <w:rPr>
          <w:rFonts w:ascii="Arial" w:cs="Arial" w:eastAsia="Arial" w:hAnsi="Arial"/>
          <w:sz w:val="17"/>
          <w:szCs w:val="17"/>
          <w:color w:val="auto"/>
        </w:rPr>
      </w:pPr>
    </w:p>
    <w:p>
      <w:pPr>
        <w:ind w:right="60" w:firstLine="1305"/>
        <w:spacing w:after="0" w:line="255" w:lineRule="auto"/>
        <w:tabs>
          <w:tab w:leader="none" w:pos="1686"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Unless the Company shall have exercised its election as provided in Section 11(i), upon each adjustment of the Purchase Price as a result of the calculations made in Section 11(b) and (c), each Right outstanding immediately prior to the making of such adjustment (other than Rights that have become void pursuant to Section 7(d) hereof or exchanged pursuant to Section 24 hereof) shall thereafter evidence the right to purchase, at the adjusted Purchase Price, that number of one-halves of one share of Common Stock (calculated to the nearest ten thousandth of a share) obtained by (i) multiplying (x) the number of one-halves of one share for which a Right was exercisable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81" w:lineRule="exact"/>
        <w:rPr>
          <w:rFonts w:ascii="Arial" w:cs="Arial" w:eastAsia="Arial" w:hAnsi="Arial"/>
          <w:sz w:val="18"/>
          <w:szCs w:val="18"/>
          <w:color w:val="auto"/>
        </w:rPr>
      </w:pPr>
    </w:p>
    <w:p>
      <w:pPr>
        <w:ind w:firstLine="1305"/>
        <w:spacing w:after="0" w:line="268" w:lineRule="auto"/>
        <w:tabs>
          <w:tab w:leader="none" w:pos="164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may elect on or after the date of any adjustment of the Purchase Price to adjust the number of Rights, in lieu of any adjustment in the number of shares or fraction of a share of Common Stock issuable upon the exercise of a Right. Each of the Rights outstanding after such adjustment of the number of Rights shall be exercisable for the number of shares or fraction of a share of Common Stock for which such Right was exercisable immediately prior to such adjustment. Each Right held of record prior to such adjustment of the number of Rights shall become that number of Rights (calculated to the nearest ten-thousandth)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any Right Certificates have been issued, shall be at least 10 calendar days later than the date of the public announcement. If Right Certificates have been issued, upon each adjustment of the number of Rights pursuant to this Section 11(i), the Company shall, as promptly as practicable, cause to be distributed to holders of record of Right Certificates on such record date Right Certificates evidencing, subject to Section 14,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Purchase Price) and shall be registered in the names of the holders of record of Right Certificates on the record date specified in the public announcement.</w:t>
      </w:r>
    </w:p>
    <w:p>
      <w:pPr>
        <w:spacing w:after="0" w:line="72" w:lineRule="exact"/>
        <w:rPr>
          <w:rFonts w:ascii="Arial" w:cs="Arial" w:eastAsia="Arial" w:hAnsi="Arial"/>
          <w:sz w:val="17"/>
          <w:szCs w:val="17"/>
          <w:color w:val="auto"/>
        </w:rPr>
      </w:pPr>
    </w:p>
    <w:p>
      <w:pPr>
        <w:ind w:right="500" w:firstLine="1305"/>
        <w:spacing w:after="0" w:line="312" w:lineRule="auto"/>
        <w:tabs>
          <w:tab w:leader="none" w:pos="1646" w:val="left"/>
        </w:tabs>
        <w:numPr>
          <w:ilvl w:val="0"/>
          <w:numId w:val="21"/>
        </w:numPr>
        <w:rPr>
          <w:rFonts w:ascii="Arial" w:cs="Arial" w:eastAsia="Arial" w:hAnsi="Arial"/>
          <w:sz w:val="16"/>
          <w:szCs w:val="16"/>
          <w:color w:val="auto"/>
        </w:rPr>
      </w:pPr>
      <w:r>
        <w:rPr>
          <w:rFonts w:ascii="Arial" w:cs="Arial" w:eastAsia="Arial" w:hAnsi="Arial"/>
          <w:sz w:val="16"/>
          <w:szCs w:val="16"/>
          <w:color w:val="auto"/>
        </w:rPr>
        <w:t>Irrespective of any adjustment or change in the Purchase Price or the number of shares or fraction of a share of Common Stock issuable upon the exercise of the Rights, the Right Certificates theretofore and thereafter issued may continue to express the Purchase Price per share or fraction of a share and the number of shares of Common Stock which were expressed in the initial Right Certificates issued hereunder.</w:t>
      </w:r>
    </w:p>
    <w:p>
      <w:pPr>
        <w:spacing w:after="0" w:line="38" w:lineRule="exact"/>
        <w:rPr>
          <w:rFonts w:ascii="Arial" w:cs="Arial" w:eastAsia="Arial" w:hAnsi="Arial"/>
          <w:sz w:val="16"/>
          <w:szCs w:val="16"/>
          <w:color w:val="auto"/>
        </w:rPr>
      </w:pPr>
    </w:p>
    <w:p>
      <w:pPr>
        <w:ind w:firstLine="1305"/>
        <w:spacing w:after="0" w:line="259" w:lineRule="auto"/>
        <w:tabs>
          <w:tab w:leader="none" w:pos="168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Before taking any action that would cause an adjustment reducing the Purchase Price below the par value, if any, of the number of shares or fraction of a share of Common Stock issuable upon exercise of the Rights, the Company shall take any corporate action which may, in the opinion of its counsel, be necessary in order that the Company may validly and legally issue fully paid and nonassessable such number of shares or fractions of a share of Common Stock at such adjusted Purchase Price.</w:t>
      </w:r>
    </w:p>
    <w:p>
      <w:pPr>
        <w:spacing w:after="0" w:line="78" w:lineRule="exact"/>
        <w:rPr>
          <w:rFonts w:ascii="Arial" w:cs="Arial" w:eastAsia="Arial" w:hAnsi="Arial"/>
          <w:sz w:val="18"/>
          <w:szCs w:val="18"/>
          <w:color w:val="auto"/>
        </w:rPr>
      </w:pPr>
    </w:p>
    <w:p>
      <w:pPr>
        <w:ind w:right="40" w:firstLine="1305"/>
        <w:spacing w:after="0" w:line="302" w:lineRule="auto"/>
        <w:tabs>
          <w:tab w:leader="none" w:pos="1646"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any case in which this Section 11 shall require that an adjustment in the Purchase Price be made effective as of a record date for a specified event, the Company may elect to defer until the occurrence of such event the issuance to the holder of any Right exercised after such record date the number of shares or fraction of a share of Common Stock or other capital stock of the Company, if any, issuable upon such exercise over and above the number of shares or fraction of a share of Common Stock or other capital stock of the Company, if any, issuable upon such exercise on the basis of the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23" w:name="page24"/>
    <w:bookmarkEnd w:id="23"/>
    <w:p>
      <w:pPr>
        <w:ind w:right="100"/>
        <w:spacing w:after="0" w:line="308" w:lineRule="auto"/>
        <w:rPr>
          <w:sz w:val="20"/>
          <w:szCs w:val="20"/>
          <w:color w:val="auto"/>
        </w:rPr>
      </w:pPr>
      <w:r>
        <w:rPr>
          <w:rFonts w:ascii="Arial" w:cs="Arial" w:eastAsia="Arial" w:hAnsi="Arial"/>
          <w:sz w:val="17"/>
          <w:szCs w:val="17"/>
          <w:color w:val="auto"/>
        </w:rPr>
        <w:t xml:space="preserve">Purchase Price in effect prior to such adjustment;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deliver to such holder a due bill or other appropriate instrument evidencing such holder’s right to receive such additional shares upon the occurrence of the event requiring such adjustment.</w:t>
      </w:r>
    </w:p>
    <w:p>
      <w:pPr>
        <w:spacing w:after="0" w:line="38" w:lineRule="exact"/>
        <w:rPr>
          <w:sz w:val="20"/>
          <w:szCs w:val="20"/>
          <w:color w:val="auto"/>
        </w:rPr>
      </w:pPr>
    </w:p>
    <w:p>
      <w:pPr>
        <w:ind w:firstLine="1305"/>
        <w:spacing w:after="0" w:line="255" w:lineRule="auto"/>
        <w:tabs>
          <w:tab w:leader="none" w:pos="172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Anything in this Section 11 to the contrary notwithstanding, the Board of Directors shall also have the authority to make such reductions in the Purchase Price, in addition to those adjustments expressly required by this Section 11, as and to the extent that it, in its sole discretion, shall determine to be advisable in order that any (i) consolidation or subdivision of the Common Stock, (ii) issuance wholly for cash of any Common Stock at less than the current market price, (iii) issuance wholly for cash or Common Stock or securities which by their terms are convertible into or exercisable for Common Stock, (iv) stock dividends or (v) issuance of rights, options or warrants referred to in this Section 11, hereafter made by the Company to the holders of its Common Stock, shall not be taxable to such stockholders.</w:t>
      </w:r>
    </w:p>
    <w:p>
      <w:pPr>
        <w:spacing w:after="0" w:line="85" w:lineRule="exact"/>
        <w:rPr>
          <w:rFonts w:ascii="Arial" w:cs="Arial" w:eastAsia="Arial" w:hAnsi="Arial"/>
          <w:sz w:val="18"/>
          <w:szCs w:val="18"/>
          <w:color w:val="auto"/>
        </w:rPr>
      </w:pPr>
    </w:p>
    <w:p>
      <w:pPr>
        <w:ind w:right="40" w:firstLine="1305"/>
        <w:spacing w:after="0" w:line="289" w:lineRule="auto"/>
        <w:tabs>
          <w:tab w:leader="none" w:pos="168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covenants and agrees that it will not at any time after the Distribution Date (i) consolidate, merge or otherwise combine with or (ii) sell or otherwise transfer (and/or permit any of its Subsidiaries to sell or otherwise transfer), in one transaction or a series of related transactions, assets or earning power aggregating more than 50% of the assets or earning power of the Company and its Subsidiaries, taken as a whole, to any other Person or Persons (other than the Company and/or any of its Subsidiaries in one or more transactions each of which complies with Section 11(o) hereof) if (x) at the time of or immediately after such consolidation, merger, combination or sale there are any rights, warrants or other instruments or securities outstanding or any agreements or arrangements in effect which would substantially diminish or otherwise eliminate the benefits intended to be afforded by the Rights, (y) prior to, simultaneously with or immediately after such consolidation, merger, combination or sale, the shareholders of a Person who constitutes, or would constitute, the “Principal Party” for the purposes of Section 13 shall have received a distribution of Rights previously owned by such Person or any of its Affiliates and Associates or (z) the form or nature of organization of the Principal Party would preclude or limit the exercisability of the Rights.</w:t>
      </w:r>
    </w:p>
    <w:p>
      <w:pPr>
        <w:spacing w:after="0" w:line="58" w:lineRule="exact"/>
        <w:rPr>
          <w:rFonts w:ascii="Arial" w:cs="Arial" w:eastAsia="Arial" w:hAnsi="Arial"/>
          <w:sz w:val="16"/>
          <w:szCs w:val="16"/>
          <w:color w:val="auto"/>
        </w:rPr>
      </w:pPr>
    </w:p>
    <w:p>
      <w:pPr>
        <w:ind w:right="20" w:firstLine="1305"/>
        <w:spacing w:after="0" w:line="264" w:lineRule="auto"/>
        <w:tabs>
          <w:tab w:leader="none" w:pos="168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covenants and agrees that after the Distribution Date, it will not, except as permitted by Sections 23, 24 and 27, take (or permit any Subsidiary to take) any action if at the time such action is taken it is reasonably foreseeable that such action will substantially diminish or otherwise eliminate the benefits intended to be afforded by the Rights.</w:t>
      </w:r>
    </w:p>
    <w:p>
      <w:pPr>
        <w:spacing w:after="0" w:line="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Certificate of Adjusted Purchase Price or Number of Shares</w:t>
      </w:r>
      <w:r>
        <w:rPr>
          <w:rFonts w:ascii="Arial" w:cs="Arial" w:eastAsia="Arial" w:hAnsi="Arial"/>
          <w:sz w:val="18"/>
          <w:szCs w:val="18"/>
          <w:color w:val="auto"/>
        </w:rPr>
        <w:t>. Whenever an adjustment is made as provided in Sections 11 and 13, the Company shall (a) promptly prepare a certificate setting forth such adjustment and a brief statement of the facts accounting for such adjustment, (b) promptly file with the Rights Agent and with each transfer agent for the Common Stock a copy of such certificate and (c) if a Distribution Date has occurred, mail a brief summary thereof to each holder of a Right Certificate (or, if prior to the Distribution Date, to each holder of a certificate representing shares of Common Stock) in the manner set forth in Section 26. The Rights Agent shall be fully protected in relying on any such certificate and on any adjustment therein contained.</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Consolidation, Merger or Sale or Transfer of Assets or Earning Power</w:t>
      </w:r>
      <w:r>
        <w:rPr>
          <w:rFonts w:ascii="Arial" w:cs="Arial" w:eastAsia="Arial" w:hAnsi="Arial"/>
          <w:sz w:val="18"/>
          <w:szCs w:val="18"/>
          <w:color w:val="auto"/>
        </w:rPr>
        <w:t>.</w:t>
      </w:r>
    </w:p>
    <w:p>
      <w:pPr>
        <w:spacing w:after="0" w:line="117" w:lineRule="exact"/>
        <w:rPr>
          <w:sz w:val="20"/>
          <w:szCs w:val="20"/>
          <w:color w:val="auto"/>
        </w:rPr>
      </w:pPr>
    </w:p>
    <w:p>
      <w:pPr>
        <w:ind w:left="1680" w:hanging="375"/>
        <w:spacing w:after="0"/>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following the Stock Acquisition Date, directly or indirectly,</w:t>
      </w:r>
    </w:p>
    <w:p>
      <w:pPr>
        <w:spacing w:after="0" w:line="117" w:lineRule="exact"/>
        <w:rPr>
          <w:rFonts w:ascii="Arial" w:cs="Arial" w:eastAsia="Arial" w:hAnsi="Arial"/>
          <w:sz w:val="18"/>
          <w:szCs w:val="18"/>
          <w:color w:val="auto"/>
        </w:rPr>
      </w:pPr>
    </w:p>
    <w:p>
      <w:pPr>
        <w:ind w:right="20" w:firstLine="1953"/>
        <w:spacing w:after="0" w:line="264" w:lineRule="auto"/>
        <w:tabs>
          <w:tab w:leader="none" w:pos="22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shall consolidate with, merge with or into, or otherwise combine with, any other Person (other than a Subsidiary of the Company in a transaction that complies with Section 11(o) hereof), and the Company shall not be the continuing or surviving corporation of such consolidation, merger or combination,</w:t>
      </w:r>
    </w:p>
    <w:p>
      <w:pPr>
        <w:spacing w:after="0" w:line="73" w:lineRule="exact"/>
        <w:rPr>
          <w:rFonts w:ascii="Arial" w:cs="Arial" w:eastAsia="Arial" w:hAnsi="Arial"/>
          <w:sz w:val="18"/>
          <w:szCs w:val="18"/>
          <w:color w:val="auto"/>
        </w:rPr>
      </w:pPr>
    </w:p>
    <w:p>
      <w:pPr>
        <w:ind w:right="180" w:firstLine="1953"/>
        <w:spacing w:after="0" w:line="279" w:lineRule="auto"/>
        <w:tabs>
          <w:tab w:leader="none" w:pos="2345"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Person (other than a Subsidiary of the Company in a transaction that complies with Section 11(o) hereof) shall consolidate with, merge with or into, or otherwise combine with, the Company, and the Company shall be the continuing or surviving corporation of such merger or combination and, in connection with such merger or combination, all or part of the outstanding shares of Common Stock shall be changed into or exchanged for other stock or securities of the Company or any other Person, cash or any other property, or</w:t>
      </w:r>
    </w:p>
    <w:p>
      <w:pPr>
        <w:spacing w:after="0" w:line="63" w:lineRule="exact"/>
        <w:rPr>
          <w:rFonts w:ascii="Arial" w:cs="Arial" w:eastAsia="Arial" w:hAnsi="Arial"/>
          <w:sz w:val="17"/>
          <w:szCs w:val="17"/>
          <w:color w:val="auto"/>
        </w:rPr>
      </w:pPr>
    </w:p>
    <w:p>
      <w:pPr>
        <w:jc w:val="both"/>
        <w:ind w:right="140" w:firstLine="1953"/>
        <w:spacing w:after="0" w:line="259" w:lineRule="auto"/>
        <w:tabs>
          <w:tab w:leader="none" w:pos="23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and/or one or more of its Subsidiaries shall sell or otherwise transfer, in one transaction or a series of related transactions, assets or earning power representing in the aggregate more than 50% of the assets or earning power of the Company and its Subsidiaries, taken as a whole, to any other Person or Persons (other than a Subsidiary of the Company in a transaction that complies with Section 11(o) hereof), then, and in each such case, proper provision shall promptly be made so that</w:t>
      </w:r>
    </w:p>
    <w:p>
      <w:pPr>
        <w:spacing w:after="0" w:line="78" w:lineRule="exact"/>
        <w:rPr>
          <w:rFonts w:ascii="Arial" w:cs="Arial" w:eastAsia="Arial" w:hAnsi="Arial"/>
          <w:sz w:val="18"/>
          <w:szCs w:val="18"/>
          <w:color w:val="auto"/>
        </w:rPr>
      </w:pPr>
    </w:p>
    <w:p>
      <w:pPr>
        <w:ind w:right="20" w:firstLine="2601"/>
        <w:spacing w:after="0" w:line="279" w:lineRule="auto"/>
        <w:tabs>
          <w:tab w:leader="none" w:pos="2983" w:val="left"/>
        </w:tabs>
        <w:numPr>
          <w:ilvl w:val="2"/>
          <w:numId w:val="23"/>
        </w:numPr>
        <w:rPr>
          <w:rFonts w:ascii="Arial" w:cs="Arial" w:eastAsia="Arial" w:hAnsi="Arial"/>
          <w:sz w:val="17"/>
          <w:szCs w:val="17"/>
          <w:color w:val="auto"/>
        </w:rPr>
      </w:pPr>
      <w:r>
        <w:rPr>
          <w:rFonts w:ascii="Arial" w:cs="Arial" w:eastAsia="Arial" w:hAnsi="Arial"/>
          <w:sz w:val="17"/>
          <w:szCs w:val="17"/>
          <w:color w:val="auto"/>
        </w:rPr>
        <w:t>each holder of a Right (except as otherwise provided herein, including Section 7(d)) shall thereafter be entitled to receive, upon exercise thereof at the Purchase Price in effect immediately prior to the first occurrence of any Triggering Event, such number of duly authorized, validly issued, fully paid and nonassessable shares of freely tradeable Common Stock of the Principal Party (as hereinafter defined), not subject to any rights of call or first refusal, liens, encumbrances or other claims, as shall be equal to the result obtained by dividing</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00" w:right="259" w:bottom="1440" w:gutter="0" w:footer="0" w:header="0"/>
        </w:sectPr>
      </w:pPr>
    </w:p>
    <w:bookmarkStart w:id="24" w:name="page25"/>
    <w:bookmarkEnd w:id="24"/>
    <w:p>
      <w:pPr>
        <w:ind w:right="40" w:firstLine="3249"/>
        <w:spacing w:after="0" w:line="286" w:lineRule="auto"/>
        <w:tabs>
          <w:tab w:leader="none" w:pos="3671" w:val="left"/>
        </w:tabs>
        <w:numPr>
          <w:ilvl w:val="3"/>
          <w:numId w:val="24"/>
        </w:numPr>
        <w:rPr>
          <w:rFonts w:ascii="Arial" w:cs="Arial" w:eastAsia="Arial" w:hAnsi="Arial"/>
          <w:sz w:val="17"/>
          <w:szCs w:val="17"/>
          <w:color w:val="auto"/>
        </w:rPr>
      </w:pPr>
      <w:r>
        <w:rPr>
          <w:rFonts w:ascii="Arial" w:cs="Arial" w:eastAsia="Arial" w:hAnsi="Arial"/>
          <w:sz w:val="17"/>
          <w:szCs w:val="17"/>
          <w:color w:val="auto"/>
        </w:rPr>
        <w:t>the product obtained by multiplying the Purchase Price in effect immediately prior to the first occurrence of any Triggering Event by the number of halves of one share of Common Stock for which a Right was exercisable immediately prior to such first occurrence (such product being thereafter referred to as the “</w:t>
      </w:r>
      <w:r>
        <w:rPr>
          <w:rFonts w:ascii="Arial" w:cs="Arial" w:eastAsia="Arial" w:hAnsi="Arial"/>
          <w:sz w:val="17"/>
          <w:szCs w:val="17"/>
          <w:u w:val="single" w:color="auto"/>
          <w:color w:val="auto"/>
        </w:rPr>
        <w:t>Purchase Price</w:t>
      </w:r>
      <w:r>
        <w:rPr>
          <w:rFonts w:ascii="Arial" w:cs="Arial" w:eastAsia="Arial" w:hAnsi="Arial"/>
          <w:sz w:val="17"/>
          <w:szCs w:val="17"/>
          <w:color w:val="auto"/>
        </w:rPr>
        <w:t>” for each Right and for all purposes of this Agreement) by</w:t>
      </w:r>
    </w:p>
    <w:p>
      <w:pPr>
        <w:spacing w:after="0" w:line="57" w:lineRule="exact"/>
        <w:rPr>
          <w:rFonts w:ascii="Arial" w:cs="Arial" w:eastAsia="Arial" w:hAnsi="Arial"/>
          <w:sz w:val="17"/>
          <w:szCs w:val="17"/>
          <w:color w:val="auto"/>
        </w:rPr>
      </w:pPr>
    </w:p>
    <w:p>
      <w:pPr>
        <w:ind w:left="3660" w:hanging="411"/>
        <w:spacing w:after="0"/>
        <w:tabs>
          <w:tab w:leader="none" w:pos="3660" w:val="left"/>
        </w:tabs>
        <w:numPr>
          <w:ilvl w:val="3"/>
          <w:numId w:val="24"/>
        </w:numPr>
        <w:rPr>
          <w:rFonts w:ascii="Arial" w:cs="Arial" w:eastAsia="Arial" w:hAnsi="Arial"/>
          <w:sz w:val="16"/>
          <w:szCs w:val="16"/>
          <w:color w:val="auto"/>
        </w:rPr>
      </w:pPr>
      <w:r>
        <w:rPr>
          <w:rFonts w:ascii="Arial" w:cs="Arial" w:eastAsia="Arial" w:hAnsi="Arial"/>
          <w:sz w:val="16"/>
          <w:szCs w:val="16"/>
          <w:color w:val="auto"/>
        </w:rPr>
        <w:t>50% of the current market price (determined pursuant to Section 11(d)(i)) per share of the Common Stock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such Principal Party on the date of consummation of such consolidation, merger, combination, sale or transfer;</w:t>
      </w:r>
    </w:p>
    <w:p>
      <w:pPr>
        <w:spacing w:after="0" w:line="102" w:lineRule="exact"/>
        <w:rPr>
          <w:rFonts w:ascii="Arial" w:cs="Arial" w:eastAsia="Arial" w:hAnsi="Arial"/>
          <w:sz w:val="16"/>
          <w:szCs w:val="16"/>
          <w:color w:val="auto"/>
        </w:rPr>
      </w:pPr>
    </w:p>
    <w:p>
      <w:pPr>
        <w:ind w:right="820" w:firstLine="2601"/>
        <w:spacing w:after="0" w:line="277" w:lineRule="auto"/>
        <w:tabs>
          <w:tab w:leader="none" w:pos="2983"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Principal Party shall thereafter be liable for and shall assume, by virtue of such consolidation, merger, combination, sale or transfer, all the obligations and duties of the Company pursuant to this Agreement;</w:t>
      </w:r>
    </w:p>
    <w:p>
      <w:pPr>
        <w:spacing w:after="0" w:line="62" w:lineRule="exact"/>
        <w:rPr>
          <w:rFonts w:ascii="Arial" w:cs="Arial" w:eastAsia="Arial" w:hAnsi="Arial"/>
          <w:sz w:val="18"/>
          <w:szCs w:val="18"/>
          <w:color w:val="auto"/>
        </w:rPr>
      </w:pPr>
    </w:p>
    <w:p>
      <w:pPr>
        <w:ind w:right="240" w:firstLine="2601"/>
        <w:spacing w:after="0" w:line="277" w:lineRule="auto"/>
        <w:tabs>
          <w:tab w:leader="none" w:pos="2983"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Company</w:t>
      </w:r>
      <w:r>
        <w:rPr>
          <w:rFonts w:ascii="Arial" w:cs="Arial" w:eastAsia="Arial" w:hAnsi="Arial"/>
          <w:sz w:val="18"/>
          <w:szCs w:val="18"/>
          <w:color w:val="auto"/>
        </w:rPr>
        <w:t>” shall thereafter be deemed to refer to such Principal Party, it being specifically intended that the provisions of Section 11 shall apply only to such Principal Party following the first occurrence of a Section 13 Event;</w:t>
      </w:r>
    </w:p>
    <w:p>
      <w:pPr>
        <w:spacing w:after="0" w:line="62" w:lineRule="exact"/>
        <w:rPr>
          <w:rFonts w:ascii="Arial" w:cs="Arial" w:eastAsia="Arial" w:hAnsi="Arial"/>
          <w:sz w:val="18"/>
          <w:szCs w:val="18"/>
          <w:color w:val="auto"/>
        </w:rPr>
      </w:pPr>
    </w:p>
    <w:p>
      <w:pPr>
        <w:ind w:right="60" w:firstLine="2601"/>
        <w:spacing w:after="0" w:line="279" w:lineRule="auto"/>
        <w:tabs>
          <w:tab w:leader="none" w:pos="2983" w:val="left"/>
        </w:tabs>
        <w:numPr>
          <w:ilvl w:val="2"/>
          <w:numId w:val="25"/>
        </w:numPr>
        <w:rPr>
          <w:rFonts w:ascii="Arial" w:cs="Arial" w:eastAsia="Arial" w:hAnsi="Arial"/>
          <w:sz w:val="17"/>
          <w:szCs w:val="17"/>
          <w:color w:val="auto"/>
        </w:rPr>
      </w:pPr>
      <w:r>
        <w:rPr>
          <w:rFonts w:ascii="Arial" w:cs="Arial" w:eastAsia="Arial" w:hAnsi="Arial"/>
          <w:sz w:val="17"/>
          <w:szCs w:val="17"/>
          <w:color w:val="auto"/>
        </w:rPr>
        <w:t>such Principal Party shall take such steps (including but not limited to the authorization and reservation of a sufficient number of shares of its Common Stock to permit exercise of all outstanding Rights in accordance with this Section 13(a)) in connection with the consummation of any such transaction as may be necessary to assure that the provisions hereof shall thereafter be applicable, as nearly as reasonably may be, in relation to the shares of its Common Stock thereafter deliverable upon the exercise of the Rights; and</w:t>
      </w:r>
    </w:p>
    <w:p>
      <w:pPr>
        <w:spacing w:after="0" w:line="63" w:lineRule="exact"/>
        <w:rPr>
          <w:rFonts w:ascii="Arial" w:cs="Arial" w:eastAsia="Arial" w:hAnsi="Arial"/>
          <w:sz w:val="17"/>
          <w:szCs w:val="17"/>
          <w:color w:val="auto"/>
        </w:rPr>
      </w:pPr>
    </w:p>
    <w:p>
      <w:pPr>
        <w:ind w:left="3000" w:hanging="399"/>
        <w:spacing w:after="0"/>
        <w:tabs>
          <w:tab w:leader="none" w:pos="3000" w:val="left"/>
        </w:tabs>
        <w:numPr>
          <w:ilvl w:val="2"/>
          <w:numId w:val="25"/>
        </w:numPr>
        <w:rPr>
          <w:rFonts w:ascii="Arial" w:cs="Arial" w:eastAsia="Arial" w:hAnsi="Arial"/>
          <w:sz w:val="17"/>
          <w:szCs w:val="17"/>
          <w:color w:val="auto"/>
        </w:rPr>
      </w:pPr>
      <w:r>
        <w:rPr>
          <w:rFonts w:ascii="Arial" w:cs="Arial" w:eastAsia="Arial" w:hAnsi="Arial"/>
          <w:sz w:val="17"/>
          <w:szCs w:val="17"/>
          <w:color w:val="auto"/>
        </w:rPr>
        <w:t>the provisions of Section 11(a)(ii) shall be of no effect following the first occurrence of any Section 13 Event.</w:t>
      </w:r>
    </w:p>
    <w:p>
      <w:pPr>
        <w:spacing w:after="0" w:line="128" w:lineRule="exact"/>
        <w:rPr>
          <w:rFonts w:ascii="Arial" w:cs="Arial" w:eastAsia="Arial" w:hAnsi="Arial"/>
          <w:sz w:val="17"/>
          <w:szCs w:val="17"/>
          <w:color w:val="auto"/>
        </w:rPr>
      </w:pPr>
    </w:p>
    <w:p>
      <w:pPr>
        <w:ind w:left="1780" w:hanging="394"/>
        <w:spacing w:after="0"/>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Party</w:t>
      </w:r>
      <w:r>
        <w:rPr>
          <w:rFonts w:ascii="Arial" w:cs="Arial" w:eastAsia="Arial" w:hAnsi="Arial"/>
          <w:sz w:val="18"/>
          <w:szCs w:val="18"/>
          <w:color w:val="auto"/>
        </w:rPr>
        <w:t>” means</w:t>
      </w:r>
    </w:p>
    <w:p>
      <w:pPr>
        <w:spacing w:after="0" w:line="117" w:lineRule="exact"/>
        <w:rPr>
          <w:rFonts w:ascii="Arial" w:cs="Arial" w:eastAsia="Arial" w:hAnsi="Arial"/>
          <w:sz w:val="18"/>
          <w:szCs w:val="18"/>
          <w:color w:val="auto"/>
        </w:rPr>
      </w:pPr>
    </w:p>
    <w:p>
      <w:pPr>
        <w:ind w:right="360" w:firstLine="1953"/>
        <w:spacing w:after="0" w:line="264" w:lineRule="auto"/>
        <w:tabs>
          <w:tab w:leader="none" w:pos="2295"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the case of any transaction described in Section 13(a)(i) or (ii), the Person that is the issuer of any securities into which shares of Common Stock of the Company are converted in such merger, consolidation or combination, and if no securities are so issued, the Person that survives or results from such merger, consolidation or combination; and</w:t>
      </w:r>
    </w:p>
    <w:p>
      <w:pPr>
        <w:spacing w:after="0" w:line="73" w:lineRule="exact"/>
        <w:rPr>
          <w:rFonts w:ascii="Arial" w:cs="Arial" w:eastAsia="Arial" w:hAnsi="Arial"/>
          <w:sz w:val="18"/>
          <w:szCs w:val="18"/>
          <w:color w:val="auto"/>
        </w:rPr>
      </w:pPr>
    </w:p>
    <w:p>
      <w:pPr>
        <w:ind w:right="140" w:firstLine="1953"/>
        <w:spacing w:after="0" w:line="277" w:lineRule="auto"/>
        <w:tabs>
          <w:tab w:leader="none" w:pos="2345"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the case of any transaction described in Section 13(a)(iii), the Person that is the party receiving the greatest portion of the assets or earning power transferred pursuant to such transaction or transactions;</w:t>
      </w:r>
    </w:p>
    <w:p>
      <w:pPr>
        <w:spacing w:after="0" w:line="17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any such case, (A) if the Common Stock of such Person is not at such time and has not been continuously over the preceding 12-month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registered under Section 12 of the Exchange Act, and such Person is a direct or indirect Subsidiary of another Person the Common Stock of which is and has been so registered, “Principal Party” shall refer to such other Person; (B) if such Person is a Subsidiary, directly or indirectly, of more than one Person, the Common Stocks of two or more of which are and have been so registered, “Principal Party” shall refer to whichever of such Persons is the issuer of the Common Stock having the greatest aggregate market value; and (C) if such Person is owned, directly or indirectly, by a joint venture formed by two or more Persons that are not owned, directly or indirectly, by the same Person, the rules set forth in clauses (A) and (B) above shall apply to each of the owners having an interest in such joint venture as if such joint venture were a subsidiary of both or all of such joint venturers and the Principal Party in each such chain shall bear the obligations set forth in this Section 13 in the same ratio as their direct or indirect interests in such joint venture bear to the total of such interests.</w:t>
      </w:r>
    </w:p>
    <w:p>
      <w:pPr>
        <w:spacing w:after="0" w:line="89" w:lineRule="exact"/>
        <w:rPr>
          <w:sz w:val="20"/>
          <w:szCs w:val="20"/>
          <w:color w:val="auto"/>
        </w:rPr>
      </w:pPr>
    </w:p>
    <w:p>
      <w:pPr>
        <w:ind w:firstLine="1305"/>
        <w:spacing w:after="0" w:line="276" w:lineRule="auto"/>
        <w:tabs>
          <w:tab w:leader="none" w:pos="167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shall not consummate any such consolidation, merger, combination, sale or transfer unless the Principal Party shall have a sufficient number of authorized shares of its Common Stock, which are not outstanding or otherwise reserved for issuance to permit the exercise in full of the Rights in accordance with this Section 13 and unless prior thereto the Company and such Principal Party shall have executed and delivered to the Rights Agent a supplemental agreement providing for the terms set forth in Section 13(a) and (b) and providing that, as soon as practicable after the date of any consolidation, merger, combination, sale or transfer mentioned in Section 13(a), the Principal Party will:</w:t>
      </w:r>
    </w:p>
    <w:p>
      <w:pPr>
        <w:spacing w:after="0" w:line="64" w:lineRule="exact"/>
        <w:rPr>
          <w:rFonts w:ascii="Arial" w:cs="Arial" w:eastAsia="Arial" w:hAnsi="Arial"/>
          <w:sz w:val="17"/>
          <w:szCs w:val="17"/>
          <w:color w:val="auto"/>
        </w:rPr>
      </w:pPr>
    </w:p>
    <w:p>
      <w:pPr>
        <w:ind w:right="140" w:firstLine="1953"/>
        <w:spacing w:after="0" w:line="312" w:lineRule="auto"/>
        <w:tabs>
          <w:tab w:leader="none" w:pos="2295" w:val="left"/>
        </w:tabs>
        <w:numPr>
          <w:ilvl w:val="1"/>
          <w:numId w:val="27"/>
        </w:numPr>
        <w:rPr>
          <w:rFonts w:ascii="Arial" w:cs="Arial" w:eastAsia="Arial" w:hAnsi="Arial"/>
          <w:sz w:val="16"/>
          <w:szCs w:val="16"/>
          <w:color w:val="auto"/>
        </w:rPr>
      </w:pPr>
      <w:r>
        <w:rPr>
          <w:rFonts w:ascii="Arial" w:cs="Arial" w:eastAsia="Arial" w:hAnsi="Arial"/>
          <w:sz w:val="16"/>
          <w:szCs w:val="16"/>
          <w:color w:val="auto"/>
        </w:rPr>
        <w:t>prepare and file a registration statement under the Securities Act with respect to the Rights and the securities issuable upon exercise of the Rights on an appropriate form, and will use its best efforts to cause such registration statement to (A) become effective as soon as practicable after such filing and (B) remain effective (with a prospectus at all times meeting the requirements of the Securities Act) until the Expiration Date; and</w:t>
      </w:r>
    </w:p>
    <w:p>
      <w:pPr>
        <w:spacing w:after="0" w:line="38" w:lineRule="exact"/>
        <w:rPr>
          <w:rFonts w:ascii="Arial" w:cs="Arial" w:eastAsia="Arial" w:hAnsi="Arial"/>
          <w:sz w:val="16"/>
          <w:szCs w:val="16"/>
          <w:color w:val="auto"/>
        </w:rPr>
      </w:pPr>
    </w:p>
    <w:p>
      <w:pPr>
        <w:ind w:right="100" w:firstLine="1953"/>
        <w:spacing w:after="0" w:line="277" w:lineRule="auto"/>
        <w:tabs>
          <w:tab w:leader="none" w:pos="234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deliver to holders of the Rights historical financial statements for the Principal Party and each of its Affiliates which comply in all respects with the requirements for registration on Form 10 under the Exchange Act.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provisions of this Section 13 shall similarly apply to successive mergers, consolidations, combinations, sales or other transfers. If any Section 13 Event shall occur at any time after the occurrence of a Section 11(a)(ii) Event, the Rights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800" w:right="259" w:bottom="1440" w:gutter="0" w:footer="0" w:header="0"/>
        </w:sectPr>
      </w:pPr>
    </w:p>
    <w:bookmarkStart w:id="25" w:name="page26"/>
    <w:bookmarkEnd w:id="25"/>
    <w:p>
      <w:pPr>
        <w:ind w:right="80"/>
        <w:spacing w:after="0" w:line="277" w:lineRule="auto"/>
        <w:rPr>
          <w:sz w:val="20"/>
          <w:szCs w:val="20"/>
          <w:color w:val="auto"/>
        </w:rPr>
      </w:pPr>
      <w:r>
        <w:rPr>
          <w:rFonts w:ascii="Arial" w:cs="Arial" w:eastAsia="Arial" w:hAnsi="Arial"/>
          <w:sz w:val="18"/>
          <w:szCs w:val="18"/>
          <w:color w:val="auto"/>
        </w:rPr>
        <w:t>which have not theretofore been exercised shall cease to be exercisable in the manner provided in Section 11(a)(ii) and shall thereafter become exercisable in the manner described in Section 13(a).</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Fractional Rights and Fractional Shares</w:t>
      </w:r>
      <w:r>
        <w:rPr>
          <w:rFonts w:ascii="Arial" w:cs="Arial" w:eastAsia="Arial" w:hAnsi="Arial"/>
          <w:sz w:val="18"/>
          <w:szCs w:val="18"/>
          <w:color w:val="auto"/>
        </w:rPr>
        <w:t>.</w:t>
      </w:r>
    </w:p>
    <w:p>
      <w:pPr>
        <w:spacing w:after="0" w:line="117" w:lineRule="exact"/>
        <w:rPr>
          <w:sz w:val="20"/>
          <w:szCs w:val="20"/>
          <w:color w:val="auto"/>
        </w:rPr>
      </w:pPr>
    </w:p>
    <w:p>
      <w:pPr>
        <w:ind w:firstLine="1305"/>
        <w:spacing w:after="0" w:line="286" w:lineRule="auto"/>
        <w:tabs>
          <w:tab w:leader="none" w:pos="167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shall not be required to issue fractions of Rights or to distribute Right Certificates that evidence fractional Rights.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Section 14(a), the current market value of a whole Right shall be the closing price of the Rights for the Trading Day immediately prior to the date on which such fractional Rights would have been otherwise issuable. The closing price for each Trading Day shall be the last sale price, regular way, or, if no such sale takes place on such day, the average of the closing bid and asked prices, regular way, in either case as reported in the principal consolidated transaction reporting system with respect to securities listed or admitted to trading on NASDAQ or, if the Rights are not listed or admitted to trading on NASDAQ, as reported in the principal consolidated transaction reporting system with respect to the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selected by the Board of Directors. If on any such date no market maker is making a market in the Rights, the fair value of such Rights on such date as determined in good faith by the Board of Directors shall be used. If the Rights are not publicly held or are not so listed or traded or are not the subject of available bid and asked quotes, the “current market price” per share means the fair value per Right as determined in good faith by the Board of Directors, which determination shall be described in a statement filed with the Rights Agent and shall be conclusive for all purposes.</w:t>
      </w:r>
    </w:p>
    <w:p>
      <w:pPr>
        <w:spacing w:after="0" w:line="60" w:lineRule="exact"/>
        <w:rPr>
          <w:rFonts w:ascii="Arial" w:cs="Arial" w:eastAsia="Arial" w:hAnsi="Arial"/>
          <w:sz w:val="16"/>
          <w:szCs w:val="16"/>
          <w:color w:val="auto"/>
        </w:rPr>
      </w:pPr>
    </w:p>
    <w:p>
      <w:pPr>
        <w:ind w:right="100" w:firstLine="1305"/>
        <w:spacing w:after="0" w:line="254" w:lineRule="auto"/>
        <w:tabs>
          <w:tab w:leader="none" w:pos="1683"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Company shall not be required to issue fractions of shares of Common Stock upon exercise or exchange of the Rights or to distribute certificates that evidence fractional shares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shall not preclude any holder of Right Certificates from aggregating such Right Certificates in any exercise thereof and receiving any whole number of shares of Common Stock, in which case the foregoing shall apply only to any fraction of a share resulting from such aggregation. In lieu of any such fractional shares of Common Stock, the Company shall pay to the registered holders of Right Certificates at the time such Rights are exercised as herein provided an amount in cash equal to the same fraction of the current market price of one share of Common Stock. For purposes of this Section 14(b), the current market price of one share of Common Stock shall be the closing price of one share of Common Stock (as determined pursuant to Section 11(d)) for the Trading Day immediately prior to the date of such exercise.</w:t>
      </w:r>
    </w:p>
    <w:p>
      <w:pPr>
        <w:spacing w:after="0" w:line="84" w:lineRule="exact"/>
        <w:rPr>
          <w:rFonts w:ascii="Arial" w:cs="Arial" w:eastAsia="Arial" w:hAnsi="Arial"/>
          <w:sz w:val="18"/>
          <w:szCs w:val="18"/>
          <w:color w:val="auto"/>
        </w:rPr>
      </w:pPr>
    </w:p>
    <w:p>
      <w:pPr>
        <w:ind w:right="40" w:firstLine="1305"/>
        <w:spacing w:after="0" w:line="277" w:lineRule="auto"/>
        <w:tabs>
          <w:tab w:leader="none" w:pos="16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of a Right by the acceptance of the Right expressly waives such holder’s right to receive any fractional Rights or fractional shares upon exercise of a Right except as permitted by this Section 14.</w:t>
      </w:r>
    </w:p>
    <w:p>
      <w:pPr>
        <w:spacing w:after="0" w:line="62" w:lineRule="exact"/>
        <w:rPr>
          <w:rFonts w:ascii="Arial" w:cs="Arial" w:eastAsia="Arial" w:hAnsi="Arial"/>
          <w:sz w:val="18"/>
          <w:szCs w:val="18"/>
          <w:color w:val="auto"/>
        </w:rPr>
      </w:pPr>
    </w:p>
    <w:p>
      <w:pPr>
        <w:ind w:right="400" w:firstLine="1305"/>
        <w:spacing w:after="0" w:line="277" w:lineRule="auto"/>
        <w:tabs>
          <w:tab w:leader="none" w:pos="16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Nothing contained in subsection (a) shall impair any right of any holder to receive any Right for a fraction of a share of Common Stock pursuant to the provisions of this Agreement or any Right Certificate.</w:t>
      </w:r>
    </w:p>
    <w:p>
      <w:pPr>
        <w:spacing w:after="0" w:line="6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Rights of Action</w:t>
      </w:r>
      <w:r>
        <w:rPr>
          <w:rFonts w:ascii="Arial" w:cs="Arial" w:eastAsia="Arial" w:hAnsi="Arial"/>
          <w:sz w:val="18"/>
          <w:szCs w:val="18"/>
          <w:color w:val="auto"/>
        </w:rPr>
        <w:t>. All rights of action in respect of this Agreement, excepting the rights of action given to the Rights Agent under Section 18, are vested in the respective registered holders of the Right Certificates (and, prior to the Distribution Date, the registered holders of certificates representing Common Stock); and any registered holder of any Right Certificate (or, prior to the Distribution Date, of any certificate representing Common Stock), without the consent of the Rights Agent or of the holder of any other Right Certificate (or, prior to the Distribution Date, of any certificate representing Common Stock), may, in such holder’s own behalf and for such holder’s own benefit, enforce, and may institute and maintain any suit, action or proceeding against the Company to enforce this Agreement, or otherwise act in respect of such holder’s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Agreement of Right Holders</w:t>
      </w:r>
      <w:r>
        <w:rPr>
          <w:rFonts w:ascii="Arial" w:cs="Arial" w:eastAsia="Arial" w:hAnsi="Arial"/>
          <w:sz w:val="18"/>
          <w:szCs w:val="18"/>
          <w:color w:val="auto"/>
        </w:rPr>
        <w:t>. Every holder of a Right, by accepting the same, consents and agrees with the Company and the Rights Agent and with every other holder of a Right that:</w:t>
      </w:r>
    </w:p>
    <w:p>
      <w:pPr>
        <w:spacing w:after="0" w:line="62" w:lineRule="exact"/>
        <w:rPr>
          <w:sz w:val="20"/>
          <w:szCs w:val="20"/>
          <w:color w:val="auto"/>
        </w:rPr>
      </w:pPr>
    </w:p>
    <w:p>
      <w:pPr>
        <w:ind w:left="1680" w:hanging="375"/>
        <w:spacing w:after="0"/>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to the Distribution Date, the Rights will be transferable only in connection with the transfer of Common Stock;</w:t>
      </w:r>
    </w:p>
    <w:p>
      <w:pPr>
        <w:spacing w:after="0" w:line="117" w:lineRule="exact"/>
        <w:rPr>
          <w:rFonts w:ascii="Arial" w:cs="Arial" w:eastAsia="Arial" w:hAnsi="Arial"/>
          <w:sz w:val="18"/>
          <w:szCs w:val="18"/>
          <w:color w:val="auto"/>
        </w:rPr>
      </w:pPr>
    </w:p>
    <w:p>
      <w:pPr>
        <w:ind w:right="140" w:firstLine="1305"/>
        <w:spacing w:after="0" w:line="264" w:lineRule="auto"/>
        <w:tabs>
          <w:tab w:leader="none" w:pos="168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after the Distribution Date, the Right Certificates are transferable only on the registry books of the Rights Agent if surrendered at the principal office or offices of the Rights Agent designated for such purposes, duly endorsed or accompanied by a proper instrument of transfer and with the appropriate forms and certificates fully executed;</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908" w:right="259" w:bottom="1440" w:gutter="0" w:footer="0" w:header="0"/>
        </w:sectPr>
      </w:pPr>
    </w:p>
    <w:bookmarkStart w:id="26" w:name="page27"/>
    <w:bookmarkEnd w:id="26"/>
    <w:p>
      <w:pPr>
        <w:ind w:right="80" w:firstLine="1305"/>
        <w:spacing w:after="0" w:line="257" w:lineRule="auto"/>
        <w:tabs>
          <w:tab w:leader="none" w:pos="16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 to Sections 6 and 7, the Company and the Rights Agent may deem and treat the Person in whose name a Right Certificate (or, prior to the Distribution Date, a certificate representing shares of Common Stock) is registered as the absolute owner thereof and of the Rights evidenced thereby (notwithstanding any notations of ownership or writing on the Right Certificate or the certificate representing shares of Common Stock made by anyone other than the Company or the Rights Agent) for all purposes whatsoever, and neither the Company nor the Rights Agent, subject to the last sentence of Section 7(d), shall be affected by any notice to the contrary; and</w:t>
      </w:r>
    </w:p>
    <w:p>
      <w:pPr>
        <w:spacing w:after="0" w:line="80" w:lineRule="exact"/>
        <w:rPr>
          <w:rFonts w:ascii="Arial" w:cs="Arial" w:eastAsia="Arial" w:hAnsi="Arial"/>
          <w:sz w:val="18"/>
          <w:szCs w:val="18"/>
          <w:color w:val="auto"/>
        </w:rPr>
      </w:pPr>
    </w:p>
    <w:p>
      <w:pPr>
        <w:ind w:firstLine="1305"/>
        <w:spacing w:after="0" w:line="273" w:lineRule="auto"/>
        <w:tabs>
          <w:tab w:leader="none" w:pos="1686"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neither the Company nor the Rights Agent shall have any liability to any holder of a Right or other Person as a result of the Company’s or the Rights Agent’s inability to perform any of their respective obligations under this Agreement by reason of any preliminary or permanent injunction or other order, decree, judgment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must use its best efforts to have any such order, decree, judgment or ruling lifted or otherwise overturned as soon as possible.</w:t>
      </w:r>
    </w:p>
    <w:p>
      <w:pPr>
        <w:spacing w:after="0" w:line="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Right Certificate Holder Not Deemed a Stockholder</w:t>
      </w:r>
      <w:r>
        <w:rPr>
          <w:rFonts w:ascii="Arial" w:cs="Arial" w:eastAsia="Arial" w:hAnsi="Arial"/>
          <w:sz w:val="18"/>
          <w:szCs w:val="18"/>
          <w:color w:val="auto"/>
        </w:rPr>
        <w:t>. No holder, as such, of any Right Certificate shall be entitled to vote, receive dividends or other distributions or be deemed for any purpose the holder of shares of Common Stock or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or to receive dividends or subscription rights, or otherwise, until the Right or Rights evidenced by such Right Certificate shall have been exercised in accordance with the provisions of this Agreement or exchanged pursuant to the provisions of Section 24.</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Concerning the Rights Agent</w:t>
      </w:r>
      <w:r>
        <w:rPr>
          <w:rFonts w:ascii="Arial" w:cs="Arial" w:eastAsia="Arial" w:hAnsi="Arial"/>
          <w:sz w:val="18"/>
          <w:szCs w:val="18"/>
          <w:color w:val="auto"/>
        </w:rPr>
        <w:t>.</w:t>
      </w:r>
    </w:p>
    <w:p>
      <w:pPr>
        <w:spacing w:after="0" w:line="117" w:lineRule="exact"/>
        <w:rPr>
          <w:sz w:val="20"/>
          <w:szCs w:val="20"/>
          <w:color w:val="auto"/>
        </w:rPr>
      </w:pPr>
    </w:p>
    <w:p>
      <w:pPr>
        <w:ind w:right="140" w:firstLine="1305"/>
        <w:spacing w:after="0" w:line="273" w:lineRule="auto"/>
        <w:tabs>
          <w:tab w:leader="none" w:pos="167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agrees to pay to the Rights Agent reasonable compensation for all services rendered by it hereunder and, from time to time, on demand of the Rights Agent, its reasonable expenses and counsel fees and other disbursements incurred in the execution or administration of this Agreement and the exercise and performance of its duties hereunder. The Company also agrees to indemnify the Rights Agent for, and to hold it harmless against, any loss, liability, or expense, incurred without gross negligence or willful misconduct on the part of the Rights Agent, for anything done or omitted to be done by the Rights Agent in connection with the administration of this Agreement or the exercise or performance of its duties hereunder, including the costs and expenses of defending against any claim of liability.</w:t>
      </w:r>
    </w:p>
    <w:p>
      <w:pPr>
        <w:spacing w:after="0" w:line="70" w:lineRule="exact"/>
        <w:rPr>
          <w:rFonts w:ascii="Arial" w:cs="Arial" w:eastAsia="Arial" w:hAnsi="Arial"/>
          <w:sz w:val="17"/>
          <w:szCs w:val="17"/>
          <w:color w:val="auto"/>
        </w:rPr>
      </w:pPr>
    </w:p>
    <w:p>
      <w:pPr>
        <w:ind w:right="220" w:firstLine="1305"/>
        <w:spacing w:after="0" w:line="297" w:lineRule="auto"/>
        <w:tabs>
          <w:tab w:leader="none" w:pos="16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Rights Agent shall be protected and shall incur no liability for or in respect of any action taken, suffered or omitted by it in connection with the administration of this Agreement or the exercise or performance of its duties hereunder in reliance upon any Right Certificate or certificate for Common Stock or for other securities of the Company, instrument of assignment or transfer, power of attorney, endorsement, affidavit, letter, notice, instruction, direction, consent, certificate, statement, or other paper or document believed by it to be genuine and to be signed, executed and, where necessary, verified or acknowledged, by the proper Person or Persons, or otherwise upon the advice of counsel as set forth in Section 20 hereof.</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Merger or Consolidation or Change of Name of Rights Agent</w:t>
      </w:r>
      <w:r>
        <w:rPr>
          <w:rFonts w:ascii="Arial" w:cs="Arial" w:eastAsia="Arial" w:hAnsi="Arial"/>
          <w:sz w:val="18"/>
          <w:szCs w:val="18"/>
          <w:color w:val="auto"/>
        </w:rPr>
        <w:t>.</w:t>
      </w:r>
    </w:p>
    <w:p>
      <w:pPr>
        <w:spacing w:after="0" w:line="117" w:lineRule="exact"/>
        <w:rPr>
          <w:sz w:val="20"/>
          <w:szCs w:val="20"/>
          <w:color w:val="auto"/>
        </w:rPr>
      </w:pPr>
    </w:p>
    <w:p>
      <w:pPr>
        <w:ind w:firstLine="1305"/>
        <w:spacing w:after="0" w:line="253" w:lineRule="auto"/>
        <w:tabs>
          <w:tab w:leader="none" w:pos="1666"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any business of the Rights Agent or any successor Rights Agent, shall be the successor to the Rights Agent under this Agreement without the execution or filing of any paper or any further act on the part of any of the parties 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corporation would be eligible for appointment as a successor Rights Agent under the provisions of Section 21. If at the time such successor Rights Agent shall succeed to the agency created by this Agreement, any of the Right Certificates shall have been countersigned but not delivered, any such successor Rights Agent may adopt the countersignature of a predecessor Rights Agent and deliver such Right Certificates so countersigned; and if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86" w:lineRule="exact"/>
        <w:rPr>
          <w:rFonts w:ascii="Arial" w:cs="Arial" w:eastAsia="Arial" w:hAnsi="Arial"/>
          <w:sz w:val="18"/>
          <w:szCs w:val="18"/>
          <w:color w:val="auto"/>
        </w:rPr>
      </w:pPr>
    </w:p>
    <w:p>
      <w:pPr>
        <w:ind w:right="60" w:firstLine="1305"/>
        <w:spacing w:after="0" w:line="264" w:lineRule="auto"/>
        <w:tabs>
          <w:tab w:leader="none" w:pos="16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at any time the name of the Rights Agent shall be changed and at such time any of the Right Certificates shall have been countersigned but not delivered, the Rights Agent may adopt the countersignature under its prior name and deliver Right Certificates so countersigned; and if at that time any of the Right Certificates shall not have been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800" w:right="259" w:bottom="1440" w:gutter="0" w:footer="0" w:header="0"/>
        </w:sectPr>
      </w:pPr>
    </w:p>
    <w:bookmarkStart w:id="27" w:name="page28"/>
    <w:bookmarkEnd w:id="27"/>
    <w:p>
      <w:pPr>
        <w:ind w:right="400"/>
        <w:spacing w:after="0" w:line="277" w:lineRule="auto"/>
        <w:rPr>
          <w:sz w:val="20"/>
          <w:szCs w:val="20"/>
          <w:color w:val="auto"/>
        </w:rPr>
      </w:pPr>
      <w:r>
        <w:rPr>
          <w:rFonts w:ascii="Arial" w:cs="Arial" w:eastAsia="Arial" w:hAnsi="Arial"/>
          <w:sz w:val="18"/>
          <w:szCs w:val="18"/>
          <w:color w:val="auto"/>
        </w:rPr>
        <w:t>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62"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Duties of Rights Agent</w:t>
      </w:r>
      <w:r>
        <w:rPr>
          <w:rFonts w:ascii="Arial" w:cs="Arial" w:eastAsia="Arial" w:hAnsi="Arial"/>
          <w:sz w:val="17"/>
          <w:szCs w:val="17"/>
          <w:color w:val="auto"/>
        </w:rPr>
        <w:t>. The Rights Agent undertakes the duties and obligations imposed by this Agreement upon the following terms and conditions, by all of which the Company and the holders of Right Certificates, by their acceptance thereof, shall be bound:</w:t>
      </w:r>
    </w:p>
    <w:p>
      <w:pPr>
        <w:spacing w:after="0" w:line="38" w:lineRule="exact"/>
        <w:rPr>
          <w:sz w:val="20"/>
          <w:szCs w:val="20"/>
          <w:color w:val="auto"/>
        </w:rPr>
      </w:pPr>
    </w:p>
    <w:p>
      <w:pPr>
        <w:ind w:right="100" w:firstLine="1305"/>
        <w:spacing w:after="0" w:line="264" w:lineRule="auto"/>
        <w:tabs>
          <w:tab w:leader="none" w:pos="167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Agent may consult with 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73" w:lineRule="exact"/>
        <w:rPr>
          <w:rFonts w:ascii="Arial" w:cs="Arial" w:eastAsia="Arial" w:hAnsi="Arial"/>
          <w:sz w:val="18"/>
          <w:szCs w:val="18"/>
          <w:color w:val="auto"/>
        </w:rPr>
      </w:pPr>
    </w:p>
    <w:p>
      <w:pPr>
        <w:ind w:firstLine="1305"/>
        <w:spacing w:after="0" w:line="272" w:lineRule="auto"/>
        <w:tabs>
          <w:tab w:leader="none" w:pos="1683" w:val="left"/>
        </w:tabs>
        <w:numPr>
          <w:ilvl w:val="0"/>
          <w:numId w:val="33"/>
        </w:numPr>
        <w:rPr>
          <w:rFonts w:ascii="Arial" w:cs="Arial" w:eastAsia="Arial" w:hAnsi="Arial"/>
          <w:sz w:val="17"/>
          <w:szCs w:val="17"/>
          <w:color w:val="auto"/>
        </w:rPr>
      </w:pPr>
      <w:r>
        <w:rPr>
          <w:rFonts w:ascii="Arial" w:cs="Arial" w:eastAsia="Arial" w:hAnsi="Arial"/>
          <w:sz w:val="17"/>
          <w:szCs w:val="17"/>
          <w:color w:val="auto"/>
        </w:rPr>
        <w:t>Whenever in the performance of its duties under this Agreement the Rights Agent shall deem it necessary or desirable that any fact or matter (including, without limitation, the identity of any Acquiring Person and the determination of current market price (as defined in Section 11(d))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any one of the Chairman of the Board, the Chief Executive Officer, the President, any Vice President, the Treasurer or any Assistant Treasurer or the Secretary or any Assistant Secretary of the Company and delivered to the Rights Agent; and such certificate shall be full authorization to the Rights Agent for any action taken, suffered or omitted in good faith by it under the provisions of this Agreement in reliance upon such certificate.</w:t>
      </w:r>
    </w:p>
    <w:p>
      <w:pPr>
        <w:spacing w:after="0" w:line="69" w:lineRule="exact"/>
        <w:rPr>
          <w:rFonts w:ascii="Arial" w:cs="Arial" w:eastAsia="Arial" w:hAnsi="Arial"/>
          <w:sz w:val="17"/>
          <w:szCs w:val="17"/>
          <w:color w:val="auto"/>
        </w:rPr>
      </w:pPr>
    </w:p>
    <w:p>
      <w:pPr>
        <w:ind w:left="1680" w:hanging="375"/>
        <w:spacing w:after="0"/>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Agent shall be liable hereunder only for its own gross negligence, or willful misconduct.</w:t>
      </w:r>
    </w:p>
    <w:p>
      <w:pPr>
        <w:spacing w:after="0" w:line="117" w:lineRule="exact"/>
        <w:rPr>
          <w:rFonts w:ascii="Arial" w:cs="Arial" w:eastAsia="Arial" w:hAnsi="Arial"/>
          <w:sz w:val="18"/>
          <w:szCs w:val="18"/>
          <w:color w:val="auto"/>
        </w:rPr>
      </w:pPr>
    </w:p>
    <w:p>
      <w:pPr>
        <w:ind w:right="100" w:firstLine="1305"/>
        <w:spacing w:after="0" w:line="264" w:lineRule="auto"/>
        <w:tabs>
          <w:tab w:leader="none" w:pos="168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73" w:lineRule="exact"/>
        <w:rPr>
          <w:rFonts w:ascii="Arial" w:cs="Arial" w:eastAsia="Arial" w:hAnsi="Arial"/>
          <w:sz w:val="18"/>
          <w:szCs w:val="18"/>
          <w:color w:val="auto"/>
        </w:rPr>
      </w:pPr>
    </w:p>
    <w:p>
      <w:pPr>
        <w:ind w:firstLine="1305"/>
        <w:spacing w:after="0" w:line="270" w:lineRule="auto"/>
        <w:tabs>
          <w:tab w:leader="none" w:pos="1673"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Rights Agent shall not be under any responsibility in respect of the validity of this Agreement or the execution and delivery hereof (except the due authorization, execution and delivery hereof by the Rights Agent) or in respect of the validity or execution of any Right Certificate (except its countersignature thereof); nor shall it be responsible for any breach by the Company of any covenant or condition contained in this Agreement or in any Right Certificate; nor shall it be responsible for any change in the exercisability of the Rights (including the Rights becoming void pursuant to Section 7(d)) or any adjustment in the terms of the Rights (including the manner, method or amount thereof) provided for in Sections 3, 11, 13, 23 or 24, or the ascertaining of the existence of facts that would require any such adjustment (except with respect to the exercise of Rights evidenced by Right Certificates after actual notice of any such adjustment); nor shall it by any act hereunder be deemed to make any representation or warranty as to the authorization or reservation of any shares of Common Stock or other securities to be issued pursuant to this Agreement or any Right Certificate or as to whether any shares of Common Stock will, when issued, be duly authorized, validly issued, fully paid and nonassessable.</w:t>
      </w:r>
    </w:p>
    <w:p>
      <w:pPr>
        <w:spacing w:after="0" w:line="73" w:lineRule="exact"/>
        <w:rPr>
          <w:rFonts w:ascii="Arial" w:cs="Arial" w:eastAsia="Arial" w:hAnsi="Arial"/>
          <w:sz w:val="17"/>
          <w:szCs w:val="17"/>
          <w:color w:val="auto"/>
        </w:rPr>
      </w:pPr>
    </w:p>
    <w:p>
      <w:pPr>
        <w:ind w:right="60" w:firstLine="1305"/>
        <w:spacing w:after="0" w:line="264" w:lineRule="auto"/>
        <w:tabs>
          <w:tab w:leader="none" w:pos="16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73" w:lineRule="exact"/>
        <w:rPr>
          <w:rFonts w:ascii="Arial" w:cs="Arial" w:eastAsia="Arial" w:hAnsi="Arial"/>
          <w:sz w:val="18"/>
          <w:szCs w:val="18"/>
          <w:color w:val="auto"/>
        </w:rPr>
      </w:pPr>
    </w:p>
    <w:p>
      <w:pPr>
        <w:ind w:right="60" w:firstLine="1305"/>
        <w:spacing w:after="0" w:line="257" w:lineRule="auto"/>
        <w:tabs>
          <w:tab w:leader="none" w:pos="168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Agent is hereby authorized and directed to accept instructions with respect to the performance of its duties hereunder from any one of the Chairman of the Board, the Chief Executive Officer, the President or any Vice President or the Secretary or any Assistant Secretary or the Treasurer or any Assistant Treasurer of the Company and to apply to such officers for advice or instructions in connection with its duties, and it shall not be liable for any action taken, suffered or omitted to be taken by it in good faith in accordance with instructions of any such officer or for any delay in acting while waiting for those instructions.</w:t>
      </w:r>
    </w:p>
    <w:p>
      <w:pPr>
        <w:spacing w:after="0" w:line="80" w:lineRule="exact"/>
        <w:rPr>
          <w:rFonts w:ascii="Arial" w:cs="Arial" w:eastAsia="Arial" w:hAnsi="Arial"/>
          <w:sz w:val="18"/>
          <w:szCs w:val="18"/>
          <w:color w:val="auto"/>
        </w:rPr>
      </w:pPr>
    </w:p>
    <w:p>
      <w:pPr>
        <w:ind w:right="40" w:firstLine="1305"/>
        <w:spacing w:after="0" w:line="302" w:lineRule="auto"/>
        <w:tabs>
          <w:tab w:leader="none" w:pos="16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Rights Agent and any shareholder, director, officer or employee of the Rights Agent may buy, sell or deal in, or act as the transfer agent for, any of the Rights, shares of Common Stock or other securities of the Company or become pecuniarily interested in any transaction in which the Company may be interested, or contract with or lend money to the Company or otherwise act as fully and freely as though it were not the Rights Agent under this Agreement. Nothing herein shall preclude the Rights Agent from acting in any other capacity for the Company or for any other Person.</w:t>
      </w:r>
    </w:p>
    <w:p>
      <w:pPr>
        <w:spacing w:after="0" w:line="46" w:lineRule="exact"/>
        <w:rPr>
          <w:rFonts w:ascii="Arial" w:cs="Arial" w:eastAsia="Arial" w:hAnsi="Arial"/>
          <w:sz w:val="16"/>
          <w:szCs w:val="16"/>
          <w:color w:val="auto"/>
        </w:rPr>
      </w:pPr>
    </w:p>
    <w:p>
      <w:pPr>
        <w:ind w:right="40" w:firstLine="1305"/>
        <w:spacing w:after="0" w:line="259" w:lineRule="auto"/>
        <w:tabs>
          <w:tab w:leader="none" w:pos="164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provided that reasonable care was exercised in the selection and continued employment thereof.</w:t>
      </w:r>
    </w:p>
    <w:p>
      <w:pPr>
        <w:spacing w:after="0" w:line="78" w:lineRule="exact"/>
        <w:rPr>
          <w:rFonts w:ascii="Arial" w:cs="Arial" w:eastAsia="Arial" w:hAnsi="Arial"/>
          <w:sz w:val="18"/>
          <w:szCs w:val="18"/>
          <w:color w:val="auto"/>
        </w:rPr>
      </w:pPr>
    </w:p>
    <w:p>
      <w:pPr>
        <w:ind w:right="40" w:firstLine="1305"/>
        <w:spacing w:after="0" w:line="277" w:lineRule="auto"/>
        <w:tabs>
          <w:tab w:leader="none" w:pos="16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provision of this Agreement shall require the Rights Agent to expend or risk its own funds or otherwise incur any financial liability in the performance of any of its duties hereunder or in the exercise of its rights if there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800" w:right="259" w:bottom="1440" w:gutter="0" w:footer="0" w:header="0"/>
        </w:sectPr>
      </w:pPr>
    </w:p>
    <w:bookmarkStart w:id="28" w:name="page29"/>
    <w:bookmarkEnd w:id="28"/>
    <w:p>
      <w:pPr>
        <w:ind w:right="160"/>
        <w:spacing w:after="0" w:line="277" w:lineRule="auto"/>
        <w:rPr>
          <w:sz w:val="20"/>
          <w:szCs w:val="20"/>
          <w:color w:val="auto"/>
        </w:rPr>
      </w:pPr>
      <w:r>
        <w:rPr>
          <w:rFonts w:ascii="Arial" w:cs="Arial" w:eastAsia="Arial" w:hAnsi="Arial"/>
          <w:sz w:val="18"/>
          <w:szCs w:val="18"/>
          <w:color w:val="auto"/>
        </w:rPr>
        <w:t>shall be reasonable grounds for believing that repayment of such funds or adequate indemnification against such risk or liability is not reasonably assured to it.</w:t>
      </w:r>
    </w:p>
    <w:p>
      <w:pPr>
        <w:spacing w:after="0" w:line="62" w:lineRule="exact"/>
        <w:rPr>
          <w:sz w:val="20"/>
          <w:szCs w:val="20"/>
          <w:color w:val="auto"/>
        </w:rPr>
      </w:pPr>
    </w:p>
    <w:p>
      <w:pPr>
        <w:ind w:left="1700" w:hanging="395"/>
        <w:spacing w:after="0"/>
        <w:tabs>
          <w:tab w:leader="none" w:pos="17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If, with respect to any Right Certificate surrendered to the Rights Agent for exercise, transfer, split up, combination or exchange, either</w:t>
      </w:r>
    </w:p>
    <w:p>
      <w:pPr>
        <w:spacing w:after="0" w:line="46" w:lineRule="exact"/>
        <w:rPr>
          <w:rFonts w:ascii="Arial" w:cs="Arial" w:eastAsia="Arial" w:hAnsi="Arial"/>
          <w:sz w:val="16"/>
          <w:szCs w:val="16"/>
          <w:color w:val="auto"/>
        </w:rPr>
      </w:pPr>
    </w:p>
    <w:p>
      <w:pPr>
        <w:ind w:right="280" w:firstLine="8"/>
        <w:spacing w:after="0" w:line="254" w:lineRule="auto"/>
        <w:tabs>
          <w:tab w:leader="none" w:pos="2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certificate attached to the form of assignment or form of election to purchase, as the case may be, has either not been completed or indicates an affirmative response to clause 1 or 2 thereof, or (ii) any other actual or suspected irregularity exists, the Rights Agent shall not take any further action with respect to such requested exercise, transfer, split up, combination or exchange without first consulting with the Company, and will thereafter take further action with respect thereto only in accordance with the Company’s written instructions.</w:t>
      </w:r>
    </w:p>
    <w:p>
      <w:pPr>
        <w:spacing w:after="0" w:line="82"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Change of Rights Agent</w:t>
      </w:r>
      <w:r>
        <w:rPr>
          <w:rFonts w:ascii="Arial" w:cs="Arial" w:eastAsia="Arial" w:hAnsi="Arial"/>
          <w:sz w:val="17"/>
          <w:szCs w:val="17"/>
          <w:color w:val="auto"/>
        </w:rPr>
        <w:t>. The Rights Agent or any successor Rights Agent may resign and be discharged from its duties under this Agreement upon 30 calendar days’ notice in writing mailed to the Company and, if the Rights Agent or one of its Affiliates is not also the transfer agent for the Company, to each transfer agent of the Common Stock by registered or certified mail, and, subsequent to the Distribution Date, to the holders of the Right Certificates by first-class mail. The Company may remove the Rights Agent or any successor Rights Agent upon 30 calendar days’ notice in writing, mailed to the Rights Agent or successor Rights Agent, as the case may be, and to each transfer agent of the Common Stock by registered or certified mail, and, subsequent to the Distribution Date, to the holders of the Right Certificates by first-class mail. If the Rights Agent shall resign or be removed or shall otherwise become incapable of acting, the Company shall appoint a successor to the Rights Agent. If the Company shall fail to make such appointment within a period of 30 calendar days after giving notice of such removal or after it has been notified in writing of such resignation or incapacity by the resigning or incapacitated Rights Agent or by the holder of a Right Certificate (who shall, with such notice, submit such holder’s Right Certificate for inspection by the Company), then the registered holder of any Right Certificate may apply to any court of competent jurisdiction for the appointment of a new Rights Agent. Any successor Rights Agent, whether appointed by the Company or by such a court, shall be (a) a corporation or other legal entity organized and doing business under the laws of the United States or of any state of the United States, in good standing, having an office in the State of New York, which is authorized under such laws to exercise stock transfer or corporate trust powers and which has at the time of its appointment as Rights Agent a combined capital and surplus or net worth of at least $50,000,000 or (b) an Affiliate of a corporation or other legal entity described in clause (a) of this sentence.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Stock, and, subsequent to the Distribution Date, mail a notice thereof in writing to the registered holders of the Right Certificates. Failure to give any notice provided for in this Section 21, or any defect therein, shall not affect the legality or validity of the resignation or removal of the Rights Agent or the appointment of the successor Rights Agent, as the case may be.</w:t>
      </w:r>
    </w:p>
    <w:p>
      <w:pPr>
        <w:spacing w:after="0" w:line="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Issuance of New Right Certificates</w:t>
      </w:r>
      <w:r>
        <w:rPr>
          <w:rFonts w:ascii="Arial" w:cs="Arial" w:eastAsia="Arial" w:hAnsi="Arial"/>
          <w:sz w:val="17"/>
          <w:szCs w:val="17"/>
          <w:color w:val="auto"/>
        </w:rPr>
        <w:t xml:space="preserve">. Notwithstanding any of the provisions of this Agreement or of the Rights to the contrary, the Company, at its option, may issue new Right Certificates evidencing Rights in such form as may be approved by the Board of Directors to reflect any adjustment or change in the Purchase Price and the number or kind or class of shares or other securities or property issuable upon exercise of the Rights made in accordance with the provisions of this Agreement. In addition, in connection with the issuance or sale by the Company of shares of Common Stock following the Distribution Date and prior to the Expiration Date, the Company (a) shall, with respect to shares of Common Stock so issued or sold pursuant to the exercise of stock options or under any employee plan or arrangement granted or awarded on or prior to the Distribution Date, or upon the exercise, conversion or exchange of securities issued by the Company on or prior to the Distribution Date which are exercisable or exchangeable for, or convertible into, shares of Common Stock, and (b) may, in any other case, if deemed necessary or appropriate by the Board of Directors, issue Right Certificates representing the appropriate number of Rights in connection with such issuance or sale;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no such Right Certificate shall be issued if, and to the extent that, the Company shall be advised by counsel that such issuance would create a significant risk of material adverse tax consequences to the Company or the Person to whom such Right Certificate would be issued, and (ii) no such Right Certificate shall be issued if, and to the extent that, appropriate adjustment shall otherwise have been made in lieu of the issuance thereof.</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17" w:lineRule="exact"/>
        <w:rPr>
          <w:sz w:val="20"/>
          <w:szCs w:val="20"/>
          <w:color w:val="auto"/>
        </w:rPr>
      </w:pPr>
    </w:p>
    <w:p>
      <w:pPr>
        <w:ind w:left="1680" w:hanging="375"/>
        <w:spacing w:after="0"/>
        <w:tabs>
          <w:tab w:leader="none" w:pos="16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Board of Directors may, at its option, at any time prior to the Close of Business on the earlier of (i) the Stock Acquisition Date and</w:t>
      </w:r>
    </w:p>
    <w:p>
      <w:pPr>
        <w:spacing w:after="0" w:line="46" w:lineRule="exact"/>
        <w:rPr>
          <w:rFonts w:ascii="Arial" w:cs="Arial" w:eastAsia="Arial" w:hAnsi="Arial"/>
          <w:sz w:val="16"/>
          <w:szCs w:val="16"/>
          <w:color w:val="auto"/>
        </w:rPr>
      </w:pPr>
    </w:p>
    <w:p>
      <w:pPr>
        <w:ind w:right="20" w:firstLine="8"/>
        <w:spacing w:after="0" w:line="271" w:lineRule="auto"/>
        <w:tabs>
          <w:tab w:leader="none" w:pos="26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Final Expiration Date, redeem all but not less than all of the then outstanding Rights at a redemption price of $0.001 per Right, as such amount may be appropriately adjusted to reflect any stock split, stock dividend or similar transaction occurring after the date of this Agreement (such redemption price being hereinafter referred to as the “</w:t>
      </w:r>
      <w:r>
        <w:rPr>
          <w:rFonts w:ascii="Arial" w:cs="Arial" w:eastAsia="Arial" w:hAnsi="Arial"/>
          <w:sz w:val="17"/>
          <w:szCs w:val="17"/>
          <w:u w:val="single" w:color="auto"/>
          <w:color w:val="auto"/>
        </w:rPr>
        <w:t>Redemption Price</w:t>
      </w:r>
      <w:r>
        <w:rPr>
          <w:rFonts w:ascii="Arial" w:cs="Arial" w:eastAsia="Arial" w:hAnsi="Arial"/>
          <w:sz w:val="17"/>
          <w:szCs w:val="17"/>
          <w:color w:val="auto"/>
        </w:rPr>
        <w:t>”). Any such redemption of the Rights by the Board of Directors may be made effective at such time, on such basis and with such conditions as the Board of Directors in its sole discretion may establish. The Company may, at its option, pay the Redemption Price in cash, shares of Common Stock (based on the current market price of the Common Stock at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9" w:name="page30"/>
    <w:bookmarkEnd w:id="29"/>
    <w:p>
      <w:pPr>
        <w:ind w:right="200"/>
        <w:spacing w:after="0" w:line="277" w:lineRule="auto"/>
        <w:rPr>
          <w:sz w:val="20"/>
          <w:szCs w:val="20"/>
          <w:color w:val="auto"/>
        </w:rPr>
      </w:pPr>
      <w:r>
        <w:rPr>
          <w:rFonts w:ascii="Arial" w:cs="Arial" w:eastAsia="Arial" w:hAnsi="Arial"/>
          <w:sz w:val="18"/>
          <w:szCs w:val="18"/>
          <w:color w:val="auto"/>
        </w:rPr>
        <w:t>the time of redemption as determined pursuant to Section 11(d)(i)) or any other form of consideration deemed appropriate by the Board of Directors, or any combination thereof.</w:t>
      </w:r>
    </w:p>
    <w:p>
      <w:pPr>
        <w:spacing w:after="0" w:line="62" w:lineRule="exact"/>
        <w:rPr>
          <w:sz w:val="20"/>
          <w:szCs w:val="20"/>
          <w:color w:val="auto"/>
        </w:rPr>
      </w:pPr>
    </w:p>
    <w:p>
      <w:pPr>
        <w:ind w:right="60" w:firstLine="1305"/>
        <w:spacing w:after="0" w:line="255" w:lineRule="auto"/>
        <w:tabs>
          <w:tab w:leader="none" w:pos="1686"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Immediately upon the effectiveness of the action of the Board of Directors ordering the redemption of the Rights pursuant to Section 23(a), without any further action and without any notice, the right to exercise the Rights will terminate and thereafter will represent only the right to receive the Redemption Price. The Company shall promptly thereafter give notice of such redemption to the Rights Agent and the holders of the Rights in the manner set forth in Section 26;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failure to give, or any defect in, such notice shall not affect the validity of such redemption. Any notice which is mailed in the manner herein provided shall be deemed given, whether or not the holder receives the notice. Each such notice of redemption will state the method by which the payment of the Redemption Price will be made.</w:t>
      </w:r>
    </w:p>
    <w:p>
      <w:pPr>
        <w:spacing w:after="0" w:line="85" w:lineRule="exact"/>
        <w:rPr>
          <w:rFonts w:ascii="Arial" w:cs="Arial" w:eastAsia="Arial" w:hAnsi="Arial"/>
          <w:sz w:val="18"/>
          <w:szCs w:val="18"/>
          <w:color w:val="auto"/>
        </w:rPr>
      </w:pPr>
    </w:p>
    <w:p>
      <w:pPr>
        <w:ind w:right="180" w:firstLine="1305"/>
        <w:spacing w:after="0" w:line="264" w:lineRule="auto"/>
        <w:tabs>
          <w:tab w:leader="none" w:pos="16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the Company nor any of its Affiliates or Associates may redeem, acquire or purchase for value any Rights at any time in any manner other than that specifically set forth in Section 23 or 24, and other than in connection with the purchase, acquisition or redemption of shares of Common Stock prior to the Distribution Date.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Exchange</w:t>
      </w:r>
      <w:r>
        <w:rPr>
          <w:rFonts w:ascii="Arial" w:cs="Arial" w:eastAsia="Arial" w:hAnsi="Arial"/>
          <w:sz w:val="18"/>
          <w:szCs w:val="18"/>
          <w:color w:val="auto"/>
        </w:rPr>
        <w:t>.</w:t>
      </w:r>
    </w:p>
    <w:p>
      <w:pPr>
        <w:spacing w:after="0" w:line="117" w:lineRule="exact"/>
        <w:rPr>
          <w:sz w:val="20"/>
          <w:szCs w:val="20"/>
          <w:color w:val="auto"/>
        </w:rPr>
      </w:pPr>
    </w:p>
    <w:p>
      <w:pPr>
        <w:ind w:firstLine="1305"/>
        <w:spacing w:after="0" w:line="253" w:lineRule="auto"/>
        <w:tabs>
          <w:tab w:leader="none" w:pos="16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any time after any Person becomes an Acquiring Person, the Board of Directors may, at its option, exchange all or part of the then outstanding and exercisable Rights (which shall not include Rights that have become void pursuant to Section 7(d)) for shares of Common Stock at an exchange ratio of one-half of one share of Common Stock per Right, appropriately adjusted to reflect any stock split, stock dividend or similar transaction occurring after the date hereof (such exchange ratio being hereinafter referred to as the “</w:t>
      </w:r>
      <w:r>
        <w:rPr>
          <w:rFonts w:ascii="Arial" w:cs="Arial" w:eastAsia="Arial" w:hAnsi="Arial"/>
          <w:sz w:val="18"/>
          <w:szCs w:val="18"/>
          <w:u w:val="single" w:color="auto"/>
          <w:color w:val="auto"/>
        </w:rPr>
        <w:t>Exchange Ratio</w:t>
      </w:r>
      <w:r>
        <w:rPr>
          <w:rFonts w:ascii="Arial" w:cs="Arial" w:eastAsia="Arial" w:hAnsi="Arial"/>
          <w:sz w:val="18"/>
          <w:szCs w:val="18"/>
          <w:color w:val="auto"/>
        </w:rPr>
        <w:t>” and such determination by the Board of Directors to effect such exchange, an “</w:t>
      </w:r>
      <w:r>
        <w:rPr>
          <w:rFonts w:ascii="Arial" w:cs="Arial" w:eastAsia="Arial" w:hAnsi="Arial"/>
          <w:sz w:val="18"/>
          <w:szCs w:val="18"/>
          <w:u w:val="single" w:color="auto"/>
          <w:color w:val="auto"/>
        </w:rPr>
        <w:t>Exchange Determination</w:t>
      </w:r>
      <w:r>
        <w:rPr>
          <w:rFonts w:ascii="Arial" w:cs="Arial" w:eastAsia="Arial" w:hAnsi="Arial"/>
          <w:sz w:val="18"/>
          <w:szCs w:val="18"/>
          <w:color w:val="auto"/>
        </w:rPr>
        <w:t>”). Any such exchange will be effective immediately upon the action of the Board of Directors ordering the same, unless such action of the Board of Directors expressly provides that such exchange will be effective at a subsequent time or upon the occurrence or nonoccurrence of one or more specified events (in which case such exchange will be effective in accordance with the provisions of such action of the Board of Directors). Notwithstanding the foregoing, the Board of Directors shall not be empowered to effect such exchange at any time after any Person (other than any Exempt Person), together with all Affiliates and Associates of such Person, becomes the Beneficial Owner of 50% or more of the shares of Common Stock then outstanding.</w:t>
      </w:r>
    </w:p>
    <w:p>
      <w:pPr>
        <w:spacing w:after="0" w:line="86" w:lineRule="exact"/>
        <w:rPr>
          <w:rFonts w:ascii="Arial" w:cs="Arial" w:eastAsia="Arial" w:hAnsi="Arial"/>
          <w:sz w:val="18"/>
          <w:szCs w:val="18"/>
          <w:color w:val="auto"/>
        </w:rPr>
      </w:pPr>
    </w:p>
    <w:p>
      <w:pPr>
        <w:ind w:right="80" w:firstLine="1305"/>
        <w:spacing w:after="0" w:line="253" w:lineRule="auto"/>
        <w:tabs>
          <w:tab w:leader="none" w:pos="1686"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Immediately upon the effectiveness of the exchange of any Rights pursuant to Section 24(a) and without any further action and without any notice, the right to exercise such Rights will terminate and thereafter the only right of a holder of such Rights shall be to receive that number of shares of Common Stock equal to the number of such Rights held by such holder multiplied by the Exchange Ratio. The Company promptly thereafter shall give notice of such exchange to the Rights Agent and the holders of the Rights to be exchanged in the manner set forth in Section 26;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failure to give, or any defect in, such notice shall not affect the validity of such exchange. Any notice which is mailed in the manner herein provided shall be deemed given, whether or not the holder receives the notice. Each such notice of exchange shall state the method by which the exchange of the shares of Common Stock for Rights will be effected and, in the event of any partial exchange, the number of Rights that will be exchanged. Any partial exchange shall be effected as nearly pro rata as possible based on the number of Rights (other than Rights which have become void pursuant to Section 7(d)) held by each holder of Rights.</w:t>
      </w:r>
    </w:p>
    <w:p>
      <w:pPr>
        <w:spacing w:after="0" w:line="89" w:lineRule="exact"/>
        <w:rPr>
          <w:rFonts w:ascii="Arial" w:cs="Arial" w:eastAsia="Arial" w:hAnsi="Arial"/>
          <w:sz w:val="18"/>
          <w:szCs w:val="18"/>
          <w:color w:val="auto"/>
        </w:rPr>
      </w:pPr>
    </w:p>
    <w:p>
      <w:pPr>
        <w:ind w:right="100" w:firstLine="1305"/>
        <w:spacing w:after="0" w:line="257" w:lineRule="auto"/>
        <w:tabs>
          <w:tab w:leader="none" w:pos="16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any exchange pursuant to this Section 24, the Company, at its option, may substitute Common Stock Equivalents (as defined in Section 11(a)(iii)) for shares of Common Stock exchangeable for Rights, at the initial rate of one Common Stock Equivalent for each share of Common Stock, as appropriately adjusted to reflect adjustments in dividend, liquidation and voting rights of Common Stock Equivalents pursuant to the terms thereof, so that each Common Stock Equivalent delivered in lieu of each share of Common Stock shall have essentially the same dividend, liquidation and voting rights as one share of Common Stock.</w:t>
      </w:r>
    </w:p>
    <w:p>
      <w:pPr>
        <w:spacing w:after="0" w:line="80" w:lineRule="exact"/>
        <w:rPr>
          <w:rFonts w:ascii="Arial" w:cs="Arial" w:eastAsia="Arial" w:hAnsi="Arial"/>
          <w:sz w:val="18"/>
          <w:szCs w:val="18"/>
          <w:color w:val="auto"/>
        </w:rPr>
      </w:pPr>
    </w:p>
    <w:p>
      <w:pPr>
        <w:ind w:firstLine="1305"/>
        <w:spacing w:after="0" w:line="269" w:lineRule="auto"/>
        <w:tabs>
          <w:tab w:leader="none" w:pos="1686"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the number of shares of Common Stock or Common Stock Equivalents issued but not outstanding or authorized but unissued is not sufficient to permit any exchange of Rights as contemplated in accordance with this Section 24, the Company shall take all such action as may be necessary to authorize additional shares of Common Stock or Common Stock Equivalents for issuance upon exchange of the Rights or alternatively, at the option of the Board of Directors, with respect to each Right (i) pay cash in an amount equal to the Current Exchange Value in lieu of issuing Common Stock in exchange therefor; (ii) issue debt or equity securities (or a combination thereof) having a value equal to the Current Exchange Value in lieu of issuing Common Stock in exchange for each such Right, where the value of such securities will be determined by the Board of Directors based upon the advice of a nationally recognized investment banking firm selected by the Board of Directors, which determination will be described in a written statement filed with the Rights Agent and will be binding on the Rights Agent and the holders of Rights; or (iii) deliver any combination of cash, property, Common Stock or other securities having a value equal to the Current Exchange Value in exchange for each Right. To the extent that the Company determines that some action need be taken pursuant to this Section 24(d), then the Board of Directors may temporarily suspend the exercisability of the Rights for a period of up to 120 days following the date on which the Exchange Determination has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30" w:name="page31"/>
    <w:bookmarkEnd w:id="30"/>
    <w:p>
      <w:pPr>
        <w:ind w:right="100"/>
        <w:spacing w:after="0" w:line="259" w:lineRule="auto"/>
        <w:rPr>
          <w:sz w:val="20"/>
          <w:szCs w:val="20"/>
          <w:color w:val="auto"/>
        </w:rPr>
      </w:pPr>
      <w:r>
        <w:rPr>
          <w:rFonts w:ascii="Arial" w:cs="Arial" w:eastAsia="Arial" w:hAnsi="Arial"/>
          <w:sz w:val="18"/>
          <w:szCs w:val="18"/>
          <w:color w:val="auto"/>
        </w:rPr>
        <w:t>occurred in order to seek any authorization of additional Common Stock or to decide the appropriate form of distribution to be made pursuant to the above provision and to determine the value thereof. Upon any such suspension, the Company will issue a public announcement stating, and notify the Rights Agent in writing, that the exercisability of the Rights has been temporarily suspended, as well as issue a public announcement, and notify the Rights Agent in writing, at such time as the suspension is no longer in effect.</w:t>
      </w:r>
    </w:p>
    <w:p>
      <w:pPr>
        <w:spacing w:after="0" w:line="79" w:lineRule="exact"/>
        <w:rPr>
          <w:sz w:val="20"/>
          <w:szCs w:val="20"/>
          <w:color w:val="auto"/>
        </w:rPr>
      </w:pPr>
    </w:p>
    <w:p>
      <w:pPr>
        <w:ind w:right="40" w:firstLine="1305"/>
        <w:spacing w:after="0" w:line="255" w:lineRule="auto"/>
        <w:tabs>
          <w:tab w:leader="none" w:pos="167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shall not be required to issue fractions of shares of Common Stock or to distribute certificates which evidence fractional shares of Common Stock upon exchange of the Rights. In lieu of such fractional shares of Common Stock, the Company shall pay to the registered holders of the Right Certificates with regard to which such fractional shares of Common Stock would otherwise be issued an amount in cash equal to the same fraction of the current market value of a whole share of Common Stock. For the purposes of this Section 24(e), the current market value of a whole share of Common Stock shall be the closing price of a share of Common Stock (as determined pursuant to Section 11(d) hereof) for the Trading Day immediately prior to the date of exchange pursuant to this Section 24.</w:t>
      </w:r>
    </w:p>
    <w:p>
      <w:pPr>
        <w:spacing w:after="0" w:line="85" w:lineRule="exact"/>
        <w:rPr>
          <w:rFonts w:ascii="Arial" w:cs="Arial" w:eastAsia="Arial" w:hAnsi="Arial"/>
          <w:sz w:val="18"/>
          <w:szCs w:val="18"/>
          <w:color w:val="auto"/>
        </w:rPr>
      </w:pPr>
    </w:p>
    <w:p>
      <w:pPr>
        <w:ind w:firstLine="1305"/>
        <w:spacing w:after="0" w:line="270" w:lineRule="auto"/>
        <w:tabs>
          <w:tab w:leader="none" w:pos="16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Upon or prior to ordering the exchange of Rights pursuant to this Section 24, or as promptly as reasonably practicable thereafter, the Board of Directors may direct the Company to enter into a Trust Agreement (the “</w:t>
      </w:r>
      <w:r>
        <w:rPr>
          <w:rFonts w:ascii="Arial" w:cs="Arial" w:eastAsia="Arial" w:hAnsi="Arial"/>
          <w:sz w:val="17"/>
          <w:szCs w:val="17"/>
          <w:u w:val="single" w:color="auto"/>
          <w:color w:val="auto"/>
        </w:rPr>
        <w:t>Trust Agreement</w:t>
      </w:r>
      <w:r>
        <w:rPr>
          <w:rFonts w:ascii="Arial" w:cs="Arial" w:eastAsia="Arial" w:hAnsi="Arial"/>
          <w:sz w:val="17"/>
          <w:szCs w:val="17"/>
          <w:color w:val="auto"/>
        </w:rPr>
        <w:t>”) in such form and with such terms as the Board of Directors shall then approve. If the Board of Directors so directs, (1) the Company shall enter into the Trust Agreement and shall issue to the trust created by the Trust Agreement (the “</w:t>
      </w:r>
      <w:r>
        <w:rPr>
          <w:rFonts w:ascii="Arial" w:cs="Arial" w:eastAsia="Arial" w:hAnsi="Arial"/>
          <w:sz w:val="17"/>
          <w:szCs w:val="17"/>
          <w:u w:val="single" w:color="auto"/>
          <w:color w:val="auto"/>
        </w:rPr>
        <w:t>Trust</w:t>
      </w:r>
      <w:r>
        <w:rPr>
          <w:rFonts w:ascii="Arial" w:cs="Arial" w:eastAsia="Arial" w:hAnsi="Arial"/>
          <w:sz w:val="17"/>
          <w:szCs w:val="17"/>
          <w:color w:val="auto"/>
        </w:rPr>
        <w:t>”) all the shares of Common Stock and/or Common Stock Equivalents (the “</w:t>
      </w:r>
      <w:r>
        <w:rPr>
          <w:rFonts w:ascii="Arial" w:cs="Arial" w:eastAsia="Arial" w:hAnsi="Arial"/>
          <w:sz w:val="17"/>
          <w:szCs w:val="17"/>
          <w:u w:val="single" w:color="auto"/>
          <w:color w:val="auto"/>
        </w:rPr>
        <w:t>Trust Shares</w:t>
      </w:r>
      <w:r>
        <w:rPr>
          <w:rFonts w:ascii="Arial" w:cs="Arial" w:eastAsia="Arial" w:hAnsi="Arial"/>
          <w:sz w:val="17"/>
          <w:szCs w:val="17"/>
          <w:color w:val="auto"/>
        </w:rPr>
        <w:t>”) issuable upon exchange of the Rights in accordance with this Section 24 to (x) all holders of outstanding and exercisable Rights subject to exchange in accordance with Section 24(a) (which shall not include Rights that have become void pursuant to Section 7(d) hereof), or (y) some portion of such holders (which may consist of holders who have not taken proper stapes to certify or otherwise demonstrate to the satisfaction of the Company that the Rights held by them have not become void pursuant to Section 7(d) hereof), and (2) all holders referred to in clause (1) shall be entitled to receive Common Stock and/or common Stock Equivalents pursuant to this Section 24 only from the Trust and only upon compliance with the relevant terms and provisions of the Trust Agreement. The Trust Shares shall also include any dividends or distributions made on the Trust Shares after the deposit of the Trust Shares.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w:t>
      </w:r>
    </w:p>
    <w:p>
      <w:pPr>
        <w:spacing w:after="0" w:line="117" w:lineRule="exact"/>
        <w:rPr>
          <w:sz w:val="20"/>
          <w:szCs w:val="20"/>
          <w:color w:val="auto"/>
        </w:rPr>
      </w:pPr>
    </w:p>
    <w:p>
      <w:pPr>
        <w:ind w:right="20" w:firstLine="1305"/>
        <w:spacing w:after="0" w:line="285" w:lineRule="auto"/>
        <w:tabs>
          <w:tab w:leader="none" w:pos="1676"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the Company shall propose, at any time after the Distribution Date, (i) to pay any dividend payable in stock of any class to the holders of Common Stock or to make any other distribution to the holders of Common Stock (other than a regular quarterly cash dividend out of the surplus of the Company), or (ii) to offer to the holders of its Common Stock rights or warrants to subscribe for or to purchase any additional shares of Common Stock or shares of stock of any class or any other securities, rights or options, or (iii) to effect any reclassification of its Common Stock (other than a reclassification involving only the subdivision or combination of outstanding shares of Common Stock) or (iv) to effect any consolidation with or merger with or into any other Person (other than a Subsidiary of the Company in a transaction that complies with Section 11(o) hereof), or to effect and/or to permit one or more of its Subsidiaries to effect any sale or other transfer, in one transaction or a series of related transactions, of assets or earning power aggregating more than 50% of the assets or earning power of the Company and its Subsidiaries, taken as a whole, to any other Person or Persons (other than a Subsidiary of the Company in a transaction that complies with Section 11(o) hereof), or (v) to effect the liquidation, dissolution or winding up of the Company, then, in each such case, the Company shall give to each holder of a Right, to the extent feasible and in accordance with Section 26, a notice of such proposed action, which shall specify the record date for the purposes of any such dividend, distribution or offering of rights or warrants, or the date on which any such reclassification, consolidation, merger, sale, transfer, liquidation, dissolution or winding up is to take place and the date of participation therein by the holds of Common Stock, if any such date is to be fixed, and such notice shall be so given in the case of any action covered by clause (i) or (ii) above at least 20 calendar days prior to the record date for determining holders of the Common Stock entitled to participate in such dividend, distribution or offering, and in the case of any such other action, at least 20 calendar days prior to the date of the taking of such proposed action or the date of participation therein by the holders of Common Stock, whichever shall be the earlier. The failure to give notice required by this Section 25 or any defect therein shall not affect the legality or validity of the action taken by the Company or the vote upon any such action.</w:t>
      </w:r>
    </w:p>
    <w:p>
      <w:pPr>
        <w:spacing w:after="0" w:line="67" w:lineRule="exact"/>
        <w:rPr>
          <w:rFonts w:ascii="Arial" w:cs="Arial" w:eastAsia="Arial" w:hAnsi="Arial"/>
          <w:sz w:val="16"/>
          <w:szCs w:val="16"/>
          <w:color w:val="auto"/>
        </w:rPr>
      </w:pPr>
    </w:p>
    <w:p>
      <w:pPr>
        <w:jc w:val="both"/>
        <w:ind w:right="60" w:firstLine="1305"/>
        <w:spacing w:after="0" w:line="264" w:lineRule="auto"/>
        <w:tabs>
          <w:tab w:leader="none" w:pos="16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prior to the Distribution Date a filing by the Company with the Securities and Exchange Commission shall constitute sufficient notice to the holders of securities of the Company, including the Rights, for purposes of this Agreement and no other notice need be given to such holders.</w:t>
      </w:r>
    </w:p>
    <w:p>
      <w:pPr>
        <w:spacing w:after="0" w:line="73" w:lineRule="exact"/>
        <w:rPr>
          <w:rFonts w:ascii="Arial" w:cs="Arial" w:eastAsia="Arial" w:hAnsi="Arial"/>
          <w:sz w:val="18"/>
          <w:szCs w:val="18"/>
          <w:color w:val="auto"/>
        </w:rPr>
      </w:pPr>
    </w:p>
    <w:p>
      <w:pPr>
        <w:jc w:val="both"/>
        <w:ind w:right="40" w:firstLine="1305"/>
        <w:spacing w:after="0" w:line="259" w:lineRule="auto"/>
        <w:tabs>
          <w:tab w:leader="none" w:pos="16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 Triggering Event shall occur, then, in any such case, (1) the Company shall as soon as practicable thereafter give to each holder of a Right, in accordance with Section 26, a notice of the occurrence of such event, which shall specify the event and the consequences of the event to holders of Rights under Sections 11(a)(ii) or 13, as the case may be, and (2) all references in Section 25(a) to Common Stock shall be deemed thereafter to refer to Common Stock or other capital stock, as the case may be.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31" w:name="page32"/>
    <w:bookmarkEnd w:id="31"/>
    <w:p>
      <w:pPr>
        <w:ind w:right="100" w:firstLine="648"/>
        <w:spacing w:after="0" w:line="264"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Notices</w:t>
      </w:r>
      <w:r>
        <w:rPr>
          <w:rFonts w:ascii="Arial" w:cs="Arial" w:eastAsia="Arial" w:hAnsi="Arial"/>
          <w:sz w:val="18"/>
          <w:szCs w:val="18"/>
          <w:color w:val="auto"/>
        </w:rPr>
        <w:t>. Notices or demands authorized by this Agreement to be given or made by the Rights Agent or by the holder of any Right to or on the Company shall be sufficiently given or made if sent by first-class mail, postage prepaid, addressed (until another address is filed in writing with the Rights Agent) as follows:</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will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Wilson Sonsini Goodrich &amp; Rosati, Professional Corporation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Palo Alto, CA 94304-1050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John A. Fore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(650) 493-6811</w:t>
      </w:r>
    </w:p>
    <w:p>
      <w:pPr>
        <w:spacing w:after="0" w:line="21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Subject to the provisions of Section 21, any notice or demand authorized by this Agreement to be given or made by the Company or by the holder of any Right to or on the Rights Agent shall be sufficiently given or made if sent by first-class mail, postage prepaid, addressed (until another address is filed in writing with the Company) as follows:</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1110 Centre Pointe Curve Ste. 101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Mendota Heights, MN 55120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Relationship Manager</w:t>
      </w:r>
    </w:p>
    <w:p>
      <w:pPr>
        <w:spacing w:after="0" w:line="21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Notices or demands authorized by this Agreement to be given or made by the Company or the Rights Agent to the holder of any Right Certificate (or, prior to the Distribution Date, to the holder of any certificate representing shares of Common Stock) shall be sufficiently given or made if sent by first-class mail, postage prepaid, to the address of such holder shown on the registry books of the Company.</w:t>
      </w:r>
    </w:p>
    <w:p>
      <w:pPr>
        <w:spacing w:after="0" w:line="7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Supplements and Amendments</w:t>
      </w:r>
      <w:r>
        <w:rPr>
          <w:rFonts w:ascii="Arial" w:cs="Arial" w:eastAsia="Arial" w:hAnsi="Arial"/>
          <w:sz w:val="16"/>
          <w:szCs w:val="16"/>
          <w:color w:val="auto"/>
        </w:rPr>
        <w:t xml:space="preserve">. At any time prior to the time any Person becomes an Acquiring Person, the Company may, and the Rights Agent shall if the Company so directs, supplement or amend this Agreement without the approval of any holders of Rights in any manner which the Company may deem necessary or desirable, any such supplement or amendment to be evidenced by a writing signed by the Company and the Rights Agent. From and after such time as any Person becomes an Acquiring Person, the Company may, and the Rights Agent shall if the Company so directs, supplement or amend this Agreement without approval of any holders of Rights (a) to cure any ambiguity or to correct or supplement any provision contained herein that may be defective or inconsistent with any other provision of this Agreement or (b) to otherwise change or supplement any other provisions in this Agreement in any manner in which the Company may deem necessary or desirable and which does not adversely affect the interests of the holders of Rights (other than an Acquiring Person or an Affiliate or Associate of an Acquiring Person), any such supplement or amendment to be evidence by a writing signed by the Company and the Rights Agent. Upon the delivery of a certificate from an appropriate officer of the Company which states that the proposed supplement or amendment is in compliance with the terms of this Section 27, the Rights Agent shall execute such supplement or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supplement or amendment does not adversely affect the rights or obligations of the Rights Agent under Section 18 or Section 20 of this Agreement. Notwithstanding anything contained in this Agreement to the contrary, no supplement or amendment shall be made that reduces the then effective Redemption Price or moves to an earlier date the then effective Final Expiration Date. Prior to the Distribution Date, the interests of the holders of Rights shall be deemed coincident with the interests of the holders of Common Stock.</w:t>
      </w:r>
    </w:p>
    <w:p>
      <w:pPr>
        <w:spacing w:after="0" w:line="64"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Process to Seek Exemption</w:t>
      </w:r>
      <w:r>
        <w:rPr>
          <w:rFonts w:ascii="Arial" w:cs="Arial" w:eastAsia="Arial" w:hAnsi="Arial"/>
          <w:sz w:val="16"/>
          <w:szCs w:val="16"/>
          <w:color w:val="auto"/>
        </w:rPr>
        <w:t>. Any Person who desires to effect any acquisition of securities that would, if consummated, result in such Person becoming an Acquiring Person (a “</w:t>
      </w:r>
      <w:r>
        <w:rPr>
          <w:rFonts w:ascii="Arial" w:cs="Arial" w:eastAsia="Arial" w:hAnsi="Arial"/>
          <w:sz w:val="16"/>
          <w:szCs w:val="16"/>
          <w:u w:val="single" w:color="auto"/>
          <w:color w:val="auto"/>
        </w:rPr>
        <w:t>Requesting Person</w:t>
      </w:r>
      <w:r>
        <w:rPr>
          <w:rFonts w:ascii="Arial" w:cs="Arial" w:eastAsia="Arial" w:hAnsi="Arial"/>
          <w:sz w:val="16"/>
          <w:szCs w:val="16"/>
          <w:color w:val="auto"/>
        </w:rPr>
        <w:t>”) may, prior to such time and in accordance with this Section 28, request that the Board of Directors grant an exemption with respect to such acquisition under this Agreement so that such Person would be deemed to be an “Exempt Person” as defined in Section 1 for purposes of this Agreement (an “</w:t>
      </w:r>
      <w:r>
        <w:rPr>
          <w:rFonts w:ascii="Arial" w:cs="Arial" w:eastAsia="Arial" w:hAnsi="Arial"/>
          <w:sz w:val="16"/>
          <w:szCs w:val="16"/>
          <w:u w:val="single" w:color="auto"/>
          <w:color w:val="auto"/>
        </w:rPr>
        <w:t>Exemption Request</w:t>
      </w:r>
      <w:r>
        <w:rPr>
          <w:rFonts w:ascii="Arial" w:cs="Arial" w:eastAsia="Arial" w:hAnsi="Arial"/>
          <w:sz w:val="16"/>
          <w:szCs w:val="16"/>
          <w:color w:val="auto"/>
        </w:rPr>
        <w:t>”). An Exemption Request shall be in proper form and shall be delivered by overnight delivery service or first-class mail, postage-prepaid, to the Secretary of the Company at the principal executive office of the Company. The Exemption Request shall be deemed made upon receipt by the Secretary of the Company. To be in proper form, an Exemption Request shall set forth (a) the name and address of the Requesting Person, (b) the number and percentage of shares of Common Stock then Beneficially Owned by the Requesting Person, together with all Affiliates and Associates of the Requesting Person, and (c) a reasonably detailed description of the transaction or transactions by which the Requesting Person would propose to become an Acquiring Person and the maximum number and percentage of the shares of Common Stock that</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800" w:right="279" w:bottom="1440" w:gutter="0" w:footer="0" w:header="0"/>
        </w:sectPr>
      </w:pPr>
    </w:p>
    <w:bookmarkStart w:id="32" w:name="page33"/>
    <w:bookmarkEnd w:id="32"/>
    <w:p>
      <w:pPr>
        <w:spacing w:after="0" w:line="284" w:lineRule="auto"/>
        <w:rPr>
          <w:sz w:val="20"/>
          <w:szCs w:val="20"/>
          <w:color w:val="auto"/>
        </w:rPr>
      </w:pPr>
      <w:r>
        <w:rPr>
          <w:rFonts w:ascii="Arial" w:cs="Arial" w:eastAsia="Arial" w:hAnsi="Arial"/>
          <w:sz w:val="16"/>
          <w:szCs w:val="16"/>
          <w:color w:val="auto"/>
        </w:rPr>
        <w:t>the Requesting Person proposes to acquire. The Board of Directors shall make a determination whether to grant an exemption in response to an Exemption Request as promptly as practicable (and, in any event, within ten Business Days) after receipt thereof; provided, that the failure of the Board of Directors to make a determination within such period shall be deemed to constitute the denial by the Board of Directors of the Exemption Request. The Requesting Person shall respond promptly to reasonable and appropriate requests for additional information from the Board of Directors and its advisors to assist the Board of Directors in making its determination. The Board of Directors shall only grant an exemption in response to an Exemption Request if the Board of Directors determines in its sole discretion that the acquisition of Beneficial Ownership of shares of Common Stock by the Requesting Person, considered alone or with other transactions (including past transactions or contemplated transactions), (i) will not jeopardize or endanger the availability to the Company of its NOLs or other Tax Benefits, taking into account all relevant facts and circumstances, including the potential for the Company to issue a reasonable amount of equity in the future without jeopardizing the availability of its NOLs and other Tax Benefits or (ii) is otherwise in the best interests of the Company. Any exemption granted hereunder may be granted in whole or in part, and may be subject to limitations or conditions (including a requirement that the Requesting Person agree that it will not acquire Beneficial Ownership of shares of Common Stock in excess of the maximum number and percentage of shares approved by the Board of Directors), in each case as and to the extent the Board of Directors shall determine necessary or desirable to provide for the protection of the NOLs and other Tax Benefits or as is otherwise in the best interests of the Company. Any Exemption Request may be submitted on a confidential basis and, except to the extent required by applicable law, the Company shall maintain the confidentiality of such Exemption Request and the Board of Directors’ determination with respect thereto</w:t>
      </w:r>
      <w:r>
        <w:rPr>
          <w:rFonts w:ascii="Arial" w:cs="Arial" w:eastAsia="Arial" w:hAnsi="Arial"/>
          <w:sz w:val="16"/>
          <w:szCs w:val="16"/>
          <w:color w:val="auto"/>
          <w:strike w:val="1"/>
        </w:rPr>
        <w:t>.</w:t>
      </w:r>
      <w:r>
        <w:rPr>
          <w:rFonts w:ascii="Arial" w:cs="Arial" w:eastAsia="Arial" w:hAnsi="Arial"/>
          <w:sz w:val="16"/>
          <w:szCs w:val="16"/>
          <w:color w:val="auto"/>
        </w:rPr>
        <w:t>, unless the information contained in the Exemption Request or the Board of Directors’ determination with respect thereto otherwise becomes publicly available. The Exemption Request shall be considered and evaluated by the Board of Directors, or a duly constituted committee of Independent Directors, and the action of a majority of such directors (or such committee) shall be deemed to be the determination of the Board of Directors for purposes of such Exemption Request. Tax Benefits Review. In addition to the review and evaluation otherwise contemplated by this Agreement, the Board, or a duly constituted committee of Independent Directors, shall review the calculation for determining whether an ownership change has occurred under Section 382 once per year (or with such greater frequency as the Board (or any such committee), in its sole discretion, shall determine is advisable). The Board shall determine after such review whether maintenance of this Agreement continues to be advisable in order to preserve the value of the NOLs and other Tax Benefits, taking into account all the relevant facts and circumstances, including the potential for the Company to issue a reasonable amount of equity in the future without jeopardizing the availability of the NOLs and other Tax Benefits, and the potential value of the NOLs and other Tax Benefits even after an ownership change under Section 382 based upon the price of the Company’s Common Stock at such time or based upon changes in the Company’s projected taxable income during any future period.</w:t>
      </w:r>
    </w:p>
    <w:p>
      <w:pPr>
        <w:spacing w:after="0" w:line="28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Acquiring Person</w:t>
      </w:r>
      <w:r>
        <w:rPr>
          <w:rFonts w:ascii="Arial" w:cs="Arial" w:eastAsia="Arial" w:hAnsi="Arial"/>
          <w:sz w:val="18"/>
          <w:szCs w:val="18"/>
          <w:color w:val="auto"/>
        </w:rPr>
        <w:t>. Notwithstanding the definition of “Acquiring Person” under this Agreement, the Board of Directors may also determine that any Person is an “Acquiring Person” under this Agreement if such Person becomes the Beneficial Owner of 4.99% (by value) of the stock of the Company then outstanding (as the term “stock” is defined in Treasury Regulations Sections 1.382-2(a)(3) and 1.382-2T(f)(18)). For purposes of this Section 29, the calculation of the number of shares of stock of the Company then outstanding for purposes of determining the percentage of such outstanding stock of the Company of which any Person is the Beneficial Owner shall be made pursuant to and in accordance with Section 382 of the Code and the Treasury Regulations promulgated thereunder.</w:t>
      </w:r>
    </w:p>
    <w:p>
      <w:pPr>
        <w:spacing w:after="0" w:line="8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30.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Rights Agent shall bind and inure to the benefit of their respective successors and assigns hereunder.</w:t>
      </w:r>
    </w:p>
    <w:p>
      <w:pPr>
        <w:spacing w:after="0" w:line="6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Determinations and Actions by the Board of Directors</w:t>
      </w:r>
      <w:r>
        <w:rPr>
          <w:rFonts w:ascii="Arial" w:cs="Arial" w:eastAsia="Arial" w:hAnsi="Arial"/>
          <w:sz w:val="17"/>
          <w:szCs w:val="17"/>
          <w:color w:val="auto"/>
        </w:rPr>
        <w:t>. The Board of Directors (and any committee of the Board of Directors or Independent Directors to whom the Board of Directors may delegate any of its rights, powers or authority hereunder) shall have the exclusive power and authority to administer this Agreement and to exercise all rights and powers specifically granted to the Board of Directors or to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exchange or not to redeem or exchange the Rights or to amend the Agreement or a determination that an adjustment to the Redemption Price or Exchange Ratio is or is not appropriate). All such actions, calculations, interpretations and determinations (including, for purposes of clause (y) below, all omissions with respect to the foregoing) which are done or made by the Board of Directors (or any committee) in good faith shall (x) be final, conclusive and binding on the Company, the Rights Agent, the holders of the Rights and all other parties, and (y) not subject the Board of Directors (or any such committee) to any liability to the holders of the Rights or any other Person.</w:t>
      </w:r>
    </w:p>
    <w:p>
      <w:pPr>
        <w:spacing w:after="0" w:line="70"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Benefits of this Agreement</w:t>
      </w:r>
      <w:r>
        <w:rPr>
          <w:rFonts w:ascii="Arial" w:cs="Arial" w:eastAsia="Arial" w:hAnsi="Arial"/>
          <w:sz w:val="16"/>
          <w:szCs w:val="16"/>
          <w:color w:val="auto"/>
        </w:rPr>
        <w:t>. Nothing in this Agreement shall be construed to give to any Person other than the Company, the Rights Agent and the registered holders of the Right Certificates (and, prior to the Distribution Date, the certificates representing the shares of Common Stock) any legal or equitable right, remedy or claim under this Agreement; but this Agreement shall be for the sole and exclusive benefit of the Company, the Rights Agent and the registered holders of the Right Certificates (and, prior to the Distribution Date, the certificates representing the shares of Common Stock).</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33" w:name="page34"/>
    <w:bookmarkEnd w:id="33"/>
    <w:p>
      <w:pPr>
        <w:ind w:right="20" w:firstLine="648"/>
        <w:spacing w:after="0" w:line="291"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Annual Review by Independent Directors</w:t>
      </w:r>
      <w:r>
        <w:rPr>
          <w:rFonts w:ascii="Arial" w:cs="Arial" w:eastAsia="Arial" w:hAnsi="Arial"/>
          <w:sz w:val="16"/>
          <w:szCs w:val="16"/>
          <w:color w:val="auto"/>
        </w:rPr>
        <w:t>. A committee of at least two or more Independent Directors (the “</w:t>
      </w:r>
      <w:r>
        <w:rPr>
          <w:rFonts w:ascii="Arial" w:cs="Arial" w:eastAsia="Arial" w:hAnsi="Arial"/>
          <w:sz w:val="16"/>
          <w:szCs w:val="16"/>
          <w:u w:val="single" w:color="auto"/>
          <w:color w:val="auto"/>
        </w:rPr>
        <w:t>Committee</w:t>
      </w:r>
      <w:r>
        <w:rPr>
          <w:rFonts w:ascii="Arial" w:cs="Arial" w:eastAsia="Arial" w:hAnsi="Arial"/>
          <w:sz w:val="16"/>
          <w:szCs w:val="16"/>
          <w:color w:val="auto"/>
        </w:rPr>
        <w:t>”) shall review and evaluate this Agreement at least annually in order to consider whether the maintenance of this Agreement continues to be in the best interests of the Company and the stockholders of the Company. Following each such review, the Committee shall communicate its conclusions to the full Board of Directors, including any recommendation in light thereof as to whether this Agreement should be modified or the Rights should be redeemed. The Committee, when considering whether this Agreement should be modified or the Rights should be redeemed, shall have the power and authority (1) to set their own agenda, (2) to retain, at the expense of the Company, its choice of legal counsel, investment bankers and other advisors and (3) to review all information of the Company and to consider any and all factors it deems relevant to an evaluation of whether this Agreement should be modified or the Rights should be redeemed.</w:t>
      </w:r>
    </w:p>
    <w:p>
      <w:pPr>
        <w:spacing w:after="0" w:line="5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notwithstanding anything in this Agreement to the contrary, if any such term, provision, covenant or restriction is held by such court or authority to be invalid, void or unenforceable and the Board of Directors determines in its good faith judgment that severing the invalid language from this Agreement would adversely affect the purpose or effect of this Agreement, the right of redemption set forth in Section 23 hereof shall be reinstated and shall not expire until the Close of Business on the tenth day following the date of such determination by the Board of Directors.</w:t>
      </w:r>
    </w:p>
    <w:p>
      <w:pPr>
        <w:spacing w:after="0" w:line="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EACH RIGHT AND EACH RIGHT CERTIFICATE ISSUED HEREUNDER SHALL BE DEEMED TO BE A CONTRACT MADE UNDER THE LAWS OF THE STATE OF DELAWARE AND FOR ALL PURPOSES SHALL BE GOVERNED BY AND CONSTRUED IN ACCORDANCE WITH THE LAWS OF SUCH STATE APPLICABLE TO CONTRACTS TO BE MADE AND PERFORMED ENTIRELY WITHIN SUCH STATE.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Exclusive Jurisdiction.</w:t>
      </w:r>
    </w:p>
    <w:p>
      <w:pPr>
        <w:spacing w:after="0" w:line="117" w:lineRule="exact"/>
        <w:rPr>
          <w:sz w:val="20"/>
          <w:szCs w:val="20"/>
          <w:color w:val="auto"/>
        </w:rPr>
      </w:pPr>
    </w:p>
    <w:p>
      <w:pPr>
        <w:ind w:firstLine="1305"/>
        <w:spacing w:after="0" w:line="297" w:lineRule="auto"/>
        <w:tabs>
          <w:tab w:leader="none" w:pos="167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and the registered holders of Rights Certificates (and, prior to the Distribution Date, the registered holders of Common Stock) each hereby irrevocably submits to the exclusive jurisdiction of the Court of Chancery of the State of Delaware, or, if such court lacks subject matter jurisdiction, the United States District Court for the District of Delaware, over any suit, action or proceeding arising out of or relating to or concerning this Agreement. The Company and the registered holders of Rights Certificates (and, prior to the Distribution Date, the registered holders of Common Stock) each acknowledge that the forum designated by this Section 36(a) has a reasonable relation to this Agreement and to such Persons’ relationship with one another.</w:t>
      </w:r>
    </w:p>
    <w:p>
      <w:pPr>
        <w:spacing w:after="0" w:line="50" w:lineRule="exact"/>
        <w:rPr>
          <w:rFonts w:ascii="Arial" w:cs="Arial" w:eastAsia="Arial" w:hAnsi="Arial"/>
          <w:sz w:val="16"/>
          <w:szCs w:val="16"/>
          <w:color w:val="auto"/>
        </w:rPr>
      </w:pPr>
    </w:p>
    <w:p>
      <w:pPr>
        <w:ind w:right="20" w:firstLine="1305"/>
        <w:spacing w:after="0" w:line="291" w:lineRule="auto"/>
        <w:tabs>
          <w:tab w:leader="none" w:pos="16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and the registered holders of Rights Certificates (and, prior to the Distribution Date, the registered holders of Common Stock) each hereby waive, to the fullest extent permitted by applicable law, any objection that they now or hereafter have to personal jurisdiction or to the laying of venue of any such suit, action or proceeding brought in any court referred to in Section 36(a) (or the appellate courts thereof). The Company and the registered holders of Rights Certificates (and, prior to the Distribution Date, the registered holders of Common Stock) each undertake not to commence any action subject to this Agreement in any forum other than the forum described in Section 36(a). The Company and the registered holders of Rights Certificates (and, prior to the Distribution Date, the registered holders of Common Stock) each hereby agree that, to the fullest extent permitted by applicable law, a final and non-appealable judgment in any such suit, action or proceeding brought in any such court will be conclusive and binding upon such Persons.</w:t>
      </w:r>
    </w:p>
    <w:p>
      <w:pPr>
        <w:spacing w:after="0" w:line="5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each of such counterparts shall for all purposes be deemed to be an original, and all such counterparts shall together constitute one and the same instrument.</w:t>
      </w:r>
    </w:p>
    <w:p>
      <w:pPr>
        <w:spacing w:after="0" w:line="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Descriptive Headings</w:t>
      </w:r>
      <w:r>
        <w:rPr>
          <w:rFonts w:ascii="Arial" w:cs="Arial" w:eastAsia="Arial" w:hAnsi="Arial"/>
          <w:sz w:val="18"/>
          <w:szCs w:val="18"/>
          <w:color w:val="auto"/>
        </w:rPr>
        <w:t>. The captions herein are included for convenience of reference only, do not constitute a part of this Agreement and shall be ignored in the construction and interpretation hereof.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Signatures follow on next page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00" w:right="259" w:bottom="1440" w:gutter="0" w:footer="0" w:header="0"/>
        </w:sectPr>
      </w:pPr>
    </w:p>
    <w:bookmarkStart w:id="34" w:name="page35"/>
    <w:bookmarkEnd w:id="34"/>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6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31750</wp:posOffset>
            </wp:positionV>
            <wp:extent cx="2229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43" w:lineRule="exact"/>
        <w:rPr>
          <w:sz w:val="20"/>
          <w:szCs w:val="20"/>
          <w:color w:val="auto"/>
        </w:rPr>
      </w:pPr>
    </w:p>
    <w:p>
      <w:pPr>
        <w:ind w:left="586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40640</wp:posOffset>
            </wp:positionV>
            <wp:extent cx="2229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p>
      <w:pPr>
        <w:ind w:left="586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40640</wp:posOffset>
            </wp:positionV>
            <wp:extent cx="2229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WELLS FARGO BANK, NATIONAL</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ASSOCIATION</w:t>
      </w:r>
    </w:p>
    <w:p>
      <w:pPr>
        <w:spacing w:after="0" w:line="364" w:lineRule="exact"/>
        <w:rPr>
          <w:sz w:val="20"/>
          <w:szCs w:val="20"/>
          <w:color w:val="auto"/>
        </w:rPr>
      </w:pPr>
    </w:p>
    <w:p>
      <w:pPr>
        <w:ind w:left="586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/s/Andrea Severson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31750</wp:posOffset>
            </wp:positionV>
            <wp:extent cx="2229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43" w:lineRule="exact"/>
        <w:rPr>
          <w:sz w:val="20"/>
          <w:szCs w:val="20"/>
          <w:color w:val="auto"/>
        </w:rPr>
      </w:pPr>
    </w:p>
    <w:p>
      <w:pPr>
        <w:ind w:left="586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Andrea Severson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40640</wp:posOffset>
            </wp:positionV>
            <wp:extent cx="2229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p>
      <w:pPr>
        <w:ind w:left="586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AVP-Client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40640</wp:posOffset>
            </wp:positionV>
            <wp:extent cx="2229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Signature Page to Micron Technology, Inc. Rights Agreement</w:t>
      </w:r>
    </w:p>
    <w:p>
      <w:pPr>
        <w:sectPr>
          <w:pgSz w:w="11900" w:h="16838" w:orient="portrait"/>
          <w:cols w:equalWidth="0" w:num="1">
            <w:col w:w="11160"/>
          </w:cols>
          <w:pgMar w:left="240" w:top="908" w:right="49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Right Certificate]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10640" w:val="left"/>
        </w:tabs>
        <w:rPr>
          <w:sz w:val="20"/>
          <w:szCs w:val="20"/>
          <w:color w:val="auto"/>
        </w:rPr>
      </w:pPr>
      <w:r>
        <w:rPr>
          <w:rFonts w:ascii="Arial" w:cs="Arial" w:eastAsia="Arial" w:hAnsi="Arial"/>
          <w:sz w:val="18"/>
          <w:szCs w:val="18"/>
          <w:color w:val="auto"/>
        </w:rPr>
        <w:t>No. R-</w:t>
      </w:r>
      <w:r>
        <w:rPr>
          <w:sz w:val="20"/>
          <w:szCs w:val="20"/>
          <w:color w:val="auto"/>
        </w:rPr>
        <w:tab/>
      </w:r>
      <w:r>
        <w:rPr>
          <w:rFonts w:ascii="Arial" w:cs="Arial" w:eastAsia="Arial" w:hAnsi="Arial"/>
          <w:sz w:val="16"/>
          <w:szCs w:val="16"/>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6250305</wp:posOffset>
            </wp:positionH>
            <wp:positionV relativeFrom="paragraph">
              <wp:posOffset>-10160</wp:posOffset>
            </wp:positionV>
            <wp:extent cx="485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NOT EXERCISABLE AFTER THE EARLIER OF JULY 19, 2019 AND THE DATE ON WHICH THE RIGHTS EVIDENCED HEREBY ARE REDEEMED OR EXCHANGED BY THE COMPANY AS SET FORTH IN THE RIGHTS AGREEMENT. THE RIGHTS ARE SUBJECT TO REDEMPTION, AT THE OPTION OF THE COMPANY, AT $0.001 PER RIGHT ON THE TERMS SET FORTH IN THE RIGHTS AGREEMENT. UNDER CERTAIN CIRCUMSTANCES SET FORTH IN THE RIGHTS AGREEMENT, RIGHTS BENEFICIALLY OWNED OF TRANSFERRED TO ANY PERSON WHO IS, WAS OR BECOMES AN ACQUIRING PERSON OR AN AFFILIATE OR ASSOCIATE THEREOF (AS SUCH TERMS ARE DEFINED IN THE RIGHTS AGREEMENT) AND CERTAIN TRANSFEREES THEREOF WILL BECOME NULL AND VOID AND WILL NO LONGER BE TRANSFERABLE.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29" w:lineRule="exact"/>
        <w:rPr>
          <w:sz w:val="20"/>
          <w:szCs w:val="20"/>
          <w:color w:val="auto"/>
        </w:rPr>
      </w:pPr>
    </w:p>
    <w:p>
      <w:pPr>
        <w:ind w:left="660"/>
        <w:spacing w:after="0"/>
        <w:tabs>
          <w:tab w:leader="none" w:pos="3600" w:val="left"/>
        </w:tabs>
        <w:rPr>
          <w:sz w:val="20"/>
          <w:szCs w:val="20"/>
          <w:color w:val="auto"/>
        </w:rPr>
      </w:pPr>
      <w:r>
        <w:rPr>
          <w:rFonts w:ascii="Arial" w:cs="Arial" w:eastAsia="Arial" w:hAnsi="Arial"/>
          <w:sz w:val="18"/>
          <w:szCs w:val="18"/>
          <w:color w:val="auto"/>
        </w:rPr>
        <w:t>This Right Certificate certifies that,</w:t>
      </w:r>
      <w:r>
        <w:rPr>
          <w:sz w:val="20"/>
          <w:szCs w:val="20"/>
          <w:color w:val="auto"/>
        </w:rPr>
        <w:tab/>
      </w:r>
      <w:r>
        <w:rPr>
          <w:rFonts w:ascii="Arial" w:cs="Arial" w:eastAsia="Arial" w:hAnsi="Arial"/>
          <w:sz w:val="16"/>
          <w:szCs w:val="16"/>
          <w:color w:val="auto"/>
        </w:rPr>
        <w:t>, or registered assigns, is the registered holder of the number of Rights set forth above, each of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2066925</wp:posOffset>
            </wp:positionH>
            <wp:positionV relativeFrom="paragraph">
              <wp:posOffset>-10160</wp:posOffset>
            </wp:positionV>
            <wp:extent cx="2286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entitles the holder (upon the terms and subject to the conditions set forth in the Section 382 Rights Agreement dated as of July 20, 2016 (the “</w:t>
      </w:r>
      <w:r>
        <w:rPr>
          <w:rFonts w:ascii="Arial" w:cs="Arial" w:eastAsia="Arial" w:hAnsi="Arial"/>
          <w:sz w:val="17"/>
          <w:szCs w:val="17"/>
          <w:u w:val="single" w:color="auto"/>
          <w:color w:val="auto"/>
        </w:rPr>
        <w:t>Rights</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between Micron Technology,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Wells Fargo Bank, National Association (the “</w:t>
      </w:r>
      <w:r>
        <w:rPr>
          <w:rFonts w:ascii="Arial" w:cs="Arial" w:eastAsia="Arial" w:hAnsi="Arial"/>
          <w:sz w:val="17"/>
          <w:szCs w:val="17"/>
          <w:u w:val="single" w:color="auto"/>
          <w:color w:val="auto"/>
        </w:rPr>
        <w:t>Rights Agent</w:t>
      </w:r>
      <w:r>
        <w:rPr>
          <w:rFonts w:ascii="Arial" w:cs="Arial" w:eastAsia="Arial" w:hAnsi="Arial"/>
          <w:sz w:val="17"/>
          <w:szCs w:val="17"/>
          <w:color w:val="auto"/>
        </w:rPr>
        <w:t>”)) to purchase from the Company, at any time after the Distribution Date and prior to the Expiration Date, one-half of one fully paid, nonassessable share of Common Stock (the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Company at a purchase price of $10.00 per one-half of one share of Common Stock (the “</w:t>
      </w:r>
      <w:r>
        <w:rPr>
          <w:rFonts w:ascii="Arial" w:cs="Arial" w:eastAsia="Arial" w:hAnsi="Arial"/>
          <w:sz w:val="17"/>
          <w:szCs w:val="17"/>
          <w:u w:val="single" w:color="auto"/>
          <w:color w:val="auto"/>
        </w:rPr>
        <w:t>Purchase Price</w:t>
      </w:r>
      <w:r>
        <w:rPr>
          <w:rFonts w:ascii="Arial" w:cs="Arial" w:eastAsia="Arial" w:hAnsi="Arial"/>
          <w:sz w:val="17"/>
          <w:szCs w:val="17"/>
          <w:color w:val="auto"/>
        </w:rPr>
        <w:t>”), payable in lawful money of the United States of America, upon surrender of this Right Certificate, with the form of election to purchase and related certificate duly executed, and payment of the Purchase Price at an office of the Rights Agent designated for such purpose.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Terms used herein and not otherwise defined herein have the meanings assigned to them in the Rights Agreement.</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number of Rights evidenced by this Right Certificate (and the number and kind of shares issuable upon exercise of each Right) and the Purchase Price set forth above are as of July 20, 2016, and may have been or in the future be adjusted as a result of the occurrence of certain events, as more fully provided in the Rights Agreement.</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Upon the occurrence of a Section 11(a)(ii) Event, if the Rights evidenced by this Right Certificate are Beneficially Owned by (a) an Acquiring Person or an Associate or Affiliate of an Acquiring Person, (b) a transferee of Acquiring Person (or any such Associate or Affiliate) who becomes a transferee after the Acquiring Person becomes such, or (c) under certain circumstances specified in the Rights Agreement, a transferee of an Acquiring Person (or any such Associate or Affiliate) who becomes a transferee prior to or concurrently with the Acquiring Person becoming such, such Rights shall become null and void, and no holder hereof shall have any right with respect to such Rights from and after the occurrence of such Section 11(a)(ii) Event.</w:t>
      </w:r>
    </w:p>
    <w:p>
      <w:pPr>
        <w:spacing w:after="0" w:line="15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This Right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 Certificates, which limitations of rights include the temporary suspension of the exercisability of such Rights under the specific circumstances set forth in the Rights Agreement. Copies of the Rights Agreement are on file at the principal executive offices of the Company and the above mentioned offices of the Rights Agent.</w:t>
      </w:r>
    </w:p>
    <w:p>
      <w:pPr>
        <w:spacing w:after="0" w:line="158"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Upon surrender at the principal office or offices of the Rights Agent designated for such purpose and subject to the terms and conditions set forth in the Rights Agreement, any Rights Certificate or Certificates may be transferred or exchanged for another Rights Certificate or Certificates evidencing a like number of Rights as the Rights Certificate or Certificates surrendered.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provisions of the Rights Agreement, the Board of Directors may, at its option,</w:t>
      </w:r>
    </w:p>
    <w:p>
      <w:pPr>
        <w:sectPr>
          <w:pgSz w:w="11900" w:h="16838" w:orient="portrait"/>
          <w:cols w:equalWidth="0" w:num="1">
            <w:col w:w="11400"/>
          </w:cols>
          <w:pgMar w:left="240" w:top="688" w:right="259" w:bottom="1440" w:gutter="0" w:footer="0" w:header="0"/>
        </w:sectPr>
      </w:pPr>
    </w:p>
    <w:bookmarkStart w:id="36" w:name="page37"/>
    <w:bookmarkEnd w:id="36"/>
    <w:p>
      <w:pPr>
        <w:ind w:right="360" w:firstLine="656"/>
        <w:spacing w:after="0" w:line="277" w:lineRule="auto"/>
        <w:tabs>
          <w:tab w:leader="none" w:pos="10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any time prior to the time any Person becomes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redeem all but not less than all of the then outstanding Rights at a redemption price of $0.001 per Right; or</w:t>
      </w:r>
    </w:p>
    <w:p>
      <w:pPr>
        <w:spacing w:after="0" w:line="170" w:lineRule="exact"/>
        <w:rPr>
          <w:rFonts w:ascii="Arial" w:cs="Arial" w:eastAsia="Arial" w:hAnsi="Arial"/>
          <w:sz w:val="18"/>
          <w:szCs w:val="18"/>
          <w:color w:val="auto"/>
        </w:rPr>
      </w:pPr>
    </w:p>
    <w:p>
      <w:pPr>
        <w:ind w:firstLine="656"/>
        <w:spacing w:after="0" w:line="257" w:lineRule="auto"/>
        <w:tabs>
          <w:tab w:leader="none" w:pos="1038"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any time after any Person becomes an Acquiring Person (but before such Person becomes the Beneficial Owner of 50% or more of the shares of Common Stock then outstanding), exchange all or part of the then outstanding Rights (other than Rights held by the Acquiring Person and certain related Persons) for shares of Common Stock at an exchange ratio of one-half of one share of Common Stock per Right. If the Rights shall be exchanged in part, the holder of this Right Certificate shall be entitled to receive upon surrender hereof another Right Certificate or Certificates for the number of whole Rights not exchanged.</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No fractional shares of Common Stock will be issued upon the exercise of any Right or Rights evidenced hereby but in lieu thereof a cash payment will be made, as provided in the Rights Agreement. If this Right Certificate shall be exercised in part, the holder shall be entitled to receive upon surrender hereof another Right Certificate or Certificates for the number of whole Rights not exercised.</w:t>
      </w:r>
    </w:p>
    <w:p>
      <w:pPr>
        <w:spacing w:after="0" w:line="18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No holder of this Right Certificate shall be entitled to vote, receive dividends or other distributions or be deemed for any purpose the holder of the shares of capital stock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distributions or subscription rights, or otherwise, until the Right or Rights evidenced by this Right Certificate shall have been exercised as provided in the Rights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Right Certificate shall not be valid or obligatory for any purpose until it shall have been countersigned by the Rights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Company has caused this instrument to be duly executed under its corporate seal by its authorized officers.</w:t>
      </w:r>
    </w:p>
    <w:p>
      <w:pPr>
        <w:spacing w:after="0" w:line="39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Dated as of July 20, 2016</w:t>
      </w:r>
    </w:p>
    <w:p>
      <w:pPr>
        <w:spacing w:after="0" w:line="59"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31750</wp:posOffset>
            </wp:positionV>
            <wp:extent cx="2229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35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31750</wp:posOffset>
            </wp:positionV>
            <wp:extent cx="2229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409575</wp:posOffset>
            </wp:positionV>
            <wp:extent cx="28555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Countersigned:</w:t>
      </w:r>
    </w:p>
    <w:p>
      <w:pPr>
        <w:spacing w:after="0" w:line="36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WELLS FARGO BANK,</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NATIONAL ASSOCIATION,</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as Rights Agent</w:t>
      </w:r>
    </w:p>
    <w:p>
      <w:pPr>
        <w:spacing w:after="0" w:line="36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31750</wp:posOffset>
            </wp:positionV>
            <wp:extent cx="2470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Authorized Signature</w:t>
      </w:r>
    </w:p>
    <w:p>
      <w:pPr>
        <w:sectPr>
          <w:pgSz w:w="11900" w:h="16838" w:orient="portrait"/>
          <w:cols w:equalWidth="0" w:num="1">
            <w:col w:w="11400"/>
          </w:cols>
          <w:pgMar w:left="240" w:top="908" w:right="259" w:bottom="1440" w:gutter="0" w:footer="0" w:header="0"/>
        </w:sectPr>
      </w:pPr>
    </w:p>
    <w:bookmarkStart w:id="37" w:name="page38"/>
    <w:bookmarkEnd w:id="37"/>
    <w:p>
      <w:pPr>
        <w:jc w:val="center"/>
        <w:ind w:right="-419"/>
        <w:spacing w:after="0"/>
        <w:rPr>
          <w:sz w:val="20"/>
          <w:szCs w:val="20"/>
          <w:color w:val="auto"/>
        </w:rPr>
      </w:pPr>
      <w:r>
        <w:rPr>
          <w:rFonts w:ascii="Arial" w:cs="Arial" w:eastAsia="Arial" w:hAnsi="Arial"/>
          <w:sz w:val="18"/>
          <w:szCs w:val="18"/>
          <w:b w:val="1"/>
          <w:bCs w:val="1"/>
          <w:color w:val="auto"/>
        </w:rPr>
        <w:t>Form of Reverse Side of Right Certificate</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u w:val="single" w:color="auto"/>
          <w:color w:val="auto"/>
        </w:rPr>
        <w:t>FORM OF ASSIGNMENT</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(To be executed if the registered holder</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desires to transfer the Right Certificate)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VALUE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31750</wp:posOffset>
            </wp:positionV>
            <wp:extent cx="5720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2008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31750</wp:posOffset>
            </wp:positionV>
            <wp:extent cx="49999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(Please print name and address of transferee)</w:t>
      </w:r>
    </w:p>
    <w:p>
      <w:pPr>
        <w:spacing w:after="0" w:line="200" w:lineRule="exact"/>
        <w:rPr>
          <w:sz w:val="20"/>
          <w:szCs w:val="20"/>
          <w:color w:val="auto"/>
        </w:rPr>
      </w:pPr>
    </w:p>
    <w:p>
      <w:pPr>
        <w:spacing w:after="0" w:line="2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Right Certificate, together with all right, title and interest therein, and does hereby irrevocably constitute and appoint Attorney, to transfer the within Right Certificate on the books of the within named Company, with full power of substitution.</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  20</w:t>
            </w:r>
          </w:p>
        </w:tc>
      </w:tr>
      <w:tr>
        <w:trPr>
          <w:trHeight w:val="27"/>
        </w:trPr>
        <w:tc>
          <w:tcPr>
            <w:tcW w:w="5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-8255</wp:posOffset>
            </wp:positionV>
            <wp:extent cx="3517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428625</wp:posOffset>
            </wp:positionV>
            <wp:extent cx="32499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spacing w:after="0" w:line="221" w:lineRule="exact"/>
        <w:rPr>
          <w:sz w:val="20"/>
          <w:szCs w:val="20"/>
          <w:color w:val="auto"/>
        </w:rPr>
      </w:pPr>
      <w:r>
        <w:rPr>
          <w:rFonts w:ascii="Arial" w:cs="Arial" w:eastAsia="Arial" w:hAnsi="Arial"/>
          <w:sz w:val="18"/>
          <w:szCs w:val="18"/>
          <w:color w:val="auto"/>
        </w:rPr>
        <w:t>Signatures must be guaranteed by a member firm of a national securities exchange, a member of the National Association of Securities Dealers, Inc., a commercial bank or trust company having an office or correspondent in the United States or another eligible guarantor institution (as defined pursuant to Rule 17Ad</w:t>
      </w:r>
      <w:r>
        <w:rPr>
          <w:rFonts w:ascii="MS PGothic" w:cs="MS PGothic" w:eastAsia="MS PGothic" w:hAnsi="MS PGothic"/>
          <w:sz w:val="18"/>
          <w:szCs w:val="18"/>
          <w:color w:val="auto"/>
        </w:rPr>
        <w:t>‑</w:t>
      </w:r>
      <w:r>
        <w:rPr>
          <w:rFonts w:ascii="Arial" w:cs="Arial" w:eastAsia="Arial" w:hAnsi="Arial"/>
          <w:sz w:val="18"/>
          <w:szCs w:val="18"/>
          <w:color w:val="auto"/>
        </w:rPr>
        <w:t>15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904" w:right="6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Arial" w:cs="Arial" w:eastAsia="Arial" w:hAnsi="Arial"/>
                <w:sz w:val="18"/>
                <w:szCs w:val="18"/>
                <w:b w:val="1"/>
                <w:bCs w:val="1"/>
                <w:color w:val="auto"/>
                <w:w w:val="93"/>
              </w:rPr>
              <w:t>Certificate</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453"/>
        </w:trPr>
        <w:tc>
          <w:tcPr>
            <w:tcW w:w="600" w:type="dxa"/>
            <w:vAlign w:val="bottom"/>
          </w:tcPr>
          <w:p>
            <w:pPr>
              <w:spacing w:after="0"/>
              <w:rPr>
                <w:sz w:val="24"/>
                <w:szCs w:val="24"/>
                <w:color w:val="auto"/>
              </w:rPr>
            </w:pPr>
          </w:p>
        </w:tc>
        <w:tc>
          <w:tcPr>
            <w:tcW w:w="5540" w:type="dxa"/>
            <w:vAlign w:val="bottom"/>
            <w:gridSpan w:val="12"/>
          </w:tcPr>
          <w:p>
            <w:pPr>
              <w:ind w:left="60"/>
              <w:spacing w:after="0"/>
              <w:rPr>
                <w:sz w:val="20"/>
                <w:szCs w:val="20"/>
                <w:color w:val="auto"/>
              </w:rPr>
            </w:pPr>
            <w:r>
              <w:rPr>
                <w:rFonts w:ascii="Arial" w:cs="Arial" w:eastAsia="Arial" w:hAnsi="Arial"/>
                <w:sz w:val="18"/>
                <w:szCs w:val="18"/>
                <w:color w:val="auto"/>
                <w:w w:val="93"/>
              </w:rPr>
              <w:t>The undersigned hereby certifies by checking the appropriate boxes that:</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92"/>
        </w:trPr>
        <w:tc>
          <w:tcPr>
            <w:tcW w:w="960" w:type="dxa"/>
            <w:vAlign w:val="bottom"/>
            <w:gridSpan w:val="2"/>
          </w:tcPr>
          <w:p>
            <w:pPr>
              <w:ind w:left="660"/>
              <w:spacing w:after="0"/>
              <w:rPr>
                <w:sz w:val="20"/>
                <w:szCs w:val="20"/>
                <w:color w:val="auto"/>
              </w:rPr>
            </w:pPr>
            <w:r>
              <w:rPr>
                <w:rFonts w:ascii="Arial" w:cs="Arial" w:eastAsia="Arial" w:hAnsi="Arial"/>
                <w:sz w:val="18"/>
                <w:szCs w:val="18"/>
                <w:color w:val="auto"/>
              </w:rPr>
              <w:t>(1)</w:t>
            </w:r>
          </w:p>
        </w:tc>
        <w:tc>
          <w:tcPr>
            <w:tcW w:w="3420" w:type="dxa"/>
            <w:vAlign w:val="bottom"/>
            <w:gridSpan w:val="4"/>
          </w:tcPr>
          <w:p>
            <w:pPr>
              <w:ind w:left="80"/>
              <w:spacing w:after="0"/>
              <w:rPr>
                <w:sz w:val="20"/>
                <w:szCs w:val="20"/>
                <w:color w:val="auto"/>
              </w:rPr>
            </w:pPr>
            <w:r>
              <w:rPr>
                <w:rFonts w:ascii="Arial" w:cs="Arial" w:eastAsia="Arial" w:hAnsi="Arial"/>
                <w:sz w:val="18"/>
                <w:szCs w:val="18"/>
                <w:color w:val="auto"/>
                <w:w w:val="92"/>
              </w:rPr>
              <w:t>the Rights evidenced by this Right Certificate</w:t>
            </w:r>
          </w:p>
        </w:tc>
        <w:tc>
          <w:tcPr>
            <w:tcW w:w="360" w:type="dxa"/>
            <w:vAlign w:val="bottom"/>
            <w:tcBorders>
              <w:bottom w:val="single" w:sz="8" w:color="auto"/>
            </w:tcBorders>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w w:val="92"/>
              </w:rPr>
              <w:t>are</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80" w:type="dxa"/>
            <w:vAlign w:val="bottom"/>
            <w:gridSpan w:val="6"/>
          </w:tcPr>
          <w:p>
            <w:pPr>
              <w:ind w:left="60"/>
              <w:spacing w:after="0"/>
              <w:rPr>
                <w:sz w:val="20"/>
                <w:szCs w:val="20"/>
                <w:color w:val="auto"/>
              </w:rPr>
            </w:pPr>
            <w:r>
              <w:rPr>
                <w:rFonts w:ascii="Arial" w:cs="Arial" w:eastAsia="Arial" w:hAnsi="Arial"/>
                <w:sz w:val="18"/>
                <w:szCs w:val="18"/>
                <w:color w:val="auto"/>
                <w:w w:val="93"/>
              </w:rPr>
              <w:t>are not being assigned by or on behalf of a Person who is or was an Acquiring</w:t>
            </w:r>
          </w:p>
        </w:tc>
      </w:tr>
      <w:tr>
        <w:trPr>
          <w:trHeight w:val="237"/>
        </w:trPr>
        <w:tc>
          <w:tcPr>
            <w:tcW w:w="11280" w:type="dxa"/>
            <w:vAlign w:val="bottom"/>
            <w:gridSpan w:val="16"/>
          </w:tcPr>
          <w:p>
            <w:pPr>
              <w:spacing w:after="0"/>
              <w:rPr>
                <w:sz w:val="20"/>
                <w:szCs w:val="20"/>
                <w:color w:val="auto"/>
              </w:rPr>
            </w:pPr>
            <w:r>
              <w:rPr>
                <w:rFonts w:ascii="Arial" w:cs="Arial" w:eastAsia="Arial" w:hAnsi="Arial"/>
                <w:sz w:val="18"/>
                <w:szCs w:val="18"/>
                <w:color w:val="auto"/>
              </w:rPr>
              <w:t>Person or an Affiliate or Associate of an Acquiring Person (as such terms are defined in the Rights Agreement);</w:t>
            </w:r>
          </w:p>
        </w:tc>
      </w:tr>
      <w:tr>
        <w:trPr>
          <w:trHeight w:val="392"/>
        </w:trPr>
        <w:tc>
          <w:tcPr>
            <w:tcW w:w="960" w:type="dxa"/>
            <w:vAlign w:val="bottom"/>
            <w:gridSpan w:val="2"/>
          </w:tcPr>
          <w:p>
            <w:pPr>
              <w:ind w:left="660"/>
              <w:spacing w:after="0"/>
              <w:rPr>
                <w:sz w:val="20"/>
                <w:szCs w:val="20"/>
                <w:color w:val="auto"/>
              </w:rPr>
            </w:pPr>
            <w:r>
              <w:rPr>
                <w:rFonts w:ascii="Arial" w:cs="Arial" w:eastAsia="Arial" w:hAnsi="Arial"/>
                <w:sz w:val="18"/>
                <w:szCs w:val="18"/>
                <w:color w:val="auto"/>
              </w:rPr>
              <w:t>(2)</w:t>
            </w:r>
          </w:p>
        </w:tc>
        <w:tc>
          <w:tcPr>
            <w:tcW w:w="4820" w:type="dxa"/>
            <w:vAlign w:val="bottom"/>
            <w:gridSpan w:val="9"/>
          </w:tcPr>
          <w:p>
            <w:pPr>
              <w:ind w:left="80"/>
              <w:spacing w:after="0"/>
              <w:rPr>
                <w:sz w:val="20"/>
                <w:szCs w:val="20"/>
                <w:color w:val="auto"/>
              </w:rPr>
            </w:pPr>
            <w:r>
              <w:rPr>
                <w:rFonts w:ascii="Arial" w:cs="Arial" w:eastAsia="Arial" w:hAnsi="Arial"/>
                <w:sz w:val="18"/>
                <w:szCs w:val="18"/>
                <w:color w:val="auto"/>
                <w:w w:val="91"/>
              </w:rPr>
              <w:t>after due inquiry and to the best knowledge of the undersigned, it</w:t>
            </w:r>
          </w:p>
        </w:tc>
        <w:tc>
          <w:tcPr>
            <w:tcW w:w="360" w:type="dxa"/>
            <w:vAlign w:val="bottom"/>
            <w:tcBorders>
              <w:bottom w:val="single" w:sz="8" w:color="auto"/>
            </w:tcBorders>
            <w:gridSpan w:val="2"/>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99"/>
              </w:rPr>
              <w:t>did</w:t>
            </w:r>
          </w:p>
        </w:tc>
        <w:tc>
          <w:tcPr>
            <w:tcW w:w="360" w:type="dxa"/>
            <w:vAlign w:val="bottom"/>
            <w:tcBorders>
              <w:bottom w:val="single" w:sz="8" w:color="auto"/>
            </w:tcBorders>
          </w:tcPr>
          <w:p>
            <w:pPr>
              <w:spacing w:after="0"/>
              <w:rPr>
                <w:sz w:val="24"/>
                <w:szCs w:val="24"/>
                <w:color w:val="auto"/>
              </w:rPr>
            </w:pPr>
          </w:p>
        </w:tc>
        <w:tc>
          <w:tcPr>
            <w:tcW w:w="4460" w:type="dxa"/>
            <w:vAlign w:val="bottom"/>
          </w:tcPr>
          <w:p>
            <w:pPr>
              <w:ind w:left="60"/>
              <w:spacing w:after="0"/>
              <w:rPr>
                <w:sz w:val="20"/>
                <w:szCs w:val="20"/>
                <w:color w:val="auto"/>
              </w:rPr>
            </w:pPr>
            <w:r>
              <w:rPr>
                <w:rFonts w:ascii="Arial" w:cs="Arial" w:eastAsia="Arial" w:hAnsi="Arial"/>
                <w:sz w:val="18"/>
                <w:szCs w:val="18"/>
                <w:color w:val="auto"/>
                <w:w w:val="91"/>
              </w:rPr>
              <w:t>did not acquire the Rights evidenced by this Right Certificate</w:t>
            </w:r>
          </w:p>
        </w:tc>
      </w:tr>
      <w:tr>
        <w:trPr>
          <w:trHeight w:val="237"/>
        </w:trPr>
        <w:tc>
          <w:tcPr>
            <w:tcW w:w="11280" w:type="dxa"/>
            <w:vAlign w:val="bottom"/>
            <w:gridSpan w:val="16"/>
          </w:tcPr>
          <w:p>
            <w:pPr>
              <w:spacing w:after="0"/>
              <w:rPr>
                <w:sz w:val="20"/>
                <w:szCs w:val="20"/>
                <w:color w:val="auto"/>
              </w:rPr>
            </w:pPr>
            <w:r>
              <w:rPr>
                <w:rFonts w:ascii="Arial" w:cs="Arial" w:eastAsia="Arial" w:hAnsi="Arial"/>
                <w:sz w:val="18"/>
                <w:szCs w:val="18"/>
                <w:color w:val="auto"/>
              </w:rPr>
              <w:t>from any Person who is, was or became an Acquiring Person or an Affiliate or Associate of an Acquiring Person.</w:t>
            </w:r>
          </w:p>
        </w:tc>
      </w:tr>
      <w:tr>
        <w:trPr>
          <w:trHeight w:val="594"/>
        </w:trPr>
        <w:tc>
          <w:tcPr>
            <w:tcW w:w="960" w:type="dxa"/>
            <w:vAlign w:val="bottom"/>
            <w:gridSpan w:val="2"/>
          </w:tcPr>
          <w:p>
            <w:pPr>
              <w:ind w:left="40"/>
              <w:spacing w:after="0"/>
              <w:rPr>
                <w:sz w:val="20"/>
                <w:szCs w:val="20"/>
                <w:color w:val="auto"/>
              </w:rPr>
            </w:pPr>
            <w:r>
              <w:rPr>
                <w:rFonts w:ascii="Arial" w:cs="Arial" w:eastAsia="Arial" w:hAnsi="Arial"/>
                <w:sz w:val="18"/>
                <w:szCs w:val="18"/>
                <w:color w:val="auto"/>
              </w:rPr>
              <w:t>Dated:</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  20</w:t>
            </w: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7"/>
        </w:trPr>
        <w:tc>
          <w:tcPr>
            <w:tcW w:w="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428625</wp:posOffset>
            </wp:positionV>
            <wp:extent cx="32499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signatures to the foregoing Assignment and Certificate must correspond to the name as written upon the face of this Right Certificate in every particular, without alteration or enlargement or any change whatsoever.</w:t>
      </w: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891"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u w:val="single" w:color="auto"/>
          <w:color w:val="auto"/>
        </w:rPr>
        <w:t>FORM OF ELECTION TO PURCHASE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executed if the registered holder desires to exercise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represented by the Right Certificate)</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7"/>
          <w:szCs w:val="17"/>
          <w:color w:val="auto"/>
        </w:rPr>
        <w:t>MICRON TECHNOLOGY, INC.</w:t>
      </w:r>
    </w:p>
    <w:p>
      <w:pPr>
        <w:spacing w:after="0" w:line="225" w:lineRule="exact"/>
        <w:rPr>
          <w:sz w:val="20"/>
          <w:szCs w:val="20"/>
          <w:color w:val="auto"/>
        </w:rPr>
      </w:pPr>
    </w:p>
    <w:p>
      <w:pPr>
        <w:ind w:left="660"/>
        <w:spacing w:after="0"/>
        <w:tabs>
          <w:tab w:leader="none" w:pos="4960" w:val="left"/>
        </w:tabs>
        <w:rPr>
          <w:sz w:val="20"/>
          <w:szCs w:val="20"/>
          <w:color w:val="auto"/>
        </w:rPr>
      </w:pPr>
      <w:r>
        <w:rPr>
          <w:rFonts w:ascii="Arial" w:cs="Arial" w:eastAsia="Arial" w:hAnsi="Arial"/>
          <w:sz w:val="18"/>
          <w:szCs w:val="18"/>
          <w:color w:val="auto"/>
        </w:rPr>
        <w:t>The undersigned hereby irrevocably elects to exercise</w:t>
      </w:r>
      <w:r>
        <w:rPr>
          <w:sz w:val="20"/>
          <w:szCs w:val="20"/>
          <w:color w:val="auto"/>
        </w:rPr>
        <w:tab/>
      </w:r>
      <w:r>
        <w:rPr>
          <w:rFonts w:ascii="Arial" w:cs="Arial" w:eastAsia="Arial" w:hAnsi="Arial"/>
          <w:sz w:val="16"/>
          <w:szCs w:val="16"/>
          <w:color w:val="auto"/>
        </w:rPr>
        <w:t>Rights represented by this Right Certificate to purchase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2907665</wp:posOffset>
            </wp:positionH>
            <wp:positionV relativeFrom="paragraph">
              <wp:posOffset>-10160</wp:posOffset>
            </wp:positionV>
            <wp:extent cx="2286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issuable upon the exercise of the Rights (or such other securities of the Company or of any other person which may be issuable upon the exercise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and requests that certificates for such securities be issued in the name of and delivered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name and address)</w:t>
      </w:r>
    </w:p>
    <w:p>
      <w:pPr>
        <w:spacing w:after="0" w:line="200" w:lineRule="exact"/>
        <w:rPr>
          <w:sz w:val="20"/>
          <w:szCs w:val="20"/>
          <w:color w:val="auto"/>
        </w:rPr>
      </w:pPr>
    </w:p>
    <w:p>
      <w:pPr>
        <w:spacing w:after="0" w:line="26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such number of Rights shall not be all the Rights evidenced by this Right certificate, a new Right Certificate for the balance of such Rights shall be registered in the name of and delivered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name and address)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  20</w:t>
            </w:r>
          </w:p>
        </w:tc>
      </w:tr>
      <w:tr>
        <w:trPr>
          <w:trHeight w:val="27"/>
        </w:trPr>
        <w:tc>
          <w:tcPr>
            <w:tcW w:w="5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-8255</wp:posOffset>
            </wp:positionV>
            <wp:extent cx="3517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428625</wp:posOffset>
            </wp:positionV>
            <wp:extent cx="32499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Signatures must be guaranteed by a member firm of a national securities exchange, a member of the National Association of Securities Dealers, Inc., a commercial bank or trust company having an office or correspondent in the United States or another eligible guarantor institution (as defined pursuant to Rule 17Ad-15 under the Securities Exchange Act of 1934, as amended).</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04"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Arial" w:cs="Arial" w:eastAsia="Arial" w:hAnsi="Arial"/>
                <w:sz w:val="18"/>
                <w:szCs w:val="18"/>
                <w:b w:val="1"/>
                <w:bCs w:val="1"/>
                <w:color w:val="auto"/>
                <w:w w:val="93"/>
              </w:rPr>
              <w:t>Certificate</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453"/>
        </w:trPr>
        <w:tc>
          <w:tcPr>
            <w:tcW w:w="600" w:type="dxa"/>
            <w:vAlign w:val="bottom"/>
          </w:tcPr>
          <w:p>
            <w:pPr>
              <w:spacing w:after="0"/>
              <w:rPr>
                <w:sz w:val="24"/>
                <w:szCs w:val="24"/>
                <w:color w:val="auto"/>
              </w:rPr>
            </w:pPr>
          </w:p>
        </w:tc>
        <w:tc>
          <w:tcPr>
            <w:tcW w:w="5540" w:type="dxa"/>
            <w:vAlign w:val="bottom"/>
            <w:gridSpan w:val="12"/>
          </w:tcPr>
          <w:p>
            <w:pPr>
              <w:ind w:left="60"/>
              <w:spacing w:after="0"/>
              <w:rPr>
                <w:sz w:val="20"/>
                <w:szCs w:val="20"/>
                <w:color w:val="auto"/>
              </w:rPr>
            </w:pPr>
            <w:r>
              <w:rPr>
                <w:rFonts w:ascii="Arial" w:cs="Arial" w:eastAsia="Arial" w:hAnsi="Arial"/>
                <w:sz w:val="18"/>
                <w:szCs w:val="18"/>
                <w:color w:val="auto"/>
                <w:w w:val="93"/>
              </w:rPr>
              <w:t>The undersigned hereby certifies by checking the appropriate boxes that:</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92"/>
        </w:trPr>
        <w:tc>
          <w:tcPr>
            <w:tcW w:w="960" w:type="dxa"/>
            <w:vAlign w:val="bottom"/>
            <w:gridSpan w:val="2"/>
          </w:tcPr>
          <w:p>
            <w:pPr>
              <w:ind w:left="660"/>
              <w:spacing w:after="0"/>
              <w:rPr>
                <w:sz w:val="20"/>
                <w:szCs w:val="20"/>
                <w:color w:val="auto"/>
              </w:rPr>
            </w:pPr>
            <w:r>
              <w:rPr>
                <w:rFonts w:ascii="Arial" w:cs="Arial" w:eastAsia="Arial" w:hAnsi="Arial"/>
                <w:sz w:val="18"/>
                <w:szCs w:val="18"/>
                <w:color w:val="auto"/>
              </w:rPr>
              <w:t>(1)</w:t>
            </w:r>
          </w:p>
        </w:tc>
        <w:tc>
          <w:tcPr>
            <w:tcW w:w="3420" w:type="dxa"/>
            <w:vAlign w:val="bottom"/>
            <w:gridSpan w:val="4"/>
          </w:tcPr>
          <w:p>
            <w:pPr>
              <w:ind w:left="80"/>
              <w:spacing w:after="0"/>
              <w:rPr>
                <w:sz w:val="20"/>
                <w:szCs w:val="20"/>
                <w:color w:val="auto"/>
              </w:rPr>
            </w:pPr>
            <w:r>
              <w:rPr>
                <w:rFonts w:ascii="Arial" w:cs="Arial" w:eastAsia="Arial" w:hAnsi="Arial"/>
                <w:sz w:val="18"/>
                <w:szCs w:val="18"/>
                <w:color w:val="auto"/>
                <w:w w:val="92"/>
              </w:rPr>
              <w:t>the Rights evidenced by this Right Certificate</w:t>
            </w:r>
          </w:p>
        </w:tc>
        <w:tc>
          <w:tcPr>
            <w:tcW w:w="360" w:type="dxa"/>
            <w:vAlign w:val="bottom"/>
            <w:tcBorders>
              <w:bottom w:val="single" w:sz="8" w:color="auto"/>
            </w:tcBorders>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w w:val="92"/>
              </w:rPr>
              <w:t>are</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80" w:type="dxa"/>
            <w:vAlign w:val="bottom"/>
            <w:gridSpan w:val="6"/>
          </w:tcPr>
          <w:p>
            <w:pPr>
              <w:ind w:left="60"/>
              <w:spacing w:after="0"/>
              <w:rPr>
                <w:sz w:val="20"/>
                <w:szCs w:val="20"/>
                <w:color w:val="auto"/>
              </w:rPr>
            </w:pPr>
            <w:r>
              <w:rPr>
                <w:rFonts w:ascii="Arial" w:cs="Arial" w:eastAsia="Arial" w:hAnsi="Arial"/>
                <w:sz w:val="18"/>
                <w:szCs w:val="18"/>
                <w:color w:val="auto"/>
                <w:w w:val="92"/>
              </w:rPr>
              <w:t>are not being exercised by or on behalf of a Person who is or was an Acquiring</w:t>
            </w:r>
          </w:p>
        </w:tc>
      </w:tr>
      <w:tr>
        <w:trPr>
          <w:trHeight w:val="237"/>
        </w:trPr>
        <w:tc>
          <w:tcPr>
            <w:tcW w:w="11280" w:type="dxa"/>
            <w:vAlign w:val="bottom"/>
            <w:gridSpan w:val="16"/>
          </w:tcPr>
          <w:p>
            <w:pPr>
              <w:spacing w:after="0"/>
              <w:rPr>
                <w:sz w:val="20"/>
                <w:szCs w:val="20"/>
                <w:color w:val="auto"/>
              </w:rPr>
            </w:pPr>
            <w:r>
              <w:rPr>
                <w:rFonts w:ascii="Arial" w:cs="Arial" w:eastAsia="Arial" w:hAnsi="Arial"/>
                <w:sz w:val="18"/>
                <w:szCs w:val="18"/>
                <w:color w:val="auto"/>
              </w:rPr>
              <w:t>Person or an Affiliate or Associate of an Acquiring Person (as such terms are defined in the Rights Agreement);</w:t>
            </w:r>
          </w:p>
        </w:tc>
      </w:tr>
      <w:tr>
        <w:trPr>
          <w:trHeight w:val="392"/>
        </w:trPr>
        <w:tc>
          <w:tcPr>
            <w:tcW w:w="960" w:type="dxa"/>
            <w:vAlign w:val="bottom"/>
            <w:gridSpan w:val="2"/>
          </w:tcPr>
          <w:p>
            <w:pPr>
              <w:ind w:left="660"/>
              <w:spacing w:after="0"/>
              <w:rPr>
                <w:sz w:val="20"/>
                <w:szCs w:val="20"/>
                <w:color w:val="auto"/>
              </w:rPr>
            </w:pPr>
            <w:r>
              <w:rPr>
                <w:rFonts w:ascii="Arial" w:cs="Arial" w:eastAsia="Arial" w:hAnsi="Arial"/>
                <w:sz w:val="18"/>
                <w:szCs w:val="18"/>
                <w:color w:val="auto"/>
              </w:rPr>
              <w:t>(2)</w:t>
            </w:r>
          </w:p>
        </w:tc>
        <w:tc>
          <w:tcPr>
            <w:tcW w:w="4820" w:type="dxa"/>
            <w:vAlign w:val="bottom"/>
            <w:gridSpan w:val="9"/>
          </w:tcPr>
          <w:p>
            <w:pPr>
              <w:ind w:left="80"/>
              <w:spacing w:after="0"/>
              <w:rPr>
                <w:sz w:val="20"/>
                <w:szCs w:val="20"/>
                <w:color w:val="auto"/>
              </w:rPr>
            </w:pPr>
            <w:r>
              <w:rPr>
                <w:rFonts w:ascii="Arial" w:cs="Arial" w:eastAsia="Arial" w:hAnsi="Arial"/>
                <w:sz w:val="18"/>
                <w:szCs w:val="18"/>
                <w:color w:val="auto"/>
                <w:w w:val="91"/>
              </w:rPr>
              <w:t>after due inquiry and to the best knowledge of the undersigned, it</w:t>
            </w:r>
          </w:p>
        </w:tc>
        <w:tc>
          <w:tcPr>
            <w:tcW w:w="360" w:type="dxa"/>
            <w:vAlign w:val="bottom"/>
            <w:tcBorders>
              <w:bottom w:val="single" w:sz="8" w:color="auto"/>
            </w:tcBorders>
            <w:gridSpan w:val="2"/>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99"/>
              </w:rPr>
              <w:t>did</w:t>
            </w:r>
          </w:p>
        </w:tc>
        <w:tc>
          <w:tcPr>
            <w:tcW w:w="360" w:type="dxa"/>
            <w:vAlign w:val="bottom"/>
            <w:tcBorders>
              <w:bottom w:val="single" w:sz="8" w:color="auto"/>
            </w:tcBorders>
          </w:tcPr>
          <w:p>
            <w:pPr>
              <w:spacing w:after="0"/>
              <w:rPr>
                <w:sz w:val="24"/>
                <w:szCs w:val="24"/>
                <w:color w:val="auto"/>
              </w:rPr>
            </w:pPr>
          </w:p>
        </w:tc>
        <w:tc>
          <w:tcPr>
            <w:tcW w:w="4460" w:type="dxa"/>
            <w:vAlign w:val="bottom"/>
          </w:tcPr>
          <w:p>
            <w:pPr>
              <w:ind w:left="60"/>
              <w:spacing w:after="0"/>
              <w:rPr>
                <w:sz w:val="20"/>
                <w:szCs w:val="20"/>
                <w:color w:val="auto"/>
              </w:rPr>
            </w:pPr>
            <w:r>
              <w:rPr>
                <w:rFonts w:ascii="Arial" w:cs="Arial" w:eastAsia="Arial" w:hAnsi="Arial"/>
                <w:sz w:val="18"/>
                <w:szCs w:val="18"/>
                <w:color w:val="auto"/>
                <w:w w:val="91"/>
              </w:rPr>
              <w:t>did not acquire the Rights evidenced by this Right Certificate</w:t>
            </w:r>
          </w:p>
        </w:tc>
      </w:tr>
      <w:tr>
        <w:trPr>
          <w:trHeight w:val="237"/>
        </w:trPr>
        <w:tc>
          <w:tcPr>
            <w:tcW w:w="11280" w:type="dxa"/>
            <w:vAlign w:val="bottom"/>
            <w:gridSpan w:val="16"/>
          </w:tcPr>
          <w:p>
            <w:pPr>
              <w:spacing w:after="0"/>
              <w:rPr>
                <w:sz w:val="20"/>
                <w:szCs w:val="20"/>
                <w:color w:val="auto"/>
              </w:rPr>
            </w:pPr>
            <w:r>
              <w:rPr>
                <w:rFonts w:ascii="Arial" w:cs="Arial" w:eastAsia="Arial" w:hAnsi="Arial"/>
                <w:sz w:val="18"/>
                <w:szCs w:val="18"/>
                <w:color w:val="auto"/>
              </w:rPr>
              <w:t>from any Person who is, was or became an Acquiring Person or an Affiliate or Associate of an Acquiring Person.</w:t>
            </w:r>
          </w:p>
        </w:tc>
      </w:tr>
      <w:tr>
        <w:trPr>
          <w:trHeight w:val="594"/>
        </w:trPr>
        <w:tc>
          <w:tcPr>
            <w:tcW w:w="960" w:type="dxa"/>
            <w:vAlign w:val="bottom"/>
            <w:gridSpan w:val="2"/>
          </w:tcPr>
          <w:p>
            <w:pPr>
              <w:ind w:left="40"/>
              <w:spacing w:after="0"/>
              <w:rPr>
                <w:sz w:val="20"/>
                <w:szCs w:val="20"/>
                <w:color w:val="auto"/>
              </w:rPr>
            </w:pPr>
            <w:r>
              <w:rPr>
                <w:rFonts w:ascii="Arial" w:cs="Arial" w:eastAsia="Arial" w:hAnsi="Arial"/>
                <w:sz w:val="18"/>
                <w:szCs w:val="18"/>
                <w:color w:val="auto"/>
              </w:rPr>
              <w:t>Dated:</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  20</w:t>
            </w: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7"/>
        </w:trPr>
        <w:tc>
          <w:tcPr>
            <w:tcW w:w="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428625</wp:posOffset>
            </wp:positionV>
            <wp:extent cx="32499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signature to the foregoing Election to Purchase and Certificate must correspond to the name as written upon the face of this Right Certificate in every particular, without alteration or enlargement or any change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891" w:right="37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RIGHTS TO PURCHASE SHARES OF COMMON STOCK</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July 20, 2016, the Board of Directors of Micron Technology,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declared a dividend of one right (each, a “</w:t>
      </w:r>
      <w:r>
        <w:rPr>
          <w:rFonts w:ascii="Arial" w:cs="Arial" w:eastAsia="Arial" w:hAnsi="Arial"/>
          <w:sz w:val="18"/>
          <w:szCs w:val="18"/>
          <w:u w:val="single" w:color="auto"/>
          <w:color w:val="auto"/>
        </w:rPr>
        <w:t>Right</w:t>
      </w:r>
      <w:r>
        <w:rPr>
          <w:rFonts w:ascii="Arial" w:cs="Arial" w:eastAsia="Arial" w:hAnsi="Arial"/>
          <w:sz w:val="18"/>
          <w:szCs w:val="18"/>
          <w:color w:val="auto"/>
        </w:rPr>
        <w:t>”) for each share of common stock, par value $0.10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Company outstanding at the close of business on August 1, 2016 (the “</w:t>
      </w:r>
      <w:r>
        <w:rPr>
          <w:rFonts w:ascii="Arial" w:cs="Arial" w:eastAsia="Arial" w:hAnsi="Arial"/>
          <w:sz w:val="18"/>
          <w:szCs w:val="18"/>
          <w:u w:val="single" w:color="auto"/>
          <w:color w:val="auto"/>
        </w:rPr>
        <w:t>Record Date</w:t>
      </w:r>
      <w:r>
        <w:rPr>
          <w:rFonts w:ascii="Arial" w:cs="Arial" w:eastAsia="Arial" w:hAnsi="Arial"/>
          <w:sz w:val="18"/>
          <w:szCs w:val="18"/>
          <w:color w:val="auto"/>
        </w:rPr>
        <w:t>”), pursuant to the terms and conditions of the Section 382 Rights Agreement, dated as of July 20, 2016, between the Company and Wells Fargo Bank, National Association, as Rights Agent (the “</w:t>
      </w:r>
      <w:r>
        <w:rPr>
          <w:rFonts w:ascii="Arial" w:cs="Arial" w:eastAsia="Arial" w:hAnsi="Arial"/>
          <w:sz w:val="18"/>
          <w:szCs w:val="18"/>
          <w:u w:val="single" w:color="auto"/>
          <w:color w:val="auto"/>
        </w:rPr>
        <w:t>Rights Agreement</w:t>
      </w:r>
      <w:r>
        <w:rPr>
          <w:rFonts w:ascii="Arial" w:cs="Arial" w:eastAsia="Arial" w:hAnsi="Arial"/>
          <w:sz w:val="18"/>
          <w:szCs w:val="18"/>
          <w:color w:val="auto"/>
        </w:rPr>
        <w:t>”).</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By adopting the Rights Agreement, the Board of Directors is seeking to protect the Company’s NOLs and other Tax Benefits (as such terms are defined in the Rights Agreement). The Company has experienced and may continue to experience substantial operating losses, and for federal and state income tax purposes, the Company may “carry forward” NOLs in certain circumstances to offset current and future taxable income, which will reduce federal and state income tax liability, subject to certain requirements and restrictions. These federal and state Tax Benefits can be a valuable asset of the Company, which may inure to the benefit of the Company and its stockholders. However, if the Company experiences an “ownership change,” as defined in Section 382 (as defined in the Rights Agreement), its ability to use the NOLs and other Tax Benefits could be substantially limited, and the timing of the usage of the NOLs and other Tax Benefits could be substantially delayed, which could significantly impair the value of the Company’s NOLs and other Tax Benefits. Generally, an “ownership change” occurs if the percentage of the Company’s stock owned by one or more “five percent stockholders” increases by more than fifty percentage points over the lowest percentage of stock owned by such stockholders at any time during the prior three-year period or, if sooner, since the last “ownership change” experienced by the Company. A rights agreement with a 4.99% “trigger” threshold is intended to act as a deterrent to any person acquiring 4.99% or more of the outstanding shares of Common Stock (as defined in the Rights Agreement) without the approval of the Board of Directors. This would protect the Company’s NOLs and other Tax Benefits because changes in ownership by a person owning less than 4.99% of the Common Stock are not included in the calculation of “ownership change” for purposes of Section 382.</w:t>
      </w:r>
    </w:p>
    <w:p>
      <w:pPr>
        <w:spacing w:after="0" w:line="17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Prior to the Distribution Date, the Rights will be evidenced by the certificates for and will be transferred with the Common Stock, and the registered holders of the Common Stock will be deemed to be the registered holders of the Rights. After the Distribution Date, the Rights Agent will mail separate certificates evidencing the Rights to each record holder of the Common Stock as of the close of business on the Distribution Date, and thereafter the Rights will be transferable separately from the Common Stock.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Distribution Date</w:t>
      </w:r>
      <w:r>
        <w:rPr>
          <w:rFonts w:ascii="Arial" w:cs="Arial" w:eastAsia="Arial" w:hAnsi="Arial"/>
          <w:sz w:val="18"/>
          <w:szCs w:val="18"/>
          <w:color w:val="auto"/>
        </w:rPr>
        <w:t>” means the close of business on the earlier of:</w:t>
      </w:r>
    </w:p>
    <w:p>
      <w:pPr>
        <w:spacing w:after="0" w:line="225" w:lineRule="exact"/>
        <w:rPr>
          <w:sz w:val="20"/>
          <w:szCs w:val="20"/>
          <w:color w:val="auto"/>
        </w:rPr>
      </w:pPr>
    </w:p>
    <w:p>
      <w:pPr>
        <w:ind w:right="380" w:firstLine="656"/>
        <w:spacing w:after="0" w:line="312" w:lineRule="auto"/>
        <w:tabs>
          <w:tab w:leader="none" w:pos="1038"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tenth calendar day after the date of the first public announcement (including the filing of a report on Schedule 13D under the Securities Exchange Act of 1934, as amended, (or any comparable or successor report)) that a person or group of affiliated or associated persons (an “</w:t>
      </w:r>
      <w:r>
        <w:rPr>
          <w:rFonts w:ascii="Arial" w:cs="Arial" w:eastAsia="Arial" w:hAnsi="Arial"/>
          <w:sz w:val="16"/>
          <w:szCs w:val="16"/>
          <w:u w:val="single" w:color="auto"/>
          <w:color w:val="auto"/>
        </w:rPr>
        <w:t>Acquiring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w:t>
      </w:r>
      <w:r>
        <w:rPr>
          <w:rFonts w:ascii="Arial" w:cs="Arial" w:eastAsia="Arial" w:hAnsi="Arial"/>
          <w:sz w:val="16"/>
          <w:szCs w:val="16"/>
          <w:color w:val="auto"/>
        </w:rPr>
        <w:t>”) has acquired beneficial ownership of 4.99% or more of the shares of Common Stock then outstanding (the “</w:t>
      </w:r>
      <w:r>
        <w:rPr>
          <w:rFonts w:ascii="Arial" w:cs="Arial" w:eastAsia="Arial" w:hAnsi="Arial"/>
          <w:sz w:val="16"/>
          <w:szCs w:val="16"/>
          <w:u w:val="single" w:color="auto"/>
          <w:color w:val="auto"/>
        </w:rPr>
        <w:t>Stock Acquisition Date</w:t>
      </w:r>
      <w:r>
        <w:rPr>
          <w:rFonts w:ascii="Arial" w:cs="Arial" w:eastAsia="Arial" w:hAnsi="Arial"/>
          <w:sz w:val="16"/>
          <w:szCs w:val="16"/>
          <w:color w:val="auto"/>
        </w:rPr>
        <w:t>”); and</w:t>
      </w:r>
    </w:p>
    <w:p>
      <w:pPr>
        <w:spacing w:after="0" w:line="146" w:lineRule="exact"/>
        <w:rPr>
          <w:rFonts w:ascii="Arial" w:cs="Arial" w:eastAsia="Arial" w:hAnsi="Arial"/>
          <w:sz w:val="16"/>
          <w:szCs w:val="16"/>
          <w:color w:val="auto"/>
        </w:rPr>
      </w:pPr>
    </w:p>
    <w:p>
      <w:pPr>
        <w:ind w:right="40" w:firstLine="656"/>
        <w:spacing w:after="0" w:line="259" w:lineRule="auto"/>
        <w:tabs>
          <w:tab w:leader="none" w:pos="103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tenth business day (or such later date as may be determined by action of the Board of Directors prior to such time as any person becomes an Acquiring Person) after the date of commencement by any person of, or after the date of the first public announcement of the intention of any person to commence, a tender or exchange offer the consummation of which could result in any person becoming the beneficial owner of 4.99% or more of the shares of Common Stock of the Company then outstanding.</w:t>
      </w:r>
    </w:p>
    <w:p>
      <w:pPr>
        <w:spacing w:after="0" w:line="18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Rights Agreement provides that any person who beneficially owned 4.99% or more of the shares of Common Stock on the date the Rights Agreement was adopted, together with any affiliates and associates of that person (each a “</w:t>
      </w:r>
      <w:r>
        <w:rPr>
          <w:rFonts w:ascii="Arial" w:cs="Arial" w:eastAsia="Arial" w:hAnsi="Arial"/>
          <w:sz w:val="16"/>
          <w:szCs w:val="16"/>
          <w:u w:val="single" w:color="auto"/>
          <w:color w:val="auto"/>
        </w:rPr>
        <w:t>Grandfathered Person</w:t>
      </w:r>
      <w:r>
        <w:rPr>
          <w:rFonts w:ascii="Arial" w:cs="Arial" w:eastAsia="Arial" w:hAnsi="Arial"/>
          <w:sz w:val="16"/>
          <w:szCs w:val="16"/>
          <w:color w:val="auto"/>
        </w:rPr>
        <w:t>”), shall not be deemed to be an “Acquiring Person” for purposes of the Rights Agreement unless the Grandfathered Holder becomes the Beneficial Owner of a percentage of the Common Stock then outstanding exceeding such Grandfathered Person’s Grandfathered Percentage by 0.5% or more. “</w:t>
      </w:r>
      <w:r>
        <w:rPr>
          <w:rFonts w:ascii="Arial" w:cs="Arial" w:eastAsia="Arial" w:hAnsi="Arial"/>
          <w:sz w:val="16"/>
          <w:szCs w:val="16"/>
          <w:u w:val="single" w:color="auto"/>
          <w:color w:val="auto"/>
        </w:rPr>
        <w:t>Grandfathered Percentage</w:t>
      </w:r>
      <w:r>
        <w:rPr>
          <w:rFonts w:ascii="Arial" w:cs="Arial" w:eastAsia="Arial" w:hAnsi="Arial"/>
          <w:sz w:val="16"/>
          <w:szCs w:val="16"/>
          <w:color w:val="auto"/>
        </w:rPr>
        <w:t>” shall mean, with respect to any Grandfathered Person, the percentage of the outstanding shares of Common Stock of the Company that such Grandfathered Person, together with all affiliates and associates of such Grandfathered Person, beneficially owns as of the Rights Dividend Declaration Date; provided that, in the event any Grandfathered Person shall sell, transfer, or otherwise dispose of any outstanding shares of Common Stock after the Rights Dividend Declaration Date, the Grandfathered Percentage shall, subsequent to such sale, transfer or disposition, mean, with respect to such Grandfathered Person, the lesser of (a) the Grandfathered Percentage as in effect immediately prior to such sale, transfer or disposition or (b) the percentage of</w:t>
      </w:r>
    </w:p>
    <w:p>
      <w:pPr>
        <w:sectPr>
          <w:pgSz w:w="11900" w:h="16838" w:orient="portrait"/>
          <w:cols w:equalWidth="0" w:num="1">
            <w:col w:w="11420"/>
          </w:cols>
          <w:pgMar w:left="240" w:top="904" w:right="239" w:bottom="1440" w:gutter="0" w:footer="0" w:header="0"/>
        </w:sectPr>
      </w:pPr>
    </w:p>
    <w:bookmarkStart w:id="42" w:name="page43"/>
    <w:bookmarkEnd w:id="42"/>
    <w:p>
      <w:pPr>
        <w:ind w:right="580"/>
        <w:spacing w:after="0" w:line="277" w:lineRule="auto"/>
        <w:rPr>
          <w:sz w:val="20"/>
          <w:szCs w:val="20"/>
          <w:color w:val="auto"/>
        </w:rPr>
      </w:pPr>
      <w:r>
        <w:rPr>
          <w:rFonts w:ascii="Arial" w:cs="Arial" w:eastAsia="Arial" w:hAnsi="Arial"/>
          <w:sz w:val="18"/>
          <w:szCs w:val="18"/>
          <w:color w:val="auto"/>
        </w:rPr>
        <w:t>outstanding shares of Common Stock of the Company that such Grandfathered Person Beneficially Owns immediately following such sale, transfer or disposition.</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Rights Agreement includes a procedure whereby the Board of Directors will consider requests to exempt certain proposed acquisitions of Common Stock from the applicable ownership trigger if the Board of Directors determines that the requested acquisition will not jeopardize or endanger the availability of the Tax Benefits to the Company.</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An Acquiring Person will not include the Company; any of its subsidiaries; any employee benefit or compensation plan of the Company or any of its subsidiaries; any person organized, appointed or established by the Company or any of its subsidiaries for or pursuant to the terms of any such employee benefit or compensation plan; or any Exempt Person (as defined below).</w:t>
      </w:r>
    </w:p>
    <w:p>
      <w:pPr>
        <w:spacing w:after="0" w:line="181"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Person</w:t>
      </w:r>
      <w:r>
        <w:rPr>
          <w:rFonts w:ascii="Arial" w:cs="Arial" w:eastAsia="Arial" w:hAnsi="Arial"/>
          <w:sz w:val="16"/>
          <w:szCs w:val="16"/>
          <w:color w:val="auto"/>
        </w:rPr>
        <w:t xml:space="preserve">” means (i) the Company or any Subsidiary of the Company, in each case including the officers and members of the board of directors thereof acting in their fiduciary capacities; (ii) 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 (iii) any Person deemed to be an “Exempt Person” in accordance with Section 28 of the Rights Agreement; (iv) a Person who is a transferee from the estate of an Exempt Person and who receives shares of Common Stock as a bequest or inheritance from such Exempt Person, but only so long as such transferee continues to be the Beneficial Owner of 4.99% or more of the then outstanding shares of Common Stock, and (v) any other Person whose Beneficial Ownership of 4.99% or more of the then-outstanding Common Stock (or, in the case of an Existing Holder, shares of Common Stock in excess of the Exempt Ownership Percentage) will not, as determined by the Board of Directors in its sole discretion, jeopardize or endanger the availability to the Company of the Tax Benefits;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any Person deemed to be an “Exempt Person” pursuant to this subclause (v) will cease to be an “Exempt Person” if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makes a contrary determination with respect to the effect of such Person’s Beneficial Ownership upon the availability to the Company of its Tax Benefits.</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Notwithstanding the foregoing, no person will become an Acquiring Person as a result of an acquisition of Common Stock by the Company or any of its subsidiaries which, by reducing the number of shares of Common Stock of the Company outstanding, increases the proportionate number of shares of Common Stock of the Company beneficially owned by such person to 4.99% (or in the case of a Grandfathered Person, has exceeded and is exceeding such Grandfathered Person’s Grandfathered Percentage by 0.5% or more) or more of the shares of Common Stock of the Company then outstanding unless such person thereafter becomes the beneficial owner of any additional shares of Common Stock of the Company, in which case such person will be deemed to be an Acquiring Person. An Acquiring Person will not include any person that the Board of Directors of the Company, in good faith, determines has inadvertently become an Acquiring Person.</w:t>
      </w:r>
    </w:p>
    <w:p>
      <w:pPr>
        <w:spacing w:after="0" w:line="18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Prior to the Distribution Date, the Rights will not be exercisable. After the Distribution Date, but prior to the time a person becomes an Acquiring Person, each Right will be exercisable to purchase, for $10.00 (the “</w:t>
      </w:r>
      <w:r>
        <w:rPr>
          <w:rFonts w:ascii="Arial" w:cs="Arial" w:eastAsia="Arial" w:hAnsi="Arial"/>
          <w:sz w:val="18"/>
          <w:szCs w:val="18"/>
          <w:u w:val="single" w:color="auto"/>
          <w:color w:val="auto"/>
        </w:rPr>
        <w:t>Purchase Price</w:t>
      </w:r>
      <w:r>
        <w:rPr>
          <w:rFonts w:ascii="Arial" w:cs="Arial" w:eastAsia="Arial" w:hAnsi="Arial"/>
          <w:sz w:val="18"/>
          <w:szCs w:val="18"/>
          <w:color w:val="auto"/>
        </w:rPr>
        <w:t>”), one-half of one share of Common Stock.</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If any person becomes an Acquiring Person, each Right (other than Rights beneficially owned by the Acquiring Person and certain affiliated persons) will entitle the holder to purchase, for the Purchase Price, a number of shares of Common Stock having a market value of two times the Purchase Price.</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after any person has become an Acquiring Person, (1) the Company is involved in a merger, consolidation or other business combination in which the Company is not the surviving corporation or its Common Stock is exchanged for other securities or (2) the Company and/or one or more of its subsidiaries sells or otherwise transfers assets or earning power aggregating more than 50% of the assets or earning power of the Company and its subsidiaries, taken as a whole, then each Right (other than Rights beneficially owned by the Acquiring Person and certain affiliated persons) will entitle the holder to purchase, for the Purchase Price, a number of shares of common stock of the other party to such business combination or sale (or in certain circumstances, an affiliate) having a market value of two times the Purchase Price.</w:t>
      </w:r>
    </w:p>
    <w:p>
      <w:pPr>
        <w:spacing w:after="0" w:line="19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At any time after any person has become an Acquiring Person, but before any person becomes the beneficial owner of 50% or more of the outstanding shares of Common Stock, the Board of Directors of the Company may exchange all or part of the Rights (other than the Rights beneficially owned by the Acquiring Person and certain affiliated persons) for shares of Common Stock at an exchange ratio of one-half of one share of Common Stock per Right.</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Board of Directors may, at its option and at any time prior to the close of business on the earlier of the (1) Stock Acquisition Date and (2) the Final Expiration Date (as defined below), redeem all, but not less than all, of the then outstanding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09" w:right="239" w:bottom="1440" w:gutter="0" w:footer="0" w:header="0"/>
        </w:sectPr>
      </w:pPr>
    </w:p>
    <w:bookmarkStart w:id="43" w:name="page44"/>
    <w:bookmarkEnd w:id="43"/>
    <w:p>
      <w:pPr>
        <w:spacing w:after="0" w:line="279" w:lineRule="auto"/>
        <w:rPr>
          <w:sz w:val="20"/>
          <w:szCs w:val="20"/>
          <w:color w:val="auto"/>
        </w:rPr>
      </w:pPr>
      <w:r>
        <w:rPr>
          <w:rFonts w:ascii="Arial" w:cs="Arial" w:eastAsia="Arial" w:hAnsi="Arial"/>
          <w:sz w:val="17"/>
          <w:szCs w:val="17"/>
          <w:color w:val="auto"/>
        </w:rPr>
        <w:t>Rights at a redemption price of $0.001 per Right, which price will be adjusted to reflect any stock split, stock dividend or similar transaction occurring after July 20, 2016. Any such redemption of the Rights by the Board of Directors may be made effective at such time, on such basis and with such conditions as the Board of Directors in its sole discretion may establish. The Company may, at its option, pay the redemption price in cash, shares of Common Stock or any other form of consideration that the Board of Directors deems appropriate, or any combination thereof.</w:t>
      </w:r>
    </w:p>
    <w:p>
      <w:pPr>
        <w:spacing w:after="0" w:line="17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Rights will expire on the close of business on July 19, 2019 (the “</w:t>
      </w:r>
      <w:r>
        <w:rPr>
          <w:rFonts w:ascii="Arial" w:cs="Arial" w:eastAsia="Arial" w:hAnsi="Arial"/>
          <w:sz w:val="18"/>
          <w:szCs w:val="18"/>
          <w:u w:val="single" w:color="auto"/>
          <w:color w:val="auto"/>
        </w:rPr>
        <w:t>Final Expiration Date</w:t>
      </w:r>
      <w:r>
        <w:rPr>
          <w:rFonts w:ascii="Arial" w:cs="Arial" w:eastAsia="Arial" w:hAnsi="Arial"/>
          <w:sz w:val="18"/>
          <w:szCs w:val="18"/>
          <w:color w:val="auto"/>
        </w:rPr>
        <w:t>”), unless the Rights Agreement is earlier terminated or such date is extended or the Rights are earlier exchanged or redeemed as described above.</w:t>
      </w:r>
    </w:p>
    <w:p>
      <w:pPr>
        <w:spacing w:after="0" w:line="170"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Prior to the time that any person becomes an Acquiring Person, the Rights Agreement may be amended in any respect. From and after the time that any person becomes an Acquiring Person, the Rights Agreement may only be amended in order to cure any ambiguity, to correct any defect or inconsistency or to make changes that do not adversely affect the interests of holders of Rights (other than an Acquiring Person and its affiliated and associated persons).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Rights holders have no rights as stockholders of the Company, including the right to vote and to receive dividends.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 committee of independent directors of the Company will review and evaluate the Rights Agreement at least annually in order to consider whether the maintenance of the Rights Agreement continues to be in the best interests of the Company and its stockholders. Following each such review, the committee will communicate its conclusions to the full Board of Directors, including any recommendation in light thereof as to whether the Rights Agreement should be modified or the Rights should be redeemed.</w:t>
      </w:r>
    </w:p>
    <w:p>
      <w:pPr>
        <w:spacing w:after="0" w:line="187"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Although the distribution of the Rights will not be taxable to stockholders or to the Company, stockholders may, depending upon the circumstances, recognize taxable income if the Rights become exercisable as set forth above. If the Rights become exercisable, holders of Common Stock should consult their own tax advisors concerning the specific tax consequences to them of acquiring, holding, exercising or disposing of the Rights.</w:t>
      </w:r>
    </w:p>
    <w:p>
      <w:pPr>
        <w:spacing w:after="0" w:line="147" w:lineRule="exact"/>
        <w:rPr>
          <w:sz w:val="20"/>
          <w:szCs w:val="20"/>
          <w:color w:val="auto"/>
        </w:rPr>
      </w:pPr>
    </w:p>
    <w:p>
      <w:pPr>
        <w:jc w:val="both"/>
        <w:ind w:right="60" w:firstLine="648"/>
        <w:spacing w:after="0" w:line="221" w:lineRule="exact"/>
        <w:rPr>
          <w:sz w:val="20"/>
          <w:szCs w:val="20"/>
          <w:color w:val="auto"/>
        </w:rPr>
      </w:pPr>
      <w:r>
        <w:rPr>
          <w:rFonts w:ascii="Arial" w:cs="Arial" w:eastAsia="Arial" w:hAnsi="Arial"/>
          <w:sz w:val="18"/>
          <w:szCs w:val="18"/>
          <w:color w:val="auto"/>
        </w:rPr>
        <w:t>A copy of the Rights Agreement has been filed with the Securities and Exchange Commission as an Exhibit to a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and a Registration Statement on Form 8</w:t>
      </w:r>
      <w:r>
        <w:rPr>
          <w:rFonts w:ascii="MS PGothic" w:cs="MS PGothic" w:eastAsia="MS PGothic" w:hAnsi="MS PGothic"/>
          <w:sz w:val="18"/>
          <w:szCs w:val="18"/>
          <w:color w:val="auto"/>
        </w:rPr>
        <w:t>‑</w:t>
      </w:r>
      <w:r>
        <w:rPr>
          <w:rFonts w:ascii="Arial" w:cs="Arial" w:eastAsia="Arial" w:hAnsi="Arial"/>
          <w:sz w:val="18"/>
          <w:szCs w:val="18"/>
          <w:color w:val="auto"/>
        </w:rPr>
        <w:t>A. A copy of the Rights Agreement is available free of charge from the Company. This summary description of the Rights does not purport to be complete and is qualified in its entirety by reference to the Rights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380"/>
      </w:cols>
      <w:pgMar w:left="240" w:top="90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1)"/>
      <w:numFmt w:val="lowerLetter"/>
      <w:start w:val="6"/>
    </w:lvl>
  </w:abstractNum>
  <w:abstractNum w:abstractNumId="4">
    <w:nsid w:val="8EDBDAB"/>
    <w:multiLevelType w:val="hybridMultilevel"/>
    <w:lvl w:ilvl="0">
      <w:lvlJc w:val="left"/>
      <w:lvlText w:val="%1"/>
      <w:numFmt w:val="lowerLetter"/>
      <w:start w:val="1"/>
    </w:lvl>
    <w:lvl w:ilvl="1">
      <w:lvlJc w:val="left"/>
      <w:lvlText w:val="(%2)"/>
      <w:numFmt w:val="lowerLetter"/>
      <w:start w:val="1"/>
    </w:lvl>
  </w:abstractNum>
  <w:abstractNum w:abstractNumId="5">
    <w:nsid w:val="79838CB2"/>
    <w:multiLevelType w:val="hybridMultilevel"/>
    <w:lvl w:ilvl="0">
      <w:lvlJc w:val="left"/>
      <w:lvlText w:val="(%1)"/>
      <w:numFmt w:val="lowerLetter"/>
      <w:start w:val="9"/>
    </w:lvl>
    <w:lvl w:ilvl="1">
      <w:lvlJc w:val="left"/>
      <w:lvlText w:val="%2"/>
      <w:numFmt w:val="lowerLetter"/>
      <w:start w:val="1"/>
    </w:lvl>
  </w:abstractNum>
  <w:abstractNum w:abstractNumId="6">
    <w:nsid w:val="4353D0CD"/>
    <w:multiLevelType w:val="hybridMultilevel"/>
    <w:lvl w:ilvl="0">
      <w:lvlJc w:val="left"/>
      <w:lvlText w:val="(%1)"/>
      <w:numFmt w:val="lowerLetter"/>
      <w:start w:val="25"/>
    </w:lvl>
    <w:lvl w:ilvl="1">
      <w:lvlJc w:val="left"/>
      <w:lvlText w:val="%2"/>
      <w:numFmt w:val="lowerLetter"/>
      <w:start w:val="1"/>
    </w:lvl>
  </w:abstractNum>
  <w:abstractNum w:abstractNumId="7">
    <w:nsid w:val="B03E0C6"/>
    <w:multiLevelType w:val="hybridMultilevel"/>
    <w:lvl w:ilvl="0">
      <w:lvlJc w:val="left"/>
      <w:lvlText w:val="(%1)"/>
      <w:numFmt w:val="lowerLetter"/>
      <w:start w:val="35"/>
    </w:lvl>
    <w:lvl w:ilvl="1">
      <w:lvlJc w:val="left"/>
      <w:lvlText w:val="(%2)"/>
      <w:numFmt w:val="lowerLetter"/>
      <w:start w:val="4"/>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Letter"/>
      <w:start w:val="1"/>
    </w:lvl>
  </w:abstractNum>
  <w:abstractNum w:abstractNumId="11">
    <w:nsid w:val="2CA8861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2">
    <w:nsid w:val="836C40E"/>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13">
    <w:nsid w:val="2901D82"/>
    <w:multiLevelType w:val="hybridMultilevel"/>
    <w:lvl w:ilvl="0">
      <w:lvlJc w:val="left"/>
      <w:lvlText w:val="(%1)"/>
      <w:numFmt w:val="lowerLetter"/>
      <w:start w:val="5"/>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4"/>
    </w:lvl>
  </w:abstractNum>
  <w:abstractNum w:abstractNumId="16">
    <w:nsid w:val="1E7FF521"/>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7">
    <w:nsid w:val="7C3DBD3D"/>
    <w:multiLevelType w:val="hybridMultilevel"/>
    <w:lvl w:ilvl="0">
      <w:lvlJc w:val="left"/>
      <w:lvlText w:val="%1"/>
      <w:numFmt w:val="lowerLetter"/>
      <w:start w:val="1"/>
    </w:lvl>
    <w:lvl w:ilvl="1">
      <w:lvlJc w:val="left"/>
      <w:lvlText w:val="(%2)"/>
      <w:numFmt w:val="lowerLetter"/>
      <w:start w:val="61"/>
    </w:lvl>
  </w:abstractNum>
  <w:abstractNum w:abstractNumId="18">
    <w:nsid w:val="737B8DDC"/>
    <w:multiLevelType w:val="hybridMultilevel"/>
    <w:lvl w:ilvl="0">
      <w:lvlJc w:val="left"/>
      <w:lvlText w:val="(%1)"/>
      <w:numFmt w:val="lowerLetter"/>
      <w:start w:val="2"/>
    </w:lvl>
    <w:lvl w:ilvl="1">
      <w:lvlJc w:val="left"/>
      <w:lvlText w:val="%2"/>
      <w:numFmt w:val="lowerLetter"/>
      <w:start w:val="1"/>
    </w:lvl>
  </w:abstractNum>
  <w:abstractNum w:abstractNumId="19">
    <w:nsid w:val="6CEAF087"/>
    <w:multiLevelType w:val="hybridMultilevel"/>
    <w:lvl w:ilvl="0">
      <w:lvlJc w:val="left"/>
      <w:lvlText w:val="(%1)"/>
      <w:numFmt w:val="lowerLetter"/>
      <w:start w:val="3"/>
    </w:lvl>
    <w:lvl w:ilvl="1">
      <w:lvlJc w:val="left"/>
      <w:lvlText w:val="(%2)"/>
      <w:numFmt w:val="lowerLetter"/>
      <w:start w:val="35"/>
    </w:lvl>
  </w:abstractNum>
  <w:abstractNum w:abstractNumId="20">
    <w:nsid w:val="22221A70"/>
    <w:multiLevelType w:val="hybridMultilevel"/>
    <w:lvl w:ilvl="0">
      <w:lvlJc w:val="left"/>
      <w:lvlText w:val="(%1)"/>
      <w:numFmt w:val="lowerLetter"/>
      <w:start w:val="6"/>
    </w:lvl>
  </w:abstractNum>
  <w:abstractNum w:abstractNumId="21">
    <w:nsid w:val="4516DDE9"/>
    <w:multiLevelType w:val="hybridMultilevel"/>
    <w:lvl w:ilvl="0">
      <w:lvlJc w:val="left"/>
      <w:lvlText w:val="(%1)"/>
      <w:numFmt w:val="lowerLetter"/>
      <w:start w:val="13"/>
    </w:lvl>
  </w:abstractNum>
  <w:abstractNum w:abstractNumId="22">
    <w:nsid w:val="3006C83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3">
    <w:nsid w:val="614FD4A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24">
    <w:nsid w:val="419AC24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lvl w:ilvl="3">
      <w:lvlJc w:val="left"/>
      <w:lvlText w:val="%4"/>
      <w:numFmt w:val="upperLetter"/>
      <w:start w:val="1"/>
    </w:lvl>
  </w:abstractNum>
  <w:abstractNum w:abstractNumId="25">
    <w:nsid w:val="5577F8E1"/>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26">
    <w:nsid w:val="440BADFC"/>
    <w:multiLevelType w:val="hybridMultilevel"/>
    <w:lvl w:ilvl="0">
      <w:lvlJc w:val="left"/>
      <w:lvlText w:val="(%1)"/>
      <w:numFmt w:val="lowerLetter"/>
      <w:start w:val="3"/>
    </w:lvl>
    <w:lvl w:ilvl="1">
      <w:lvlJc w:val="left"/>
      <w:lvlText w:val="(%2)"/>
      <w:numFmt w:val="lowerRoman"/>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Letter"/>
      <w:start w:val="3"/>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1"/>
    </w:lvl>
    <w:lvl w:ilvl="1">
      <w:lvlJc w:val="left"/>
      <w:lvlText w:val="(%2)"/>
      <w:numFmt w:val="lowerLetter"/>
      <w:start w:val="11"/>
    </w:lvl>
  </w:abstractNum>
  <w:abstractNum w:abstractNumId="34">
    <w:nsid w:val="51EAD36B"/>
    <w:multiLevelType w:val="hybridMultilevel"/>
    <w:lvl w:ilvl="0">
      <w:lvlJc w:val="left"/>
      <w:lvlText w:val="(%1)"/>
      <w:numFmt w:val="lowerLetter"/>
      <w:start w:val="9"/>
    </w:lvl>
    <w:lvl w:ilvl="1">
      <w:lvlJc w:val="left"/>
      <w:lvlText w:val="%2"/>
      <w:numFmt w:val="lowerLetter"/>
      <w:start w:val="1"/>
    </w:lvl>
  </w:abstractNum>
  <w:abstractNum w:abstractNumId="35">
    <w:nsid w:val="2D517796"/>
    <w:multiLevelType w:val="hybridMultilevel"/>
    <w:lvl w:ilvl="0">
      <w:lvlJc w:val="left"/>
      <w:lvlText w:val="%1"/>
      <w:numFmt w:val="lowerLetter"/>
      <w:start w:val="1"/>
    </w:lvl>
    <w:lvl w:ilvl="1">
      <w:lvlJc w:val="left"/>
      <w:lvlText w:val="(%2)"/>
      <w:numFmt w:val="lowerLetter"/>
      <w:start w:val="1"/>
    </w:lvl>
  </w:abstractNum>
  <w:abstractNum w:abstractNumId="36">
    <w:nsid w:val="580BD78F"/>
    <w:multiLevelType w:val="hybridMultilevel"/>
    <w:lvl w:ilvl="0">
      <w:lvlJc w:val="left"/>
      <w:lvlText w:val="(%1)"/>
      <w:numFmt w:val="lowerLetter"/>
      <w:start w:val="35"/>
    </w:lvl>
    <w:lvl w:ilvl="1">
      <w:lvlJc w:val="left"/>
      <w:lvlText w:val="%2"/>
      <w:numFmt w:val="lowerLetter"/>
      <w:start w:val="1"/>
    </w:lvl>
  </w:abstractNum>
  <w:abstractNum w:abstractNumId="37">
    <w:nsid w:val="153EA438"/>
    <w:multiLevelType w:val="hybridMultilevel"/>
    <w:lvl w:ilvl="0">
      <w:lvlJc w:val="left"/>
      <w:lvlText w:val="(%1)"/>
      <w:numFmt w:val="lowerLetter"/>
      <w:start w:val="2"/>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lowerLetter"/>
      <w:start w:val="5"/>
    </w:lvl>
  </w:abstractNum>
  <w:abstractNum w:abstractNumId="40">
    <w:nsid w:val="6A2342EC"/>
    <w:multiLevelType w:val="hybridMultilevel"/>
    <w:lvl w:ilvl="0">
      <w:lvlJc w:val="left"/>
      <w:lvlText w:val="(%1)"/>
      <w:numFmt w:val="lowerLetter"/>
      <w:start w:val="1"/>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2019-12-05T16:08:55Z</dcterms:created>
  <dcterms:modified xsi:type="dcterms:W3CDTF">2019-12-05T16:08:55Z</dcterms:modified>
</cp:coreProperties>
</file>