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40"/>
        </w:trPr>
        <w:tc>
          <w:tcPr>
            <w:tcW w:w="33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4900" w:type="dxa"/>
            <w:vAlign w:val="bottom"/>
            <w:tcBorders>
              <w:top w:val="single" w:sz="8" w:color="auto"/>
              <w:bottom w:val="single" w:sz="8" w:color="auto"/>
            </w:tcBorders>
          </w:tcPr>
          <w:p>
            <w:pPr>
              <w:spacing w:after="0"/>
              <w:rPr>
                <w:sz w:val="3"/>
                <w:szCs w:val="3"/>
                <w:color w:val="auto"/>
              </w:rPr>
            </w:pPr>
          </w:p>
        </w:tc>
      </w:tr>
      <w:tr>
        <w:trPr>
          <w:trHeight w:val="164"/>
        </w:trPr>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540" w:type="dxa"/>
            <w:vAlign w:val="bottom"/>
            <w:gridSpan w:val="4"/>
          </w:tcPr>
          <w:p>
            <w:pPr>
              <w:jc w:val="center"/>
              <w:ind w:right="4821"/>
              <w:spacing w:after="0" w:line="164" w:lineRule="exact"/>
              <w:rPr>
                <w:sz w:val="20"/>
                <w:szCs w:val="20"/>
                <w:color w:val="auto"/>
              </w:rPr>
            </w:pPr>
            <w:r>
              <w:rPr>
                <w:rFonts w:ascii="Arial" w:cs="Arial" w:eastAsia="Arial" w:hAnsi="Arial"/>
                <w:sz w:val="19"/>
                <w:szCs w:val="19"/>
                <w:b w:val="1"/>
                <w:bCs w:val="1"/>
                <w:color w:val="auto"/>
                <w:w w:val="98"/>
              </w:rPr>
              <w:t>UNITED STATES</w:t>
            </w:r>
          </w:p>
        </w:tc>
      </w:tr>
      <w:tr>
        <w:trPr>
          <w:trHeight w:val="222"/>
        </w:trPr>
        <w:tc>
          <w:tcPr>
            <w:tcW w:w="3300" w:type="dxa"/>
            <w:vAlign w:val="bottom"/>
          </w:tcPr>
          <w:p>
            <w:pPr>
              <w:spacing w:after="0"/>
              <w:rPr>
                <w:sz w:val="19"/>
                <w:szCs w:val="19"/>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9"/>
                <w:szCs w:val="19"/>
                <w:b w:val="1"/>
                <w:bCs w:val="1"/>
                <w:color w:val="auto"/>
              </w:rPr>
              <w:t>SECURITIES AND EXCHANGE COMMISSION</w:t>
            </w:r>
          </w:p>
        </w:tc>
      </w:tr>
      <w:tr>
        <w:trPr>
          <w:trHeight w:val="205"/>
        </w:trPr>
        <w:tc>
          <w:tcPr>
            <w:tcW w:w="33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540" w:type="dxa"/>
            <w:vAlign w:val="bottom"/>
            <w:gridSpan w:val="4"/>
          </w:tcPr>
          <w:p>
            <w:pPr>
              <w:jc w:val="center"/>
              <w:ind w:right="4821"/>
              <w:spacing w:after="0"/>
              <w:rPr>
                <w:sz w:val="20"/>
                <w:szCs w:val="20"/>
                <w:color w:val="auto"/>
              </w:rPr>
            </w:pPr>
            <w:r>
              <w:rPr>
                <w:rFonts w:ascii="Arial" w:cs="Arial" w:eastAsia="Arial" w:hAnsi="Arial"/>
                <w:sz w:val="16"/>
                <w:szCs w:val="16"/>
                <w:b w:val="1"/>
                <w:bCs w:val="1"/>
                <w:color w:val="auto"/>
                <w:w w:val="90"/>
              </w:rPr>
              <w:t>Washington, D.C. 20549</w:t>
            </w:r>
          </w:p>
        </w:tc>
      </w:tr>
      <w:tr>
        <w:trPr>
          <w:trHeight w:val="380"/>
        </w:trPr>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180" w:type="dxa"/>
            <w:vAlign w:val="bottom"/>
            <w:gridSpan w:val="3"/>
          </w:tcPr>
          <w:p>
            <w:pPr>
              <w:jc w:val="center"/>
              <w:ind w:right="5201"/>
              <w:spacing w:after="0"/>
              <w:rPr>
                <w:sz w:val="20"/>
                <w:szCs w:val="20"/>
                <w:color w:val="auto"/>
              </w:rPr>
            </w:pPr>
            <w:r>
              <w:rPr>
                <w:rFonts w:ascii="Arial" w:cs="Arial" w:eastAsia="Arial" w:hAnsi="Arial"/>
                <w:sz w:val="19"/>
                <w:szCs w:val="19"/>
                <w:b w:val="1"/>
                <w:bCs w:val="1"/>
                <w:color w:val="auto"/>
                <w:w w:val="99"/>
              </w:rPr>
              <w:t>FORM S-8</w:t>
            </w:r>
          </w:p>
        </w:tc>
      </w:tr>
      <w:tr>
        <w:trPr>
          <w:trHeight w:val="226"/>
        </w:trPr>
        <w:tc>
          <w:tcPr>
            <w:tcW w:w="3300" w:type="dxa"/>
            <w:vAlign w:val="bottom"/>
          </w:tcPr>
          <w:p>
            <w:pPr>
              <w:spacing w:after="0"/>
              <w:rPr>
                <w:sz w:val="19"/>
                <w:szCs w:val="19"/>
                <w:color w:val="auto"/>
              </w:rPr>
            </w:pPr>
          </w:p>
        </w:tc>
        <w:tc>
          <w:tcPr>
            <w:tcW w:w="8140" w:type="dxa"/>
            <w:vAlign w:val="bottom"/>
            <w:gridSpan w:val="5"/>
          </w:tcPr>
          <w:p>
            <w:pPr>
              <w:jc w:val="center"/>
              <w:ind w:right="3221"/>
              <w:spacing w:after="0"/>
              <w:rPr>
                <w:sz w:val="20"/>
                <w:szCs w:val="20"/>
                <w:color w:val="auto"/>
              </w:rPr>
            </w:pPr>
            <w:r>
              <w:rPr>
                <w:rFonts w:ascii="Arial" w:cs="Arial" w:eastAsia="Arial" w:hAnsi="Arial"/>
                <w:sz w:val="19"/>
                <w:szCs w:val="19"/>
                <w:b w:val="1"/>
                <w:bCs w:val="1"/>
                <w:color w:val="auto"/>
              </w:rPr>
              <w:t>REGISTRATION STATEMENT</w:t>
            </w:r>
          </w:p>
        </w:tc>
      </w:tr>
      <w:tr>
        <w:trPr>
          <w:trHeight w:val="190"/>
        </w:trPr>
        <w:tc>
          <w:tcPr>
            <w:tcW w:w="3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180" w:type="dxa"/>
            <w:vAlign w:val="bottom"/>
            <w:gridSpan w:val="3"/>
          </w:tcPr>
          <w:p>
            <w:pPr>
              <w:jc w:val="center"/>
              <w:ind w:right="5201"/>
              <w:spacing w:after="0"/>
              <w:rPr>
                <w:sz w:val="20"/>
                <w:szCs w:val="20"/>
                <w:color w:val="auto"/>
              </w:rPr>
            </w:pPr>
            <w:r>
              <w:rPr>
                <w:rFonts w:ascii="Arial" w:cs="Arial" w:eastAsia="Arial" w:hAnsi="Arial"/>
                <w:sz w:val="16"/>
                <w:szCs w:val="16"/>
                <w:b w:val="1"/>
                <w:bCs w:val="1"/>
                <w:i w:val="1"/>
                <w:iCs w:val="1"/>
                <w:color w:val="auto"/>
                <w:w w:val="90"/>
              </w:rPr>
              <w:t>Under</w:t>
            </w:r>
          </w:p>
        </w:tc>
      </w:tr>
      <w:tr>
        <w:trPr>
          <w:trHeight w:val="178"/>
        </w:trPr>
        <w:tc>
          <w:tcPr>
            <w:tcW w:w="3300" w:type="dxa"/>
            <w:vAlign w:val="bottom"/>
          </w:tcPr>
          <w:p>
            <w:pPr>
              <w:spacing w:after="0"/>
              <w:rPr>
                <w:sz w:val="15"/>
                <w:szCs w:val="15"/>
                <w:color w:val="auto"/>
              </w:rPr>
            </w:pPr>
          </w:p>
        </w:tc>
        <w:tc>
          <w:tcPr>
            <w:tcW w:w="8140" w:type="dxa"/>
            <w:vAlign w:val="bottom"/>
            <w:gridSpan w:val="5"/>
          </w:tcPr>
          <w:p>
            <w:pPr>
              <w:jc w:val="center"/>
              <w:ind w:right="3221"/>
              <w:spacing w:after="0" w:line="178" w:lineRule="exact"/>
              <w:rPr>
                <w:sz w:val="20"/>
                <w:szCs w:val="20"/>
                <w:color w:val="auto"/>
              </w:rPr>
            </w:pPr>
            <w:r>
              <w:rPr>
                <w:rFonts w:ascii="Arial" w:cs="Arial" w:eastAsia="Arial" w:hAnsi="Arial"/>
                <w:sz w:val="16"/>
                <w:szCs w:val="16"/>
                <w:b w:val="1"/>
                <w:bCs w:val="1"/>
                <w:i w:val="1"/>
                <w:iCs w:val="1"/>
                <w:color w:val="auto"/>
                <w:w w:val="86"/>
              </w:rPr>
              <w:t>The Securities Act of 1933</w:t>
            </w:r>
          </w:p>
        </w:tc>
      </w:tr>
      <w:tr>
        <w:trPr>
          <w:trHeight w:val="222"/>
        </w:trPr>
        <w:tc>
          <w:tcPr>
            <w:tcW w:w="3300" w:type="dxa"/>
            <w:vAlign w:val="bottom"/>
          </w:tcPr>
          <w:p>
            <w:pPr>
              <w:spacing w:after="0"/>
              <w:rPr>
                <w:sz w:val="19"/>
                <w:szCs w:val="19"/>
                <w:color w:val="auto"/>
              </w:rPr>
            </w:pPr>
          </w:p>
        </w:tc>
        <w:tc>
          <w:tcPr>
            <w:tcW w:w="8140" w:type="dxa"/>
            <w:vAlign w:val="bottom"/>
            <w:gridSpan w:val="5"/>
          </w:tcPr>
          <w:p>
            <w:pPr>
              <w:jc w:val="center"/>
              <w:ind w:right="3221"/>
              <w:spacing w:after="0"/>
              <w:rPr>
                <w:sz w:val="20"/>
                <w:szCs w:val="20"/>
                <w:color w:val="auto"/>
              </w:rPr>
            </w:pPr>
            <w:r>
              <w:rPr>
                <w:rFonts w:ascii="Arial" w:cs="Arial" w:eastAsia="Arial" w:hAnsi="Arial"/>
                <w:sz w:val="19"/>
                <w:szCs w:val="19"/>
                <w:b w:val="1"/>
                <w:bCs w:val="1"/>
                <w:color w:val="auto"/>
              </w:rPr>
              <w:t>MICRON TECHNOLOGY, INC.</w:t>
            </w:r>
          </w:p>
        </w:tc>
      </w:tr>
      <w:tr>
        <w:trPr>
          <w:trHeight w:val="205"/>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88"/>
              </w:rPr>
              <w:t>(Exact name of registrant as specified in its charter)</w:t>
            </w:r>
          </w:p>
        </w:tc>
      </w:tr>
      <w:tr>
        <w:trPr>
          <w:trHeight w:val="365"/>
        </w:trPr>
        <w:tc>
          <w:tcPr>
            <w:tcW w:w="3300" w:type="dxa"/>
            <w:vAlign w:val="bottom"/>
          </w:tcPr>
          <w:p>
            <w:pPr>
              <w:jc w:val="center"/>
              <w:ind w:left="421"/>
              <w:spacing w:after="0"/>
              <w:rPr>
                <w:sz w:val="20"/>
                <w:szCs w:val="20"/>
                <w:color w:val="auto"/>
              </w:rPr>
            </w:pPr>
            <w:r>
              <w:rPr>
                <w:rFonts w:ascii="Arial" w:cs="Arial" w:eastAsia="Arial" w:hAnsi="Arial"/>
                <w:sz w:val="16"/>
                <w:szCs w:val="16"/>
                <w:b w:val="1"/>
                <w:bCs w:val="1"/>
                <w:color w:val="auto"/>
                <w:w w:val="91"/>
              </w:rPr>
              <w:t>Delaware</w:t>
            </w:r>
          </w:p>
        </w:tc>
        <w:tc>
          <w:tcPr>
            <w:tcW w:w="8140" w:type="dxa"/>
            <w:vAlign w:val="bottom"/>
            <w:gridSpan w:val="5"/>
          </w:tcPr>
          <w:p>
            <w:pPr>
              <w:jc w:val="center"/>
              <w:ind w:left="4215"/>
              <w:spacing w:after="0"/>
              <w:rPr>
                <w:sz w:val="20"/>
                <w:szCs w:val="20"/>
                <w:color w:val="auto"/>
              </w:rPr>
            </w:pPr>
            <w:r>
              <w:rPr>
                <w:rFonts w:ascii="Arial" w:cs="Arial" w:eastAsia="Arial" w:hAnsi="Arial"/>
                <w:sz w:val="16"/>
                <w:szCs w:val="16"/>
                <w:b w:val="1"/>
                <w:bCs w:val="1"/>
                <w:color w:val="auto"/>
                <w:w w:val="88"/>
              </w:rPr>
              <w:t>75-1618004</w:t>
            </w:r>
          </w:p>
        </w:tc>
      </w:tr>
      <w:tr>
        <w:trPr>
          <w:trHeight w:val="190"/>
        </w:trPr>
        <w:tc>
          <w:tcPr>
            <w:tcW w:w="3300" w:type="dxa"/>
            <w:vAlign w:val="bottom"/>
          </w:tcPr>
          <w:p>
            <w:pPr>
              <w:jc w:val="center"/>
              <w:ind w:left="441"/>
              <w:spacing w:after="0"/>
              <w:rPr>
                <w:sz w:val="20"/>
                <w:szCs w:val="20"/>
                <w:color w:val="auto"/>
              </w:rPr>
            </w:pPr>
            <w:r>
              <w:rPr>
                <w:rFonts w:ascii="Arial" w:cs="Arial" w:eastAsia="Arial" w:hAnsi="Arial"/>
                <w:sz w:val="16"/>
                <w:szCs w:val="16"/>
                <w:b w:val="1"/>
                <w:bCs w:val="1"/>
                <w:color w:val="auto"/>
                <w:w w:val="90"/>
              </w:rPr>
              <w:t>(State or other jurisdiction of</w:t>
            </w: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00" w:type="dxa"/>
            <w:vAlign w:val="bottom"/>
          </w:tcPr>
          <w:p>
            <w:pPr>
              <w:jc w:val="center"/>
              <w:ind w:left="1001"/>
              <w:spacing w:after="0"/>
              <w:rPr>
                <w:sz w:val="20"/>
                <w:szCs w:val="20"/>
                <w:color w:val="auto"/>
              </w:rPr>
            </w:pPr>
            <w:r>
              <w:rPr>
                <w:rFonts w:ascii="Arial" w:cs="Arial" w:eastAsia="Arial" w:hAnsi="Arial"/>
                <w:sz w:val="16"/>
                <w:szCs w:val="16"/>
                <w:b w:val="1"/>
                <w:bCs w:val="1"/>
                <w:color w:val="auto"/>
                <w:w w:val="92"/>
              </w:rPr>
              <w:t>(I.R.S. Employer</w:t>
            </w:r>
          </w:p>
        </w:tc>
      </w:tr>
      <w:tr>
        <w:trPr>
          <w:trHeight w:val="190"/>
        </w:trPr>
        <w:tc>
          <w:tcPr>
            <w:tcW w:w="3300" w:type="dxa"/>
            <w:vAlign w:val="bottom"/>
          </w:tcPr>
          <w:p>
            <w:pPr>
              <w:jc w:val="center"/>
              <w:ind w:left="421"/>
              <w:spacing w:after="0"/>
              <w:rPr>
                <w:sz w:val="20"/>
                <w:szCs w:val="20"/>
                <w:color w:val="auto"/>
              </w:rPr>
            </w:pPr>
            <w:r>
              <w:rPr>
                <w:rFonts w:ascii="Arial" w:cs="Arial" w:eastAsia="Arial" w:hAnsi="Arial"/>
                <w:sz w:val="16"/>
                <w:szCs w:val="16"/>
                <w:b w:val="1"/>
                <w:bCs w:val="1"/>
                <w:color w:val="auto"/>
                <w:w w:val="91"/>
              </w:rPr>
              <w:t>incorporation or organization)</w:t>
            </w:r>
          </w:p>
        </w:tc>
        <w:tc>
          <w:tcPr>
            <w:tcW w:w="1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900" w:type="dxa"/>
            <w:vAlign w:val="bottom"/>
          </w:tcPr>
          <w:p>
            <w:pPr>
              <w:jc w:val="center"/>
              <w:ind w:left="1001"/>
              <w:spacing w:after="0"/>
              <w:rPr>
                <w:sz w:val="20"/>
                <w:szCs w:val="20"/>
                <w:color w:val="auto"/>
              </w:rPr>
            </w:pPr>
            <w:r>
              <w:rPr>
                <w:rFonts w:ascii="Arial" w:cs="Arial" w:eastAsia="Arial" w:hAnsi="Arial"/>
                <w:sz w:val="16"/>
                <w:szCs w:val="16"/>
                <w:b w:val="1"/>
                <w:bCs w:val="1"/>
                <w:color w:val="auto"/>
                <w:w w:val="93"/>
              </w:rPr>
              <w:t>Identification Number)</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90"/>
              </w:rPr>
              <w:t>8000 South Federal Way</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88"/>
              </w:rPr>
              <w:t>P.O. Box 6, Boise Idaho 83707-0006</w:t>
            </w:r>
          </w:p>
        </w:tc>
      </w:tr>
      <w:tr>
        <w:trPr>
          <w:trHeight w:val="205"/>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87"/>
              </w:rPr>
              <w:t>(Address of principal executive offices)</w:t>
            </w:r>
          </w:p>
        </w:tc>
      </w:tr>
      <w:tr>
        <w:trPr>
          <w:trHeight w:val="404"/>
        </w:trPr>
        <w:tc>
          <w:tcPr>
            <w:tcW w:w="3300" w:type="dxa"/>
            <w:vAlign w:val="bottom"/>
          </w:tcPr>
          <w:p>
            <w:pPr>
              <w:spacing w:after="0"/>
              <w:rPr>
                <w:sz w:val="24"/>
                <w:szCs w:val="24"/>
                <w:color w:val="auto"/>
              </w:rPr>
            </w:pPr>
          </w:p>
        </w:tc>
        <w:tc>
          <w:tcPr>
            <w:tcW w:w="8140" w:type="dxa"/>
            <w:vAlign w:val="bottom"/>
            <w:gridSpan w:val="5"/>
          </w:tcPr>
          <w:p>
            <w:pPr>
              <w:jc w:val="center"/>
              <w:ind w:right="3221"/>
              <w:spacing w:after="0"/>
              <w:rPr>
                <w:sz w:val="20"/>
                <w:szCs w:val="20"/>
                <w:color w:val="auto"/>
              </w:rPr>
            </w:pPr>
            <w:r>
              <w:rPr>
                <w:rFonts w:ascii="Arial" w:cs="Arial" w:eastAsia="Arial" w:hAnsi="Arial"/>
                <w:sz w:val="19"/>
                <w:szCs w:val="19"/>
                <w:b w:val="1"/>
                <w:bCs w:val="1"/>
                <w:color w:val="auto"/>
                <w:w w:val="90"/>
              </w:rPr>
              <w:t>Micron Technology, Inc.</w:t>
            </w:r>
          </w:p>
        </w:tc>
      </w:tr>
      <w:tr>
        <w:trPr>
          <w:trHeight w:val="247"/>
        </w:trPr>
        <w:tc>
          <w:tcPr>
            <w:tcW w:w="3300" w:type="dxa"/>
            <w:vAlign w:val="bottom"/>
          </w:tcPr>
          <w:p>
            <w:pPr>
              <w:spacing w:after="0"/>
              <w:rPr>
                <w:sz w:val="21"/>
                <w:szCs w:val="21"/>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9"/>
                <w:szCs w:val="19"/>
                <w:b w:val="1"/>
                <w:bCs w:val="1"/>
                <w:color w:val="auto"/>
                <w:w w:val="90"/>
              </w:rPr>
              <w:t>Amended and Restated 2004 Equity Incentive Plan</w:t>
            </w:r>
          </w:p>
        </w:tc>
      </w:tr>
      <w:tr>
        <w:trPr>
          <w:trHeight w:val="394"/>
        </w:trPr>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40" w:type="dxa"/>
            <w:vAlign w:val="bottom"/>
            <w:gridSpan w:val="4"/>
          </w:tcPr>
          <w:p>
            <w:pPr>
              <w:jc w:val="center"/>
              <w:ind w:right="4821"/>
              <w:spacing w:after="0"/>
              <w:rPr>
                <w:sz w:val="20"/>
                <w:szCs w:val="20"/>
                <w:color w:val="auto"/>
              </w:rPr>
            </w:pPr>
            <w:r>
              <w:rPr>
                <w:rFonts w:ascii="Arial" w:cs="Arial" w:eastAsia="Arial" w:hAnsi="Arial"/>
                <w:sz w:val="16"/>
                <w:szCs w:val="16"/>
                <w:color w:val="auto"/>
                <w:w w:val="93"/>
              </w:rPr>
              <w:t>(Full title of the plan)</w:t>
            </w:r>
          </w:p>
        </w:tc>
      </w:tr>
      <w:tr>
        <w:trPr>
          <w:trHeight w:val="389"/>
        </w:trPr>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540" w:type="dxa"/>
            <w:vAlign w:val="bottom"/>
            <w:gridSpan w:val="4"/>
          </w:tcPr>
          <w:p>
            <w:pPr>
              <w:jc w:val="center"/>
              <w:ind w:right="4821"/>
              <w:spacing w:after="0"/>
              <w:rPr>
                <w:sz w:val="20"/>
                <w:szCs w:val="20"/>
                <w:color w:val="auto"/>
              </w:rPr>
            </w:pPr>
            <w:r>
              <w:rPr>
                <w:rFonts w:ascii="Arial" w:cs="Arial" w:eastAsia="Arial" w:hAnsi="Arial"/>
                <w:sz w:val="16"/>
                <w:szCs w:val="16"/>
                <w:b w:val="1"/>
                <w:bCs w:val="1"/>
                <w:color w:val="auto"/>
                <w:w w:val="95"/>
              </w:rPr>
              <w:t>D. Mark Durcan</w:t>
            </w:r>
          </w:p>
        </w:tc>
      </w:tr>
      <w:tr>
        <w:trPr>
          <w:trHeight w:val="190"/>
        </w:trPr>
        <w:tc>
          <w:tcPr>
            <w:tcW w:w="3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540" w:type="dxa"/>
            <w:vAlign w:val="bottom"/>
            <w:gridSpan w:val="4"/>
          </w:tcPr>
          <w:p>
            <w:pPr>
              <w:jc w:val="center"/>
              <w:ind w:right="4841"/>
              <w:spacing w:after="0"/>
              <w:rPr>
                <w:sz w:val="20"/>
                <w:szCs w:val="20"/>
                <w:color w:val="auto"/>
              </w:rPr>
            </w:pPr>
            <w:r>
              <w:rPr>
                <w:rFonts w:ascii="Arial" w:cs="Arial" w:eastAsia="Arial" w:hAnsi="Arial"/>
                <w:sz w:val="16"/>
                <w:szCs w:val="16"/>
                <w:b w:val="1"/>
                <w:bCs w:val="1"/>
                <w:color w:val="auto"/>
                <w:w w:val="90"/>
              </w:rPr>
              <w:t>Chief Executive Officer</w:t>
            </w:r>
          </w:p>
        </w:tc>
      </w:tr>
      <w:tr>
        <w:trPr>
          <w:trHeight w:val="190"/>
        </w:trPr>
        <w:tc>
          <w:tcPr>
            <w:tcW w:w="3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540" w:type="dxa"/>
            <w:vAlign w:val="bottom"/>
            <w:gridSpan w:val="4"/>
          </w:tcPr>
          <w:p>
            <w:pPr>
              <w:jc w:val="center"/>
              <w:ind w:right="4821"/>
              <w:spacing w:after="0"/>
              <w:rPr>
                <w:sz w:val="20"/>
                <w:szCs w:val="20"/>
                <w:color w:val="auto"/>
              </w:rPr>
            </w:pPr>
            <w:r>
              <w:rPr>
                <w:rFonts w:ascii="Arial" w:cs="Arial" w:eastAsia="Arial" w:hAnsi="Arial"/>
                <w:sz w:val="16"/>
                <w:szCs w:val="16"/>
                <w:b w:val="1"/>
                <w:bCs w:val="1"/>
                <w:color w:val="auto"/>
                <w:w w:val="89"/>
              </w:rPr>
              <w:t>Micron Technology, Inc.</w:t>
            </w:r>
          </w:p>
        </w:tc>
      </w:tr>
      <w:tr>
        <w:trPr>
          <w:trHeight w:val="190"/>
        </w:trPr>
        <w:tc>
          <w:tcPr>
            <w:tcW w:w="3300" w:type="dxa"/>
            <w:vAlign w:val="bottom"/>
          </w:tcPr>
          <w:p>
            <w:pPr>
              <w:spacing w:after="0"/>
              <w:rPr>
                <w:sz w:val="16"/>
                <w:szCs w:val="16"/>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b w:val="1"/>
                <w:bCs w:val="1"/>
                <w:color w:val="auto"/>
                <w:w w:val="90"/>
              </w:rPr>
              <w:t>8000 South Federal Way</w:t>
            </w:r>
          </w:p>
        </w:tc>
      </w:tr>
      <w:tr>
        <w:trPr>
          <w:trHeight w:val="171"/>
        </w:trPr>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40" w:type="dxa"/>
            <w:vAlign w:val="bottom"/>
            <w:tcBorders>
              <w:bottom w:val="single" w:sz="8" w:color="auto"/>
            </w:tcBorders>
            <w:gridSpan w:val="3"/>
          </w:tcPr>
          <w:p>
            <w:pPr>
              <w:jc w:val="center"/>
              <w:spacing w:after="0" w:line="171" w:lineRule="exact"/>
              <w:rPr>
                <w:sz w:val="20"/>
                <w:szCs w:val="20"/>
                <w:color w:val="auto"/>
              </w:rPr>
            </w:pPr>
            <w:r>
              <w:rPr>
                <w:rFonts w:ascii="Arial" w:cs="Arial" w:eastAsia="Arial" w:hAnsi="Arial"/>
                <w:sz w:val="16"/>
                <w:szCs w:val="16"/>
                <w:b w:val="1"/>
                <w:bCs w:val="1"/>
                <w:color w:val="auto"/>
                <w:w w:val="88"/>
              </w:rPr>
              <w:t>Boise, Idaho 83716-9632</w:t>
            </w:r>
          </w:p>
        </w:tc>
        <w:tc>
          <w:tcPr>
            <w:tcW w:w="4900" w:type="dxa"/>
            <w:vAlign w:val="bottom"/>
          </w:tcPr>
          <w:p>
            <w:pPr>
              <w:spacing w:after="0"/>
              <w:rPr>
                <w:sz w:val="14"/>
                <w:szCs w:val="14"/>
                <w:color w:val="auto"/>
              </w:rPr>
            </w:pPr>
          </w:p>
        </w:tc>
      </w:tr>
      <w:tr>
        <w:trPr>
          <w:trHeight w:val="204"/>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color w:val="auto"/>
                <w:w w:val="88"/>
              </w:rPr>
              <w:t>(Name and address of agent for service)</w:t>
            </w:r>
          </w:p>
        </w:tc>
      </w:tr>
      <w:tr>
        <w:trPr>
          <w:trHeight w:val="370"/>
        </w:trPr>
        <w:tc>
          <w:tcPr>
            <w:tcW w:w="3300" w:type="dxa"/>
            <w:vAlign w:val="bottom"/>
          </w:tcPr>
          <w:p>
            <w:pPr>
              <w:spacing w:after="0"/>
              <w:rPr>
                <w:sz w:val="24"/>
                <w:szCs w:val="24"/>
                <w:color w:val="auto"/>
              </w:rPr>
            </w:pPr>
          </w:p>
        </w:tc>
        <w:tc>
          <w:tcPr>
            <w:tcW w:w="1960" w:type="dxa"/>
            <w:vAlign w:val="bottom"/>
            <w:gridSpan w:val="2"/>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208-368-4000</w:t>
            </w:r>
          </w:p>
        </w:tc>
        <w:tc>
          <w:tcPr>
            <w:tcW w:w="38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04"/>
        </w:trPr>
        <w:tc>
          <w:tcPr>
            <w:tcW w:w="3300" w:type="dxa"/>
            <w:vAlign w:val="bottom"/>
          </w:tcPr>
          <w:p>
            <w:pPr>
              <w:spacing w:after="0"/>
              <w:rPr>
                <w:sz w:val="17"/>
                <w:szCs w:val="17"/>
                <w:color w:val="auto"/>
              </w:rPr>
            </w:pPr>
          </w:p>
        </w:tc>
        <w:tc>
          <w:tcPr>
            <w:tcW w:w="8140" w:type="dxa"/>
            <w:vAlign w:val="bottom"/>
            <w:gridSpan w:val="5"/>
          </w:tcPr>
          <w:p>
            <w:pPr>
              <w:jc w:val="center"/>
              <w:ind w:right="3241"/>
              <w:spacing w:after="0"/>
              <w:rPr>
                <w:sz w:val="20"/>
                <w:szCs w:val="20"/>
                <w:color w:val="auto"/>
              </w:rPr>
            </w:pPr>
            <w:r>
              <w:rPr>
                <w:rFonts w:ascii="Arial" w:cs="Arial" w:eastAsia="Arial" w:hAnsi="Arial"/>
                <w:sz w:val="16"/>
                <w:szCs w:val="16"/>
                <w:color w:val="auto"/>
                <w:w w:val="89"/>
              </w:rPr>
              <w:t>(Telephone number, including area code, of agent for service)</w:t>
            </w:r>
          </w:p>
        </w:tc>
      </w:tr>
    </w:tbl>
    <w:p>
      <w:pPr>
        <w:spacing w:after="0" w:line="19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146685</wp:posOffset>
            </wp:positionH>
            <wp:positionV relativeFrom="page">
              <wp:posOffset>109220</wp:posOffset>
            </wp:positionV>
            <wp:extent cx="726821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355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6"/>
          <w:szCs w:val="16"/>
          <w:b w:val="1"/>
          <w:bCs w:val="1"/>
          <w:color w:val="auto"/>
        </w:rPr>
        <w:t>CALCULATION OF REGISTRATION FEE</w:t>
      </w:r>
    </w:p>
    <w:p>
      <w:pPr>
        <w:spacing w:after="0" w:line="21"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18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center"/>
              <w:ind w:right="1"/>
              <w:spacing w:after="0" w:line="167" w:lineRule="exact"/>
              <w:rPr>
                <w:sz w:val="20"/>
                <w:szCs w:val="20"/>
                <w:color w:val="auto"/>
              </w:rPr>
            </w:pPr>
            <w:r>
              <w:rPr>
                <w:rFonts w:ascii="Arial" w:cs="Arial" w:eastAsia="Arial" w:hAnsi="Arial"/>
                <w:sz w:val="16"/>
                <w:szCs w:val="16"/>
                <w:b w:val="1"/>
                <w:bCs w:val="1"/>
                <w:color w:val="auto"/>
                <w:w w:val="88"/>
              </w:rPr>
              <w:t>Proposed maximum</w:t>
            </w:r>
          </w:p>
        </w:tc>
        <w:tc>
          <w:tcPr>
            <w:tcW w:w="1680" w:type="dxa"/>
            <w:vAlign w:val="bottom"/>
            <w:tcBorders>
              <w:top w:val="single" w:sz="8" w:color="auto"/>
            </w:tcBorders>
          </w:tcPr>
          <w:p>
            <w:pPr>
              <w:jc w:val="center"/>
              <w:spacing w:after="0" w:line="167" w:lineRule="exact"/>
              <w:rPr>
                <w:sz w:val="20"/>
                <w:szCs w:val="20"/>
                <w:color w:val="auto"/>
              </w:rPr>
            </w:pPr>
            <w:r>
              <w:rPr>
                <w:rFonts w:ascii="Arial" w:cs="Arial" w:eastAsia="Arial" w:hAnsi="Arial"/>
                <w:sz w:val="16"/>
                <w:szCs w:val="16"/>
                <w:b w:val="1"/>
                <w:bCs w:val="1"/>
                <w:color w:val="auto"/>
                <w:w w:val="88"/>
              </w:rPr>
              <w:t>Proposed maximum</w:t>
            </w:r>
          </w:p>
        </w:tc>
        <w:tc>
          <w:tcPr>
            <w:tcW w:w="1800" w:type="dxa"/>
            <w:vAlign w:val="bottom"/>
            <w:tcBorders>
              <w:top w:val="single" w:sz="8" w:color="auto"/>
            </w:tcBorders>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w:t>
            </w:r>
          </w:p>
        </w:tc>
        <w:tc>
          <w:tcPr>
            <w:tcW w:w="20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9"/>
              </w:rPr>
              <w:t>offering price per</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 offering</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Amount of registration</w:t>
            </w:r>
          </w:p>
        </w:tc>
      </w:tr>
      <w:tr>
        <w:trPr>
          <w:trHeight w:val="210"/>
        </w:trPr>
        <w:tc>
          <w:tcPr>
            <w:tcW w:w="20" w:type="dxa"/>
            <w:vAlign w:val="bottom"/>
          </w:tcPr>
          <w:p>
            <w:pPr>
              <w:spacing w:after="0"/>
              <w:rPr>
                <w:sz w:val="18"/>
                <w:szCs w:val="18"/>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securities to be registered</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Amount to be registered (1)</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 (2)</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price (2)</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r>
      <w:tr>
        <w:trPr>
          <w:trHeight w:val="177"/>
        </w:trPr>
        <w:tc>
          <w:tcPr>
            <w:tcW w:w="20" w:type="dxa"/>
            <w:vAlign w:val="bottom"/>
          </w:tcPr>
          <w:p>
            <w:pPr>
              <w:spacing w:after="0"/>
              <w:rPr>
                <w:sz w:val="15"/>
                <w:szCs w:val="15"/>
                <w:color w:val="auto"/>
              </w:rPr>
            </w:pPr>
          </w:p>
        </w:tc>
        <w:tc>
          <w:tcPr>
            <w:tcW w:w="4180" w:type="dxa"/>
            <w:vAlign w:val="bottom"/>
          </w:tcPr>
          <w:p>
            <w:pPr>
              <w:spacing w:after="0" w:line="178" w:lineRule="exact"/>
              <w:rPr>
                <w:sz w:val="20"/>
                <w:szCs w:val="20"/>
                <w:color w:val="auto"/>
              </w:rPr>
            </w:pPr>
            <w:r>
              <w:rPr>
                <w:rFonts w:ascii="Arial" w:cs="Arial" w:eastAsia="Arial" w:hAnsi="Arial"/>
                <w:sz w:val="16"/>
                <w:szCs w:val="16"/>
                <w:color w:val="auto"/>
                <w:w w:val="89"/>
              </w:rPr>
              <w:t>Common Stock $.10 par value per share, to be issued pursuant to</w:t>
            </w:r>
          </w:p>
        </w:tc>
        <w:tc>
          <w:tcPr>
            <w:tcW w:w="20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90"/>
        </w:trPr>
        <w:tc>
          <w:tcPr>
            <w:tcW w:w="4200" w:type="dxa"/>
            <w:vAlign w:val="bottom"/>
            <w:gridSpan w:val="2"/>
          </w:tcPr>
          <w:p>
            <w:pPr>
              <w:spacing w:after="0"/>
              <w:rPr>
                <w:sz w:val="20"/>
                <w:szCs w:val="20"/>
                <w:color w:val="auto"/>
              </w:rPr>
            </w:pPr>
            <w:r>
              <w:rPr>
                <w:rFonts w:ascii="Arial" w:cs="Arial" w:eastAsia="Arial" w:hAnsi="Arial"/>
                <w:sz w:val="16"/>
                <w:szCs w:val="16"/>
                <w:color w:val="auto"/>
                <w:w w:val="91"/>
              </w:rPr>
              <w:t>the Micron Technology, Inc. Amended and Restated 2004 Equity</w:t>
            </w:r>
          </w:p>
        </w:tc>
        <w:tc>
          <w:tcPr>
            <w:tcW w:w="20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01"/>
        </w:trPr>
        <w:tc>
          <w:tcPr>
            <w:tcW w:w="4200" w:type="dxa"/>
            <w:vAlign w:val="bottom"/>
            <w:gridSpan w:val="2"/>
          </w:tcPr>
          <w:p>
            <w:pPr>
              <w:spacing w:after="0"/>
              <w:rPr>
                <w:sz w:val="20"/>
                <w:szCs w:val="20"/>
                <w:color w:val="auto"/>
              </w:rPr>
            </w:pPr>
            <w:r>
              <w:rPr>
                <w:rFonts w:ascii="Arial" w:cs="Arial" w:eastAsia="Arial" w:hAnsi="Arial"/>
                <w:sz w:val="16"/>
                <w:szCs w:val="16"/>
                <w:color w:val="auto"/>
              </w:rPr>
              <w:t>Incentive Plan</w:t>
            </w:r>
          </w:p>
        </w:tc>
        <w:tc>
          <w:tcPr>
            <w:tcW w:w="2080" w:type="dxa"/>
            <w:vAlign w:val="bottom"/>
          </w:tcPr>
          <w:p>
            <w:pPr>
              <w:jc w:val="right"/>
              <w:ind w:right="641"/>
              <w:spacing w:after="0"/>
              <w:rPr>
                <w:sz w:val="20"/>
                <w:szCs w:val="20"/>
                <w:color w:val="auto"/>
              </w:rPr>
            </w:pPr>
            <w:r>
              <w:rPr>
                <w:rFonts w:ascii="Arial" w:cs="Arial" w:eastAsia="Arial" w:hAnsi="Arial"/>
                <w:sz w:val="16"/>
                <w:szCs w:val="16"/>
                <w:color w:val="auto"/>
              </w:rPr>
              <w:t>30,000,000</w:t>
            </w:r>
          </w:p>
        </w:tc>
        <w:tc>
          <w:tcPr>
            <w:tcW w:w="1680" w:type="dxa"/>
            <w:vAlign w:val="bottom"/>
          </w:tcPr>
          <w:p>
            <w:pPr>
              <w:jc w:val="center"/>
              <w:ind w:right="1"/>
              <w:spacing w:after="0"/>
              <w:rPr>
                <w:sz w:val="20"/>
                <w:szCs w:val="20"/>
                <w:color w:val="auto"/>
              </w:rPr>
            </w:pPr>
            <w:r>
              <w:rPr>
                <w:rFonts w:ascii="Arial" w:cs="Arial" w:eastAsia="Arial" w:hAnsi="Arial"/>
                <w:sz w:val="16"/>
                <w:szCs w:val="16"/>
                <w:color w:val="auto"/>
                <w:w w:val="89"/>
              </w:rPr>
              <w:t>$13.26</w:t>
            </w:r>
          </w:p>
        </w:tc>
        <w:tc>
          <w:tcPr>
            <w:tcW w:w="1680" w:type="dxa"/>
            <w:vAlign w:val="bottom"/>
          </w:tcPr>
          <w:p>
            <w:pPr>
              <w:jc w:val="right"/>
              <w:ind w:right="261"/>
              <w:spacing w:after="0"/>
              <w:rPr>
                <w:sz w:val="20"/>
                <w:szCs w:val="20"/>
                <w:color w:val="auto"/>
              </w:rPr>
            </w:pPr>
            <w:r>
              <w:rPr>
                <w:rFonts w:ascii="Arial" w:cs="Arial" w:eastAsia="Arial" w:hAnsi="Arial"/>
                <w:sz w:val="16"/>
                <w:szCs w:val="16"/>
                <w:color w:val="auto"/>
              </w:rPr>
              <w:t>$397,650,000</w:t>
            </w:r>
          </w:p>
        </w:tc>
        <w:tc>
          <w:tcPr>
            <w:tcW w:w="1800" w:type="dxa"/>
            <w:vAlign w:val="bottom"/>
          </w:tcPr>
          <w:p>
            <w:pPr>
              <w:jc w:val="center"/>
              <w:spacing w:after="0"/>
              <w:rPr>
                <w:sz w:val="20"/>
                <w:szCs w:val="20"/>
                <w:color w:val="auto"/>
              </w:rPr>
            </w:pPr>
            <w:r>
              <w:rPr>
                <w:rFonts w:ascii="Arial" w:cs="Arial" w:eastAsia="Arial" w:hAnsi="Arial"/>
                <w:sz w:val="16"/>
                <w:szCs w:val="16"/>
                <w:color w:val="auto"/>
                <w:w w:val="89"/>
              </w:rPr>
              <w:t>$54,239</w:t>
            </w:r>
          </w:p>
        </w:tc>
      </w:tr>
    </w:tbl>
    <w:p>
      <w:pPr>
        <w:spacing w:after="0" w:line="203" w:lineRule="exact"/>
        <w:rPr>
          <w:sz w:val="24"/>
          <w:szCs w:val="24"/>
          <w:color w:val="auto"/>
        </w:rPr>
      </w:pPr>
    </w:p>
    <w:p>
      <w:pPr>
        <w:jc w:val="both"/>
        <w:ind w:left="280" w:right="20" w:hanging="264"/>
        <w:spacing w:after="0" w:line="259" w:lineRule="auto"/>
        <w:tabs>
          <w:tab w:leader="none" w:pos="2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88" w:lineRule="exact"/>
        <w:rPr>
          <w:rFonts w:ascii="Arial" w:cs="Arial" w:eastAsia="Arial" w:hAnsi="Arial"/>
          <w:sz w:val="16"/>
          <w:szCs w:val="16"/>
          <w:color w:val="auto"/>
        </w:rPr>
      </w:pPr>
    </w:p>
    <w:p>
      <w:pPr>
        <w:ind w:left="280" w:hanging="264"/>
        <w:spacing w:after="0" w:line="304" w:lineRule="auto"/>
        <w:tabs>
          <w:tab w:leader="none" w:pos="2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in accordance with Rules 457(c) and 457(h) under the Securities Act, solely for the purpose of calculating the registration fee on the basis of $13.26 per share, which is the average of the high and low price of the Company’s Common Stock as reported on the Nasdaq Global Select Market on July 16,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68210"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713" w:right="2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REQUIRED IN THE SECTION 10(a) PROSPECTUS</w:t>
      </w:r>
    </w:p>
    <w:p>
      <w:pPr>
        <w:spacing w:after="0" w:line="224" w:lineRule="exact"/>
        <w:rPr>
          <w:sz w:val="20"/>
          <w:szCs w:val="20"/>
          <w:color w:val="auto"/>
        </w:rPr>
      </w:pPr>
    </w:p>
    <w:p>
      <w:pPr>
        <w:ind w:right="180" w:firstLine="570"/>
        <w:spacing w:after="0" w:line="304" w:lineRule="auto"/>
        <w:rPr>
          <w:sz w:val="20"/>
          <w:szCs w:val="20"/>
          <w:color w:val="auto"/>
        </w:rPr>
      </w:pPr>
      <w:r>
        <w:rPr>
          <w:rFonts w:ascii="Arial" w:cs="Arial" w:eastAsia="Arial" w:hAnsi="Arial"/>
          <w:sz w:val="15"/>
          <w:szCs w:val="15"/>
          <w:color w:val="auto"/>
        </w:rPr>
        <w:t>The documents containing the information specified in Part I of Form S-8 are not required to be filed with the Securities and Exchange Commission either as part of this Registration Statement or as a prospectus or prospectus supplements pursuant to the Note to Part I of Form S-8 and Rule 424 under the Securities Act.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220"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Incorporation of Documents by Reference.</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following documents filed by the Company with the Securities and Exchange Commission are incorporated by reference in this Registration Statement:</w:t>
      </w:r>
    </w:p>
    <w:p>
      <w:pPr>
        <w:spacing w:after="0" w:line="255" w:lineRule="exact"/>
        <w:rPr>
          <w:sz w:val="20"/>
          <w:szCs w:val="20"/>
          <w:color w:val="auto"/>
        </w:rPr>
      </w:pPr>
    </w:p>
    <w:p>
      <w:pPr>
        <w:ind w:right="460" w:firstLine="280"/>
        <w:spacing w:after="0" w:line="270" w:lineRule="auto"/>
        <w:tabs>
          <w:tab w:leader="none" w:pos="651"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latest Annual Report on Form 10-K for the year ended August 30, 2012, filed pursuant to Section 13(a) of the Securities Exchange Act of 1934, as amended (the “Exchange Act”) (File No. 1-10658).</w:t>
      </w:r>
    </w:p>
    <w:p>
      <w:pPr>
        <w:spacing w:after="0" w:line="203" w:lineRule="exact"/>
        <w:rPr>
          <w:rFonts w:ascii="Arial" w:cs="Arial" w:eastAsia="Arial" w:hAnsi="Arial"/>
          <w:sz w:val="16"/>
          <w:szCs w:val="16"/>
          <w:color w:val="auto"/>
        </w:rPr>
      </w:pPr>
    </w:p>
    <w:p>
      <w:pPr>
        <w:ind w:right="160" w:firstLine="280"/>
        <w:spacing w:after="0" w:line="27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Quarterly Report on Form 10-Q for the quarterly periods ended November 29, 2012; February 28, 2013; and May 30, 2013, filed with the Commission on January 7, 2013; April 8, 2013; and July 8, 2013, respectively, and the Form 10-Q/A filed July 17, 2013.</w:t>
      </w:r>
    </w:p>
    <w:p>
      <w:pPr>
        <w:spacing w:after="0" w:line="203" w:lineRule="exact"/>
        <w:rPr>
          <w:rFonts w:ascii="Arial" w:cs="Arial" w:eastAsia="Arial" w:hAnsi="Arial"/>
          <w:sz w:val="16"/>
          <w:szCs w:val="16"/>
          <w:color w:val="auto"/>
        </w:rPr>
      </w:pPr>
    </w:p>
    <w:p>
      <w:pPr>
        <w:ind w:right="140" w:firstLine="280"/>
        <w:spacing w:after="0" w:line="259" w:lineRule="auto"/>
        <w:tabs>
          <w:tab w:leader="none" w:pos="651"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Current Reports on Form 8-K and 8-K/A dated July 2, 2012; September 27, 2012; October 8, 2012; October 29, 2012; December 20, 2012; January 17, 2013; January 22, 2013; February 5, 2013; February 6, 2013; February 13, 2013; March 21, 2013; March 26, 2013; April 18, 2013; April 30, 2013; May 6, 2013; May 13, 2013; and June 19, 2013.</w:t>
      </w:r>
    </w:p>
    <w:p>
      <w:pPr>
        <w:spacing w:after="0" w:line="212" w:lineRule="exact"/>
        <w:rPr>
          <w:rFonts w:ascii="Arial" w:cs="Arial" w:eastAsia="Arial" w:hAnsi="Arial"/>
          <w:sz w:val="16"/>
          <w:szCs w:val="16"/>
          <w:color w:val="auto"/>
        </w:rPr>
      </w:pPr>
    </w:p>
    <w:p>
      <w:pPr>
        <w:ind w:right="140" w:firstLine="280"/>
        <w:spacing w:after="0" w:line="343" w:lineRule="auto"/>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description of the Company’s Common Stock contained in the Company’s Registration Statement on Form 8-A, filed November 9, 1990, pursuant to Section 12(b) of the Exchange Act (File No. 1-10658), including any amendment or report filed with the Securities and Exchange Commission for the purpose of updating such description.</w:t>
      </w:r>
    </w:p>
    <w:p>
      <w:pPr>
        <w:spacing w:after="0" w:line="134" w:lineRule="exact"/>
        <w:rPr>
          <w:sz w:val="20"/>
          <w:szCs w:val="20"/>
          <w:color w:val="auto"/>
        </w:rPr>
      </w:pPr>
    </w:p>
    <w:p>
      <w:pPr>
        <w:jc w:val="both"/>
        <w:ind w:firstLine="570"/>
        <w:spacing w:after="0" w:line="284" w:lineRule="auto"/>
        <w:rPr>
          <w:sz w:val="20"/>
          <w:szCs w:val="20"/>
          <w:color w:val="auto"/>
        </w:rPr>
      </w:pPr>
      <w:r>
        <w:rPr>
          <w:rFonts w:ascii="Arial" w:cs="Arial" w:eastAsia="Arial" w:hAnsi="Arial"/>
          <w:sz w:val="15"/>
          <w:szCs w:val="15"/>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168"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Description of Securities.</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681" w:right="239" w:bottom="1440" w:gutter="0" w:footer="0" w:header="0"/>
        </w:sectPr>
      </w:pPr>
    </w:p>
    <w:bookmarkStart w:id="2" w:name="page3"/>
    <w:bookmarkEnd w:id="2"/>
    <w:p>
      <w:pPr>
        <w:spacing w:after="0"/>
        <w:tabs>
          <w:tab w:leader="none" w:pos="68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Interests of Named Experts and Counsel.</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Indemnification of Directors and Officers.</w:t>
      </w:r>
    </w:p>
    <w:p>
      <w:pPr>
        <w:spacing w:after="0" w:line="224" w:lineRule="exact"/>
        <w:rPr>
          <w:sz w:val="20"/>
          <w:szCs w:val="20"/>
          <w:color w:val="auto"/>
        </w:rPr>
      </w:pPr>
    </w:p>
    <w:p>
      <w:pPr>
        <w:ind w:firstLine="570"/>
        <w:spacing w:after="0" w:line="274" w:lineRule="auto"/>
        <w:rPr>
          <w:sz w:val="20"/>
          <w:szCs w:val="20"/>
          <w:color w:val="auto"/>
        </w:rPr>
      </w:pPr>
      <w:r>
        <w:rPr>
          <w:rFonts w:ascii="Arial" w:cs="Arial" w:eastAsia="Arial" w:hAnsi="Arial"/>
          <w:sz w:val="15"/>
          <w:szCs w:val="15"/>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75"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Exemption from Registration Claimed.</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Not applicable.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20"/>
                <w:szCs w:val="20"/>
                <w:color w:val="auto"/>
              </w:rPr>
            </w:pPr>
            <w:r>
              <w:rPr>
                <w:rFonts w:ascii="Arial" w:cs="Arial" w:eastAsia="Arial" w:hAnsi="Arial"/>
                <w:sz w:val="16"/>
                <w:szCs w:val="16"/>
                <w:b w:val="1"/>
                <w:bCs w:val="1"/>
                <w:color w:val="auto"/>
              </w:rPr>
              <w:t>Item 8.</w:t>
            </w:r>
          </w:p>
        </w:tc>
        <w:tc>
          <w:tcPr>
            <w:tcW w:w="682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Exhibits.</w:t>
            </w:r>
          </w:p>
        </w:tc>
      </w:tr>
      <w:tr>
        <w:trPr>
          <w:trHeight w:val="393"/>
        </w:trPr>
        <w:tc>
          <w:tcPr>
            <w:tcW w:w="620" w:type="dxa"/>
            <w:vAlign w:val="bottom"/>
          </w:tcPr>
          <w:p>
            <w:pPr>
              <w:spacing w:after="0"/>
              <w:rPr>
                <w:sz w:val="20"/>
                <w:szCs w:val="20"/>
                <w:color w:val="auto"/>
              </w:rPr>
            </w:pPr>
            <w:r>
              <w:rPr>
                <w:rFonts w:ascii="Arial" w:cs="Arial" w:eastAsia="Arial" w:hAnsi="Arial"/>
                <w:sz w:val="16"/>
                <w:szCs w:val="16"/>
                <w:color w:val="auto"/>
              </w:rPr>
              <w:t>Exhibit</w:t>
            </w:r>
          </w:p>
        </w:tc>
        <w:tc>
          <w:tcPr>
            <w:tcW w:w="620" w:type="dxa"/>
            <w:vAlign w:val="bottom"/>
          </w:tcPr>
          <w:p>
            <w:pPr>
              <w:spacing w:after="0"/>
              <w:rPr>
                <w:sz w:val="24"/>
                <w:szCs w:val="24"/>
                <w:color w:val="auto"/>
              </w:rPr>
            </w:pPr>
          </w:p>
        </w:tc>
        <w:tc>
          <w:tcPr>
            <w:tcW w:w="6200" w:type="dxa"/>
            <w:vAlign w:val="bottom"/>
          </w:tcPr>
          <w:p>
            <w:pPr>
              <w:spacing w:after="0"/>
              <w:rPr>
                <w:sz w:val="24"/>
                <w:szCs w:val="24"/>
                <w:color w:val="auto"/>
              </w:rPr>
            </w:pPr>
          </w:p>
        </w:tc>
      </w:tr>
      <w:tr>
        <w:trPr>
          <w:trHeight w:val="206"/>
        </w:trPr>
        <w:tc>
          <w:tcPr>
            <w:tcW w:w="6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Number</w:t>
            </w:r>
          </w:p>
        </w:tc>
        <w:tc>
          <w:tcPr>
            <w:tcW w:w="620" w:type="dxa"/>
            <w:vAlign w:val="bottom"/>
            <w:tcBorders>
              <w:bottom w:val="single" w:sz="8" w:color="auto"/>
            </w:tcBorders>
          </w:tcPr>
          <w:p>
            <w:pPr>
              <w:spacing w:after="0"/>
              <w:rPr>
                <w:sz w:val="17"/>
                <w:szCs w:val="17"/>
                <w:color w:val="auto"/>
              </w:rPr>
            </w:pPr>
          </w:p>
        </w:tc>
        <w:tc>
          <w:tcPr>
            <w:tcW w:w="6200" w:type="dxa"/>
            <w:vAlign w:val="bottom"/>
          </w:tcPr>
          <w:p>
            <w:pPr>
              <w:spacing w:after="0"/>
              <w:rPr>
                <w:sz w:val="17"/>
                <w:szCs w:val="17"/>
                <w:color w:val="auto"/>
              </w:rPr>
            </w:pPr>
          </w:p>
        </w:tc>
      </w:tr>
      <w:tr>
        <w:trPr>
          <w:trHeight w:val="379"/>
        </w:trPr>
        <w:tc>
          <w:tcPr>
            <w:tcW w:w="620" w:type="dxa"/>
            <w:vAlign w:val="bottom"/>
          </w:tcPr>
          <w:p>
            <w:pPr>
              <w:spacing w:after="0"/>
              <w:rPr>
                <w:sz w:val="20"/>
                <w:szCs w:val="20"/>
                <w:color w:val="auto"/>
              </w:rPr>
            </w:pPr>
            <w:r>
              <w:rPr>
                <w:rFonts w:ascii="Arial" w:cs="Arial" w:eastAsia="Arial" w:hAnsi="Arial"/>
                <w:sz w:val="16"/>
                <w:szCs w:val="16"/>
                <w:color w:val="auto"/>
              </w:rPr>
              <w:t>4.1</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Micron Technology, Inc. Amended and Restated 2004 Equity Incentive Plan</w:t>
            </w:r>
          </w:p>
        </w:tc>
      </w:tr>
      <w:tr>
        <w:trPr>
          <w:trHeight w:val="380"/>
        </w:trPr>
        <w:tc>
          <w:tcPr>
            <w:tcW w:w="620" w:type="dxa"/>
            <w:vAlign w:val="bottom"/>
          </w:tcPr>
          <w:p>
            <w:pPr>
              <w:spacing w:after="0"/>
              <w:rPr>
                <w:sz w:val="20"/>
                <w:szCs w:val="20"/>
                <w:color w:val="auto"/>
              </w:rPr>
            </w:pPr>
            <w:r>
              <w:rPr>
                <w:rFonts w:ascii="Arial" w:cs="Arial" w:eastAsia="Arial" w:hAnsi="Arial"/>
                <w:sz w:val="16"/>
                <w:szCs w:val="16"/>
                <w:color w:val="auto"/>
              </w:rPr>
              <w:t>4.2*</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6"/>
                <w:szCs w:val="16"/>
                <w:color w:val="auto"/>
                <w:w w:val="90"/>
              </w:rPr>
              <w:t>Micron Technology, Inc. Amended and Restated 2004 Equity Incentive Plan Forms of Agreement</w:t>
            </w:r>
          </w:p>
        </w:tc>
      </w:tr>
      <w:tr>
        <w:trPr>
          <w:trHeight w:val="380"/>
        </w:trPr>
        <w:tc>
          <w:tcPr>
            <w:tcW w:w="620" w:type="dxa"/>
            <w:vAlign w:val="bottom"/>
          </w:tcPr>
          <w:p>
            <w:pPr>
              <w:spacing w:after="0"/>
              <w:rPr>
                <w:sz w:val="20"/>
                <w:szCs w:val="20"/>
                <w:color w:val="auto"/>
              </w:rPr>
            </w:pPr>
            <w:r>
              <w:rPr>
                <w:rFonts w:ascii="Arial" w:cs="Arial" w:eastAsia="Arial" w:hAnsi="Arial"/>
                <w:sz w:val="16"/>
                <w:szCs w:val="16"/>
                <w:color w:val="auto"/>
              </w:rPr>
              <w:t>5.1</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Opinion of Counsel</w:t>
            </w:r>
          </w:p>
        </w:tc>
      </w:tr>
      <w:tr>
        <w:trPr>
          <w:trHeight w:val="380"/>
        </w:trPr>
        <w:tc>
          <w:tcPr>
            <w:tcW w:w="620" w:type="dxa"/>
            <w:vAlign w:val="bottom"/>
          </w:tcPr>
          <w:p>
            <w:pPr>
              <w:spacing w:after="0"/>
              <w:rPr>
                <w:sz w:val="20"/>
                <w:szCs w:val="20"/>
                <w:color w:val="auto"/>
              </w:rPr>
            </w:pPr>
            <w:r>
              <w:rPr>
                <w:rFonts w:ascii="Arial" w:cs="Arial" w:eastAsia="Arial" w:hAnsi="Arial"/>
                <w:sz w:val="16"/>
                <w:szCs w:val="16"/>
                <w:color w:val="auto"/>
              </w:rPr>
              <w:t>23.1</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380"/>
        </w:trPr>
        <w:tc>
          <w:tcPr>
            <w:tcW w:w="620" w:type="dxa"/>
            <w:vAlign w:val="bottom"/>
          </w:tcPr>
          <w:p>
            <w:pPr>
              <w:spacing w:after="0"/>
              <w:rPr>
                <w:sz w:val="20"/>
                <w:szCs w:val="20"/>
                <w:color w:val="auto"/>
              </w:rPr>
            </w:pPr>
            <w:r>
              <w:rPr>
                <w:rFonts w:ascii="Arial" w:cs="Arial" w:eastAsia="Arial" w:hAnsi="Arial"/>
                <w:sz w:val="16"/>
                <w:szCs w:val="16"/>
                <w:color w:val="auto"/>
              </w:rPr>
              <w:t>23.2</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380"/>
        </w:trPr>
        <w:tc>
          <w:tcPr>
            <w:tcW w:w="620" w:type="dxa"/>
            <w:vAlign w:val="bottom"/>
          </w:tcPr>
          <w:p>
            <w:pPr>
              <w:spacing w:after="0"/>
              <w:rPr>
                <w:sz w:val="20"/>
                <w:szCs w:val="20"/>
                <w:color w:val="auto"/>
              </w:rPr>
            </w:pPr>
            <w:r>
              <w:rPr>
                <w:rFonts w:ascii="Arial" w:cs="Arial" w:eastAsia="Arial" w:hAnsi="Arial"/>
                <w:sz w:val="16"/>
                <w:szCs w:val="16"/>
                <w:color w:val="auto"/>
              </w:rPr>
              <w:t>23.3</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Consent of Counsel (contained in Exhibit 5.1)</w:t>
            </w:r>
          </w:p>
        </w:tc>
      </w:tr>
      <w:tr>
        <w:trPr>
          <w:trHeight w:val="380"/>
        </w:trPr>
        <w:tc>
          <w:tcPr>
            <w:tcW w:w="620" w:type="dxa"/>
            <w:vAlign w:val="bottom"/>
          </w:tcPr>
          <w:p>
            <w:pPr>
              <w:spacing w:after="0"/>
              <w:rPr>
                <w:sz w:val="20"/>
                <w:szCs w:val="20"/>
                <w:color w:val="auto"/>
              </w:rPr>
            </w:pPr>
            <w:r>
              <w:rPr>
                <w:rFonts w:ascii="Arial" w:cs="Arial" w:eastAsia="Arial" w:hAnsi="Arial"/>
                <w:sz w:val="16"/>
                <w:szCs w:val="16"/>
                <w:color w:val="auto"/>
              </w:rPr>
              <w:t>24.1</w:t>
            </w:r>
          </w:p>
        </w:tc>
        <w:tc>
          <w:tcPr>
            <w:tcW w:w="620" w:type="dxa"/>
            <w:vAlign w:val="bottom"/>
          </w:tcPr>
          <w:p>
            <w:pPr>
              <w:spacing w:after="0"/>
              <w:rPr>
                <w:sz w:val="24"/>
                <w:szCs w:val="24"/>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Power of Attorney (included on signature page)</w:t>
            </w:r>
          </w:p>
        </w:tc>
      </w:tr>
    </w:tbl>
    <w:p>
      <w:pPr>
        <w:spacing w:after="0"/>
        <w:rPr>
          <w:sz w:val="20"/>
          <w:szCs w:val="20"/>
          <w:color w:val="auto"/>
        </w:rPr>
      </w:pPr>
      <w:r>
        <w:rPr>
          <w:rFonts w:ascii="Arial" w:cs="Arial" w:eastAsia="Arial" w:hAnsi="Arial"/>
          <w:sz w:val="16"/>
          <w:szCs w:val="16"/>
          <w:color w:val="auto"/>
        </w:rPr>
        <w:t>* Incorporated by reference to Quarterly Report on Form 10-Q for the fiscal quarter ended March 3, 2005</w:t>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Undertakings.</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The undersigned Company hereby undertakes:</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380"/>
          </w:cols>
          <w:pgMar w:left="240" w:top="254" w:right="279" w:bottom="1440" w:gutter="0" w:footer="0" w:header="0"/>
        </w:sectPr>
      </w:pPr>
    </w:p>
    <w:bookmarkStart w:id="3" w:name="page4"/>
    <w:bookmarkEnd w:id="3"/>
    <w:p>
      <w:pPr>
        <w:ind w:left="1360" w:hanging="225"/>
        <w:spacing w:after="0"/>
        <w:tabs>
          <w:tab w:leader="none" w:pos="13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96" w:lineRule="exact"/>
        <w:rPr>
          <w:rFonts w:ascii="Arial" w:cs="Arial" w:eastAsia="Arial" w:hAnsi="Arial"/>
          <w:sz w:val="16"/>
          <w:szCs w:val="16"/>
          <w:color w:val="auto"/>
        </w:rPr>
      </w:pPr>
    </w:p>
    <w:p>
      <w:pPr>
        <w:ind w:left="1900" w:hanging="195"/>
        <w:spacing w:after="0"/>
        <w:tabs>
          <w:tab w:leader="none" w:pos="190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w:t>
      </w:r>
    </w:p>
    <w:p>
      <w:pPr>
        <w:spacing w:after="0" w:line="219" w:lineRule="exact"/>
        <w:rPr>
          <w:rFonts w:ascii="Arial" w:cs="Arial" w:eastAsia="Arial" w:hAnsi="Arial"/>
          <w:sz w:val="16"/>
          <w:szCs w:val="16"/>
          <w:color w:val="auto"/>
        </w:rPr>
      </w:pPr>
    </w:p>
    <w:p>
      <w:pPr>
        <w:ind w:firstLine="1705"/>
        <w:spacing w:after="0" w:line="252" w:lineRule="auto"/>
        <w:tabs>
          <w:tab w:leader="none" w:pos="1943"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94" w:lineRule="exact"/>
        <w:rPr>
          <w:rFonts w:ascii="Arial" w:cs="Arial" w:eastAsia="Arial" w:hAnsi="Arial"/>
          <w:sz w:val="16"/>
          <w:szCs w:val="16"/>
          <w:color w:val="auto"/>
        </w:rPr>
      </w:pPr>
    </w:p>
    <w:p>
      <w:pPr>
        <w:ind w:right="280" w:firstLine="1705"/>
        <w:spacing w:after="0" w:line="270" w:lineRule="auto"/>
        <w:tabs>
          <w:tab w:leader="none" w:pos="1987" w:val="left"/>
        </w:tabs>
        <w:numPr>
          <w:ilvl w:val="1"/>
          <w:numId w:val="3"/>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80" w:lineRule="exact"/>
        <w:rPr>
          <w:sz w:val="20"/>
          <w:szCs w:val="20"/>
          <w:color w:val="auto"/>
        </w:rPr>
      </w:pPr>
    </w:p>
    <w:p>
      <w:pPr>
        <w:ind w:right="40" w:firstLine="1140"/>
        <w:spacing w:after="0" w:line="259"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(a)(1)(i) and (a)(1)(ii) do not apply if the information required to be included in a post-effective amendment by those</w:t>
      </w:r>
      <w:r>
        <w:rPr>
          <w:rFonts w:ascii="Arial" w:cs="Arial" w:eastAsia="Arial" w:hAnsi="Arial"/>
          <w:sz w:val="16"/>
          <w:szCs w:val="16"/>
          <w:i w:val="1"/>
          <w:iCs w:val="1"/>
          <w:color w:val="auto"/>
        </w:rPr>
        <w:t xml:space="preserve"> </w:t>
      </w:r>
      <w:r>
        <w:rPr>
          <w:rFonts w:ascii="Arial" w:cs="Arial" w:eastAsia="Arial" w:hAnsi="Arial"/>
          <w:sz w:val="16"/>
          <w:szCs w:val="16"/>
          <w:color w:val="auto"/>
        </w:rPr>
        <w:t>paragraphs is contained in reports filed with or furnished to the Securities and Exchange Commission by the Company pursuant to Section 13 or Section 15(d) of the Exchange Act that are incorporated by reference in the Registration Statement.</w:t>
      </w:r>
    </w:p>
    <w:p>
      <w:pPr>
        <w:spacing w:after="0" w:line="188" w:lineRule="exact"/>
        <w:rPr>
          <w:sz w:val="20"/>
          <w:szCs w:val="20"/>
          <w:color w:val="auto"/>
        </w:rPr>
      </w:pPr>
    </w:p>
    <w:p>
      <w:pPr>
        <w:ind w:right="420" w:firstLine="1135"/>
        <w:spacing w:after="0" w:line="343" w:lineRule="auto"/>
        <w:tabs>
          <w:tab w:leader="none" w:pos="1362" w:val="left"/>
        </w:tabs>
        <w:numPr>
          <w:ilvl w:val="1"/>
          <w:numId w:val="4"/>
        </w:numPr>
        <w:rPr>
          <w:rFonts w:ascii="Arial" w:cs="Arial" w:eastAsia="Arial" w:hAnsi="Arial"/>
          <w:sz w:val="14"/>
          <w:szCs w:val="14"/>
          <w:color w:val="auto"/>
        </w:rPr>
      </w:pPr>
      <w:r>
        <w:rPr>
          <w:rFonts w:ascii="Arial" w:cs="Arial" w:eastAsia="Arial" w:hAnsi="Arial"/>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3" w:lineRule="exact"/>
        <w:rPr>
          <w:rFonts w:ascii="Arial" w:cs="Arial" w:eastAsia="Arial" w:hAnsi="Arial"/>
          <w:sz w:val="14"/>
          <w:szCs w:val="14"/>
          <w:color w:val="auto"/>
        </w:rPr>
      </w:pPr>
    </w:p>
    <w:p>
      <w:pPr>
        <w:ind w:left="1360" w:hanging="225"/>
        <w:spacing w:after="0"/>
        <w:tabs>
          <w:tab w:leader="none" w:pos="136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 remove from registration by means of a post-effective amendment any of the securities being registered which remain unsold at the termination of the</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offering.</w:t>
      </w:r>
    </w:p>
    <w:p>
      <w:pPr>
        <w:spacing w:after="0" w:line="208" w:lineRule="exact"/>
        <w:rPr>
          <w:rFonts w:ascii="Arial" w:cs="Arial" w:eastAsia="Arial" w:hAnsi="Arial"/>
          <w:sz w:val="14"/>
          <w:szCs w:val="14"/>
          <w:color w:val="auto"/>
        </w:rPr>
      </w:pPr>
    </w:p>
    <w:p>
      <w:pPr>
        <w:ind w:right="200" w:firstLine="280"/>
        <w:spacing w:after="0" w:line="255" w:lineRule="auto"/>
        <w:tabs>
          <w:tab w:leader="none" w:pos="50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2" w:lineRule="exact"/>
        <w:rPr>
          <w:rFonts w:ascii="Arial" w:cs="Arial" w:eastAsia="Arial" w:hAnsi="Arial"/>
          <w:sz w:val="16"/>
          <w:szCs w:val="16"/>
          <w:color w:val="auto"/>
        </w:rPr>
      </w:pPr>
    </w:p>
    <w:p>
      <w:pPr>
        <w:ind w:right="120" w:firstLine="280"/>
        <w:spacing w:after="0" w:line="259"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4" w:name="page5"/>
    <w:bookmarkEnd w:id="4"/>
    <w:p>
      <w:pPr>
        <w:spacing w:after="0" w:line="255" w:lineRule="auto"/>
        <w:rPr>
          <w:sz w:val="20"/>
          <w:szCs w:val="20"/>
          <w:color w:val="auto"/>
        </w:rPr>
      </w:pPr>
      <w:r>
        <w:rPr>
          <w:rFonts w:ascii="Arial" w:cs="Arial" w:eastAsia="Arial" w:hAnsi="Arial"/>
          <w:sz w:val="16"/>
          <w:szCs w:val="16"/>
          <w:color w:val="auto"/>
        </w:rPr>
        <w:t>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00"/>
          </w:cols>
          <w:pgMar w:left="240" w:top="448"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SIGNATURES</w:t>
      </w:r>
    </w:p>
    <w:p>
      <w:pPr>
        <w:spacing w:after="0" w:line="224" w:lineRule="exact"/>
        <w:rPr>
          <w:sz w:val="20"/>
          <w:szCs w:val="20"/>
          <w:color w:val="auto"/>
        </w:rPr>
      </w:pPr>
    </w:p>
    <w:p>
      <w:pPr>
        <w:ind w:firstLine="570"/>
        <w:spacing w:after="0" w:line="259" w:lineRule="auto"/>
        <w:rPr>
          <w:sz w:val="20"/>
          <w:szCs w:val="20"/>
          <w:color w:val="auto"/>
        </w:rPr>
      </w:pPr>
      <w:r>
        <w:rPr>
          <w:rFonts w:ascii="Arial" w:cs="Arial" w:eastAsia="Arial" w:hAnsi="Arial"/>
          <w:sz w:val="16"/>
          <w:szCs w:val="16"/>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17th day of July 2013.</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15087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8760" cy="7620"/>
                    </a:xfrm>
                    <a:prstGeom prst="rect">
                      <a:avLst/>
                    </a:prstGeom>
                    <a:noFill/>
                  </pic:spPr>
                </pic:pic>
              </a:graphicData>
            </a:graphic>
          </wp:anchor>
        </w:drawing>
      </w:r>
    </w:p>
    <w:p>
      <w:pPr>
        <w:spacing w:after="0"/>
        <w:tabs>
          <w:tab w:leader="none" w:pos="4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Ronald C. Foster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and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Finance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20"/>
          </w:cols>
          <w:pgMar w:left="240" w:top="68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POWER OF ATTORNEY</w:t>
      </w:r>
    </w:p>
    <w:p>
      <w:pPr>
        <w:spacing w:after="0" w:line="224" w:lineRule="exact"/>
        <w:rPr>
          <w:sz w:val="20"/>
          <w:szCs w:val="20"/>
          <w:color w:val="auto"/>
        </w:rPr>
      </w:pPr>
    </w:p>
    <w:p>
      <w:pPr>
        <w:ind w:right="180" w:firstLine="570"/>
        <w:spacing w:after="0" w:line="255" w:lineRule="auto"/>
        <w:rPr>
          <w:sz w:val="20"/>
          <w:szCs w:val="20"/>
          <w:color w:val="auto"/>
        </w:rPr>
      </w:pPr>
      <w:r>
        <w:rPr>
          <w:rFonts w:ascii="Arial" w:cs="Arial" w:eastAsia="Arial" w:hAnsi="Arial"/>
          <w:sz w:val="16"/>
          <w:szCs w:val="16"/>
          <w:color w:val="auto"/>
        </w:rPr>
        <w:t>Each person whose signature appears below constitutes and appoints D. Mark Durcan and Ronald C. Foster, jointly and severally, his attorneys-in-fact, each with the power of substitution, for him in any and all capacities, to sign any amendments (including post-effective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92" w:lineRule="exact"/>
        <w:rPr>
          <w:sz w:val="20"/>
          <w:szCs w:val="20"/>
          <w:color w:val="auto"/>
        </w:rPr>
      </w:pPr>
    </w:p>
    <w:p>
      <w:pPr>
        <w:ind w:right="60" w:firstLine="570"/>
        <w:spacing w:after="0" w:line="270" w:lineRule="auto"/>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 capacities indicated on July 17,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60" w:type="dxa"/>
            <w:vAlign w:val="bottom"/>
            <w:tcBorders>
              <w:bottom w:val="single" w:sz="8" w:color="auto"/>
            </w:tcBorders>
          </w:tcPr>
          <w:p>
            <w:pPr>
              <w:jc w:val="center"/>
              <w:ind w:left="721"/>
              <w:spacing w:after="0"/>
              <w:rPr>
                <w:sz w:val="20"/>
                <w:szCs w:val="20"/>
                <w:color w:val="auto"/>
              </w:rPr>
            </w:pPr>
            <w:r>
              <w:rPr>
                <w:rFonts w:ascii="Arial" w:cs="Arial" w:eastAsia="Arial" w:hAnsi="Arial"/>
                <w:sz w:val="16"/>
                <w:szCs w:val="16"/>
                <w:b w:val="1"/>
                <w:bCs w:val="1"/>
                <w:color w:val="auto"/>
                <w:w w:val="89"/>
              </w:rPr>
              <w:t>Signature</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20" w:type="dxa"/>
            <w:vAlign w:val="bottom"/>
            <w:tcBorders>
              <w:bottom w:val="single" w:sz="8" w:color="auto"/>
            </w:tcBorders>
          </w:tcPr>
          <w:p>
            <w:pPr>
              <w:ind w:left="3020"/>
              <w:spacing w:after="0"/>
              <w:rPr>
                <w:sz w:val="20"/>
                <w:szCs w:val="20"/>
                <w:color w:val="auto"/>
              </w:rPr>
            </w:pPr>
            <w:r>
              <w:rPr>
                <w:rFonts w:ascii="Arial" w:cs="Arial" w:eastAsia="Arial" w:hAnsi="Arial"/>
                <w:sz w:val="16"/>
                <w:szCs w:val="16"/>
                <w:b w:val="1"/>
                <w:bCs w:val="1"/>
                <w:color w:val="auto"/>
              </w:rPr>
              <w:t>Title</w:t>
            </w:r>
          </w:p>
        </w:tc>
        <w:tc>
          <w:tcPr>
            <w:tcW w:w="2260" w:type="dxa"/>
            <w:vAlign w:val="bottom"/>
            <w:tcBorders>
              <w:bottom w:val="single" w:sz="8" w:color="auto"/>
            </w:tcBorders>
          </w:tcPr>
          <w:p>
            <w:pPr>
              <w:jc w:val="center"/>
              <w:ind w:right="301"/>
              <w:spacing w:after="0"/>
              <w:rPr>
                <w:sz w:val="20"/>
                <w:szCs w:val="20"/>
                <w:color w:val="auto"/>
              </w:rPr>
            </w:pPr>
            <w:r>
              <w:rPr>
                <w:rFonts w:ascii="Arial" w:cs="Arial" w:eastAsia="Arial" w:hAnsi="Arial"/>
                <w:sz w:val="16"/>
                <w:szCs w:val="16"/>
                <w:b w:val="1"/>
                <w:bCs w:val="1"/>
                <w:color w:val="auto"/>
                <w:w w:val="92"/>
              </w:rPr>
              <w:t>Date</w:t>
            </w:r>
          </w:p>
        </w:tc>
      </w:tr>
      <w:tr>
        <w:trPr>
          <w:trHeight w:val="344"/>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D. Mark Durcan</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Chief Executive Officer and Director</w:t>
            </w:r>
          </w:p>
        </w:tc>
        <w:tc>
          <w:tcPr>
            <w:tcW w:w="2260" w:type="dxa"/>
            <w:vAlign w:val="bottom"/>
          </w:tcPr>
          <w:p>
            <w:pPr>
              <w:jc w:val="center"/>
              <w:ind w:right="281"/>
              <w:spacing w:after="0"/>
              <w:rPr>
                <w:sz w:val="20"/>
                <w:szCs w:val="20"/>
                <w:color w:val="auto"/>
              </w:rPr>
            </w:pPr>
            <w:r>
              <w:rPr>
                <w:rFonts w:ascii="Arial" w:cs="Arial" w:eastAsia="Arial" w:hAnsi="Arial"/>
                <w:sz w:val="16"/>
                <w:szCs w:val="16"/>
                <w:color w:val="auto"/>
                <w:w w:val="90"/>
              </w:rPr>
              <w:t>July 17, 2013</w:t>
            </w:r>
          </w:p>
        </w:tc>
      </w:tr>
      <w:tr>
        <w:trPr>
          <w:trHeight w:val="204"/>
        </w:trPr>
        <w:tc>
          <w:tcPr>
            <w:tcW w:w="2660" w:type="dxa"/>
            <w:vAlign w:val="bottom"/>
          </w:tcPr>
          <w:p>
            <w:pPr>
              <w:jc w:val="center"/>
              <w:ind w:left="721"/>
              <w:spacing w:after="0"/>
              <w:rPr>
                <w:sz w:val="20"/>
                <w:szCs w:val="20"/>
                <w:color w:val="auto"/>
              </w:rPr>
            </w:pPr>
            <w:r>
              <w:rPr>
                <w:rFonts w:ascii="Arial" w:cs="Arial" w:eastAsia="Arial" w:hAnsi="Arial"/>
                <w:sz w:val="16"/>
                <w:szCs w:val="16"/>
                <w:color w:val="auto"/>
                <w:w w:val="94"/>
              </w:rPr>
              <w:t>D. Mark Durcan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ind w:left="540"/>
              <w:spacing w:after="0"/>
              <w:rPr>
                <w:sz w:val="20"/>
                <w:szCs w:val="20"/>
                <w:color w:val="auto"/>
              </w:rPr>
            </w:pPr>
            <w:r>
              <w:rPr>
                <w:rFonts w:ascii="Arial" w:cs="Arial" w:eastAsia="Arial" w:hAnsi="Arial"/>
                <w:sz w:val="16"/>
                <w:szCs w:val="16"/>
                <w:color w:val="auto"/>
              </w:rPr>
              <w:t>(Principal Executive Officer)</w:t>
            </w:r>
          </w:p>
        </w:tc>
        <w:tc>
          <w:tcPr>
            <w:tcW w:w="2260" w:type="dxa"/>
            <w:vAlign w:val="bottom"/>
          </w:tcPr>
          <w:p>
            <w:pPr>
              <w:spacing w:after="0"/>
              <w:rPr>
                <w:sz w:val="17"/>
                <w:szCs w:val="17"/>
                <w:color w:val="auto"/>
              </w:rPr>
            </w:pPr>
          </w:p>
        </w:tc>
      </w:tr>
      <w:tr>
        <w:trPr>
          <w:trHeight w:val="346"/>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Ronald C. Foster</w:t>
            </w: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Vice President of Finance and Chief Financial Officer (Principal Financial Officer</w:t>
            </w:r>
          </w:p>
        </w:tc>
        <w:tc>
          <w:tcPr>
            <w:tcW w:w="2260" w:type="dxa"/>
            <w:vAlign w:val="bottom"/>
          </w:tcPr>
          <w:p>
            <w:pPr>
              <w:jc w:val="center"/>
              <w:ind w:right="281"/>
              <w:spacing w:after="0"/>
              <w:rPr>
                <w:sz w:val="20"/>
                <w:szCs w:val="20"/>
                <w:color w:val="auto"/>
              </w:rPr>
            </w:pPr>
            <w:r>
              <w:rPr>
                <w:rFonts w:ascii="Arial" w:cs="Arial" w:eastAsia="Arial" w:hAnsi="Arial"/>
                <w:sz w:val="16"/>
                <w:szCs w:val="16"/>
                <w:color w:val="auto"/>
                <w:w w:val="90"/>
              </w:rPr>
              <w:t>July 17, 2013</w:t>
            </w:r>
          </w:p>
        </w:tc>
      </w:tr>
      <w:tr>
        <w:trPr>
          <w:trHeight w:val="193"/>
        </w:trPr>
        <w:tc>
          <w:tcPr>
            <w:tcW w:w="2660" w:type="dxa"/>
            <w:vAlign w:val="bottom"/>
          </w:tcPr>
          <w:p>
            <w:pPr>
              <w:jc w:val="center"/>
              <w:ind w:left="721"/>
              <w:spacing w:after="0"/>
              <w:rPr>
                <w:sz w:val="20"/>
                <w:szCs w:val="20"/>
                <w:color w:val="auto"/>
              </w:rPr>
            </w:pPr>
            <w:r>
              <w:rPr>
                <w:rFonts w:ascii="Arial" w:cs="Arial" w:eastAsia="Arial" w:hAnsi="Arial"/>
                <w:sz w:val="16"/>
                <w:szCs w:val="16"/>
                <w:color w:val="auto"/>
                <w:w w:val="87"/>
              </w:rPr>
              <w:t>Ronald C. Foster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and Principal</w:t>
            </w:r>
          </w:p>
        </w:tc>
        <w:tc>
          <w:tcPr>
            <w:tcW w:w="2260" w:type="dxa"/>
            <w:vAlign w:val="bottom"/>
          </w:tcPr>
          <w:p>
            <w:pPr>
              <w:spacing w:after="0"/>
              <w:rPr>
                <w:sz w:val="16"/>
                <w:szCs w:val="16"/>
                <w:color w:val="auto"/>
              </w:rPr>
            </w:pPr>
          </w:p>
        </w:tc>
      </w:tr>
      <w:tr>
        <w:trPr>
          <w:trHeight w:val="201"/>
        </w:trPr>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Accounting Officer)</w:t>
            </w:r>
          </w:p>
        </w:tc>
        <w:tc>
          <w:tcPr>
            <w:tcW w:w="2260" w:type="dxa"/>
            <w:vAlign w:val="bottom"/>
          </w:tcPr>
          <w:p>
            <w:pPr>
              <w:spacing w:after="0"/>
              <w:rPr>
                <w:sz w:val="17"/>
                <w:szCs w:val="17"/>
                <w:color w:val="auto"/>
              </w:rPr>
            </w:pPr>
          </w:p>
        </w:tc>
      </w:tr>
      <w:tr>
        <w:trPr>
          <w:trHeight w:val="346"/>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Robert E. Switz</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Chairman of the Board of Directors</w:t>
            </w:r>
          </w:p>
        </w:tc>
        <w:tc>
          <w:tcPr>
            <w:tcW w:w="2260" w:type="dxa"/>
            <w:vAlign w:val="bottom"/>
          </w:tcPr>
          <w:p>
            <w:pPr>
              <w:jc w:val="center"/>
              <w:ind w:right="281"/>
              <w:spacing w:after="0"/>
              <w:rPr>
                <w:sz w:val="20"/>
                <w:szCs w:val="20"/>
                <w:color w:val="auto"/>
              </w:rPr>
            </w:pPr>
            <w:r>
              <w:rPr>
                <w:rFonts w:ascii="Arial" w:cs="Arial" w:eastAsia="Arial" w:hAnsi="Arial"/>
                <w:sz w:val="16"/>
                <w:szCs w:val="16"/>
                <w:color w:val="auto"/>
                <w:w w:val="90"/>
              </w:rPr>
              <w:t>July 17, 2013</w:t>
            </w:r>
          </w:p>
        </w:tc>
      </w:tr>
      <w:tr>
        <w:trPr>
          <w:trHeight w:val="204"/>
        </w:trPr>
        <w:tc>
          <w:tcPr>
            <w:tcW w:w="2660" w:type="dxa"/>
            <w:vAlign w:val="bottom"/>
          </w:tcPr>
          <w:p>
            <w:pPr>
              <w:jc w:val="center"/>
              <w:ind w:left="721"/>
              <w:spacing w:after="0"/>
              <w:rPr>
                <w:sz w:val="20"/>
                <w:szCs w:val="20"/>
                <w:color w:val="auto"/>
              </w:rPr>
            </w:pPr>
            <w:r>
              <w:rPr>
                <w:rFonts w:ascii="Arial" w:cs="Arial" w:eastAsia="Arial" w:hAnsi="Arial"/>
                <w:sz w:val="16"/>
                <w:szCs w:val="16"/>
                <w:color w:val="auto"/>
                <w:w w:val="92"/>
              </w:rPr>
              <w:t>Robert E. Switz</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46"/>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Robert L. Bailey</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Director</w:t>
            </w:r>
          </w:p>
        </w:tc>
        <w:tc>
          <w:tcPr>
            <w:tcW w:w="2260" w:type="dxa"/>
            <w:vAlign w:val="bottom"/>
          </w:tcPr>
          <w:p>
            <w:pPr>
              <w:jc w:val="center"/>
              <w:ind w:right="281"/>
              <w:spacing w:after="0"/>
              <w:rPr>
                <w:sz w:val="20"/>
                <w:szCs w:val="20"/>
                <w:color w:val="auto"/>
              </w:rPr>
            </w:pPr>
            <w:r>
              <w:rPr>
                <w:rFonts w:ascii="Arial" w:cs="Arial" w:eastAsia="Arial" w:hAnsi="Arial"/>
                <w:sz w:val="16"/>
                <w:szCs w:val="16"/>
                <w:color w:val="auto"/>
                <w:w w:val="90"/>
              </w:rPr>
              <w:t>July 17, 2013</w:t>
            </w:r>
          </w:p>
        </w:tc>
      </w:tr>
      <w:tr>
        <w:trPr>
          <w:trHeight w:val="204"/>
        </w:trPr>
        <w:tc>
          <w:tcPr>
            <w:tcW w:w="2660" w:type="dxa"/>
            <w:vAlign w:val="bottom"/>
          </w:tcPr>
          <w:p>
            <w:pPr>
              <w:ind w:left="1220"/>
              <w:spacing w:after="0"/>
              <w:rPr>
                <w:sz w:val="20"/>
                <w:szCs w:val="20"/>
                <w:color w:val="auto"/>
              </w:rPr>
            </w:pPr>
            <w:r>
              <w:rPr>
                <w:rFonts w:ascii="Arial" w:cs="Arial" w:eastAsia="Arial" w:hAnsi="Arial"/>
                <w:sz w:val="16"/>
                <w:szCs w:val="16"/>
                <w:color w:val="auto"/>
              </w:rPr>
              <w:t>Robert L. Bailey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46"/>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Richard M. Beyer</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Director</w:t>
            </w:r>
          </w:p>
        </w:tc>
        <w:tc>
          <w:tcPr>
            <w:tcW w:w="2260" w:type="dxa"/>
            <w:vAlign w:val="bottom"/>
          </w:tcPr>
          <w:p>
            <w:pPr>
              <w:jc w:val="center"/>
              <w:ind w:right="281"/>
              <w:spacing w:after="0"/>
              <w:rPr>
                <w:sz w:val="20"/>
                <w:szCs w:val="20"/>
                <w:color w:val="auto"/>
              </w:rPr>
            </w:pPr>
            <w:r>
              <w:rPr>
                <w:rFonts w:ascii="Arial" w:cs="Arial" w:eastAsia="Arial" w:hAnsi="Arial"/>
                <w:sz w:val="16"/>
                <w:szCs w:val="16"/>
                <w:color w:val="auto"/>
                <w:w w:val="90"/>
              </w:rPr>
              <w:t>July 17, 2013</w:t>
            </w:r>
          </w:p>
        </w:tc>
      </w:tr>
      <w:tr>
        <w:trPr>
          <w:trHeight w:val="204"/>
        </w:trPr>
        <w:tc>
          <w:tcPr>
            <w:tcW w:w="2660" w:type="dxa"/>
            <w:vAlign w:val="bottom"/>
          </w:tcPr>
          <w:p>
            <w:pPr>
              <w:jc w:val="center"/>
              <w:ind w:left="721"/>
              <w:spacing w:after="0"/>
              <w:rPr>
                <w:sz w:val="20"/>
                <w:szCs w:val="20"/>
                <w:color w:val="auto"/>
              </w:rPr>
            </w:pPr>
            <w:r>
              <w:rPr>
                <w:rFonts w:ascii="Arial" w:cs="Arial" w:eastAsia="Arial" w:hAnsi="Arial"/>
                <w:sz w:val="16"/>
                <w:szCs w:val="16"/>
                <w:color w:val="auto"/>
                <w:w w:val="92"/>
              </w:rPr>
              <w:t>Richard M. Beyer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46"/>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Patrick J. Byrne</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Director</w:t>
            </w:r>
          </w:p>
        </w:tc>
        <w:tc>
          <w:tcPr>
            <w:tcW w:w="2260" w:type="dxa"/>
            <w:vAlign w:val="bottom"/>
          </w:tcPr>
          <w:p>
            <w:pPr>
              <w:jc w:val="center"/>
              <w:ind w:right="281"/>
              <w:spacing w:after="0"/>
              <w:rPr>
                <w:sz w:val="20"/>
                <w:szCs w:val="20"/>
                <w:color w:val="auto"/>
              </w:rPr>
            </w:pPr>
            <w:r>
              <w:rPr>
                <w:rFonts w:ascii="Arial" w:cs="Arial" w:eastAsia="Arial" w:hAnsi="Arial"/>
                <w:sz w:val="16"/>
                <w:szCs w:val="16"/>
                <w:color w:val="auto"/>
                <w:w w:val="90"/>
              </w:rPr>
              <w:t>July 17, 2013</w:t>
            </w:r>
          </w:p>
        </w:tc>
      </w:tr>
      <w:tr>
        <w:trPr>
          <w:trHeight w:val="204"/>
        </w:trPr>
        <w:tc>
          <w:tcPr>
            <w:tcW w:w="2660" w:type="dxa"/>
            <w:vAlign w:val="bottom"/>
          </w:tcPr>
          <w:p>
            <w:pPr>
              <w:ind w:left="1240"/>
              <w:spacing w:after="0"/>
              <w:rPr>
                <w:sz w:val="20"/>
                <w:szCs w:val="20"/>
                <w:color w:val="auto"/>
              </w:rPr>
            </w:pPr>
            <w:r>
              <w:rPr>
                <w:rFonts w:ascii="Arial" w:cs="Arial" w:eastAsia="Arial" w:hAnsi="Arial"/>
                <w:sz w:val="16"/>
                <w:szCs w:val="16"/>
                <w:color w:val="auto"/>
              </w:rPr>
              <w:t>Patrick J. Byrne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46"/>
        </w:trPr>
        <w:tc>
          <w:tcPr>
            <w:tcW w:w="2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Director</w:t>
            </w:r>
          </w:p>
        </w:tc>
        <w:tc>
          <w:tcPr>
            <w:tcW w:w="2260" w:type="dxa"/>
            <w:vAlign w:val="bottom"/>
          </w:tcPr>
          <w:p>
            <w:pPr>
              <w:spacing w:after="0"/>
              <w:rPr>
                <w:sz w:val="24"/>
                <w:szCs w:val="24"/>
                <w:color w:val="auto"/>
              </w:rPr>
            </w:pPr>
          </w:p>
        </w:tc>
      </w:tr>
      <w:tr>
        <w:trPr>
          <w:trHeight w:val="204"/>
        </w:trPr>
        <w:tc>
          <w:tcPr>
            <w:tcW w:w="2660" w:type="dxa"/>
            <w:vAlign w:val="bottom"/>
          </w:tcPr>
          <w:p>
            <w:pPr>
              <w:jc w:val="center"/>
              <w:ind w:left="721"/>
              <w:spacing w:after="0"/>
              <w:rPr>
                <w:sz w:val="20"/>
                <w:szCs w:val="20"/>
                <w:color w:val="auto"/>
              </w:rPr>
            </w:pPr>
            <w:r>
              <w:rPr>
                <w:rFonts w:ascii="Arial" w:cs="Arial" w:eastAsia="Arial" w:hAnsi="Arial"/>
                <w:sz w:val="16"/>
                <w:szCs w:val="16"/>
                <w:color w:val="auto"/>
                <w:w w:val="87"/>
              </w:rPr>
              <w:t>Warren East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46"/>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Mercedes Johnson</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Director</w:t>
            </w:r>
          </w:p>
        </w:tc>
        <w:tc>
          <w:tcPr>
            <w:tcW w:w="2260" w:type="dxa"/>
            <w:vAlign w:val="bottom"/>
          </w:tcPr>
          <w:p>
            <w:pPr>
              <w:jc w:val="center"/>
              <w:ind w:right="281"/>
              <w:spacing w:after="0"/>
              <w:rPr>
                <w:sz w:val="20"/>
                <w:szCs w:val="20"/>
                <w:color w:val="auto"/>
              </w:rPr>
            </w:pPr>
            <w:r>
              <w:rPr>
                <w:rFonts w:ascii="Arial" w:cs="Arial" w:eastAsia="Arial" w:hAnsi="Arial"/>
                <w:sz w:val="16"/>
                <w:szCs w:val="16"/>
                <w:color w:val="auto"/>
                <w:w w:val="90"/>
              </w:rPr>
              <w:t>July 17, 2013</w:t>
            </w:r>
          </w:p>
        </w:tc>
      </w:tr>
      <w:tr>
        <w:trPr>
          <w:trHeight w:val="204"/>
        </w:trPr>
        <w:tc>
          <w:tcPr>
            <w:tcW w:w="2660" w:type="dxa"/>
            <w:vAlign w:val="bottom"/>
          </w:tcPr>
          <w:p>
            <w:pPr>
              <w:jc w:val="center"/>
              <w:ind w:left="721"/>
              <w:spacing w:after="0"/>
              <w:rPr>
                <w:sz w:val="20"/>
                <w:szCs w:val="20"/>
                <w:color w:val="auto"/>
              </w:rPr>
            </w:pPr>
            <w:r>
              <w:rPr>
                <w:rFonts w:ascii="Arial" w:cs="Arial" w:eastAsia="Arial" w:hAnsi="Arial"/>
                <w:sz w:val="16"/>
                <w:szCs w:val="16"/>
                <w:color w:val="auto"/>
                <w:w w:val="87"/>
              </w:rPr>
              <w:t>Mercedes Johnson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346"/>
        </w:trPr>
        <w:tc>
          <w:tcPr>
            <w:tcW w:w="2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/s/ Lawrence N. Mondry</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20" w:type="dxa"/>
            <w:vAlign w:val="bottom"/>
          </w:tcPr>
          <w:p>
            <w:pPr>
              <w:ind w:left="500"/>
              <w:spacing w:after="0"/>
              <w:rPr>
                <w:sz w:val="20"/>
                <w:szCs w:val="20"/>
                <w:color w:val="auto"/>
              </w:rPr>
            </w:pPr>
            <w:r>
              <w:rPr>
                <w:rFonts w:ascii="Arial" w:cs="Arial" w:eastAsia="Arial" w:hAnsi="Arial"/>
                <w:sz w:val="16"/>
                <w:szCs w:val="16"/>
                <w:color w:val="auto"/>
              </w:rPr>
              <w:t>Director</w:t>
            </w:r>
          </w:p>
        </w:tc>
        <w:tc>
          <w:tcPr>
            <w:tcW w:w="2260" w:type="dxa"/>
            <w:vAlign w:val="bottom"/>
          </w:tcPr>
          <w:p>
            <w:pPr>
              <w:jc w:val="center"/>
              <w:ind w:right="281"/>
              <w:spacing w:after="0"/>
              <w:rPr>
                <w:sz w:val="20"/>
                <w:szCs w:val="20"/>
                <w:color w:val="auto"/>
              </w:rPr>
            </w:pPr>
            <w:r>
              <w:rPr>
                <w:rFonts w:ascii="Arial" w:cs="Arial" w:eastAsia="Arial" w:hAnsi="Arial"/>
                <w:sz w:val="16"/>
                <w:szCs w:val="16"/>
                <w:color w:val="auto"/>
                <w:w w:val="90"/>
              </w:rPr>
              <w:t>July 17, 2013</w:t>
            </w:r>
          </w:p>
        </w:tc>
      </w:tr>
      <w:tr>
        <w:trPr>
          <w:trHeight w:val="204"/>
        </w:trPr>
        <w:tc>
          <w:tcPr>
            <w:tcW w:w="2660" w:type="dxa"/>
            <w:vAlign w:val="bottom"/>
          </w:tcPr>
          <w:p>
            <w:pPr>
              <w:jc w:val="center"/>
              <w:ind w:left="721"/>
              <w:spacing w:after="0"/>
              <w:rPr>
                <w:sz w:val="20"/>
                <w:szCs w:val="20"/>
                <w:color w:val="auto"/>
              </w:rPr>
            </w:pPr>
            <w:r>
              <w:rPr>
                <w:rFonts w:ascii="Arial" w:cs="Arial" w:eastAsia="Arial" w:hAnsi="Arial"/>
                <w:sz w:val="16"/>
                <w:szCs w:val="16"/>
                <w:color w:val="auto"/>
                <w:w w:val="93"/>
              </w:rPr>
              <w:t>Lawrence N. Mondry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2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681" w:right="219" w:bottom="1440" w:gutter="0" w:footer="0" w:header="0"/>
        </w:sectPr>
      </w:pPr>
    </w:p>
    <w:bookmarkStart w:id="7" w:name="page8"/>
    <w:bookmarkEnd w:id="7"/>
    <w:tbl>
      <w:tblPr>
        <w:tblLayout w:type="fixed"/>
        <w:tblInd w:w="5" w:type="dxa"/>
        <w:tblCellMar>
          <w:top w:w="0" w:type="dxa"/>
          <w:left w:w="0" w:type="dxa"/>
          <w:bottom w:w="0" w:type="dxa"/>
          <w:right w:w="0" w:type="dxa"/>
        </w:tblCellMar>
      </w:tblPr>
      <w:tr>
        <w:trPr>
          <w:trHeight w:val="205"/>
        </w:trPr>
        <w:tc>
          <w:tcPr>
            <w:tcW w:w="1380" w:type="dxa"/>
            <w:vAlign w:val="bottom"/>
          </w:tcPr>
          <w:p>
            <w:pPr>
              <w:spacing w:after="0"/>
              <w:rPr>
                <w:sz w:val="17"/>
                <w:szCs w:val="17"/>
                <w:color w:val="auto"/>
              </w:rPr>
            </w:pPr>
          </w:p>
        </w:tc>
        <w:tc>
          <w:tcPr>
            <w:tcW w:w="6180" w:type="dxa"/>
            <w:vAlign w:val="bottom"/>
          </w:tcPr>
          <w:p>
            <w:pPr>
              <w:ind w:left="3720"/>
              <w:spacing w:after="0"/>
              <w:rPr>
                <w:sz w:val="20"/>
                <w:szCs w:val="20"/>
                <w:color w:val="auto"/>
              </w:rPr>
            </w:pPr>
            <w:r>
              <w:rPr>
                <w:rFonts w:ascii="Arial" w:cs="Arial" w:eastAsia="Arial" w:hAnsi="Arial"/>
                <w:sz w:val="16"/>
                <w:szCs w:val="16"/>
                <w:b w:val="1"/>
                <w:bCs w:val="1"/>
                <w:color w:val="auto"/>
              </w:rPr>
              <w:t>EXHIBIT INDEX</w:t>
            </w:r>
          </w:p>
        </w:tc>
      </w:tr>
      <w:tr>
        <w:trPr>
          <w:trHeight w:val="389"/>
        </w:trPr>
        <w:tc>
          <w:tcPr>
            <w:tcW w:w="138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6180" w:type="dxa"/>
            <w:vAlign w:val="bottom"/>
          </w:tcPr>
          <w:p>
            <w:pPr>
              <w:spacing w:after="0"/>
              <w:rPr>
                <w:sz w:val="24"/>
                <w:szCs w:val="24"/>
                <w:color w:val="auto"/>
              </w:rPr>
            </w:pPr>
          </w:p>
        </w:tc>
      </w:tr>
      <w:tr>
        <w:trPr>
          <w:trHeight w:val="210"/>
        </w:trPr>
        <w:tc>
          <w:tcPr>
            <w:tcW w:w="13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6180" w:type="dxa"/>
            <w:vAlign w:val="bottom"/>
          </w:tcPr>
          <w:p>
            <w:pPr>
              <w:spacing w:after="0"/>
              <w:rPr>
                <w:sz w:val="20"/>
                <w:szCs w:val="20"/>
                <w:color w:val="auto"/>
              </w:rPr>
            </w:pPr>
            <w:r>
              <w:rPr>
                <w:rFonts w:ascii="Arial" w:cs="Arial" w:eastAsia="Arial" w:hAnsi="Arial"/>
                <w:sz w:val="16"/>
                <w:szCs w:val="16"/>
                <w:b w:val="1"/>
                <w:bCs w:val="1"/>
                <w:color w:val="auto"/>
              </w:rPr>
              <w:t>Description</w:t>
            </w:r>
          </w:p>
        </w:tc>
      </w:tr>
      <w:tr>
        <w:trPr>
          <w:trHeight w:val="368"/>
        </w:trPr>
        <w:tc>
          <w:tcPr>
            <w:tcW w:w="1380" w:type="dxa"/>
            <w:vAlign w:val="bottom"/>
          </w:tcPr>
          <w:p>
            <w:pPr>
              <w:spacing w:after="0"/>
              <w:rPr>
                <w:sz w:val="20"/>
                <w:szCs w:val="20"/>
                <w:color w:val="auto"/>
              </w:rPr>
            </w:pPr>
            <w:r>
              <w:rPr>
                <w:rFonts w:ascii="Arial" w:cs="Arial" w:eastAsia="Arial" w:hAnsi="Arial"/>
                <w:sz w:val="16"/>
                <w:szCs w:val="16"/>
                <w:color w:val="auto"/>
              </w:rPr>
              <w:t>4.1</w:t>
            </w:r>
          </w:p>
        </w:tc>
        <w:tc>
          <w:tcPr>
            <w:tcW w:w="6180" w:type="dxa"/>
            <w:vAlign w:val="bottom"/>
          </w:tcPr>
          <w:p>
            <w:pPr>
              <w:spacing w:after="0"/>
              <w:rPr>
                <w:sz w:val="20"/>
                <w:szCs w:val="20"/>
                <w:color w:val="auto"/>
              </w:rPr>
            </w:pPr>
            <w:r>
              <w:rPr>
                <w:rFonts w:ascii="Arial" w:cs="Arial" w:eastAsia="Arial" w:hAnsi="Arial"/>
                <w:sz w:val="16"/>
                <w:szCs w:val="16"/>
                <w:color w:val="auto"/>
              </w:rPr>
              <w:t>Micron Technology, Inc. Amended and Restated 2004 Equity Incentive Plan</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4.2*</w:t>
            </w:r>
          </w:p>
        </w:tc>
        <w:tc>
          <w:tcPr>
            <w:tcW w:w="6180" w:type="dxa"/>
            <w:vAlign w:val="bottom"/>
          </w:tcPr>
          <w:p>
            <w:pPr>
              <w:spacing w:after="0"/>
              <w:rPr>
                <w:sz w:val="20"/>
                <w:szCs w:val="20"/>
                <w:color w:val="auto"/>
              </w:rPr>
            </w:pPr>
            <w:r>
              <w:rPr>
                <w:rFonts w:ascii="Arial" w:cs="Arial" w:eastAsia="Arial" w:hAnsi="Arial"/>
                <w:sz w:val="16"/>
                <w:szCs w:val="16"/>
                <w:color w:val="auto"/>
                <w:w w:val="89"/>
              </w:rPr>
              <w:t>Micron Technology, Inc. Amended and Restated 2004 Equity Incentive Plan Forms of Agreement</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5.1</w:t>
            </w:r>
          </w:p>
        </w:tc>
        <w:tc>
          <w:tcPr>
            <w:tcW w:w="6180" w:type="dxa"/>
            <w:vAlign w:val="bottom"/>
          </w:tcPr>
          <w:p>
            <w:pPr>
              <w:spacing w:after="0"/>
              <w:rPr>
                <w:sz w:val="20"/>
                <w:szCs w:val="20"/>
                <w:color w:val="auto"/>
              </w:rPr>
            </w:pPr>
            <w:r>
              <w:rPr>
                <w:rFonts w:ascii="Arial" w:cs="Arial" w:eastAsia="Arial" w:hAnsi="Arial"/>
                <w:sz w:val="16"/>
                <w:szCs w:val="16"/>
                <w:color w:val="auto"/>
              </w:rPr>
              <w:t>Opinion of Counsel</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23.1</w:t>
            </w:r>
          </w:p>
        </w:tc>
        <w:tc>
          <w:tcPr>
            <w:tcW w:w="6180" w:type="dxa"/>
            <w:vAlign w:val="bottom"/>
          </w:tcPr>
          <w:p>
            <w:pPr>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23.2</w:t>
            </w:r>
          </w:p>
        </w:tc>
        <w:tc>
          <w:tcPr>
            <w:tcW w:w="6180" w:type="dxa"/>
            <w:vAlign w:val="bottom"/>
          </w:tcPr>
          <w:p>
            <w:pPr>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190"/>
        </w:trPr>
        <w:tc>
          <w:tcPr>
            <w:tcW w:w="1380" w:type="dxa"/>
            <w:vAlign w:val="bottom"/>
          </w:tcPr>
          <w:p>
            <w:pPr>
              <w:spacing w:after="0"/>
              <w:rPr>
                <w:sz w:val="20"/>
                <w:szCs w:val="20"/>
                <w:color w:val="auto"/>
              </w:rPr>
            </w:pPr>
            <w:r>
              <w:rPr>
                <w:rFonts w:ascii="Arial" w:cs="Arial" w:eastAsia="Arial" w:hAnsi="Arial"/>
                <w:sz w:val="16"/>
                <w:szCs w:val="16"/>
                <w:color w:val="auto"/>
              </w:rPr>
              <w:t>23.3</w:t>
            </w:r>
          </w:p>
        </w:tc>
        <w:tc>
          <w:tcPr>
            <w:tcW w:w="6180" w:type="dxa"/>
            <w:vAlign w:val="bottom"/>
          </w:tcPr>
          <w:p>
            <w:pPr>
              <w:spacing w:after="0"/>
              <w:rPr>
                <w:sz w:val="20"/>
                <w:szCs w:val="20"/>
                <w:color w:val="auto"/>
              </w:rPr>
            </w:pPr>
            <w:r>
              <w:rPr>
                <w:rFonts w:ascii="Arial" w:cs="Arial" w:eastAsia="Arial" w:hAnsi="Arial"/>
                <w:sz w:val="16"/>
                <w:szCs w:val="16"/>
                <w:color w:val="auto"/>
              </w:rPr>
              <w:t>Consent of Counsel (contained in Exhibit 5.1)</w:t>
            </w:r>
          </w:p>
        </w:tc>
      </w:tr>
      <w:tr>
        <w:trPr>
          <w:trHeight w:val="201"/>
        </w:trPr>
        <w:tc>
          <w:tcPr>
            <w:tcW w:w="1380" w:type="dxa"/>
            <w:vAlign w:val="bottom"/>
          </w:tcPr>
          <w:p>
            <w:pPr>
              <w:spacing w:after="0"/>
              <w:rPr>
                <w:sz w:val="20"/>
                <w:szCs w:val="20"/>
                <w:color w:val="auto"/>
              </w:rPr>
            </w:pPr>
            <w:r>
              <w:rPr>
                <w:rFonts w:ascii="Arial" w:cs="Arial" w:eastAsia="Arial" w:hAnsi="Arial"/>
                <w:sz w:val="16"/>
                <w:szCs w:val="16"/>
                <w:color w:val="auto"/>
              </w:rPr>
              <w:t>24.1</w:t>
            </w:r>
          </w:p>
        </w:tc>
        <w:tc>
          <w:tcPr>
            <w:tcW w:w="6180" w:type="dxa"/>
            <w:vAlign w:val="bottom"/>
          </w:tcPr>
          <w:p>
            <w:pPr>
              <w:spacing w:after="0"/>
              <w:rPr>
                <w:sz w:val="20"/>
                <w:szCs w:val="20"/>
                <w:color w:val="auto"/>
              </w:rPr>
            </w:pPr>
            <w:r>
              <w:rPr>
                <w:rFonts w:ascii="Arial" w:cs="Arial" w:eastAsia="Arial" w:hAnsi="Arial"/>
                <w:sz w:val="16"/>
                <w:szCs w:val="16"/>
                <w:color w:val="auto"/>
              </w:rPr>
              <w:t>Power of Attorney (included on signature page)</w:t>
            </w:r>
          </w:p>
        </w:tc>
      </w:tr>
    </w:tbl>
    <w:p>
      <w:pPr>
        <w:spacing w:after="0" w:line="203" w:lineRule="exact"/>
        <w:rPr>
          <w:sz w:val="20"/>
          <w:szCs w:val="20"/>
          <w:color w:val="auto"/>
        </w:rPr>
      </w:pPr>
    </w:p>
    <w:p>
      <w:pPr>
        <w:ind w:left="5685" w:right="3539" w:hanging="5685"/>
        <w:spacing w:after="0" w:line="899" w:lineRule="auto"/>
        <w:tabs>
          <w:tab w:leader="none" w:pos="124" w:val="left"/>
        </w:tabs>
        <w:numPr>
          <w:ilvl w:val="0"/>
          <w:numId w:val="6"/>
        </w:numPr>
        <w:rPr>
          <w:rFonts w:ascii="Arial" w:cs="Arial" w:eastAsia="Arial" w:hAnsi="Arial"/>
          <w:sz w:val="15"/>
          <w:szCs w:val="15"/>
          <w:color w:val="auto"/>
        </w:rPr>
      </w:pPr>
      <w:r>
        <w:rPr>
          <w:rFonts w:ascii="Arial" w:cs="Arial" w:eastAsia="Arial" w:hAnsi="Arial"/>
          <w:sz w:val="15"/>
          <w:szCs w:val="15"/>
          <w:color w:val="auto"/>
        </w:rPr>
        <w:t>Incorporated by reference to Quarterly Report on Form 10-Q for the fiscal quarter ended March 3, 2005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7564120</wp:posOffset>
            </wp:positionV>
            <wp:extent cx="726821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0224"/>
          </w:cols>
          <w:pgMar w:left="235" w:top="895"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MICRON TECHNOLOGY,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 2004 EQUITY INCENTIVE PLAN</w:t>
      </w:r>
    </w:p>
    <w:p>
      <w:pPr>
        <w:spacing w:after="0" w:line="205"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ARTICLE 1</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PURPOSE</w:t>
      </w:r>
    </w:p>
    <w:p>
      <w:pPr>
        <w:spacing w:after="0" w:line="209" w:lineRule="exact"/>
        <w:rPr>
          <w:sz w:val="20"/>
          <w:szCs w:val="20"/>
          <w:color w:val="auto"/>
        </w:rPr>
      </w:pPr>
    </w:p>
    <w:p>
      <w:pPr>
        <w:jc w:val="both"/>
        <w:ind w:right="20" w:firstLine="570"/>
        <w:spacing w:after="0" w:line="25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purpose of the Micron Technology, Inc. Amended and Restated 2004 Equity Incentive Plan (the “Plan”) is to promote the success, and enhance the value, of Micron Technology, Inc. (the “Company”), by linking the personal interests of employees, officers, directors and consultants of the Company or any Affiliate (as defined below) to those of Company stockholders and by providing such persons with an incentive for outstanding performance. The Plan is further intended to provide flexibility to the Company in its ability to motivate, attract, and retain the services of employees, officers, directors and consultants upon whose judgment, interest, and special effort the successful conduct of the Company's operation is largely dependent. Accordingly, the Plan permits the grant of incentive awards from time to time to selected employees, officers, directors and consultants of the Company and its Affiliates.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09"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i w:val="1"/>
          <w:iCs w:val="1"/>
          <w:color w:val="auto"/>
        </w:rPr>
        <w:t>DEFINITIONS.</w:t>
      </w:r>
      <w:r>
        <w:rPr>
          <w:rFonts w:ascii="Arial" w:cs="Arial" w:eastAsia="Arial" w:hAnsi="Arial"/>
          <w:sz w:val="16"/>
          <w:szCs w:val="16"/>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88" w:lineRule="exact"/>
        <w:rPr>
          <w:sz w:val="20"/>
          <w:szCs w:val="20"/>
          <w:color w:val="auto"/>
        </w:rPr>
      </w:pPr>
    </w:p>
    <w:p>
      <w:pPr>
        <w:ind w:left="560" w:right="20" w:firstLine="575"/>
        <w:spacing w:after="0" w:line="270" w:lineRule="auto"/>
        <w:tabs>
          <w:tab w:leader="none" w:pos="1788" w:val="left"/>
        </w:tabs>
        <w:numPr>
          <w:ilvl w:val="0"/>
          <w:numId w:val="7"/>
        </w:numPr>
        <w:rPr>
          <w:rFonts w:ascii="Arial" w:cs="Arial" w:eastAsia="Arial" w:hAnsi="Arial"/>
          <w:sz w:val="16"/>
          <w:szCs w:val="16"/>
          <w:color w:val="auto"/>
        </w:rPr>
      </w:pPr>
      <w:r>
        <w:rPr>
          <w:rFonts w:ascii="Arial" w:cs="Arial" w:eastAsia="Arial" w:hAnsi="Arial"/>
          <w:sz w:val="16"/>
          <w:szCs w:val="16"/>
          <w:color w:val="auto"/>
        </w:rPr>
        <w:t>“Affiliate” means (i) any Subsidiary or Parent, or (ii) an entity that directly or through one or more intermediaries controls, is controlled by or is under common control with, the Company, as determined by the Committee.</w:t>
      </w:r>
    </w:p>
    <w:p>
      <w:pPr>
        <w:spacing w:after="0" w:line="179" w:lineRule="exact"/>
        <w:rPr>
          <w:rFonts w:ascii="Arial" w:cs="Arial" w:eastAsia="Arial" w:hAnsi="Arial"/>
          <w:sz w:val="16"/>
          <w:szCs w:val="16"/>
          <w:color w:val="auto"/>
        </w:rPr>
      </w:pPr>
    </w:p>
    <w:p>
      <w:pPr>
        <w:ind w:left="560" w:right="20" w:firstLine="575"/>
        <w:spacing w:after="0" w:line="270" w:lineRule="auto"/>
        <w:tabs>
          <w:tab w:leader="none" w:pos="1768" w:val="left"/>
        </w:tabs>
        <w:numPr>
          <w:ilvl w:val="0"/>
          <w:numId w:val="7"/>
        </w:numPr>
        <w:rPr>
          <w:rFonts w:ascii="Arial" w:cs="Arial" w:eastAsia="Arial" w:hAnsi="Arial"/>
          <w:sz w:val="16"/>
          <w:szCs w:val="16"/>
          <w:color w:val="auto"/>
        </w:rPr>
      </w:pPr>
      <w:r>
        <w:rPr>
          <w:rFonts w:ascii="Arial" w:cs="Arial" w:eastAsia="Arial" w:hAnsi="Arial"/>
          <w:sz w:val="16"/>
          <w:szCs w:val="16"/>
          <w:color w:val="auto"/>
        </w:rPr>
        <w:t>“Award” means any Option, Stock Appreciation Right, Restricted Stock Award, Restricted Stock Unit Award, Deferred Stock Unit Award, Performance Share, or Other Stock-Based Award granted to a Participant under the Plan.</w:t>
      </w:r>
    </w:p>
    <w:p>
      <w:pPr>
        <w:spacing w:after="0" w:line="179" w:lineRule="exact"/>
        <w:rPr>
          <w:rFonts w:ascii="Arial" w:cs="Arial" w:eastAsia="Arial" w:hAnsi="Arial"/>
          <w:sz w:val="16"/>
          <w:szCs w:val="16"/>
          <w:color w:val="auto"/>
        </w:rPr>
      </w:pPr>
    </w:p>
    <w:p>
      <w:pPr>
        <w:jc w:val="both"/>
        <w:ind w:left="560" w:right="20" w:firstLine="575"/>
        <w:spacing w:after="0" w:line="259" w:lineRule="auto"/>
        <w:tabs>
          <w:tab w:leader="none" w:pos="1756" w:val="left"/>
        </w:tabs>
        <w:numPr>
          <w:ilvl w:val="0"/>
          <w:numId w:val="7"/>
        </w:numPr>
        <w:rPr>
          <w:rFonts w:ascii="Arial" w:cs="Arial" w:eastAsia="Arial" w:hAnsi="Arial"/>
          <w:sz w:val="16"/>
          <w:szCs w:val="16"/>
          <w:color w:val="auto"/>
        </w:rPr>
      </w:pPr>
      <w:r>
        <w:rPr>
          <w:rFonts w:ascii="Arial" w:cs="Arial" w:eastAsia="Arial" w:hAnsi="Arial"/>
          <w:sz w:val="16"/>
          <w:szCs w:val="16"/>
          <w:color w:val="auto"/>
        </w:rPr>
        <w:t>“Award Certificate” means a written document, in such form as the Committee prescribes from time to time, setting forth the terms and conditions of an Award. Award Certificates may be in the form of individual award agreements or certificates or a program document describing the terms and provisions of an Awards or series of Awards under the Plan.</w:t>
      </w:r>
    </w:p>
    <w:p>
      <w:pPr>
        <w:spacing w:after="0" w:line="188" w:lineRule="exact"/>
        <w:rPr>
          <w:rFonts w:ascii="Arial" w:cs="Arial" w:eastAsia="Arial" w:hAnsi="Arial"/>
          <w:sz w:val="16"/>
          <w:szCs w:val="16"/>
          <w:color w:val="auto"/>
        </w:rPr>
      </w:pPr>
    </w:p>
    <w:p>
      <w:pPr>
        <w:ind w:left="1760" w:hanging="625"/>
        <w:spacing w:after="0"/>
        <w:tabs>
          <w:tab w:leader="none" w:pos="1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“Board” means the Board of Directors of the Company.</w:t>
      </w:r>
    </w:p>
    <w:p>
      <w:pPr>
        <w:spacing w:after="0" w:line="219" w:lineRule="exact"/>
        <w:rPr>
          <w:rFonts w:ascii="Arial" w:cs="Arial" w:eastAsia="Arial" w:hAnsi="Arial"/>
          <w:sz w:val="16"/>
          <w:szCs w:val="16"/>
          <w:color w:val="auto"/>
        </w:rPr>
      </w:pPr>
    </w:p>
    <w:p>
      <w:pPr>
        <w:ind w:left="1740" w:hanging="605"/>
        <w:spacing w:after="0"/>
        <w:tabs>
          <w:tab w:leader="none" w:pos="1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 in Control” means and includes the occurrence of any one of the following events:</w:t>
      </w:r>
    </w:p>
    <w:p>
      <w:pPr>
        <w:spacing w:after="0" w:line="219" w:lineRule="exact"/>
        <w:rPr>
          <w:rFonts w:ascii="Arial" w:cs="Arial" w:eastAsia="Arial" w:hAnsi="Arial"/>
          <w:sz w:val="16"/>
          <w:szCs w:val="16"/>
          <w:color w:val="auto"/>
        </w:rPr>
      </w:pPr>
    </w:p>
    <w:p>
      <w:pPr>
        <w:jc w:val="both"/>
        <w:ind w:left="1140" w:right="20" w:firstLine="565"/>
        <w:spacing w:after="0" w:line="259" w:lineRule="auto"/>
        <w:tabs>
          <w:tab w:leader="none" w:pos="2352" w:val="left"/>
        </w:tabs>
        <w:numPr>
          <w:ilvl w:val="1"/>
          <w:numId w:val="7"/>
        </w:numPr>
        <w:rPr>
          <w:rFonts w:ascii="Arial" w:cs="Arial" w:eastAsia="Arial" w:hAnsi="Arial"/>
          <w:sz w:val="16"/>
          <w:szCs w:val="16"/>
          <w:color w:val="auto"/>
        </w:rPr>
      </w:pPr>
      <w:r>
        <w:rPr>
          <w:rFonts w:ascii="Arial" w:cs="Arial" w:eastAsia="Arial" w:hAnsi="Arial"/>
          <w:sz w:val="16"/>
          <w:szCs w:val="16"/>
          <w:color w:val="auto"/>
        </w:rPr>
        <w:t>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978" w:right="219" w:bottom="1440" w:gutter="0" w:footer="0" w:header="0"/>
        </w:sectPr>
      </w:pPr>
    </w:p>
    <w:bookmarkStart w:id="9" w:name="page10"/>
    <w:bookmarkEnd w:id="9"/>
    <w:p>
      <w:pPr>
        <w:jc w:val="both"/>
        <w:ind w:right="20" w:firstLine="46"/>
        <w:spacing w:after="0" w:line="277" w:lineRule="auto"/>
        <w:rPr>
          <w:sz w:val="20"/>
          <w:szCs w:val="20"/>
          <w:color w:val="auto"/>
        </w:rPr>
      </w:pPr>
      <w:r>
        <w:rPr>
          <w:rFonts w:ascii="Arial" w:cs="Arial" w:eastAsia="Arial" w:hAnsi="Arial"/>
          <w:sz w:val="15"/>
          <w:szCs w:val="15"/>
          <w:color w:val="auto"/>
        </w:rPr>
        <w:t xml:space="preserve">majority of the Incumbent Directors then on the Board shall be an Incumbent Director;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391" w:lineRule="exact"/>
        <w:rPr>
          <w:sz w:val="20"/>
          <w:szCs w:val="20"/>
          <w:color w:val="auto"/>
        </w:rPr>
      </w:pPr>
    </w:p>
    <w:p>
      <w:pPr>
        <w:jc w:val="both"/>
        <w:ind w:firstLine="565"/>
        <w:spacing w:after="0" w:line="251" w:lineRule="auto"/>
        <w:tabs>
          <w:tab w:leader="none" w:pos="122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97" w:lineRule="exact"/>
        <w:rPr>
          <w:rFonts w:ascii="Arial" w:cs="Arial" w:eastAsia="Arial" w:hAnsi="Arial"/>
          <w:sz w:val="16"/>
          <w:szCs w:val="16"/>
          <w:color w:val="auto"/>
        </w:rPr>
      </w:pPr>
    </w:p>
    <w:p>
      <w:pPr>
        <w:jc w:val="both"/>
        <w:ind w:firstLine="565"/>
        <w:spacing w:after="0" w:line="267" w:lineRule="auto"/>
        <w:tabs>
          <w:tab w:leader="none" w:pos="1299"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315"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69850</wp:posOffset>
            </wp:positionV>
            <wp:extent cx="726821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300"/>
          </w:cols>
          <w:pgMar w:left="1380" w:top="471" w:right="219" w:bottom="1440" w:gutter="0" w:footer="0" w:header="0"/>
        </w:sectPr>
      </w:pPr>
    </w:p>
    <w:bookmarkStart w:id="10" w:name="page11"/>
    <w:bookmarkEnd w:id="10"/>
    <w:p>
      <w:pPr>
        <w:ind w:left="1225" w:hanging="655"/>
        <w:spacing w:after="0"/>
        <w:tabs>
          <w:tab w:leader="none" w:pos="1225" w:val="left"/>
        </w:tabs>
        <w:numPr>
          <w:ilvl w:val="1"/>
          <w:numId w:val="9"/>
        </w:numPr>
        <w:rPr>
          <w:rFonts w:ascii="Arial" w:cs="Arial" w:eastAsia="Arial" w:hAnsi="Arial"/>
          <w:sz w:val="16"/>
          <w:szCs w:val="16"/>
          <w:color w:val="auto"/>
        </w:rPr>
      </w:pPr>
      <w:r>
        <w:rPr>
          <w:rFonts w:ascii="Arial" w:cs="Arial" w:eastAsia="Arial" w:hAnsi="Arial"/>
          <w:sz w:val="16"/>
          <w:szCs w:val="16"/>
          <w:color w:val="auto"/>
        </w:rPr>
        <w:t>approval by the stockholders of the Company of a complete liquidation or dissolution of the Company.</w:t>
      </w:r>
    </w:p>
    <w:p>
      <w:pPr>
        <w:spacing w:after="0" w:line="219" w:lineRule="exact"/>
        <w:rPr>
          <w:rFonts w:ascii="Arial" w:cs="Arial" w:eastAsia="Arial" w:hAnsi="Arial"/>
          <w:sz w:val="16"/>
          <w:szCs w:val="16"/>
          <w:color w:val="auto"/>
        </w:rPr>
      </w:pPr>
    </w:p>
    <w:p>
      <w:pPr>
        <w:jc w:val="both"/>
        <w:ind w:left="-575" w:right="20" w:firstLine="575"/>
        <w:spacing w:after="0" w:line="284" w:lineRule="auto"/>
        <w:tabs>
          <w:tab w:leader="none" w:pos="1099"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from time to time, and includes a reference to the underlying final regulations. Reference to a specific Section of the Code 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71" w:lineRule="exact"/>
        <w:rPr>
          <w:rFonts w:ascii="Arial" w:cs="Arial" w:eastAsia="Arial" w:hAnsi="Arial"/>
          <w:sz w:val="15"/>
          <w:szCs w:val="15"/>
          <w:color w:val="auto"/>
        </w:rPr>
      </w:pPr>
    </w:p>
    <w:p>
      <w:pPr>
        <w:ind w:left="625" w:hanging="625"/>
        <w:spacing w:after="0"/>
        <w:tabs>
          <w:tab w:leader="none" w:pos="6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“Committee” means the committee of the Board described in Article 4.</w:t>
      </w:r>
    </w:p>
    <w:p>
      <w:pPr>
        <w:spacing w:after="0" w:line="219" w:lineRule="exact"/>
        <w:rPr>
          <w:rFonts w:ascii="Arial" w:cs="Arial" w:eastAsia="Arial" w:hAnsi="Arial"/>
          <w:sz w:val="16"/>
          <w:szCs w:val="16"/>
          <w:color w:val="auto"/>
        </w:rPr>
      </w:pPr>
    </w:p>
    <w:p>
      <w:pPr>
        <w:ind w:left="625" w:hanging="625"/>
        <w:spacing w:after="0"/>
        <w:tabs>
          <w:tab w:leader="none" w:pos="6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“Company” means Micron Technology, Inc., a Delaware corporation, or any successor corporation.</w:t>
      </w:r>
    </w:p>
    <w:p>
      <w:pPr>
        <w:spacing w:after="0" w:line="219" w:lineRule="exact"/>
        <w:rPr>
          <w:rFonts w:ascii="Arial" w:cs="Arial" w:eastAsia="Arial" w:hAnsi="Arial"/>
          <w:sz w:val="16"/>
          <w:szCs w:val="16"/>
          <w:color w:val="auto"/>
        </w:rPr>
      </w:pPr>
    </w:p>
    <w:p>
      <w:pPr>
        <w:jc w:val="both"/>
        <w:ind w:left="-575" w:firstLine="575"/>
        <w:spacing w:after="0" w:line="270" w:lineRule="auto"/>
        <w:tabs>
          <w:tab w:leader="none" w:pos="583"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“Continuous Status as a Participant” means the absence of any interruption or termination of service as an employee, officer, consultant or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81" w:lineRule="exact"/>
        <w:rPr>
          <w:rFonts w:ascii="Arial" w:cs="Arial" w:eastAsia="Arial" w:hAnsi="Arial"/>
          <w:sz w:val="15"/>
          <w:szCs w:val="15"/>
          <w:color w:val="auto"/>
        </w:rPr>
      </w:pPr>
    </w:p>
    <w:p>
      <w:pPr>
        <w:ind w:left="585" w:hanging="585"/>
        <w:spacing w:after="0"/>
        <w:tabs>
          <w:tab w:leader="none" w:pos="5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“Covered Employee” means a covered employee as defined in Code Section 162(m)(3).</w:t>
      </w:r>
    </w:p>
    <w:p>
      <w:pPr>
        <w:spacing w:after="0" w:line="219" w:lineRule="exact"/>
        <w:rPr>
          <w:rFonts w:ascii="Arial" w:cs="Arial" w:eastAsia="Arial" w:hAnsi="Arial"/>
          <w:sz w:val="16"/>
          <w:szCs w:val="16"/>
          <w:color w:val="auto"/>
        </w:rPr>
      </w:pPr>
    </w:p>
    <w:p>
      <w:pPr>
        <w:jc w:val="both"/>
        <w:ind w:left="-575" w:firstLine="575"/>
        <w:spacing w:after="0" w:line="271" w:lineRule="auto"/>
        <w:tabs>
          <w:tab w:leader="none" w:pos="718" w:val="left"/>
        </w:tabs>
        <w:numPr>
          <w:ilvl w:val="0"/>
          <w:numId w:val="10"/>
        </w:numPr>
        <w:rPr>
          <w:rFonts w:ascii="Arial" w:cs="Arial" w:eastAsia="Arial" w:hAnsi="Arial"/>
          <w:sz w:val="15"/>
          <w:szCs w:val="15"/>
          <w:color w:val="auto"/>
        </w:rPr>
      </w:pPr>
      <w:r>
        <w:rPr>
          <w:rFonts w:ascii="Arial" w:cs="Arial" w:eastAsia="Arial" w:hAnsi="Arial"/>
          <w:sz w:val="15"/>
          <w:szCs w:val="15"/>
          <w:color w:val="auto"/>
        </w:rPr>
        <w:t>“Disability” or “Disabled” has the same meaning as provided in the long-term disability plan or policy maintained by the 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80" w:lineRule="exact"/>
        <w:rPr>
          <w:rFonts w:ascii="Arial" w:cs="Arial" w:eastAsia="Arial" w:hAnsi="Arial"/>
          <w:sz w:val="15"/>
          <w:szCs w:val="15"/>
          <w:color w:val="auto"/>
        </w:rPr>
      </w:pPr>
    </w:p>
    <w:p>
      <w:pPr>
        <w:ind w:left="585" w:hanging="585"/>
        <w:spacing w:after="0"/>
        <w:tabs>
          <w:tab w:leader="none" w:pos="58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“Deferred Stock Unit” means a right granted to a Participant under Article 11.</w:t>
      </w:r>
    </w:p>
    <w:p>
      <w:pPr>
        <w:spacing w:after="0" w:line="219" w:lineRule="exact"/>
        <w:rPr>
          <w:rFonts w:ascii="Arial" w:cs="Arial" w:eastAsia="Arial" w:hAnsi="Arial"/>
          <w:sz w:val="16"/>
          <w:szCs w:val="16"/>
          <w:color w:val="auto"/>
        </w:rPr>
      </w:pPr>
    </w:p>
    <w:p>
      <w:pPr>
        <w:ind w:left="665" w:hanging="665"/>
        <w:spacing w:after="0"/>
        <w:tabs>
          <w:tab w:leader="none" w:pos="6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“Dividend Equivalent” means a right granted with respect to an Award, as provided in Article 12.</w:t>
      </w:r>
    </w:p>
    <w:p>
      <w:pPr>
        <w:spacing w:after="0" w:line="219" w:lineRule="exact"/>
        <w:rPr>
          <w:rFonts w:ascii="Arial" w:cs="Arial" w:eastAsia="Arial" w:hAnsi="Arial"/>
          <w:sz w:val="16"/>
          <w:szCs w:val="16"/>
          <w:color w:val="auto"/>
        </w:rPr>
      </w:pPr>
    </w:p>
    <w:p>
      <w:pPr>
        <w:ind w:left="625" w:hanging="625"/>
        <w:spacing w:after="0"/>
        <w:tabs>
          <w:tab w:leader="none" w:pos="625"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 Date” has the meaning assigned such term in Section 3.1.</w:t>
      </w:r>
    </w:p>
    <w:p>
      <w:pPr>
        <w:spacing w:after="0" w:line="350" w:lineRule="exact"/>
        <w:rPr>
          <w:sz w:val="20"/>
          <w:szCs w:val="20"/>
          <w:color w:val="auto"/>
        </w:rPr>
      </w:pPr>
    </w:p>
    <w:p>
      <w:pPr>
        <w:ind w:left="4545"/>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69850</wp:posOffset>
            </wp:positionV>
            <wp:extent cx="726821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305"/>
          </w:cols>
          <w:pgMar w:left="1375" w:top="258" w:right="219" w:bottom="1440" w:gutter="0" w:footer="0" w:header="0"/>
        </w:sectPr>
      </w:pPr>
    </w:p>
    <w:bookmarkStart w:id="11" w:name="page12"/>
    <w:bookmarkEnd w:id="11"/>
    <w:p>
      <w:pPr>
        <w:ind w:left="1200" w:hanging="625"/>
        <w:spacing w:after="0"/>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“Eligible Participant” means an employee, officer, consultant or director of the Company or any Affiliate.</w:t>
      </w:r>
    </w:p>
    <w:p>
      <w:pPr>
        <w:spacing w:after="0" w:line="219" w:lineRule="exact"/>
        <w:rPr>
          <w:rFonts w:ascii="Arial" w:cs="Arial" w:eastAsia="Arial" w:hAnsi="Arial"/>
          <w:sz w:val="16"/>
          <w:szCs w:val="16"/>
          <w:color w:val="auto"/>
        </w:rPr>
      </w:pPr>
    </w:p>
    <w:p>
      <w:pPr>
        <w:ind w:right="20" w:firstLine="575"/>
        <w:spacing w:after="0" w:line="270" w:lineRule="auto"/>
        <w:tabs>
          <w:tab w:leader="none" w:pos="127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“Exchange” means the New York Stock Exchange or any other national securities exchange or national market system on which the Stock may from time to time be listed or traded.</w:t>
      </w:r>
    </w:p>
    <w:p>
      <w:pPr>
        <w:spacing w:after="0" w:line="179" w:lineRule="exact"/>
        <w:rPr>
          <w:rFonts w:ascii="Arial" w:cs="Arial" w:eastAsia="Arial" w:hAnsi="Arial"/>
          <w:sz w:val="16"/>
          <w:szCs w:val="16"/>
          <w:color w:val="auto"/>
        </w:rPr>
      </w:pPr>
    </w:p>
    <w:p>
      <w:pPr>
        <w:jc w:val="both"/>
        <w:ind w:firstLine="575"/>
        <w:spacing w:after="0" w:line="271" w:lineRule="auto"/>
        <w:tabs>
          <w:tab w:leader="none" w:pos="1324"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“Fair Market Value” of the Stock, on any date, means: (i) if the Stock is listed or traded on any Exchange, the closing price for 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5"/>
          <w:szCs w:val="15"/>
          <w:i w:val="1"/>
          <w:iCs w:val="1"/>
          <w:color w:val="auto"/>
        </w:rPr>
        <w:t>Bloomberg L.P.</w:t>
      </w:r>
      <w:r>
        <w:rPr>
          <w:rFonts w:ascii="Arial" w:cs="Arial" w:eastAsia="Arial" w:hAnsi="Arial"/>
          <w:sz w:val="15"/>
          <w:szCs w:val="15"/>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5"/>
          <w:szCs w:val="15"/>
          <w:i w:val="1"/>
          <w:iCs w:val="1"/>
          <w:color w:val="auto"/>
        </w:rPr>
        <w:t>Bloomberg L.P.</w:t>
      </w:r>
      <w:r>
        <w:rPr>
          <w:rFonts w:ascii="Arial" w:cs="Arial" w:eastAsia="Arial" w:hAnsi="Arial"/>
          <w:sz w:val="15"/>
          <w:szCs w:val="15"/>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80" w:lineRule="exact"/>
        <w:rPr>
          <w:rFonts w:ascii="Arial" w:cs="Arial" w:eastAsia="Arial" w:hAnsi="Arial"/>
          <w:sz w:val="15"/>
          <w:szCs w:val="15"/>
          <w:color w:val="auto"/>
        </w:rPr>
      </w:pPr>
    </w:p>
    <w:p>
      <w:pPr>
        <w:ind w:firstLine="575"/>
        <w:spacing w:after="0" w:line="270" w:lineRule="auto"/>
        <w:tabs>
          <w:tab w:leader="none" w:pos="1224" w:val="left"/>
        </w:tabs>
        <w:numPr>
          <w:ilvl w:val="0"/>
          <w:numId w:val="11"/>
        </w:numPr>
        <w:rPr>
          <w:rFonts w:ascii="Arial" w:cs="Arial" w:eastAsia="Arial" w:hAnsi="Arial"/>
          <w:sz w:val="16"/>
          <w:szCs w:val="16"/>
          <w:color w:val="auto"/>
        </w:rPr>
      </w:pPr>
      <w:r>
        <w:rPr>
          <w:rFonts w:ascii="Arial" w:cs="Arial" w:eastAsia="Arial" w:hAnsi="Arial"/>
          <w:sz w:val="16"/>
          <w:szCs w:val="16"/>
          <w:color w:val="auto"/>
        </w:rPr>
        <w:t>“Full-Value Award” means an Award other than in the form of an Option or SAR, and which is settled by the issuance of Stock (or at the discretion of the Committee, settled in cash valued by reference to Stock value).</w:t>
      </w:r>
    </w:p>
    <w:p>
      <w:pPr>
        <w:spacing w:after="0" w:line="393" w:lineRule="exact"/>
        <w:rPr>
          <w:rFonts w:ascii="Arial" w:cs="Arial" w:eastAsia="Arial" w:hAnsi="Arial"/>
          <w:sz w:val="16"/>
          <w:szCs w:val="16"/>
          <w:color w:val="auto"/>
        </w:rPr>
      </w:pPr>
    </w:p>
    <w:p>
      <w:pPr>
        <w:jc w:val="both"/>
        <w:ind w:firstLine="575"/>
        <w:spacing w:after="0" w:line="259" w:lineRule="auto"/>
        <w:tabs>
          <w:tab w:leader="none" w:pos="1214" w:val="left"/>
        </w:tabs>
        <w:numPr>
          <w:ilvl w:val="0"/>
          <w:numId w:val="11"/>
        </w:numPr>
        <w:rPr>
          <w:rFonts w:ascii="Arial" w:cs="Arial" w:eastAsia="Arial" w:hAnsi="Arial"/>
          <w:sz w:val="16"/>
          <w:szCs w:val="16"/>
          <w:color w:val="auto"/>
        </w:rPr>
      </w:pPr>
      <w:r>
        <w:rPr>
          <w:rFonts w:ascii="Arial" w:cs="Arial" w:eastAsia="Arial" w:hAnsi="Arial"/>
          <w:sz w:val="16"/>
          <w:szCs w:val="16"/>
          <w:color w:val="auto"/>
        </w:rPr>
        <w:t>“Grant Date” of an Award means the first date on which all necessary corporate action has been taken to approve the grant of the Award as provided in the Plan, or such later date as is determined and specified as part of that authorization process. Notice of the grant shall be provided to the grantee within a reasonable time after the Grant Date.</w:t>
      </w:r>
    </w:p>
    <w:p>
      <w:pPr>
        <w:spacing w:after="0" w:line="188" w:lineRule="exact"/>
        <w:rPr>
          <w:rFonts w:ascii="Arial" w:cs="Arial" w:eastAsia="Arial" w:hAnsi="Arial"/>
          <w:sz w:val="16"/>
          <w:szCs w:val="16"/>
          <w:color w:val="auto"/>
        </w:rPr>
      </w:pPr>
    </w:p>
    <w:p>
      <w:pPr>
        <w:ind w:firstLine="575"/>
        <w:spacing w:after="0" w:line="270" w:lineRule="auto"/>
        <w:tabs>
          <w:tab w:leader="none" w:pos="116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“Incentive Stock Option” means an Option that is intended to be an incentive stock option and meets the requirements of Section 422 of the Code or any successor provision thereto.</w:t>
      </w:r>
    </w:p>
    <w:p>
      <w:pPr>
        <w:spacing w:after="0" w:line="179" w:lineRule="exact"/>
        <w:rPr>
          <w:rFonts w:ascii="Arial" w:cs="Arial" w:eastAsia="Arial" w:hAnsi="Arial"/>
          <w:sz w:val="16"/>
          <w:szCs w:val="16"/>
          <w:color w:val="auto"/>
        </w:rPr>
      </w:pPr>
    </w:p>
    <w:p>
      <w:pPr>
        <w:ind w:left="1200" w:hanging="625"/>
        <w:spacing w:after="0"/>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“Non-Employee Director” means a director of the Company who is not a common law employee of the Company or an Affiliate.</w:t>
      </w:r>
    </w:p>
    <w:p>
      <w:pPr>
        <w:spacing w:after="0" w:line="219" w:lineRule="exact"/>
        <w:rPr>
          <w:rFonts w:ascii="Arial" w:cs="Arial" w:eastAsia="Arial" w:hAnsi="Arial"/>
          <w:sz w:val="16"/>
          <w:szCs w:val="16"/>
          <w:color w:val="auto"/>
        </w:rPr>
      </w:pPr>
    </w:p>
    <w:p>
      <w:pPr>
        <w:ind w:left="1200" w:hanging="625"/>
        <w:spacing w:after="0"/>
        <w:tabs>
          <w:tab w:leader="none" w:pos="12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“Nonstatutory Stock Option” means an Option that is not an Incentive Stock Option.</w:t>
      </w:r>
    </w:p>
    <w:p>
      <w:pPr>
        <w:spacing w:after="0" w:line="219" w:lineRule="exact"/>
        <w:rPr>
          <w:rFonts w:ascii="Arial" w:cs="Arial" w:eastAsia="Arial" w:hAnsi="Arial"/>
          <w:sz w:val="16"/>
          <w:szCs w:val="16"/>
          <w:color w:val="auto"/>
        </w:rPr>
      </w:pPr>
    </w:p>
    <w:p>
      <w:pPr>
        <w:ind w:firstLine="575"/>
        <w:spacing w:after="0" w:line="270"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“Option” means a right granted to a Participant under Article 7 of the Plan to purchase Stock at a specified price during specified time periods. An Option may be either an Incentive Stock Option or a Nonstatutory Stock Option.</w:t>
      </w:r>
    </w:p>
    <w:p>
      <w:pPr>
        <w:spacing w:after="0" w:line="179" w:lineRule="exact"/>
        <w:rPr>
          <w:rFonts w:ascii="Arial" w:cs="Arial" w:eastAsia="Arial" w:hAnsi="Arial"/>
          <w:sz w:val="16"/>
          <w:szCs w:val="16"/>
          <w:color w:val="auto"/>
        </w:rPr>
      </w:pPr>
    </w:p>
    <w:p>
      <w:pPr>
        <w:ind w:left="1260" w:hanging="685"/>
        <w:spacing w:after="0" w:line="161" w:lineRule="exact"/>
        <w:tabs>
          <w:tab w:leader="none" w:pos="1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Stock</w:t>
      </w:r>
      <w:r>
        <w:rPr>
          <w:rFonts w:ascii="MS PGothic" w:cs="MS PGothic" w:eastAsia="MS PGothic" w:hAnsi="MS PGothic"/>
          <w:sz w:val="14"/>
          <w:szCs w:val="14"/>
          <w:color w:val="auto"/>
        </w:rPr>
        <w:t>‑</w:t>
      </w:r>
      <w:r>
        <w:rPr>
          <w:rFonts w:ascii="Arial" w:cs="Arial" w:eastAsia="Arial" w:hAnsi="Arial"/>
          <w:sz w:val="14"/>
          <w:szCs w:val="14"/>
          <w:color w:val="auto"/>
        </w:rPr>
        <w:t>Based Award” means a right, granted to a Participant under Article 13 that relates to or is valued by reference to Stock or other Awards</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relating to Stock.</w:t>
      </w:r>
    </w:p>
    <w:p>
      <w:pPr>
        <w:spacing w:after="0" w:line="208" w:lineRule="exact"/>
        <w:rPr>
          <w:rFonts w:ascii="Arial" w:cs="Arial" w:eastAsia="Arial" w:hAnsi="Arial"/>
          <w:sz w:val="14"/>
          <w:szCs w:val="14"/>
          <w:color w:val="auto"/>
        </w:rPr>
      </w:pPr>
    </w:p>
    <w:p>
      <w:pPr>
        <w:ind w:right="20" w:firstLine="575"/>
        <w:spacing w:after="0" w:line="270" w:lineRule="auto"/>
        <w:tabs>
          <w:tab w:leader="none" w:pos="13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“Parent” means a corporation, limited liability company, partnership or other entity which owns or beneficially owns a majority of the outstanding voting stock or voting</w:t>
      </w:r>
    </w:p>
    <w:p>
      <w:pPr>
        <w:spacing w:after="0" w:line="287"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69850</wp:posOffset>
            </wp:positionV>
            <wp:extent cx="726821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258" w:right="21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power of the Company. Notwithstanding the above, with respect to an Incentive Stock Option, Parent shall have the meaning set forth in Section 424(e) of the Code.</w:t>
      </w:r>
    </w:p>
    <w:p>
      <w:pPr>
        <w:spacing w:after="0" w:line="243" w:lineRule="exact"/>
        <w:rPr>
          <w:sz w:val="20"/>
          <w:szCs w:val="20"/>
          <w:color w:val="auto"/>
        </w:rPr>
      </w:pPr>
    </w:p>
    <w:p>
      <w:pPr>
        <w:jc w:val="both"/>
        <w:ind w:firstLine="575"/>
        <w:spacing w:after="0" w:line="284"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“Participant” means a person who, as an employee, officer, director or consultant of the Company or any Affiliate, has 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w:t>
      </w:r>
    </w:p>
    <w:p>
      <w:pPr>
        <w:spacing w:after="0" w:line="172" w:lineRule="exact"/>
        <w:rPr>
          <w:sz w:val="20"/>
          <w:szCs w:val="20"/>
          <w:color w:val="auto"/>
        </w:rPr>
      </w:pPr>
    </w:p>
    <w:p>
      <w:pPr>
        <w:ind w:firstLine="575"/>
        <w:spacing w:after="0" w:line="270" w:lineRule="auto"/>
        <w:tabs>
          <w:tab w:leader="none" w:pos="1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“Performance Share” means any right granted to a Participant under Article 9 to a unit to be valued by reference to a designated number of Shares to be paid upon achievement of such performance goals as the Committee establishes with regard to such Performance Share.</w:t>
      </w:r>
    </w:p>
    <w:p>
      <w:pPr>
        <w:spacing w:after="0" w:line="179" w:lineRule="exact"/>
        <w:rPr>
          <w:rFonts w:ascii="Arial" w:cs="Arial" w:eastAsia="Arial" w:hAnsi="Arial"/>
          <w:sz w:val="16"/>
          <w:szCs w:val="16"/>
          <w:color w:val="auto"/>
        </w:rPr>
      </w:pPr>
    </w:p>
    <w:p>
      <w:pPr>
        <w:ind w:left="1340" w:hanging="765"/>
        <w:spacing w:after="0"/>
        <w:tabs>
          <w:tab w:leader="none" w:pos="1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“Person” means any individual, entity or group, within the meaning of Section 3(a)(9) of the 1934 Act and as used in Section 13(d)(3) or 14(d)(2) of</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1934 Act.</w:t>
      </w:r>
    </w:p>
    <w:p>
      <w:pPr>
        <w:spacing w:after="0" w:line="208" w:lineRule="exact"/>
        <w:rPr>
          <w:rFonts w:ascii="Arial" w:cs="Arial" w:eastAsia="Arial" w:hAnsi="Arial"/>
          <w:sz w:val="14"/>
          <w:szCs w:val="14"/>
          <w:color w:val="auto"/>
        </w:rPr>
      </w:pPr>
    </w:p>
    <w:p>
      <w:pPr>
        <w:ind w:left="1260" w:hanging="685"/>
        <w:spacing w:after="0"/>
        <w:tabs>
          <w:tab w:leader="none" w:pos="1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“Plan” means the Micron Technology, Inc. Amended and Restated 2004 Equity Incentive Plan, as amended from time to time.</w:t>
      </w:r>
    </w:p>
    <w:p>
      <w:pPr>
        <w:spacing w:after="0" w:line="219" w:lineRule="exact"/>
        <w:rPr>
          <w:rFonts w:ascii="Arial" w:cs="Arial" w:eastAsia="Arial" w:hAnsi="Arial"/>
          <w:sz w:val="16"/>
          <w:szCs w:val="16"/>
          <w:color w:val="auto"/>
        </w:rPr>
      </w:pPr>
    </w:p>
    <w:p>
      <w:pPr>
        <w:ind w:right="20" w:firstLine="575"/>
        <w:spacing w:after="0" w:line="270" w:lineRule="auto"/>
        <w:tabs>
          <w:tab w:leader="none" w:pos="13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“Public Offering” shall occur on closing date of a public offering of any class or series of the Company's equity securities pursuant to a registration statement filed by the Company under the 1933 Act.</w:t>
      </w:r>
    </w:p>
    <w:p>
      <w:pPr>
        <w:spacing w:after="0" w:line="179" w:lineRule="exact"/>
        <w:rPr>
          <w:rFonts w:ascii="Arial" w:cs="Arial" w:eastAsia="Arial" w:hAnsi="Arial"/>
          <w:sz w:val="16"/>
          <w:szCs w:val="16"/>
          <w:color w:val="auto"/>
        </w:rPr>
      </w:pPr>
    </w:p>
    <w:p>
      <w:pPr>
        <w:ind w:right="20" w:firstLine="575"/>
        <w:spacing w:after="0" w:line="196" w:lineRule="exact"/>
        <w:tabs>
          <w:tab w:leader="none" w:pos="12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 means an Award that is either (i) intended to qualify for the Section 162(m) Exemption and is made subject to performance goals based on Qualified Business Criteria as set forth in Section 14.11(b), or (ii) an Option or SAR.</w:t>
      </w:r>
    </w:p>
    <w:p>
      <w:pPr>
        <w:spacing w:after="0" w:line="202" w:lineRule="exact"/>
        <w:rPr>
          <w:rFonts w:ascii="Arial" w:cs="Arial" w:eastAsia="Arial" w:hAnsi="Arial"/>
          <w:sz w:val="16"/>
          <w:szCs w:val="16"/>
          <w:color w:val="auto"/>
        </w:rPr>
      </w:pPr>
    </w:p>
    <w:p>
      <w:pPr>
        <w:ind w:right="20" w:firstLine="575"/>
        <w:spacing w:after="0" w:line="196" w:lineRule="exact"/>
        <w:tabs>
          <w:tab w:leader="none" w:pos="12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“Qualified Business Criteria” means one or more of the Business Criteria listed in Section 14.11(b) upon which performance goals for certain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Awards may be established by the Committee.</w:t>
      </w:r>
    </w:p>
    <w:p>
      <w:pPr>
        <w:spacing w:after="0" w:line="202" w:lineRule="exact"/>
        <w:rPr>
          <w:rFonts w:ascii="Arial" w:cs="Arial" w:eastAsia="Arial" w:hAnsi="Arial"/>
          <w:sz w:val="16"/>
          <w:szCs w:val="16"/>
          <w:color w:val="auto"/>
        </w:rPr>
      </w:pPr>
    </w:p>
    <w:p>
      <w:pPr>
        <w:ind w:left="1280" w:hanging="705"/>
        <w:spacing w:after="0"/>
        <w:tabs>
          <w:tab w:leader="none" w:pos="12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“Restricted Stock Award” means Stock granted to a Participant under Article 10 that is subject to certain restrictions and to risk of forfeiture.</w:t>
      </w:r>
    </w:p>
    <w:p>
      <w:pPr>
        <w:spacing w:after="0" w:line="231" w:lineRule="exact"/>
        <w:rPr>
          <w:rFonts w:ascii="Arial" w:cs="Arial" w:eastAsia="Arial" w:hAnsi="Arial"/>
          <w:sz w:val="15"/>
          <w:szCs w:val="15"/>
          <w:color w:val="auto"/>
        </w:rPr>
      </w:pPr>
    </w:p>
    <w:p>
      <w:pPr>
        <w:ind w:right="20" w:firstLine="575"/>
        <w:spacing w:after="0" w:line="270" w:lineRule="auto"/>
        <w:tabs>
          <w:tab w:leader="none" w:pos="13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“Restricted Stock Unit Award” means the right granted to a Participant under Article 10 to receive shares of Stock (or the equivalent value in cash or other property if the Committee so provides) in the future, which right is subject to certain restrictions and to risk of forfeiture.</w:t>
      </w:r>
    </w:p>
    <w:p>
      <w:pPr>
        <w:spacing w:after="0" w:line="179" w:lineRule="exact"/>
        <w:rPr>
          <w:rFonts w:ascii="Arial" w:cs="Arial" w:eastAsia="Arial" w:hAnsi="Arial"/>
          <w:sz w:val="16"/>
          <w:szCs w:val="16"/>
          <w:color w:val="auto"/>
        </w:rPr>
      </w:pPr>
    </w:p>
    <w:p>
      <w:pPr>
        <w:ind w:right="20" w:firstLine="575"/>
        <w:spacing w:after="0" w:line="270" w:lineRule="auto"/>
        <w:tabs>
          <w:tab w:leader="none" w:pos="13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“Section 162(m) Exemption” means the exemption from the limitation on deductibility imposed by Section 162(m) of the Code that is set forth in Section 162(m)(4)(C) of the Code or any successor provision thereto.</w:t>
      </w:r>
    </w:p>
    <w:p>
      <w:pPr>
        <w:spacing w:after="0" w:line="179" w:lineRule="exact"/>
        <w:rPr>
          <w:rFonts w:ascii="Arial" w:cs="Arial" w:eastAsia="Arial" w:hAnsi="Arial"/>
          <w:sz w:val="16"/>
          <w:szCs w:val="16"/>
          <w:color w:val="auto"/>
        </w:rPr>
      </w:pPr>
    </w:p>
    <w:p>
      <w:pPr>
        <w:ind w:right="20" w:firstLine="575"/>
        <w:spacing w:after="0" w:line="304" w:lineRule="auto"/>
        <w:tabs>
          <w:tab w:leader="none" w:pos="1266" w:val="left"/>
        </w:tabs>
        <w:numPr>
          <w:ilvl w:val="0"/>
          <w:numId w:val="13"/>
        </w:numPr>
        <w:rPr>
          <w:rFonts w:ascii="Arial" w:cs="Arial" w:eastAsia="Arial" w:hAnsi="Arial"/>
          <w:sz w:val="15"/>
          <w:szCs w:val="15"/>
          <w:color w:val="auto"/>
        </w:rPr>
      </w:pPr>
      <w:r>
        <w:rPr>
          <w:rFonts w:ascii="Arial" w:cs="Arial" w:eastAsia="Arial" w:hAnsi="Arial"/>
          <w:sz w:val="15"/>
          <w:szCs w:val="15"/>
          <w:color w:val="auto"/>
        </w:rPr>
        <w:t>“Shares” means shares of the Company's Stock. If there has been an adjustment or substitution pursuant to Section 15.1, the term “Shares” shall also include any shares of stock or other securities that are substituted for Shares or into which Shares are adjusted pursuant to Section 15.1.</w:t>
      </w:r>
    </w:p>
    <w:p>
      <w:pPr>
        <w:spacing w:after="0" w:line="156" w:lineRule="exact"/>
        <w:rPr>
          <w:rFonts w:ascii="Arial" w:cs="Arial" w:eastAsia="Arial" w:hAnsi="Arial"/>
          <w:sz w:val="15"/>
          <w:szCs w:val="15"/>
          <w:color w:val="auto"/>
        </w:rPr>
      </w:pPr>
    </w:p>
    <w:p>
      <w:pPr>
        <w:ind w:left="1280" w:hanging="705"/>
        <w:spacing w:after="0"/>
        <w:tabs>
          <w:tab w:leader="none" w:pos="12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“Stock” means the $.10 par value common stock of the Company and such other securities of the Company as may be substituted for Stock pursuant to</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Article 15.</w:t>
      </w:r>
    </w:p>
    <w:p>
      <w:pPr>
        <w:spacing w:after="0" w:line="208" w:lineRule="exact"/>
        <w:rPr>
          <w:rFonts w:ascii="Arial" w:cs="Arial" w:eastAsia="Arial" w:hAnsi="Arial"/>
          <w:sz w:val="14"/>
          <w:szCs w:val="14"/>
          <w:color w:val="auto"/>
        </w:rPr>
      </w:pPr>
    </w:p>
    <w:p>
      <w:pPr>
        <w:ind w:firstLine="575"/>
        <w:spacing w:after="0" w:line="270" w:lineRule="auto"/>
        <w:tabs>
          <w:tab w:leader="none" w:pos="1273"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“Stock Appreciation Right” or “SAR” means a right granted to a Participant under Article 8 to receive a payment equal to the difference between the Fair Market Value of a</w:t>
      </w:r>
    </w:p>
    <w:p>
      <w:pPr>
        <w:spacing w:after="0" w:line="287" w:lineRule="exact"/>
        <w:rPr>
          <w:sz w:val="20"/>
          <w:szCs w:val="20"/>
          <w:color w:val="auto"/>
        </w:rPr>
      </w:pPr>
    </w:p>
    <w:p>
      <w:pPr>
        <w:ind w:left="51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69850</wp:posOffset>
            </wp:positionV>
            <wp:extent cx="726821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258" w:right="219" w:bottom="1440" w:gutter="0" w:footer="0" w:header="0"/>
        </w:sectPr>
      </w:pPr>
    </w:p>
    <w:bookmarkStart w:id="13" w:name="page14"/>
    <w:bookmarkEnd w:id="13"/>
    <w:p>
      <w:pPr>
        <w:ind w:left="560"/>
        <w:spacing w:after="0"/>
        <w:rPr>
          <w:sz w:val="20"/>
          <w:szCs w:val="20"/>
          <w:color w:val="auto"/>
        </w:rPr>
      </w:pPr>
      <w:r>
        <w:rPr>
          <w:rFonts w:ascii="Arial" w:cs="Arial" w:eastAsia="Arial" w:hAnsi="Arial"/>
          <w:sz w:val="16"/>
          <w:szCs w:val="16"/>
          <w:color w:val="auto"/>
        </w:rPr>
        <w:t>Share as of the date of exercise of the SAR over the base price of the SAR, all as determined pursuant to Article 8.</w:t>
      </w:r>
    </w:p>
    <w:p>
      <w:pPr>
        <w:spacing w:after="0" w:line="220" w:lineRule="exact"/>
        <w:rPr>
          <w:sz w:val="20"/>
          <w:szCs w:val="20"/>
          <w:color w:val="auto"/>
        </w:rPr>
      </w:pPr>
    </w:p>
    <w:p>
      <w:pPr>
        <w:jc w:val="both"/>
        <w:ind w:left="560" w:firstLine="575"/>
        <w:spacing w:after="0" w:line="259" w:lineRule="auto"/>
        <w:tabs>
          <w:tab w:leader="none" w:pos="2044"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“Subsidiary” means any corporation, limited liability company, partnership or other entity of which a majority of the 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88" w:lineRule="exact"/>
        <w:rPr>
          <w:rFonts w:ascii="Arial" w:cs="Arial" w:eastAsia="Arial" w:hAnsi="Arial"/>
          <w:sz w:val="16"/>
          <w:szCs w:val="16"/>
          <w:color w:val="auto"/>
        </w:rPr>
      </w:pPr>
    </w:p>
    <w:p>
      <w:pPr>
        <w:ind w:left="1840" w:hanging="705"/>
        <w:spacing w:after="0"/>
        <w:tabs>
          <w:tab w:leader="none" w:pos="1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“1933 Act” means the Securities Act of 1933, as amended from time to time.</w:t>
      </w:r>
    </w:p>
    <w:p>
      <w:pPr>
        <w:spacing w:after="0" w:line="219" w:lineRule="exact"/>
        <w:rPr>
          <w:rFonts w:ascii="Arial" w:cs="Arial" w:eastAsia="Arial" w:hAnsi="Arial"/>
          <w:sz w:val="16"/>
          <w:szCs w:val="16"/>
          <w:color w:val="auto"/>
        </w:rPr>
      </w:pPr>
    </w:p>
    <w:p>
      <w:pPr>
        <w:ind w:left="1840" w:hanging="705"/>
        <w:spacing w:after="0"/>
        <w:tabs>
          <w:tab w:leader="none" w:pos="18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“1934 Act” means the Securities Exchange Act of 1934, as amended from time to time.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EFFECTIVE TERM OF PLAN</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i w:val="1"/>
          <w:iCs w:val="1"/>
          <w:color w:val="auto"/>
        </w:rPr>
        <w:t>EFFECTIVE DATE.</w:t>
      </w:r>
      <w:r>
        <w:rPr>
          <w:rFonts w:ascii="Arial" w:cs="Arial" w:eastAsia="Arial" w:hAnsi="Arial"/>
          <w:sz w:val="15"/>
          <w:szCs w:val="15"/>
          <w:color w:val="auto"/>
        </w:rPr>
        <w:t xml:space="preserve"> The Plan shall be effective as of the date it is approved by both the Board and the stockholders of the Company (the “Effective Date”).</w:t>
      </w:r>
    </w:p>
    <w:p>
      <w:pPr>
        <w:spacing w:after="0" w:line="231"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TERMINATION OF PLAN.</w:t>
      </w:r>
      <w:r>
        <w:rPr>
          <w:rFonts w:ascii="Arial" w:cs="Arial" w:eastAsia="Arial" w:hAnsi="Arial"/>
          <w:sz w:val="16"/>
          <w:szCs w:val="16"/>
          <w:color w:val="auto"/>
        </w:rPr>
        <w:t xml:space="preserve"> Unless earlier terminated as provided herein, the Plan shall continue in effect until the tenth anniversary of the Effective Date or, if the stockholders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ADMINISTRATION</w:t>
      </w:r>
    </w:p>
    <w:p>
      <w:pPr>
        <w:spacing w:after="0" w:line="209" w:lineRule="exact"/>
        <w:rPr>
          <w:sz w:val="20"/>
          <w:szCs w:val="20"/>
          <w:color w:val="auto"/>
        </w:rPr>
      </w:pPr>
    </w:p>
    <w:p>
      <w:pPr>
        <w:jc w:val="both"/>
        <w:ind w:firstLine="570"/>
        <w:spacing w:after="0" w:line="191" w:lineRule="exact"/>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i w:val="1"/>
          <w:iCs w:val="1"/>
          <w:color w:val="auto"/>
        </w:rPr>
        <w:t>COMMITTEE.</w:t>
      </w:r>
      <w:r>
        <w:rPr>
          <w:rFonts w:ascii="Arial" w:cs="Arial" w:eastAsia="Arial" w:hAnsi="Arial"/>
          <w:sz w:val="14"/>
          <w:szCs w:val="14"/>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w:t>
      </w:r>
      <w:r>
        <w:rPr>
          <w:rFonts w:ascii="MS PGothic" w:cs="MS PGothic" w:eastAsia="MS PGothic" w:hAnsi="MS PGothic"/>
          <w:sz w:val="14"/>
          <w:szCs w:val="14"/>
          <w:color w:val="auto"/>
        </w:rPr>
        <w:t>‑</w:t>
      </w:r>
      <w:r>
        <w:rPr>
          <w:rFonts w:ascii="Arial" w:cs="Arial" w:eastAsia="Arial" w:hAnsi="Arial"/>
          <w:sz w:val="14"/>
          <w:szCs w:val="14"/>
          <w:color w:val="auto"/>
        </w:rPr>
        <w: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extent any action of the Board under the Plan conflicts with actions taken by the Committee, the actions of the Board shall control.</w:t>
      </w:r>
    </w:p>
    <w:p>
      <w:pPr>
        <w:spacing w:after="0" w:line="220" w:lineRule="exact"/>
        <w:rPr>
          <w:sz w:val="20"/>
          <w:szCs w:val="20"/>
          <w:color w:val="auto"/>
        </w:rPr>
      </w:pPr>
    </w:p>
    <w:p>
      <w:pPr>
        <w:jc w:val="both"/>
        <w:ind w:firstLine="570"/>
        <w:spacing w:after="0" w:line="295"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i w:val="1"/>
          <w:iCs w:val="1"/>
          <w:color w:val="auto"/>
        </w:rPr>
        <w:t>ACTION AND INTERPRETATIONS BY THE COMMITTEE.</w:t>
      </w:r>
      <w:r>
        <w:rPr>
          <w:rFonts w:ascii="Arial" w:cs="Arial" w:eastAsia="Arial" w:hAnsi="Arial"/>
          <w:sz w:val="14"/>
          <w:szCs w:val="14"/>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AUTHORITY OF COMMITTEE.</w:t>
      </w:r>
      <w:r>
        <w:rPr>
          <w:rFonts w:ascii="Arial" w:cs="Arial" w:eastAsia="Arial" w:hAnsi="Arial"/>
          <w:sz w:val="16"/>
          <w:szCs w:val="16"/>
          <w:color w:val="auto"/>
        </w:rPr>
        <w:t xml:space="preserve"> Except as provided below, the Committee has the exclusive power, authority and discretion to:</w:t>
      </w:r>
    </w:p>
    <w:p>
      <w:pPr>
        <w:spacing w:after="0" w:line="220" w:lineRule="exact"/>
        <w:rPr>
          <w:sz w:val="20"/>
          <w:szCs w:val="20"/>
          <w:color w:val="auto"/>
        </w:rPr>
      </w:pPr>
    </w:p>
    <w:p>
      <w:pPr>
        <w:ind w:left="1740" w:hanging="605"/>
        <w:spacing w:after="0"/>
        <w:tabs>
          <w:tab w:leader="none" w:pos="1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Grant Awards;</w:t>
      </w:r>
    </w:p>
    <w:p>
      <w:pPr>
        <w:spacing w:after="0" w:line="219" w:lineRule="exact"/>
        <w:rPr>
          <w:rFonts w:ascii="Arial" w:cs="Arial" w:eastAsia="Arial" w:hAnsi="Arial"/>
          <w:sz w:val="16"/>
          <w:szCs w:val="16"/>
          <w:color w:val="auto"/>
        </w:rPr>
      </w:pPr>
    </w:p>
    <w:p>
      <w:pPr>
        <w:ind w:left="1760" w:hanging="625"/>
        <w:spacing w:after="0"/>
        <w:tabs>
          <w:tab w:leader="none" w:pos="1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Designate Participants;</w:t>
      </w:r>
    </w:p>
    <w:p>
      <w:pPr>
        <w:spacing w:after="0" w:line="219" w:lineRule="exact"/>
        <w:rPr>
          <w:rFonts w:ascii="Arial" w:cs="Arial" w:eastAsia="Arial" w:hAnsi="Arial"/>
          <w:sz w:val="16"/>
          <w:szCs w:val="16"/>
          <w:color w:val="auto"/>
        </w:rPr>
      </w:pPr>
    </w:p>
    <w:p>
      <w:pPr>
        <w:ind w:left="1740" w:hanging="605"/>
        <w:spacing w:after="0"/>
        <w:tabs>
          <w:tab w:leader="none" w:pos="1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each Participant;</w:t>
      </w:r>
    </w:p>
    <w:p>
      <w:pPr>
        <w:spacing w:after="0" w:line="219" w:lineRule="exact"/>
        <w:rPr>
          <w:rFonts w:ascii="Arial" w:cs="Arial" w:eastAsia="Arial" w:hAnsi="Arial"/>
          <w:sz w:val="16"/>
          <w:szCs w:val="16"/>
          <w:color w:val="auto"/>
        </w:rPr>
      </w:pPr>
    </w:p>
    <w:p>
      <w:pPr>
        <w:ind w:left="1760" w:hanging="625"/>
        <w:spacing w:after="0"/>
        <w:tabs>
          <w:tab w:leader="none" w:pos="1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Determine the number of Awards to be granted and the number of Shares or dollar amount to which an Award will relate;</w:t>
      </w:r>
    </w:p>
    <w:p>
      <w:pPr>
        <w:spacing w:after="0" w:line="219" w:lineRule="exact"/>
        <w:rPr>
          <w:rFonts w:ascii="Arial" w:cs="Arial" w:eastAsia="Arial" w:hAnsi="Arial"/>
          <w:sz w:val="16"/>
          <w:szCs w:val="16"/>
          <w:color w:val="auto"/>
        </w:rPr>
      </w:pPr>
    </w:p>
    <w:p>
      <w:pPr>
        <w:jc w:val="both"/>
        <w:ind w:left="560" w:right="20" w:firstLine="575"/>
        <w:spacing w:after="0" w:line="259" w:lineRule="auto"/>
        <w:tabs>
          <w:tab w:leader="none" w:pos="17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88" w:lineRule="exact"/>
        <w:rPr>
          <w:rFonts w:ascii="Arial" w:cs="Arial" w:eastAsia="Arial" w:hAnsi="Arial"/>
          <w:sz w:val="16"/>
          <w:szCs w:val="16"/>
          <w:color w:val="auto"/>
        </w:rPr>
      </w:pPr>
    </w:p>
    <w:p>
      <w:pPr>
        <w:ind w:left="560" w:right="20" w:firstLine="575"/>
        <w:spacing w:after="0" w:line="270" w:lineRule="auto"/>
        <w:tabs>
          <w:tab w:leader="none" w:pos="1889"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Accelerate the vesting, exercisability or lapse of restrictions of any outstanding Award, in accordance with Article 14, based in each case on such considerations as the Committee in its sole discretion determines;</w:t>
      </w:r>
    </w:p>
    <w:p>
      <w:pPr>
        <w:spacing w:after="0" w:line="179" w:lineRule="exact"/>
        <w:rPr>
          <w:rFonts w:ascii="Arial" w:cs="Arial" w:eastAsia="Arial" w:hAnsi="Arial"/>
          <w:sz w:val="16"/>
          <w:szCs w:val="16"/>
          <w:color w:val="auto"/>
        </w:rPr>
      </w:pPr>
    </w:p>
    <w:p>
      <w:pPr>
        <w:ind w:left="560" w:right="20" w:firstLine="575"/>
        <w:spacing w:after="0" w:line="270" w:lineRule="auto"/>
        <w:tabs>
          <w:tab w:leader="none" w:pos="1803"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79" w:lineRule="exact"/>
        <w:rPr>
          <w:rFonts w:ascii="Arial" w:cs="Arial" w:eastAsia="Arial" w:hAnsi="Arial"/>
          <w:sz w:val="16"/>
          <w:szCs w:val="16"/>
          <w:color w:val="auto"/>
        </w:rPr>
      </w:pPr>
    </w:p>
    <w:p>
      <w:pPr>
        <w:ind w:left="1760" w:hanging="625"/>
        <w:spacing w:after="0"/>
        <w:tabs>
          <w:tab w:leader="none" w:pos="1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Prescribe the form of each Award Certificate, which need not be identical for each Participant;</w:t>
      </w:r>
    </w:p>
    <w:p>
      <w:pPr>
        <w:spacing w:after="0" w:line="219" w:lineRule="exact"/>
        <w:rPr>
          <w:rFonts w:ascii="Arial" w:cs="Arial" w:eastAsia="Arial" w:hAnsi="Arial"/>
          <w:sz w:val="16"/>
          <w:szCs w:val="16"/>
          <w:color w:val="auto"/>
        </w:rPr>
      </w:pPr>
    </w:p>
    <w:p>
      <w:pPr>
        <w:ind w:left="1720" w:hanging="585"/>
        <w:spacing w:after="0"/>
        <w:tabs>
          <w:tab w:leader="none" w:pos="1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Decide all other matters that must be determined in connection with an Award;</w:t>
      </w:r>
    </w:p>
    <w:p>
      <w:pPr>
        <w:spacing w:after="0" w:line="219" w:lineRule="exact"/>
        <w:rPr>
          <w:rFonts w:ascii="Arial" w:cs="Arial" w:eastAsia="Arial" w:hAnsi="Arial"/>
          <w:sz w:val="16"/>
          <w:szCs w:val="16"/>
          <w:color w:val="auto"/>
        </w:rPr>
      </w:pPr>
    </w:p>
    <w:p>
      <w:pPr>
        <w:ind w:left="1720" w:hanging="585"/>
        <w:spacing w:after="0"/>
        <w:tabs>
          <w:tab w:leader="none" w:pos="1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 adopt or revise any rules, regulations, guidelines or procedures as it may deem necessary or advisable to administer the Plan;</w:t>
      </w:r>
    </w:p>
    <w:p>
      <w:pPr>
        <w:spacing w:after="0" w:line="219" w:lineRule="exact"/>
        <w:rPr>
          <w:rFonts w:ascii="Arial" w:cs="Arial" w:eastAsia="Arial" w:hAnsi="Arial"/>
          <w:sz w:val="16"/>
          <w:szCs w:val="16"/>
          <w:color w:val="auto"/>
        </w:rPr>
      </w:pPr>
    </w:p>
    <w:p>
      <w:pPr>
        <w:ind w:left="1840" w:hanging="705"/>
        <w:spacing w:after="0"/>
        <w:tabs>
          <w:tab w:leader="none" w:pos="18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Make all other decisions and determinations that may be required under the Plan or as the Committee deems necessary or advisable to administer the</w:t>
      </w:r>
    </w:p>
    <w:p>
      <w:pPr>
        <w:spacing w:after="0" w:line="4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Plan;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638" w:right="219" w:bottom="1440" w:gutter="0" w:footer="0" w:header="0"/>
        </w:sectPr>
      </w:pPr>
    </w:p>
    <w:bookmarkStart w:id="15" w:name="page16"/>
    <w:bookmarkEnd w:id="15"/>
    <w:p>
      <w:pPr>
        <w:ind w:left="1720" w:hanging="585"/>
        <w:spacing w:after="0"/>
        <w:tabs>
          <w:tab w:leader="none" w:pos="1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Amend the Plan or any Award Certificate as provided herein; and</w:t>
      </w:r>
    </w:p>
    <w:p>
      <w:pPr>
        <w:spacing w:after="0" w:line="219" w:lineRule="exact"/>
        <w:rPr>
          <w:rFonts w:ascii="Arial" w:cs="Arial" w:eastAsia="Arial" w:hAnsi="Arial"/>
          <w:sz w:val="16"/>
          <w:szCs w:val="16"/>
          <w:color w:val="auto"/>
        </w:rPr>
      </w:pPr>
    </w:p>
    <w:p>
      <w:pPr>
        <w:jc w:val="both"/>
        <w:ind w:left="560" w:right="20" w:firstLine="575"/>
        <w:spacing w:after="0" w:line="259" w:lineRule="auto"/>
        <w:tabs>
          <w:tab w:leader="none" w:pos="1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188"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188" w:lineRule="exact"/>
        <w:rPr>
          <w:sz w:val="20"/>
          <w:szCs w:val="20"/>
          <w:color w:val="auto"/>
        </w:rPr>
      </w:pPr>
    </w:p>
    <w:p>
      <w:pPr>
        <w:jc w:val="both"/>
        <w:ind w:right="20" w:firstLine="570"/>
        <w:spacing w:after="0" w:line="251" w:lineRule="auto"/>
        <w:rPr>
          <w:sz w:val="20"/>
          <w:szCs w:val="20"/>
          <w:color w:val="auto"/>
        </w:rPr>
      </w:pPr>
      <w:r>
        <w:rPr>
          <w:rFonts w:ascii="Arial" w:cs="Arial" w:eastAsia="Arial" w:hAnsi="Arial"/>
          <w:sz w:val="16"/>
          <w:szCs w:val="16"/>
          <w:color w:val="auto"/>
        </w:rPr>
        <w:t>Notwithstanding the above, the Board may, by resolution, expressly delegate to a special committee, consisting of one or more directors who are also officers of the Company, the authority, within specified parameters as to the number and terms of Awards, to (i) 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Committee regarding the delegated duties and responsibilities and any Awards so granted.</w:t>
      </w:r>
    </w:p>
    <w:p>
      <w:pPr>
        <w:spacing w:after="0" w:line="197"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i w:val="1"/>
          <w:iCs w:val="1"/>
          <w:color w:val="auto"/>
        </w:rPr>
        <w:t>AWARD CERTIFICATES.</w:t>
      </w:r>
      <w:r>
        <w:rPr>
          <w:rFonts w:ascii="Arial" w:cs="Arial" w:eastAsia="Arial" w:hAnsi="Arial"/>
          <w:sz w:val="16"/>
          <w:szCs w:val="16"/>
          <w:color w:val="auto"/>
        </w:rPr>
        <w:t xml:space="preserve"> Each Award shall be evidenced by an Award Certificate. Each Award Certificate shall include such provisions, not inconsistent with the Plan, as may be specified by the Committee.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SUBJECT TO THE PLAN</w:t>
      </w:r>
    </w:p>
    <w:p>
      <w:pPr>
        <w:spacing w:after="0" w:line="209"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NUMBER OF SHARES.</w:t>
      </w:r>
      <w:r>
        <w:rPr>
          <w:rFonts w:ascii="Arial" w:cs="Arial" w:eastAsia="Arial" w:hAnsi="Arial"/>
          <w:sz w:val="16"/>
          <w:szCs w:val="16"/>
          <w:color w:val="auto"/>
        </w:rPr>
        <w:t xml:space="preserve"> Subject to adjustment as provided in Sections 5.2 and 15.1, the aggregate number of Shares reserved and available for issuance pursuant to Awards granted under the Plan shall be 106,000,000 provided, however, that each Share issued under the Plan pursuant to a Full-Value Award that is settled in Stock shall reduce the number of available Shares by two (2) shares. The maximum number of Shares that may be issued upon exercise of Incentive Stock Options granted under the Plan shall be 2,000,000.</w:t>
      </w:r>
    </w:p>
    <w:p>
      <w:pPr>
        <w:spacing w:after="0" w:line="192"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SHARE COUNTING.</w:t>
      </w:r>
      <w:r>
        <w:rPr>
          <w:rFonts w:ascii="Arial" w:cs="Arial" w:eastAsia="Arial" w:hAnsi="Arial"/>
          <w:sz w:val="16"/>
          <w:szCs w:val="16"/>
          <w:color w:val="auto"/>
        </w:rPr>
        <w:t xml:space="preserve"> Shares covered by an Award shall be subtracted from the Plan share reserve as of the date of the grant, but shall be added back to the Plan share reserve in accordance with Section 5.2.</w:t>
      </w:r>
    </w:p>
    <w:p>
      <w:pPr>
        <w:spacing w:after="0" w:line="180" w:lineRule="exact"/>
        <w:rPr>
          <w:sz w:val="20"/>
          <w:szCs w:val="20"/>
          <w:color w:val="auto"/>
        </w:rPr>
      </w:pPr>
    </w:p>
    <w:p>
      <w:pPr>
        <w:ind w:left="560" w:right="20" w:firstLine="575"/>
        <w:spacing w:after="0" w:line="304" w:lineRule="auto"/>
        <w:tabs>
          <w:tab w:leader="none" w:pos="1798" w:val="left"/>
        </w:tabs>
        <w:numPr>
          <w:ilvl w:val="0"/>
          <w:numId w:val="17"/>
        </w:numPr>
        <w:rPr>
          <w:rFonts w:ascii="Arial" w:cs="Arial" w:eastAsia="Arial" w:hAnsi="Arial"/>
          <w:sz w:val="15"/>
          <w:szCs w:val="15"/>
          <w:color w:val="auto"/>
        </w:rPr>
      </w:pPr>
      <w:r>
        <w:rPr>
          <w:rFonts w:ascii="Arial" w:cs="Arial" w:eastAsia="Arial" w:hAnsi="Arial"/>
          <w:sz w:val="15"/>
          <w:szCs w:val="15"/>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56" w:lineRule="exact"/>
        <w:rPr>
          <w:rFonts w:ascii="Arial" w:cs="Arial" w:eastAsia="Arial" w:hAnsi="Arial"/>
          <w:sz w:val="15"/>
          <w:szCs w:val="15"/>
          <w:color w:val="auto"/>
        </w:rPr>
      </w:pPr>
    </w:p>
    <w:p>
      <w:pPr>
        <w:ind w:left="1840" w:hanging="705"/>
        <w:spacing w:after="0"/>
        <w:tabs>
          <w:tab w:leader="none" w:pos="1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Shares subject to Awards settled in cash will be added back to the Plan share reserve and again be available for issuance pursuant to Awards granted</w:t>
      </w:r>
    </w:p>
    <w:p>
      <w:pPr>
        <w:spacing w:after="0" w:line="4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under the Plan.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6" w:name="page17"/>
    <w:bookmarkEnd w:id="16"/>
    <w:p>
      <w:pPr>
        <w:ind w:left="1760" w:hanging="625"/>
        <w:spacing w:after="0"/>
        <w:tabs>
          <w:tab w:leader="none" w:pos="1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Substitute Awards granted pursuant to Section 14.15 of the Plan shall not count against the Shares otherwise available for issuance under the Plan under</w:t>
      </w:r>
    </w:p>
    <w:p>
      <w:pPr>
        <w:spacing w:after="0" w:line="40"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Section 5.1.</w:t>
      </w:r>
    </w:p>
    <w:p>
      <w:pPr>
        <w:spacing w:after="0" w:line="208" w:lineRule="exact"/>
        <w:rPr>
          <w:rFonts w:ascii="Arial" w:cs="Arial" w:eastAsia="Arial" w:hAnsi="Arial"/>
          <w:sz w:val="14"/>
          <w:szCs w:val="14"/>
          <w:color w:val="auto"/>
        </w:rPr>
      </w:pPr>
    </w:p>
    <w:p>
      <w:pPr>
        <w:jc w:val="both"/>
        <w:ind w:left="560" w:right="20" w:firstLine="575"/>
        <w:spacing w:after="0" w:line="259" w:lineRule="auto"/>
        <w:tabs>
          <w:tab w:leader="none" w:pos="1806"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188"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i w:val="1"/>
          <w:iCs w:val="1"/>
          <w:color w:val="auto"/>
        </w:rPr>
        <w:t>STOCK DISTRIBUTED.</w:t>
      </w:r>
      <w:r>
        <w:rPr>
          <w:rFonts w:ascii="Arial" w:cs="Arial" w:eastAsia="Arial" w:hAnsi="Arial"/>
          <w:sz w:val="16"/>
          <w:szCs w:val="16"/>
          <w:color w:val="auto"/>
        </w:rPr>
        <w:t xml:space="preserve"> Any Stock distributed pursuant to an Award may consist, in whole or in part, of authorized and unissued Stock, treasury Stock or Stock purchased on the open market.</w:t>
      </w:r>
    </w:p>
    <w:p>
      <w:pPr>
        <w:spacing w:after="0" w:line="180" w:lineRule="exact"/>
        <w:rPr>
          <w:sz w:val="20"/>
          <w:szCs w:val="20"/>
          <w:color w:val="auto"/>
        </w:rPr>
      </w:pPr>
    </w:p>
    <w:p>
      <w:pPr>
        <w:jc w:val="both"/>
        <w:ind w:right="20" w:firstLine="570"/>
        <w:spacing w:after="0" w:line="193" w:lineRule="exact"/>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LIMITATION ON AWARDS.</w:t>
      </w:r>
      <w:r>
        <w:rPr>
          <w:rFonts w:ascii="Arial" w:cs="Arial" w:eastAsia="Arial" w:hAnsi="Arial"/>
          <w:sz w:val="16"/>
          <w:szCs w:val="16"/>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5,000,000. The maximum aggregate grant with respect to Awards of Restricted Stock, Restricted Stock Units, Deferred Stock Units, Performance Shares or other Stock</w:t>
      </w:r>
      <w:r>
        <w:rPr>
          <w:rFonts w:ascii="MS PGothic" w:cs="MS PGothic" w:eastAsia="MS PGothic" w:hAnsi="MS PGothic"/>
          <w:sz w:val="16"/>
          <w:szCs w:val="16"/>
          <w:color w:val="auto"/>
        </w:rPr>
        <w:t>‑</w:t>
      </w:r>
      <w:r>
        <w:rPr>
          <w:rFonts w:ascii="Arial" w:cs="Arial" w:eastAsia="Arial" w:hAnsi="Arial"/>
          <w:sz w:val="16"/>
          <w:szCs w:val="16"/>
          <w:color w:val="auto"/>
        </w:rPr>
        <w:t>Based Awards (other than Options or SARs) granted in any one calendar year to any one Participant shall be 5,000,000.</w:t>
      </w:r>
    </w:p>
    <w:p>
      <w:pPr>
        <w:spacing w:after="0" w:line="204" w:lineRule="exact"/>
        <w:rPr>
          <w:sz w:val="20"/>
          <w:szCs w:val="20"/>
          <w:color w:val="auto"/>
        </w:rPr>
      </w:pPr>
    </w:p>
    <w:p>
      <w:pPr>
        <w:jc w:val="both"/>
        <w:ind w:firstLine="570"/>
        <w:spacing w:after="0" w:line="293" w:lineRule="auto"/>
        <w:rPr>
          <w:sz w:val="20"/>
          <w:szCs w:val="20"/>
          <w:color w:val="auto"/>
        </w:rPr>
      </w:pPr>
      <w:r>
        <w:rPr>
          <w:rFonts w:ascii="Arial" w:cs="Arial" w:eastAsia="Arial" w:hAnsi="Arial"/>
          <w:sz w:val="14"/>
          <w:szCs w:val="14"/>
          <w:color w:val="auto"/>
        </w:rPr>
        <w:t xml:space="preserve">5.5. </w:t>
      </w:r>
      <w:r>
        <w:rPr>
          <w:rFonts w:ascii="Arial" w:cs="Arial" w:eastAsia="Arial" w:hAnsi="Arial"/>
          <w:sz w:val="14"/>
          <w:szCs w:val="14"/>
          <w:i w:val="1"/>
          <w:iCs w:val="1"/>
          <w:color w:val="auto"/>
        </w:rPr>
        <w:t>MINIMUM VESTING REQUIREMENTS</w:t>
      </w:r>
      <w:r>
        <w:rPr>
          <w:rFonts w:ascii="Arial" w:cs="Arial" w:eastAsia="Arial" w:hAnsi="Arial"/>
          <w:sz w:val="14"/>
          <w:szCs w:val="14"/>
          <w:color w:val="auto"/>
        </w:rPr>
        <w:t>. Except in the case of substitute Awards granted pursuant to Section 14.15,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(subject to the requirements of Article 11 in the case of Qualified Performance-Based Awards), and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6</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ELIGIBILITY</w:t>
      </w:r>
    </w:p>
    <w:p>
      <w:pPr>
        <w:spacing w:after="0" w:line="209" w:lineRule="exact"/>
        <w:rPr>
          <w:sz w:val="20"/>
          <w:szCs w:val="20"/>
          <w:color w:val="auto"/>
        </w:rPr>
      </w:pPr>
    </w:p>
    <w:p>
      <w:pPr>
        <w:jc w:val="both"/>
        <w:ind w:right="20" w:firstLine="570"/>
        <w:spacing w:after="0" w:line="255"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OPTIONS</w:t>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GENERAL.</w:t>
      </w:r>
      <w:r>
        <w:rPr>
          <w:rFonts w:ascii="Arial" w:cs="Arial" w:eastAsia="Arial" w:hAnsi="Arial"/>
          <w:sz w:val="16"/>
          <w:szCs w:val="16"/>
          <w:color w:val="auto"/>
        </w:rPr>
        <w:t xml:space="preserve"> The Committee is authorized to grant Options to Participants on the following terms and conditions: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7" w:name="page18"/>
    <w:bookmarkEnd w:id="17"/>
    <w:p>
      <w:pPr>
        <w:ind w:right="20" w:firstLine="575"/>
        <w:spacing w:after="0" w:line="270" w:lineRule="auto"/>
        <w:tabs>
          <w:tab w:leader="none" w:pos="132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EXERCISE PRICE. The exercise price per Share under an Option shall be determined by the Committee, provided that the exercise price for any Option shall not be less than the Fair Market Value as of the Grant Date.</w:t>
      </w:r>
    </w:p>
    <w:p>
      <w:pPr>
        <w:spacing w:after="0" w:line="179" w:lineRule="exact"/>
        <w:rPr>
          <w:rFonts w:ascii="Arial" w:cs="Arial" w:eastAsia="Arial" w:hAnsi="Arial"/>
          <w:sz w:val="16"/>
          <w:szCs w:val="16"/>
          <w:color w:val="auto"/>
        </w:rPr>
      </w:pPr>
    </w:p>
    <w:p>
      <w:pPr>
        <w:jc w:val="both"/>
        <w:ind w:right="20" w:firstLine="575"/>
        <w:spacing w:after="0" w:line="303" w:lineRule="auto"/>
        <w:tabs>
          <w:tab w:leader="none" w:pos="13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PROHIBITION ON REPRICING. Except as otherwise provided in Article 15, without the prior approval of stockholders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60" w:lineRule="exact"/>
        <w:rPr>
          <w:rFonts w:ascii="Arial" w:cs="Arial" w:eastAsia="Arial" w:hAnsi="Arial"/>
          <w:sz w:val="14"/>
          <w:szCs w:val="14"/>
          <w:color w:val="auto"/>
        </w:rPr>
      </w:pPr>
    </w:p>
    <w:p>
      <w:pPr>
        <w:jc w:val="both"/>
        <w:ind w:firstLine="575"/>
        <w:spacing w:after="0" w:line="253" w:lineRule="auto"/>
        <w:tabs>
          <w:tab w:leader="none" w:pos="1182" w:val="left"/>
        </w:tabs>
        <w:numPr>
          <w:ilvl w:val="0"/>
          <w:numId w:val="19"/>
        </w:numPr>
        <w:rPr>
          <w:rFonts w:ascii="Arial" w:cs="Arial" w:eastAsia="Arial" w:hAnsi="Arial"/>
          <w:sz w:val="16"/>
          <w:szCs w:val="16"/>
          <w:color w:val="auto"/>
        </w:rPr>
      </w:pPr>
      <w:r>
        <w:rPr>
          <w:rFonts w:ascii="Arial" w:cs="Arial" w:eastAsia="Arial" w:hAnsi="Arial"/>
          <w:sz w:val="16"/>
          <w:szCs w:val="16"/>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 The Committee may waive any exercise or vesting provisions at any time in whole or in part based upon factors as the Committee may determine in its sole discretion so that the Option becomes exercisable or vested at an earlier date. The Committee may permit an arrangement whereby receipt of Stock upon exercise of an Option is delayed until a specified future date.</w:t>
      </w:r>
    </w:p>
    <w:p>
      <w:pPr>
        <w:spacing w:after="0" w:line="194" w:lineRule="exact"/>
        <w:rPr>
          <w:rFonts w:ascii="Arial" w:cs="Arial" w:eastAsia="Arial" w:hAnsi="Arial"/>
          <w:sz w:val="16"/>
          <w:szCs w:val="16"/>
          <w:color w:val="auto"/>
        </w:rPr>
      </w:pPr>
    </w:p>
    <w:p>
      <w:pPr>
        <w:jc w:val="both"/>
        <w:ind w:right="20" w:firstLine="575"/>
        <w:spacing w:after="0" w:line="274" w:lineRule="auto"/>
        <w:tabs>
          <w:tab w:leader="none" w:pos="1223" w:val="left"/>
        </w:tabs>
        <w:numPr>
          <w:ilvl w:val="0"/>
          <w:numId w:val="19"/>
        </w:numPr>
        <w:rPr>
          <w:rFonts w:ascii="Arial" w:cs="Arial" w:eastAsia="Arial" w:hAnsi="Arial"/>
          <w:sz w:val="15"/>
          <w:szCs w:val="15"/>
          <w:color w:val="auto"/>
        </w:rPr>
      </w:pPr>
      <w:r>
        <w:rPr>
          <w:rFonts w:ascii="Arial" w:cs="Arial" w:eastAsia="Arial" w:hAnsi="Arial"/>
          <w:sz w:val="15"/>
          <w:szCs w:val="15"/>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179" w:lineRule="exact"/>
        <w:rPr>
          <w:rFonts w:ascii="Arial" w:cs="Arial" w:eastAsia="Arial" w:hAnsi="Arial"/>
          <w:sz w:val="15"/>
          <w:szCs w:val="15"/>
          <w:color w:val="auto"/>
        </w:rPr>
      </w:pPr>
    </w:p>
    <w:p>
      <w:pPr>
        <w:ind w:left="1180" w:hanging="605"/>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EXERCISE TERM. In no event may any Option be exercisable for more than six years from the Grant Date.</w:t>
      </w:r>
    </w:p>
    <w:p>
      <w:pPr>
        <w:spacing w:after="0" w:line="219" w:lineRule="exact"/>
        <w:rPr>
          <w:rFonts w:ascii="Arial" w:cs="Arial" w:eastAsia="Arial" w:hAnsi="Arial"/>
          <w:sz w:val="16"/>
          <w:szCs w:val="16"/>
          <w:color w:val="auto"/>
        </w:rPr>
      </w:pPr>
    </w:p>
    <w:p>
      <w:pPr>
        <w:ind w:right="20" w:firstLine="575"/>
        <w:spacing w:after="0" w:line="270" w:lineRule="auto"/>
        <w:tabs>
          <w:tab w:leader="none" w:pos="1202"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DEFERRAL FEATURE. No Option shall provide for any feature for the deferral of compensation other than the deferral of recognition of income until the exercise or disposition of the Option.</w:t>
      </w:r>
    </w:p>
    <w:p>
      <w:pPr>
        <w:spacing w:after="0" w:line="179" w:lineRule="exact"/>
        <w:rPr>
          <w:rFonts w:ascii="Arial" w:cs="Arial" w:eastAsia="Arial" w:hAnsi="Arial"/>
          <w:sz w:val="16"/>
          <w:szCs w:val="16"/>
          <w:color w:val="auto"/>
        </w:rPr>
      </w:pPr>
    </w:p>
    <w:p>
      <w:pPr>
        <w:ind w:left="1200" w:hanging="625"/>
        <w:spacing w:after="0"/>
        <w:tabs>
          <w:tab w:leader="none" w:pos="1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 DIVIDEND EQUIVALENTS. No Option shall provide for Dividend Equivalents.</w:t>
      </w:r>
    </w:p>
    <w:p>
      <w:pPr>
        <w:spacing w:after="0" w:line="219" w:lineRule="exact"/>
        <w:rPr>
          <w:rFonts w:ascii="Arial" w:cs="Arial" w:eastAsia="Arial" w:hAnsi="Arial"/>
          <w:sz w:val="16"/>
          <w:szCs w:val="16"/>
          <w:color w:val="auto"/>
        </w:rPr>
      </w:pPr>
    </w:p>
    <w:p>
      <w:pPr>
        <w:ind w:firstLine="575"/>
        <w:spacing w:after="0" w:line="270" w:lineRule="auto"/>
        <w:tabs>
          <w:tab w:leader="none" w:pos="1259"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INCENTIVE STOCK OPTIONS.</w:t>
      </w:r>
      <w:r>
        <w:rPr>
          <w:rFonts w:ascii="Arial" w:cs="Arial" w:eastAsia="Arial" w:hAnsi="Arial"/>
          <w:sz w:val="16"/>
          <w:szCs w:val="16"/>
          <w:color w:val="auto"/>
        </w:rPr>
        <w:t xml:space="preserve"> The terms of any Incentive Stock Options granted under the Plan must comply with the following additional rules:</w:t>
      </w:r>
    </w:p>
    <w:p>
      <w:pPr>
        <w:spacing w:after="0" w:line="220" w:lineRule="exact"/>
        <w:rPr>
          <w:sz w:val="20"/>
          <w:szCs w:val="20"/>
          <w:color w:val="auto"/>
        </w:rPr>
      </w:pPr>
    </w:p>
    <w:p>
      <w:pPr>
        <w:ind w:left="5080" w:right="1160" w:hanging="4505"/>
        <w:spacing w:after="0" w:line="719" w:lineRule="auto"/>
        <w:tabs>
          <w:tab w:leader="none" w:pos="1191"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EXERCISE PRICE. The exercise price of an Incentive Stock Option shall not be less than the Fair Market Value as of the Grant Date.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-173355</wp:posOffset>
            </wp:positionV>
            <wp:extent cx="726821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258" w:right="219" w:bottom="1440" w:gutter="0" w:footer="0" w:header="0"/>
        </w:sectPr>
      </w:pPr>
    </w:p>
    <w:bookmarkStart w:id="18" w:name="page19"/>
    <w:bookmarkEnd w:id="18"/>
    <w:p>
      <w:pPr>
        <w:jc w:val="both"/>
        <w:ind w:left="560" w:firstLine="575"/>
        <w:spacing w:after="0" w:line="255" w:lineRule="auto"/>
        <w:tabs>
          <w:tab w:leader="none" w:pos="18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LAPSE OF OPTION. Subject to any earlier termination provision contained in the Award Certificate, an Incentive Stock Option shall lapse upon the earliest of the following circumstances; provided, however, that the Committee may, prior to the lapse of the Incentive Stock Option under the circumstances described in subsections (3), (4) or (5) below, provide in writing that the Option will extend until a later date, but if an Option is so extended and is exercised after the dates specified in subsections (3) and (4) below, it will automatically become a Nonstatutory Stock Option:</w:t>
      </w:r>
    </w:p>
    <w:p>
      <w:pPr>
        <w:spacing w:after="0" w:line="192" w:lineRule="exact"/>
        <w:rPr>
          <w:rFonts w:ascii="Arial" w:cs="Arial" w:eastAsia="Arial" w:hAnsi="Arial"/>
          <w:sz w:val="16"/>
          <w:szCs w:val="16"/>
          <w:color w:val="auto"/>
        </w:rPr>
      </w:pPr>
    </w:p>
    <w:p>
      <w:pPr>
        <w:ind w:left="2320" w:hanging="615"/>
        <w:spacing w:after="0"/>
        <w:tabs>
          <w:tab w:leader="none" w:pos="23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expiration date set forth in the Award Certificate.</w:t>
      </w:r>
    </w:p>
    <w:p>
      <w:pPr>
        <w:spacing w:after="0" w:line="219" w:lineRule="exact"/>
        <w:rPr>
          <w:rFonts w:ascii="Arial" w:cs="Arial" w:eastAsia="Arial" w:hAnsi="Arial"/>
          <w:sz w:val="16"/>
          <w:szCs w:val="16"/>
          <w:color w:val="auto"/>
        </w:rPr>
      </w:pPr>
    </w:p>
    <w:p>
      <w:pPr>
        <w:ind w:left="2320" w:hanging="615"/>
        <w:spacing w:after="0"/>
        <w:tabs>
          <w:tab w:leader="none" w:pos="23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sixth anniversary of the Grant Date.</w:t>
      </w:r>
    </w:p>
    <w:p>
      <w:pPr>
        <w:spacing w:after="0" w:line="219" w:lineRule="exact"/>
        <w:rPr>
          <w:rFonts w:ascii="Arial" w:cs="Arial" w:eastAsia="Arial" w:hAnsi="Arial"/>
          <w:sz w:val="16"/>
          <w:szCs w:val="16"/>
          <w:color w:val="auto"/>
        </w:rPr>
      </w:pPr>
    </w:p>
    <w:p>
      <w:pPr>
        <w:ind w:left="2400" w:hanging="695"/>
        <w:spacing w:after="0"/>
        <w:tabs>
          <w:tab w:leader="none" w:pos="2400" w:val="left"/>
        </w:tabs>
        <w:numPr>
          <w:ilvl w:val="1"/>
          <w:numId w:val="21"/>
        </w:numPr>
        <w:rPr>
          <w:rFonts w:ascii="Arial" w:cs="Arial" w:eastAsia="Arial" w:hAnsi="Arial"/>
          <w:sz w:val="14"/>
          <w:szCs w:val="14"/>
          <w:color w:val="auto"/>
        </w:rPr>
      </w:pPr>
      <w:r>
        <w:rPr>
          <w:rFonts w:ascii="Arial" w:cs="Arial" w:eastAsia="Arial" w:hAnsi="Arial"/>
          <w:sz w:val="14"/>
          <w:szCs w:val="14"/>
          <w:color w:val="auto"/>
        </w:rPr>
        <w:t>Three months after termination of the Participant's Continuous Status as a Participant for any reason other than the Participant's Disability or</w:t>
      </w:r>
    </w:p>
    <w:p>
      <w:pPr>
        <w:spacing w:after="0" w:line="40"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6"/>
          <w:szCs w:val="16"/>
          <w:color w:val="auto"/>
        </w:rPr>
        <w:t>death.</w:t>
      </w:r>
    </w:p>
    <w:p>
      <w:pPr>
        <w:spacing w:after="0" w:line="208" w:lineRule="exact"/>
        <w:rPr>
          <w:rFonts w:ascii="Arial" w:cs="Arial" w:eastAsia="Arial" w:hAnsi="Arial"/>
          <w:sz w:val="14"/>
          <w:szCs w:val="14"/>
          <w:color w:val="auto"/>
        </w:rPr>
      </w:pPr>
    </w:p>
    <w:p>
      <w:pPr>
        <w:ind w:left="2320" w:hanging="615"/>
        <w:spacing w:after="0"/>
        <w:tabs>
          <w:tab w:leader="none" w:pos="23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One year after the Participant's Continuous Status as a Participant by reason of the Participant's Disability.</w:t>
      </w:r>
    </w:p>
    <w:p>
      <w:pPr>
        <w:spacing w:after="0" w:line="219" w:lineRule="exact"/>
        <w:rPr>
          <w:rFonts w:ascii="Arial" w:cs="Arial" w:eastAsia="Arial" w:hAnsi="Arial"/>
          <w:sz w:val="16"/>
          <w:szCs w:val="16"/>
          <w:color w:val="auto"/>
        </w:rPr>
      </w:pPr>
    </w:p>
    <w:p>
      <w:pPr>
        <w:ind w:left="1140" w:firstLine="565"/>
        <w:spacing w:after="0" w:line="196" w:lineRule="exact"/>
        <w:tabs>
          <w:tab w:leader="none" w:pos="2393" w:val="left"/>
        </w:tabs>
        <w:numPr>
          <w:ilvl w:val="1"/>
          <w:numId w:val="21"/>
        </w:numPr>
        <w:rPr>
          <w:rFonts w:ascii="Arial" w:cs="Arial" w:eastAsia="Arial" w:hAnsi="Arial"/>
          <w:sz w:val="16"/>
          <w:szCs w:val="16"/>
          <w:color w:val="auto"/>
        </w:rPr>
      </w:pPr>
      <w:r>
        <w:rPr>
          <w:rFonts w:ascii="Arial" w:cs="Arial" w:eastAsia="Arial" w:hAnsi="Arial"/>
          <w:sz w:val="16"/>
          <w:szCs w:val="16"/>
          <w:color w:val="auto"/>
        </w:rPr>
        <w:t>One year after the termination of the Participant's death if the Participant dies while employed, or during the three</w:t>
      </w:r>
      <w:r>
        <w:rPr>
          <w:rFonts w:ascii="MS PGothic" w:cs="MS PGothic" w:eastAsia="MS PGothic" w:hAnsi="MS PGothic"/>
          <w:sz w:val="16"/>
          <w:szCs w:val="16"/>
          <w:color w:val="auto"/>
        </w:rPr>
        <w:t>‑</w:t>
      </w:r>
      <w:r>
        <w:rPr>
          <w:rFonts w:ascii="Arial" w:cs="Arial" w:eastAsia="Arial" w:hAnsi="Arial"/>
          <w:sz w:val="16"/>
          <w:szCs w:val="16"/>
          <w:color w:val="auto"/>
        </w:rPr>
        <w:t>month period described in paragraph (3) or during the one-year period described in paragraph (4) and before the Option otherwise lapses.</w:t>
      </w:r>
    </w:p>
    <w:p>
      <w:pPr>
        <w:spacing w:after="0" w:line="203"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Unless the exercisability of the Incentive Stock Option is accelerated as provided in Article 14, if a Participant exercises an Option after termination of employment, the Option may be exercised only with respect to the Shares that were otherwise vested on the Participant's termination of employment. Upon the Participant's death, any exercisable Incentive Stock Options may be exercised by the Participant's beneficiary, determined in accordance with Section 14.5.</w:t>
      </w:r>
    </w:p>
    <w:p>
      <w:pPr>
        <w:spacing w:after="0" w:line="188" w:lineRule="exact"/>
        <w:rPr>
          <w:sz w:val="20"/>
          <w:szCs w:val="20"/>
          <w:color w:val="auto"/>
        </w:rPr>
      </w:pPr>
    </w:p>
    <w:p>
      <w:pPr>
        <w:ind w:left="560" w:right="20" w:firstLine="575"/>
        <w:spacing w:after="0" w:line="270" w:lineRule="auto"/>
        <w:tabs>
          <w:tab w:leader="none" w:pos="1917"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INDIVIDUAL DOLLAR LIMITATION. The aggregate Fair Market Value (determined as of the Grant Date) of all Shares with respect to which Incentive Stock Options are first exercisable by a Participant in any calendar year may not exceed $100,000.00.</w:t>
      </w:r>
    </w:p>
    <w:p>
      <w:pPr>
        <w:spacing w:after="0" w:line="179" w:lineRule="exact"/>
        <w:rPr>
          <w:rFonts w:ascii="Arial" w:cs="Arial" w:eastAsia="Arial" w:hAnsi="Arial"/>
          <w:sz w:val="16"/>
          <w:szCs w:val="16"/>
          <w:color w:val="auto"/>
        </w:rPr>
      </w:pPr>
    </w:p>
    <w:p>
      <w:pPr>
        <w:jc w:val="both"/>
        <w:ind w:left="560" w:right="20" w:firstLine="575"/>
        <w:spacing w:after="0" w:line="284" w:lineRule="auto"/>
        <w:tabs>
          <w:tab w:leader="none" w:pos="1762" w:val="left"/>
        </w:tabs>
        <w:numPr>
          <w:ilvl w:val="0"/>
          <w:numId w:val="22"/>
        </w:numPr>
        <w:rPr>
          <w:rFonts w:ascii="Arial" w:cs="Arial" w:eastAsia="Arial" w:hAnsi="Arial"/>
          <w:sz w:val="15"/>
          <w:szCs w:val="15"/>
          <w:color w:val="auto"/>
        </w:rPr>
      </w:pPr>
      <w:r>
        <w:rPr>
          <w:rFonts w:ascii="Arial" w:cs="Arial" w:eastAsia="Arial" w:hAnsi="Arial"/>
          <w:sz w:val="15"/>
          <w:szCs w:val="15"/>
          <w:color w:val="auto"/>
        </w:rPr>
        <w:t>TEN PERCENT OWNERS. No Incentive Stock Option shall be granted to any individual who, at the Grant Date, owns stock possessing more than ten percent of the total combined voting power of all classes of stock of the Company or any Parent or Subsidiary unless the exercise price per share of such Option is at least 110% of the Fair Market Value per Share at the Grant Date and the Option expires no later than five years after the Grant Date.</w:t>
      </w:r>
    </w:p>
    <w:p>
      <w:pPr>
        <w:spacing w:after="0" w:line="171" w:lineRule="exact"/>
        <w:rPr>
          <w:rFonts w:ascii="Arial" w:cs="Arial" w:eastAsia="Arial" w:hAnsi="Arial"/>
          <w:sz w:val="15"/>
          <w:szCs w:val="15"/>
          <w:color w:val="auto"/>
        </w:rPr>
      </w:pPr>
    </w:p>
    <w:p>
      <w:pPr>
        <w:ind w:left="560" w:right="20" w:firstLine="575"/>
        <w:spacing w:after="0" w:line="270" w:lineRule="auto"/>
        <w:tabs>
          <w:tab w:leader="none" w:pos="1775"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EXPIRATION OF AUTHORITY TO GRANT INCENTIVE STOCK OPTIONS. No Incentive Stock Option may be granted pursuant to the Plan after the day immediately prior to the tenth anniversary of the date the Plan was adopted by the Board, or the termination of the Plan, if earlier.</w:t>
      </w:r>
    </w:p>
    <w:p>
      <w:pPr>
        <w:spacing w:after="0" w:line="179" w:lineRule="exact"/>
        <w:rPr>
          <w:rFonts w:ascii="Arial" w:cs="Arial" w:eastAsia="Arial" w:hAnsi="Arial"/>
          <w:sz w:val="16"/>
          <w:szCs w:val="16"/>
          <w:color w:val="auto"/>
        </w:rPr>
      </w:pPr>
    </w:p>
    <w:p>
      <w:pPr>
        <w:ind w:left="560" w:right="20" w:firstLine="575"/>
        <w:spacing w:after="0" w:line="270" w:lineRule="auto"/>
        <w:tabs>
          <w:tab w:leader="none" w:pos="1873"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RIGHT TO EXERCISE. During a Participant's lifetime, an Incentive Stock Option may be exercised only by the Participant or, in the case of the Participant's Disability, by the Participant's guardian or legal representative.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9" w:name="page20"/>
    <w:bookmarkEnd w:id="19"/>
    <w:p>
      <w:pPr>
        <w:ind w:left="560" w:firstLine="575"/>
        <w:spacing w:after="0" w:line="270" w:lineRule="auto"/>
        <w:tabs>
          <w:tab w:leader="none" w:pos="19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ELIGIBLE GRANTEES. The Committee may not grant an Incentive Stock Option to a person who is not at the Grant Date an employee of the Company or a Parent or Subsidiary.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8</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APPRECIATION RIGHTS</w:t>
      </w:r>
    </w:p>
    <w:p>
      <w:pPr>
        <w:spacing w:after="0" w:line="209"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i w:val="1"/>
          <w:iCs w:val="1"/>
          <w:color w:val="auto"/>
        </w:rPr>
        <w:t>GRANT OF STOCK APPRECIATION RIGHTS.</w:t>
      </w:r>
      <w:r>
        <w:rPr>
          <w:rFonts w:ascii="Arial" w:cs="Arial" w:eastAsia="Arial" w:hAnsi="Arial"/>
          <w:sz w:val="16"/>
          <w:szCs w:val="16"/>
          <w:color w:val="auto"/>
        </w:rPr>
        <w:t xml:space="preserve"> The Committee is authorized to grant Stock Appreciation Rights to Participants on the following terms and conditions:</w:t>
      </w:r>
    </w:p>
    <w:p>
      <w:pPr>
        <w:spacing w:after="0" w:line="180" w:lineRule="exact"/>
        <w:rPr>
          <w:sz w:val="20"/>
          <w:szCs w:val="20"/>
          <w:color w:val="auto"/>
        </w:rPr>
      </w:pPr>
    </w:p>
    <w:p>
      <w:pPr>
        <w:ind w:left="560" w:firstLine="575"/>
        <w:spacing w:after="0" w:line="270" w:lineRule="auto"/>
        <w:tabs>
          <w:tab w:leader="none" w:pos="1777" w:val="left"/>
        </w:tabs>
        <w:numPr>
          <w:ilvl w:val="0"/>
          <w:numId w:val="24"/>
        </w:numPr>
        <w:rPr>
          <w:rFonts w:ascii="Arial" w:cs="Arial" w:eastAsia="Arial" w:hAnsi="Arial"/>
          <w:sz w:val="16"/>
          <w:szCs w:val="16"/>
          <w:color w:val="auto"/>
        </w:rPr>
      </w:pPr>
      <w:r>
        <w:rPr>
          <w:rFonts w:ascii="Arial" w:cs="Arial" w:eastAsia="Arial" w:hAnsi="Arial"/>
          <w:sz w:val="16"/>
          <w:szCs w:val="16"/>
          <w:color w:val="auto"/>
        </w:rPr>
        <w:t>RIGHT TO PAYMENT. Upon the exercise of a Stock Appreciation Right, the Participant has the right to receive, for each Share with respect to which the Stock Appreciation Right is being exercised, the excess, if any, of:</w:t>
      </w:r>
    </w:p>
    <w:p>
      <w:pPr>
        <w:spacing w:after="0" w:line="179" w:lineRule="exact"/>
        <w:rPr>
          <w:rFonts w:ascii="Arial" w:cs="Arial" w:eastAsia="Arial" w:hAnsi="Arial"/>
          <w:sz w:val="16"/>
          <w:szCs w:val="16"/>
          <w:color w:val="auto"/>
        </w:rPr>
      </w:pPr>
    </w:p>
    <w:p>
      <w:pPr>
        <w:ind w:left="2320" w:hanging="615"/>
        <w:spacing w:after="0"/>
        <w:tabs>
          <w:tab w:leader="none" w:pos="23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Fair Market Value of one Share on the date of exercise; over</w:t>
      </w:r>
    </w:p>
    <w:p>
      <w:pPr>
        <w:spacing w:after="0" w:line="219" w:lineRule="exact"/>
        <w:rPr>
          <w:rFonts w:ascii="Arial" w:cs="Arial" w:eastAsia="Arial" w:hAnsi="Arial"/>
          <w:sz w:val="16"/>
          <w:szCs w:val="16"/>
          <w:color w:val="auto"/>
        </w:rPr>
      </w:pPr>
    </w:p>
    <w:p>
      <w:pPr>
        <w:ind w:left="1140" w:right="20" w:firstLine="565"/>
        <w:spacing w:after="0" w:line="270" w:lineRule="auto"/>
        <w:tabs>
          <w:tab w:leader="none" w:pos="2432"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base price of the Stock Appreciation Right as determined by the Committee, which shall not be less than the Fair Market Value of one Share on the Grant Date.</w:t>
      </w:r>
    </w:p>
    <w:p>
      <w:pPr>
        <w:spacing w:after="0" w:line="179" w:lineRule="exact"/>
        <w:rPr>
          <w:rFonts w:ascii="Arial" w:cs="Arial" w:eastAsia="Arial" w:hAnsi="Arial"/>
          <w:sz w:val="16"/>
          <w:szCs w:val="16"/>
          <w:color w:val="auto"/>
        </w:rPr>
      </w:pPr>
    </w:p>
    <w:p>
      <w:pPr>
        <w:jc w:val="both"/>
        <w:ind w:left="560" w:right="20" w:firstLine="575"/>
        <w:spacing w:after="0" w:line="277" w:lineRule="auto"/>
        <w:tabs>
          <w:tab w:leader="none" w:pos="1782" w:val="left"/>
        </w:tabs>
        <w:numPr>
          <w:ilvl w:val="0"/>
          <w:numId w:val="24"/>
        </w:numPr>
        <w:rPr>
          <w:rFonts w:ascii="Arial" w:cs="Arial" w:eastAsia="Arial" w:hAnsi="Arial"/>
          <w:sz w:val="15"/>
          <w:szCs w:val="15"/>
          <w:color w:val="auto"/>
        </w:rPr>
      </w:pPr>
      <w:r>
        <w:rPr>
          <w:rFonts w:ascii="Arial" w:cs="Arial" w:eastAsia="Arial" w:hAnsi="Arial"/>
          <w:sz w:val="15"/>
          <w:szCs w:val="15"/>
          <w:color w:val="auto"/>
        </w:rPr>
        <w:t>PROHIBITION ON REPRICING. Except as otherwise provided in Article 15, without the prior approval of stockholders of the Company: (i) the base price of a SAR may not be reduced, directly or indirectly, (ii) a SAR may not be cancelled in exchange for cash, other Awards, or Options or SARs with an exercise or base price that is less than the base price of the original SAR, or otherwise, and (iii) the Company may not repurchase a SAR for value (in cash or otherwise) from a Participant if the current Fair Market Value of the Shares underlying the SAR is lower than the base price per share of the SAR.</w:t>
      </w:r>
    </w:p>
    <w:p>
      <w:pPr>
        <w:spacing w:after="0" w:line="177" w:lineRule="exact"/>
        <w:rPr>
          <w:rFonts w:ascii="Arial" w:cs="Arial" w:eastAsia="Arial" w:hAnsi="Arial"/>
          <w:sz w:val="15"/>
          <w:szCs w:val="15"/>
          <w:color w:val="auto"/>
        </w:rPr>
      </w:pPr>
    </w:p>
    <w:p>
      <w:pPr>
        <w:ind w:left="560" w:right="20" w:firstLine="575"/>
        <w:spacing w:after="0" w:line="270" w:lineRule="auto"/>
        <w:tabs>
          <w:tab w:leader="none" w:pos="191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TIME AND CONDITIONS OF EXERCISE. The Committee shall determine the time or times at which a SAR may be exercised in whole or in part. No SAR granted under the Plan shall be exercisable for more than six years from the Grant Date.</w:t>
      </w:r>
    </w:p>
    <w:p>
      <w:pPr>
        <w:spacing w:after="0" w:line="179" w:lineRule="exact"/>
        <w:rPr>
          <w:rFonts w:ascii="Arial" w:cs="Arial" w:eastAsia="Arial" w:hAnsi="Arial"/>
          <w:sz w:val="16"/>
          <w:szCs w:val="16"/>
          <w:color w:val="auto"/>
        </w:rPr>
      </w:pPr>
    </w:p>
    <w:p>
      <w:pPr>
        <w:ind w:left="560" w:right="20" w:firstLine="575"/>
        <w:spacing w:after="0" w:line="270" w:lineRule="auto"/>
        <w:tabs>
          <w:tab w:leader="none" w:pos="1823"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DEFERRAL FEATURE. No SAR shall provide for any feature for the deferral of compensation other than the deferral of recognition of income until the exercise or disposition of the SAR.</w:t>
      </w:r>
    </w:p>
    <w:p>
      <w:pPr>
        <w:spacing w:after="0" w:line="179" w:lineRule="exact"/>
        <w:rPr>
          <w:rFonts w:ascii="Arial" w:cs="Arial" w:eastAsia="Arial" w:hAnsi="Arial"/>
          <w:sz w:val="16"/>
          <w:szCs w:val="16"/>
          <w:color w:val="auto"/>
        </w:rPr>
      </w:pPr>
    </w:p>
    <w:p>
      <w:pPr>
        <w:ind w:left="1740" w:hanging="605"/>
        <w:spacing w:after="0"/>
        <w:tabs>
          <w:tab w:leader="none" w:pos="1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 DIVIDEND EQUIVALENTS. No SAR shall provide for Dividend Equivalents.</w:t>
      </w:r>
    </w:p>
    <w:p>
      <w:pPr>
        <w:spacing w:after="0" w:line="219" w:lineRule="exact"/>
        <w:rPr>
          <w:rFonts w:ascii="Arial" w:cs="Arial" w:eastAsia="Arial" w:hAnsi="Arial"/>
          <w:sz w:val="16"/>
          <w:szCs w:val="16"/>
          <w:color w:val="auto"/>
        </w:rPr>
      </w:pPr>
    </w:p>
    <w:p>
      <w:pPr>
        <w:jc w:val="both"/>
        <w:ind w:left="560" w:firstLine="575"/>
        <w:spacing w:after="0" w:line="255" w:lineRule="auto"/>
        <w:tabs>
          <w:tab w:leader="none" w:pos="1812"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TERMS. All awards of Stock Appreciation Rights shall be evidenced by an Award Certificate.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 In no event may any Stock Appreciation Rights be exercisable for more than six years from the Grant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9</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PERFORMANCE SHARES</w:t>
      </w:r>
    </w:p>
    <w:p>
      <w:pPr>
        <w:spacing w:after="0" w:line="209" w:lineRule="exact"/>
        <w:rPr>
          <w:sz w:val="20"/>
          <w:szCs w:val="20"/>
          <w:color w:val="auto"/>
        </w:rPr>
      </w:pPr>
    </w:p>
    <w:p>
      <w:pPr>
        <w:ind w:right="20" w:firstLine="570"/>
        <w:spacing w:after="0" w:line="270"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SHARES.</w:t>
      </w:r>
      <w:r>
        <w:rPr>
          <w:rFonts w:ascii="Arial" w:cs="Arial" w:eastAsia="Arial" w:hAnsi="Arial"/>
          <w:sz w:val="16"/>
          <w:szCs w:val="16"/>
          <w:color w:val="auto"/>
        </w:rPr>
        <w:t xml:space="preserve"> The Committee is authorized to grant Performance Shares to Participants on such terms and conditions as may be selected by the Committee. The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20" w:name="page21"/>
    <w:bookmarkEnd w:id="20"/>
    <w:p>
      <w:pPr>
        <w:jc w:val="both"/>
        <w:ind w:left="5" w:right="20"/>
        <w:spacing w:after="0" w:line="284" w:lineRule="auto"/>
        <w:rPr>
          <w:sz w:val="20"/>
          <w:szCs w:val="20"/>
          <w:color w:val="auto"/>
        </w:rPr>
      </w:pPr>
      <w:r>
        <w:rPr>
          <w:rFonts w:ascii="Arial" w:cs="Arial" w:eastAsia="Arial" w:hAnsi="Arial"/>
          <w:sz w:val="15"/>
          <w:szCs w:val="15"/>
          <w:color w:val="auto"/>
        </w:rPr>
        <w:t>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72" w:lineRule="exact"/>
        <w:rPr>
          <w:sz w:val="20"/>
          <w:szCs w:val="20"/>
          <w:color w:val="auto"/>
        </w:rPr>
      </w:pPr>
    </w:p>
    <w:p>
      <w:pPr>
        <w:jc w:val="both"/>
        <w:ind w:left="5" w:firstLine="570"/>
        <w:spacing w:after="0" w:line="286"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i w:val="1"/>
          <w:iCs w:val="1"/>
          <w:color w:val="auto"/>
        </w:rPr>
        <w:t>PERFORMANCE GOALS.</w:t>
      </w:r>
      <w:r>
        <w:rPr>
          <w:rFonts w:ascii="Arial" w:cs="Arial" w:eastAsia="Arial" w:hAnsi="Arial"/>
          <w:sz w:val="14"/>
          <w:szCs w:val="14"/>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w:t>
      </w:r>
    </w:p>
    <w:p>
      <w:pPr>
        <w:jc w:val="both"/>
        <w:ind w:left="5" w:right="20" w:hanging="5"/>
        <w:spacing w:after="0" w:line="190" w:lineRule="exact"/>
        <w:tabs>
          <w:tab w:leader="none" w:pos="1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206" w:lineRule="exact"/>
        <w:rPr>
          <w:sz w:val="20"/>
          <w:szCs w:val="20"/>
          <w:color w:val="auto"/>
        </w:rPr>
      </w:pPr>
    </w:p>
    <w:p>
      <w:pPr>
        <w:jc w:val="both"/>
        <w:ind w:left="5" w:right="20" w:firstLine="570"/>
        <w:spacing w:after="0" w:line="255"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i w:val="1"/>
          <w:iCs w:val="1"/>
          <w:color w:val="auto"/>
        </w:rPr>
        <w:t>RIGHT TO PAYMENT.</w:t>
      </w:r>
      <w:r>
        <w:rPr>
          <w:rFonts w:ascii="Arial" w:cs="Arial" w:eastAsia="Arial" w:hAnsi="Arial"/>
          <w:sz w:val="16"/>
          <w:szCs w:val="16"/>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192" w:lineRule="exact"/>
        <w:rPr>
          <w:sz w:val="20"/>
          <w:szCs w:val="20"/>
          <w:color w:val="auto"/>
        </w:rPr>
      </w:pPr>
    </w:p>
    <w:p>
      <w:pPr>
        <w:jc w:val="both"/>
        <w:ind w:left="5" w:firstLine="570"/>
        <w:spacing w:after="0" w:line="270"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i w:val="1"/>
          <w:iCs w:val="1"/>
          <w:color w:val="auto"/>
        </w:rPr>
        <w:t>OTHER TERMS.</w:t>
      </w:r>
      <w:r>
        <w:rPr>
          <w:rFonts w:ascii="Arial" w:cs="Arial" w:eastAsia="Arial" w:hAnsi="Arial"/>
          <w:sz w:val="16"/>
          <w:szCs w:val="16"/>
          <w:color w:val="auto"/>
        </w:rPr>
        <w:t xml:space="preserve"> Performance Shares may be payable in cash, Stock, or other property, and have such other terms and conditions as determined by the Committee and reflected in the Award Certificate.</w:t>
      </w:r>
    </w:p>
    <w:p>
      <w:pPr>
        <w:spacing w:after="0" w:line="176"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ARTICLE 10</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RESTRICTED STOCK AND RESTRICTED STOCK UNIT AWARDS</w:t>
      </w:r>
    </w:p>
    <w:p>
      <w:pPr>
        <w:spacing w:after="0" w:line="209" w:lineRule="exact"/>
        <w:rPr>
          <w:sz w:val="20"/>
          <w:szCs w:val="20"/>
          <w:color w:val="auto"/>
        </w:rPr>
      </w:pPr>
    </w:p>
    <w:p>
      <w:pPr>
        <w:jc w:val="both"/>
        <w:ind w:left="5" w:firstLine="570"/>
        <w:spacing w:after="0" w:line="313" w:lineRule="auto"/>
        <w:rPr>
          <w:sz w:val="20"/>
          <w:szCs w:val="20"/>
          <w:color w:val="auto"/>
        </w:rPr>
      </w:pPr>
      <w:r>
        <w:rPr>
          <w:rFonts w:ascii="Arial" w:cs="Arial" w:eastAsia="Arial" w:hAnsi="Arial"/>
          <w:sz w:val="14"/>
          <w:szCs w:val="14"/>
          <w:color w:val="auto"/>
        </w:rPr>
        <w:t xml:space="preserve">10.1. </w:t>
      </w:r>
      <w:r>
        <w:rPr>
          <w:rFonts w:ascii="Arial" w:cs="Arial" w:eastAsia="Arial" w:hAnsi="Arial"/>
          <w:sz w:val="14"/>
          <w:szCs w:val="14"/>
          <w:i w:val="1"/>
          <w:iCs w:val="1"/>
          <w:color w:val="auto"/>
        </w:rPr>
        <w:t>GRANT OF RESTRICTED STOCK AND RESTRICTED STOCK UNITS.</w:t>
      </w:r>
      <w:r>
        <w:rPr>
          <w:rFonts w:ascii="Arial" w:cs="Arial" w:eastAsia="Arial" w:hAnsi="Arial"/>
          <w:sz w:val="14"/>
          <w:szCs w:val="14"/>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54" w:lineRule="exact"/>
        <w:rPr>
          <w:sz w:val="20"/>
          <w:szCs w:val="20"/>
          <w:color w:val="auto"/>
        </w:rPr>
      </w:pPr>
    </w:p>
    <w:p>
      <w:pPr>
        <w:jc w:val="both"/>
        <w:ind w:left="5" w:right="20" w:firstLine="570"/>
        <w:spacing w:after="0" w:line="270"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i w:val="1"/>
          <w:iCs w:val="1"/>
          <w:color w:val="auto"/>
        </w:rPr>
        <w:t>ISSUANCE AND RESTRICTIONS.</w:t>
      </w:r>
      <w:r>
        <w:rPr>
          <w:rFonts w:ascii="Arial" w:cs="Arial" w:eastAsia="Arial" w:hAnsi="Arial"/>
          <w:sz w:val="16"/>
          <w:szCs w:val="16"/>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w:t>
      </w:r>
    </w:p>
    <w:p>
      <w:pPr>
        <w:spacing w:after="0" w:line="28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821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448" w:right="219" w:bottom="1440" w:gutter="0" w:footer="0" w:header="0"/>
        </w:sectPr>
      </w:pPr>
    </w:p>
    <w:bookmarkStart w:id="21" w:name="page22"/>
    <w:bookmarkEnd w:id="21"/>
    <w:p>
      <w:pPr>
        <w:jc w:val="both"/>
        <w:ind w:right="20"/>
        <w:spacing w:after="0" w:line="253" w:lineRule="auto"/>
        <w:rPr>
          <w:sz w:val="20"/>
          <w:szCs w:val="20"/>
          <w:color w:val="auto"/>
        </w:rPr>
      </w:pPr>
      <w:r>
        <w:rPr>
          <w:rFonts w:ascii="Arial" w:cs="Arial" w:eastAsia="Arial" w:hAnsi="Arial"/>
          <w:sz w:val="16"/>
          <w:szCs w:val="16"/>
          <w:color w:val="auto"/>
        </w:rPr>
        <w:t>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94" w:lineRule="exact"/>
        <w:rPr>
          <w:sz w:val="20"/>
          <w:szCs w:val="20"/>
          <w:color w:val="auto"/>
        </w:rPr>
      </w:pPr>
    </w:p>
    <w:p>
      <w:pPr>
        <w:jc w:val="both"/>
        <w:ind w:firstLine="570"/>
        <w:spacing w:after="0" w:line="274" w:lineRule="auto"/>
        <w:rPr>
          <w:sz w:val="20"/>
          <w:szCs w:val="20"/>
          <w:color w:val="auto"/>
        </w:rPr>
      </w:pPr>
      <w:r>
        <w:rPr>
          <w:rFonts w:ascii="Arial" w:cs="Arial" w:eastAsia="Arial" w:hAnsi="Arial"/>
          <w:sz w:val="15"/>
          <w:szCs w:val="15"/>
          <w:color w:val="auto"/>
        </w:rPr>
        <w:t xml:space="preserve">10.3. </w:t>
      </w:r>
      <w:r>
        <w:rPr>
          <w:rFonts w:ascii="Arial" w:cs="Arial" w:eastAsia="Arial" w:hAnsi="Arial"/>
          <w:sz w:val="15"/>
          <w:szCs w:val="15"/>
          <w:i w:val="1"/>
          <w:iCs w:val="1"/>
          <w:color w:val="auto"/>
        </w:rPr>
        <w:t>FORFEITURE.</w:t>
      </w:r>
      <w:r>
        <w:rPr>
          <w:rFonts w:ascii="Arial" w:cs="Arial" w:eastAsia="Arial" w:hAnsi="Arial"/>
          <w:sz w:val="15"/>
          <w:szCs w:val="15"/>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79" w:lineRule="exact"/>
        <w:rPr>
          <w:sz w:val="20"/>
          <w:szCs w:val="20"/>
          <w:color w:val="auto"/>
        </w:rPr>
      </w:pPr>
    </w:p>
    <w:p>
      <w:pPr>
        <w:jc w:val="both"/>
        <w:ind w:firstLine="570"/>
        <w:spacing w:after="0" w:line="277" w:lineRule="auto"/>
        <w:rPr>
          <w:sz w:val="20"/>
          <w:szCs w:val="20"/>
          <w:color w:val="auto"/>
        </w:rPr>
      </w:pPr>
      <w:r>
        <w:rPr>
          <w:rFonts w:ascii="Arial" w:cs="Arial" w:eastAsia="Arial" w:hAnsi="Arial"/>
          <w:sz w:val="15"/>
          <w:szCs w:val="15"/>
          <w:color w:val="auto"/>
        </w:rPr>
        <w:t xml:space="preserve">10.4. </w:t>
      </w:r>
      <w:r>
        <w:rPr>
          <w:rFonts w:ascii="Arial" w:cs="Arial" w:eastAsia="Arial" w:hAnsi="Arial"/>
          <w:sz w:val="15"/>
          <w:szCs w:val="15"/>
          <w:i w:val="1"/>
          <w:iCs w:val="1"/>
          <w:color w:val="auto"/>
        </w:rPr>
        <w:t>DELIVERY OF RESTRICTED STOCK.</w:t>
      </w:r>
      <w:r>
        <w:rPr>
          <w:rFonts w:ascii="Arial" w:cs="Arial" w:eastAsia="Arial" w:hAnsi="Arial"/>
          <w:sz w:val="15"/>
          <w:szCs w:val="15"/>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78" w:lineRule="exact"/>
        <w:rPr>
          <w:sz w:val="20"/>
          <w:szCs w:val="20"/>
          <w:color w:val="auto"/>
        </w:rPr>
      </w:pPr>
    </w:p>
    <w:p>
      <w:pPr>
        <w:jc w:val="both"/>
        <w:ind w:firstLine="570"/>
        <w:spacing w:after="0" w:line="268"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i w:val="1"/>
          <w:iCs w:val="1"/>
          <w:color w:val="auto"/>
        </w:rPr>
        <w:t>DIVIDENDS ON RESTRICTED STOCK</w:t>
      </w:r>
      <w:r>
        <w:rPr>
          <w:rFonts w:ascii="Arial" w:cs="Arial" w:eastAsia="Arial" w:hAnsi="Arial"/>
          <w:sz w:val="15"/>
          <w:szCs w:val="15"/>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stockholders,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provisions of such Restricted Stock lapse.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DEFERRED STOCK UNITS</w:t>
      </w:r>
    </w:p>
    <w:p>
      <w:pPr>
        <w:spacing w:after="0" w:line="209"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i w:val="1"/>
          <w:iCs w:val="1"/>
          <w:color w:val="auto"/>
        </w:rPr>
        <w:t>GRANT OF DEFERRED STOCK UNITS.</w:t>
      </w:r>
      <w:r>
        <w:rPr>
          <w:rFonts w:ascii="Arial" w:cs="Arial" w:eastAsia="Arial" w:hAnsi="Arial"/>
          <w:sz w:val="16"/>
          <w:szCs w:val="16"/>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22" w:name="page23"/>
    <w:bookmarkEnd w:id="22"/>
    <w:p>
      <w:pPr>
        <w:jc w:val="both"/>
        <w:ind w:right="20"/>
        <w:spacing w:after="0" w:line="259" w:lineRule="auto"/>
        <w:rPr>
          <w:sz w:val="20"/>
          <w:szCs w:val="20"/>
          <w:color w:val="auto"/>
        </w:rPr>
      </w:pPr>
      <w:r>
        <w:rPr>
          <w:rFonts w:ascii="Arial" w:cs="Arial" w:eastAsia="Arial" w:hAnsi="Arial"/>
          <w:sz w:val="16"/>
          <w:szCs w:val="16"/>
          <w:color w:val="auto"/>
        </w:rPr>
        <w:t>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DIVIDEND EQUIVALENTS</w:t>
      </w:r>
    </w:p>
    <w:p>
      <w:pPr>
        <w:spacing w:after="0" w:line="209" w:lineRule="exact"/>
        <w:rPr>
          <w:sz w:val="20"/>
          <w:szCs w:val="20"/>
          <w:color w:val="auto"/>
        </w:rPr>
      </w:pPr>
    </w:p>
    <w:p>
      <w:pPr>
        <w:jc w:val="both"/>
        <w:ind w:firstLine="570"/>
        <w:spacing w:after="0" w:line="289"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i w:val="1"/>
          <w:iCs w:val="1"/>
          <w:color w:val="auto"/>
        </w:rPr>
        <w:t>GRANT OF DIVIDEND EQUIVALENTS.</w:t>
      </w:r>
      <w:r>
        <w:rPr>
          <w:rFonts w:ascii="Arial" w:cs="Arial" w:eastAsia="Arial" w:hAnsi="Arial"/>
          <w:sz w:val="14"/>
          <w:szCs w:val="14"/>
          <w:color w:val="auto"/>
        </w:rPr>
        <w:t xml:space="preserve">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15th day of the 3rd month following the later of (i) the calendar year in which the corresponding dividends were paid to stockholders,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provisions of the Performance Shares lapse.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13</w:t>
      </w:r>
    </w:p>
    <w:p>
      <w:pPr>
        <w:spacing w:after="0" w:line="21"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STOCK OR OTHER STOCK</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BASED AWARDS</w:t>
      </w:r>
    </w:p>
    <w:p>
      <w:pPr>
        <w:spacing w:after="0" w:line="209" w:lineRule="exact"/>
        <w:rPr>
          <w:sz w:val="20"/>
          <w:szCs w:val="20"/>
          <w:color w:val="auto"/>
        </w:rPr>
      </w:pPr>
    </w:p>
    <w:p>
      <w:pPr>
        <w:jc w:val="both"/>
        <w:ind w:firstLine="570"/>
        <w:spacing w:after="0" w:line="192" w:lineRule="exact"/>
        <w:rPr>
          <w:sz w:val="20"/>
          <w:szCs w:val="20"/>
          <w:color w:val="auto"/>
        </w:rPr>
      </w:pPr>
      <w:r>
        <w:rPr>
          <w:rFonts w:ascii="Arial" w:cs="Arial" w:eastAsia="Arial" w:hAnsi="Arial"/>
          <w:sz w:val="15"/>
          <w:szCs w:val="15"/>
          <w:color w:val="auto"/>
        </w:rPr>
        <w:t xml:space="preserve">13.1. </w:t>
      </w:r>
      <w:r>
        <w:rPr>
          <w:rFonts w:ascii="Arial" w:cs="Arial" w:eastAsia="Arial" w:hAnsi="Arial"/>
          <w:sz w:val="15"/>
          <w:szCs w:val="15"/>
          <w:i w:val="1"/>
          <w:iCs w:val="1"/>
          <w:color w:val="auto"/>
        </w:rPr>
        <w:t>GRANT OF STOCK OR OTHER STOCK</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BASED AWARDS.</w:t>
      </w:r>
      <w:r>
        <w:rPr>
          <w:rFonts w:ascii="Arial" w:cs="Arial" w:eastAsia="Arial" w:hAnsi="Arial"/>
          <w:sz w:val="15"/>
          <w:szCs w:val="15"/>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PROVISIONS APPLICABLE TO AWARDS</w:t>
      </w:r>
    </w:p>
    <w:p>
      <w:pPr>
        <w:spacing w:after="0" w:line="209" w:lineRule="exact"/>
        <w:rPr>
          <w:sz w:val="20"/>
          <w:szCs w:val="20"/>
          <w:color w:val="auto"/>
        </w:rPr>
      </w:pPr>
    </w:p>
    <w:p>
      <w:pPr>
        <w:jc w:val="both"/>
        <w:ind w:right="20" w:firstLine="570"/>
        <w:spacing w:after="0" w:line="194" w:lineRule="exact"/>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i w:val="1"/>
          <w:iCs w:val="1"/>
          <w:color w:val="auto"/>
        </w:rPr>
        <w:t>STAND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ALONE AND TANDEM AWARDS.</w:t>
      </w:r>
      <w:r>
        <w:rPr>
          <w:rFonts w:ascii="Arial" w:cs="Arial" w:eastAsia="Arial" w:hAnsi="Arial"/>
          <w:sz w:val="16"/>
          <w:szCs w:val="16"/>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23" w:name="page24"/>
    <w:bookmarkEnd w:id="23"/>
    <w:p>
      <w:pPr>
        <w:jc w:val="both"/>
        <w:ind w:firstLine="570"/>
        <w:spacing w:after="0" w:line="259"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i w:val="1"/>
          <w:iCs w:val="1"/>
          <w:color w:val="auto"/>
        </w:rPr>
        <w:t>TERM OF AWARD.</w:t>
      </w:r>
      <w:r>
        <w:rPr>
          <w:rFonts w:ascii="Arial" w:cs="Arial" w:eastAsia="Arial" w:hAnsi="Arial"/>
          <w:sz w:val="16"/>
          <w:szCs w:val="16"/>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six (6) years from its Grant Date (or, if Section 7.2(d) applies, five years from its Grant Date).</w:t>
      </w:r>
    </w:p>
    <w:p>
      <w:pPr>
        <w:spacing w:after="0" w:line="188" w:lineRule="exact"/>
        <w:rPr>
          <w:sz w:val="20"/>
          <w:szCs w:val="20"/>
          <w:color w:val="auto"/>
        </w:rPr>
      </w:pPr>
    </w:p>
    <w:p>
      <w:pPr>
        <w:jc w:val="both"/>
        <w:ind w:firstLine="570"/>
        <w:spacing w:after="0" w:line="277" w:lineRule="auto"/>
        <w:rPr>
          <w:sz w:val="20"/>
          <w:szCs w:val="20"/>
          <w:color w:val="auto"/>
        </w:rPr>
      </w:pPr>
      <w:r>
        <w:rPr>
          <w:rFonts w:ascii="Arial" w:cs="Arial" w:eastAsia="Arial" w:hAnsi="Arial"/>
          <w:sz w:val="15"/>
          <w:szCs w:val="15"/>
          <w:color w:val="auto"/>
        </w:rPr>
        <w:t xml:space="preserve">14.3. </w:t>
      </w:r>
      <w:r>
        <w:rPr>
          <w:rFonts w:ascii="Arial" w:cs="Arial" w:eastAsia="Arial" w:hAnsi="Arial"/>
          <w:sz w:val="15"/>
          <w:szCs w:val="15"/>
          <w:i w:val="1"/>
          <w:iCs w:val="1"/>
          <w:color w:val="auto"/>
        </w:rPr>
        <w:t>FORM OF PAYMENT FOR AWARDS.</w:t>
      </w:r>
      <w:r>
        <w:rPr>
          <w:rFonts w:ascii="Arial" w:cs="Arial" w:eastAsia="Arial" w:hAnsi="Arial"/>
          <w:sz w:val="15"/>
          <w:szCs w:val="15"/>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78" w:lineRule="exact"/>
        <w:rPr>
          <w:sz w:val="20"/>
          <w:szCs w:val="20"/>
          <w:color w:val="auto"/>
        </w:rPr>
      </w:pPr>
    </w:p>
    <w:p>
      <w:pPr>
        <w:jc w:val="both"/>
        <w:ind w:firstLine="570"/>
        <w:spacing w:after="0" w:line="293" w:lineRule="auto"/>
        <w:rPr>
          <w:sz w:val="20"/>
          <w:szCs w:val="20"/>
          <w:color w:val="auto"/>
        </w:rPr>
      </w:pPr>
      <w:r>
        <w:rPr>
          <w:rFonts w:ascii="Arial" w:cs="Arial" w:eastAsia="Arial" w:hAnsi="Arial"/>
          <w:sz w:val="14"/>
          <w:szCs w:val="14"/>
          <w:color w:val="auto"/>
        </w:rPr>
        <w:t xml:space="preserve">14.4. </w:t>
      </w:r>
      <w:r>
        <w:rPr>
          <w:rFonts w:ascii="Arial" w:cs="Arial" w:eastAsia="Arial" w:hAnsi="Arial"/>
          <w:sz w:val="14"/>
          <w:szCs w:val="14"/>
          <w:i w:val="1"/>
          <w:iCs w:val="1"/>
          <w:color w:val="auto"/>
        </w:rPr>
        <w:t>LIMITS ON TRANSFER.</w:t>
      </w:r>
      <w:r>
        <w:rPr>
          <w:rFonts w:ascii="Arial" w:cs="Arial" w:eastAsia="Arial" w:hAnsi="Arial"/>
          <w:sz w:val="14"/>
          <w:szCs w:val="14"/>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68" w:lineRule="exact"/>
        <w:rPr>
          <w:sz w:val="20"/>
          <w:szCs w:val="20"/>
          <w:color w:val="auto"/>
        </w:rPr>
      </w:pPr>
    </w:p>
    <w:p>
      <w:pPr>
        <w:jc w:val="both"/>
        <w:ind w:firstLine="570"/>
        <w:spacing w:after="0" w:line="272" w:lineRule="auto"/>
        <w:rPr>
          <w:sz w:val="20"/>
          <w:szCs w:val="20"/>
          <w:color w:val="auto"/>
        </w:rPr>
      </w:pPr>
      <w:r>
        <w:rPr>
          <w:rFonts w:ascii="Arial" w:cs="Arial" w:eastAsia="Arial" w:hAnsi="Arial"/>
          <w:sz w:val="15"/>
          <w:szCs w:val="15"/>
          <w:color w:val="auto"/>
        </w:rPr>
        <w:t xml:space="preserve">14.5. </w:t>
      </w:r>
      <w:r>
        <w:rPr>
          <w:rFonts w:ascii="Arial" w:cs="Arial" w:eastAsia="Arial" w:hAnsi="Arial"/>
          <w:sz w:val="15"/>
          <w:szCs w:val="15"/>
          <w:i w:val="1"/>
          <w:iCs w:val="1"/>
          <w:color w:val="auto"/>
        </w:rPr>
        <w:t>BENEFICIARIES.</w:t>
      </w:r>
      <w:r>
        <w:rPr>
          <w:rFonts w:ascii="Arial" w:cs="Arial" w:eastAsia="Arial" w:hAnsi="Arial"/>
          <w:sz w:val="15"/>
          <w:szCs w:val="15"/>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81" w:lineRule="exact"/>
        <w:rPr>
          <w:sz w:val="20"/>
          <w:szCs w:val="20"/>
          <w:color w:val="auto"/>
        </w:rPr>
      </w:pPr>
    </w:p>
    <w:p>
      <w:pPr>
        <w:jc w:val="both"/>
        <w:ind w:right="20" w:firstLine="570"/>
        <w:spacing w:after="0" w:line="313" w:lineRule="auto"/>
        <w:rPr>
          <w:sz w:val="20"/>
          <w:szCs w:val="20"/>
          <w:color w:val="auto"/>
        </w:rPr>
      </w:pPr>
      <w:r>
        <w:rPr>
          <w:rFonts w:ascii="Arial" w:cs="Arial" w:eastAsia="Arial" w:hAnsi="Arial"/>
          <w:sz w:val="14"/>
          <w:szCs w:val="14"/>
          <w:color w:val="auto"/>
        </w:rPr>
        <w:t xml:space="preserve">14.6. </w:t>
      </w:r>
      <w:r>
        <w:rPr>
          <w:rFonts w:ascii="Arial" w:cs="Arial" w:eastAsia="Arial" w:hAnsi="Arial"/>
          <w:sz w:val="14"/>
          <w:szCs w:val="14"/>
          <w:i w:val="1"/>
          <w:iCs w:val="1"/>
          <w:color w:val="auto"/>
        </w:rPr>
        <w:t>STOCK CERTIFICATES.</w:t>
      </w:r>
      <w:r>
        <w:rPr>
          <w:rFonts w:ascii="Arial" w:cs="Arial" w:eastAsia="Arial" w:hAnsi="Arial"/>
          <w:sz w:val="14"/>
          <w:szCs w:val="14"/>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54" w:lineRule="exact"/>
        <w:rPr>
          <w:sz w:val="20"/>
          <w:szCs w:val="20"/>
          <w:color w:val="auto"/>
        </w:rPr>
      </w:pPr>
    </w:p>
    <w:p>
      <w:pPr>
        <w:jc w:val="both"/>
        <w:ind w:right="20" w:firstLine="570"/>
        <w:spacing w:after="0" w:line="192" w:lineRule="exact"/>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w:t>
      </w:r>
      <w:r>
        <w:rPr>
          <w:rFonts w:ascii="MS PGothic" w:cs="MS PGothic" w:eastAsia="MS PGothic" w:hAnsi="MS PGothic"/>
          <w:sz w:val="16"/>
          <w:szCs w:val="16"/>
          <w:color w:val="auto"/>
        </w:rPr>
        <w:t>‑</w:t>
      </w:r>
      <w:r>
        <w:rPr>
          <w:rFonts w:ascii="Arial" w:cs="Arial" w:eastAsia="Arial" w:hAnsi="Arial"/>
          <w:sz w:val="16"/>
          <w:szCs w:val="16"/>
          <w:color w:val="auto"/>
        </w:rPr>
        <w:t>based Awards shall be deemed to have been fully earned as of the effective date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24" w:name="page25"/>
    <w:bookmarkEnd w:id="24"/>
    <w:p>
      <w:pPr>
        <w:jc w:val="both"/>
        <w:ind w:left="5" w:right="20"/>
        <w:spacing w:after="0" w:line="343" w:lineRule="auto"/>
        <w:rPr>
          <w:sz w:val="20"/>
          <w:szCs w:val="20"/>
          <w:color w:val="auto"/>
        </w:rPr>
      </w:pPr>
      <w:r>
        <w:rPr>
          <w:rFonts w:ascii="Arial" w:cs="Arial" w:eastAsia="Arial" w:hAnsi="Arial"/>
          <w:sz w:val="14"/>
          <w:szCs w:val="14"/>
          <w:color w:val="auto"/>
        </w:rPr>
        <w:t>of the Change in Control based upon an assumed achievement of all relevant performance goals at the “target” level and there shall be prorata payout to Participants within thirty (30) days following the effective date of the Change in Control based upon the length of time within the performance period that has elapsed prior to the Change in Control.</w:t>
      </w:r>
    </w:p>
    <w:p>
      <w:pPr>
        <w:spacing w:after="0" w:line="134" w:lineRule="exact"/>
        <w:rPr>
          <w:sz w:val="20"/>
          <w:szCs w:val="20"/>
          <w:color w:val="auto"/>
        </w:rPr>
      </w:pPr>
    </w:p>
    <w:p>
      <w:pPr>
        <w:jc w:val="both"/>
        <w:ind w:left="5" w:firstLine="570"/>
        <w:spacing w:after="0" w:line="293" w:lineRule="auto"/>
        <w:rPr>
          <w:sz w:val="20"/>
          <w:szCs w:val="20"/>
          <w:color w:val="auto"/>
        </w:rPr>
      </w:pPr>
      <w:r>
        <w:rPr>
          <w:rFonts w:ascii="Arial" w:cs="Arial" w:eastAsia="Arial" w:hAnsi="Arial"/>
          <w:sz w:val="14"/>
          <w:szCs w:val="14"/>
          <w:color w:val="auto"/>
        </w:rPr>
        <w:t xml:space="preserve">14.8. </w:t>
      </w:r>
      <w:r>
        <w:rPr>
          <w:rFonts w:ascii="Arial" w:cs="Arial" w:eastAsia="Arial" w:hAnsi="Arial"/>
          <w:sz w:val="14"/>
          <w:szCs w:val="14"/>
          <w:i w:val="1"/>
          <w:iCs w:val="1"/>
          <w:color w:val="auto"/>
        </w:rPr>
        <w:t>ACCELERATION UPON DEATH OR DISABILITY.</w:t>
      </w:r>
      <w:r>
        <w:rPr>
          <w:rFonts w:ascii="Arial" w:cs="Arial" w:eastAsia="Arial" w:hAnsi="Arial"/>
          <w:sz w:val="14"/>
          <w:szCs w:val="14"/>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payout to the Participant or his or her estate within thirty (30) days following the date of termination. Any Awards shall thereafter continue or lapse in accordance with the other provisions of the Plan and the Awards Certificate. To the extent that this provision causes Incentive Stock Options to exceed the dollar limitation set forth in Section 7.2(c), the excess Options shall be deemed to be Nonstatutory Stock Options.</w:t>
      </w:r>
    </w:p>
    <w:p>
      <w:pPr>
        <w:spacing w:after="0" w:line="168" w:lineRule="exact"/>
        <w:rPr>
          <w:sz w:val="20"/>
          <w:szCs w:val="20"/>
          <w:color w:val="auto"/>
        </w:rPr>
      </w:pPr>
    </w:p>
    <w:p>
      <w:pPr>
        <w:jc w:val="both"/>
        <w:ind w:left="5" w:firstLine="570"/>
        <w:spacing w:after="0" w:line="192" w:lineRule="exact"/>
        <w:rPr>
          <w:sz w:val="20"/>
          <w:szCs w:val="20"/>
          <w:color w:val="auto"/>
        </w:rPr>
      </w:pPr>
      <w:r>
        <w:rPr>
          <w:rFonts w:ascii="Arial" w:cs="Arial" w:eastAsia="Arial" w:hAnsi="Arial"/>
          <w:sz w:val="15"/>
          <w:szCs w:val="15"/>
          <w:color w:val="auto"/>
        </w:rPr>
        <w:t xml:space="preserve">14.9. </w:t>
      </w:r>
      <w:r>
        <w:rPr>
          <w:rFonts w:ascii="Arial" w:cs="Arial" w:eastAsia="Arial" w:hAnsi="Arial"/>
          <w:sz w:val="15"/>
          <w:szCs w:val="15"/>
          <w:i w:val="1"/>
          <w:iCs w:val="1"/>
          <w:color w:val="auto"/>
        </w:rPr>
        <w:t>ACCELERATION FOR ANY OTHER REASON.</w:t>
      </w:r>
      <w:r>
        <w:rPr>
          <w:rFonts w:ascii="Arial" w:cs="Arial" w:eastAsia="Arial" w:hAnsi="Arial"/>
          <w:sz w:val="15"/>
          <w:szCs w:val="15"/>
          <w:color w:val="auto"/>
        </w:rPr>
        <w:t xml:space="preserve"> Regardless of whether an event has occurred as described in Section 14.7 or 14.8 above, and subject to Section 5.5 as to Full-Value Awards and Section 14.11 as to Qualified Performance</w:t>
      </w:r>
      <w:r>
        <w:rPr>
          <w:rFonts w:ascii="MS PGothic" w:cs="MS PGothic" w:eastAsia="MS PGothic" w:hAnsi="MS PGothic"/>
          <w:sz w:val="15"/>
          <w:szCs w:val="15"/>
          <w:color w:val="auto"/>
        </w:rPr>
        <w:t>‑</w:t>
      </w:r>
      <w:r>
        <w:rPr>
          <w:rFonts w:ascii="Arial" w:cs="Arial" w:eastAsia="Arial" w:hAnsi="Arial"/>
          <w:sz w:val="15"/>
          <w:szCs w:val="15"/>
          <w:color w:val="auto"/>
        </w:rPr>
        <w:t>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w:t>
      </w:r>
      <w:r>
        <w:rPr>
          <w:rFonts w:ascii="MS PGothic" w:cs="MS PGothic" w:eastAsia="MS PGothic" w:hAnsi="MS PGothic"/>
          <w:sz w:val="15"/>
          <w:szCs w:val="15"/>
          <w:color w:val="auto"/>
        </w:rPr>
        <w:t>‑</w:t>
      </w:r>
      <w:r>
        <w:rPr>
          <w:rFonts w:ascii="Arial" w:cs="Arial" w:eastAsia="Arial" w:hAnsi="Arial"/>
          <w:sz w:val="15"/>
          <w:szCs w:val="15"/>
          <w:color w:val="auto"/>
        </w:rPr>
        <w:t>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207" w:lineRule="exact"/>
        <w:rPr>
          <w:sz w:val="20"/>
          <w:szCs w:val="20"/>
          <w:color w:val="auto"/>
        </w:rPr>
      </w:pPr>
    </w:p>
    <w:p>
      <w:pPr>
        <w:ind w:left="565"/>
        <w:spacing w:after="0"/>
        <w:rPr>
          <w:sz w:val="20"/>
          <w:szCs w:val="20"/>
          <w:color w:val="auto"/>
        </w:rPr>
      </w:pPr>
      <w:r>
        <w:rPr>
          <w:rFonts w:ascii="Arial" w:cs="Arial" w:eastAsia="Arial" w:hAnsi="Arial"/>
          <w:sz w:val="14"/>
          <w:szCs w:val="14"/>
          <w:color w:val="auto"/>
        </w:rPr>
        <w:t xml:space="preserve">14.10. </w:t>
      </w:r>
      <w:r>
        <w:rPr>
          <w:rFonts w:ascii="Arial" w:cs="Arial" w:eastAsia="Arial" w:hAnsi="Arial"/>
          <w:sz w:val="14"/>
          <w:szCs w:val="14"/>
          <w:i w:val="1"/>
          <w:iCs w:val="1"/>
          <w:color w:val="auto"/>
        </w:rPr>
        <w:t>EFFECT OF ACCELERATION.</w:t>
      </w:r>
      <w:r>
        <w:rPr>
          <w:rFonts w:ascii="Arial" w:cs="Arial" w:eastAsia="Arial" w:hAnsi="Arial"/>
          <w:sz w:val="14"/>
          <w:szCs w:val="14"/>
          <w:color w:val="auto"/>
        </w:rPr>
        <w:t xml:space="preserve">  If an Award is accelerated under Section 14.7, Section 14.8 or Section 14.9, the Committee may, in its sole discretion, provide</w:t>
      </w:r>
    </w:p>
    <w:p>
      <w:pPr>
        <w:spacing w:after="0" w:line="40" w:lineRule="exact"/>
        <w:rPr>
          <w:sz w:val="20"/>
          <w:szCs w:val="20"/>
          <w:color w:val="auto"/>
        </w:rPr>
      </w:pPr>
    </w:p>
    <w:p>
      <w:pPr>
        <w:ind w:left="205" w:hanging="205"/>
        <w:spacing w:after="0"/>
        <w:tabs>
          <w:tab w:leader="none" w:pos="205"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that the Award will expire after a designated period of time after such acceleration to the extent not then exercised, (ii) that the Award will be settled in cash rather than Stock,</w:t>
      </w:r>
    </w:p>
    <w:p>
      <w:pPr>
        <w:spacing w:after="0" w:line="29" w:lineRule="exact"/>
        <w:rPr>
          <w:rFonts w:ascii="Arial" w:cs="Arial" w:eastAsia="Arial" w:hAnsi="Arial"/>
          <w:sz w:val="14"/>
          <w:szCs w:val="14"/>
          <w:color w:val="auto"/>
        </w:rPr>
      </w:pPr>
    </w:p>
    <w:p>
      <w:pPr>
        <w:jc w:val="both"/>
        <w:ind w:left="5" w:right="20" w:hanging="5"/>
        <w:spacing w:after="0" w:line="270" w:lineRule="auto"/>
        <w:tabs>
          <w:tab w:leader="none" w:pos="297"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Section 7.2(c), the excess Options shall be deemed to be Nonstatutory Stock Options.</w:t>
      </w:r>
    </w:p>
    <w:p>
      <w:pPr>
        <w:spacing w:after="0" w:line="183" w:lineRule="exact"/>
        <w:rPr>
          <w:sz w:val="20"/>
          <w:szCs w:val="20"/>
          <w:color w:val="auto"/>
        </w:rPr>
      </w:pPr>
    </w:p>
    <w:p>
      <w:pPr>
        <w:ind w:left="565"/>
        <w:spacing w:after="0" w:line="184" w:lineRule="exact"/>
        <w:rPr>
          <w:sz w:val="20"/>
          <w:szCs w:val="20"/>
          <w:color w:val="auto"/>
        </w:rPr>
      </w:pPr>
      <w:r>
        <w:rPr>
          <w:rFonts w:ascii="Arial" w:cs="Arial" w:eastAsia="Arial" w:hAnsi="Arial"/>
          <w:sz w:val="16"/>
          <w:szCs w:val="16"/>
          <w:color w:val="auto"/>
        </w:rPr>
        <w:t xml:space="preserve">14.11. </w:t>
      </w:r>
      <w:r>
        <w:rPr>
          <w:rFonts w:ascii="Arial" w:cs="Arial" w:eastAsia="Arial" w:hAnsi="Arial"/>
          <w:sz w:val="16"/>
          <w:szCs w:val="16"/>
          <w:i w:val="1"/>
          <w:iCs w:val="1"/>
          <w:color w:val="auto"/>
        </w:rPr>
        <w:t>QUALIFIED PERFORMANCE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BASED AWARDS.</w:t>
      </w:r>
    </w:p>
    <w:p>
      <w:pPr>
        <w:spacing w:after="0" w:line="220" w:lineRule="exact"/>
        <w:rPr>
          <w:sz w:val="20"/>
          <w:szCs w:val="20"/>
          <w:color w:val="auto"/>
        </w:rPr>
      </w:pPr>
    </w:p>
    <w:p>
      <w:pPr>
        <w:ind w:left="565" w:firstLine="575"/>
        <w:spacing w:after="0" w:line="343" w:lineRule="auto"/>
        <w:tabs>
          <w:tab w:leader="none" w:pos="186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26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821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448" w:right="219" w:bottom="1440" w:gutter="0" w:footer="0" w:header="0"/>
        </w:sectPr>
      </w:pPr>
    </w:p>
    <w:bookmarkStart w:id="25" w:name="page26"/>
    <w:bookmarkEnd w:id="25"/>
    <w:p>
      <w:pPr>
        <w:jc w:val="both"/>
        <w:ind w:firstLine="575"/>
        <w:spacing w:after="0" w:line="192" w:lineRule="exact"/>
        <w:tabs>
          <w:tab w:leader="none" w:pos="1234" w:val="left"/>
        </w:tabs>
        <w:numPr>
          <w:ilvl w:val="0"/>
          <w:numId w:val="29"/>
        </w:numPr>
        <w:rPr>
          <w:rFonts w:ascii="Arial" w:cs="Arial" w:eastAsia="Arial" w:hAnsi="Arial"/>
          <w:sz w:val="15"/>
          <w:szCs w:val="15"/>
          <w:color w:val="auto"/>
        </w:rPr>
      </w:pPr>
      <w:r>
        <w:rPr>
          <w:rFonts w:ascii="Arial" w:cs="Arial" w:eastAsia="Arial" w:hAnsi="Arial"/>
          <w:sz w:val="15"/>
          <w:szCs w:val="15"/>
          <w:color w:val="auto"/>
        </w:rPr>
        <w:t>When granting any other Award, the Committee may designate such Award as a Qualified Performance</w:t>
      </w:r>
      <w:r>
        <w:rPr>
          <w:rFonts w:ascii="MS PGothic" w:cs="MS PGothic" w:eastAsia="MS PGothic" w:hAnsi="MS PGothic"/>
          <w:sz w:val="15"/>
          <w:szCs w:val="15"/>
          <w:color w:val="auto"/>
        </w:rPr>
        <w:t>‑</w:t>
      </w:r>
      <w:r>
        <w:rPr>
          <w:rFonts w:ascii="Arial" w:cs="Arial" w:eastAsia="Arial" w:hAnsi="Arial"/>
          <w:sz w:val="15"/>
          <w:szCs w:val="15"/>
          <w:color w:val="auto"/>
        </w:rPr>
        <w:t>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Gross and/or net revenue (including whether in the aggregate or attributable to specific products)</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Cost of Goods Sold and Gross Margin</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Costs and expenses, including Research &amp; Development and Selling, General &amp; Administrative</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Income (gross, operating, net, etc.)</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Earnings, including before interest, taxes, depreciation and amortization (whether in the aggregate or on a per share basis</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Cash flows and share price</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Return on assets, investment, capital, equity</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Manufacturing efficiency (including yield enhancement and cycle time reductions), quality improvements and customer satisfaction</w:t>
      </w:r>
    </w:p>
    <w:p>
      <w:pPr>
        <w:spacing w:after="0" w:line="220" w:lineRule="exact"/>
        <w:rPr>
          <w:sz w:val="20"/>
          <w:szCs w:val="20"/>
          <w:color w:val="auto"/>
        </w:rPr>
      </w:pPr>
    </w:p>
    <w:p>
      <w:pPr>
        <w:ind w:left="860"/>
        <w:spacing w:after="0" w:line="270" w:lineRule="auto"/>
        <w:rPr>
          <w:sz w:val="20"/>
          <w:szCs w:val="20"/>
          <w:color w:val="auto"/>
        </w:rPr>
      </w:pPr>
      <w:r>
        <w:rPr>
          <w:rFonts w:ascii="Arial" w:cs="Arial" w:eastAsia="Arial" w:hAnsi="Arial"/>
          <w:sz w:val="16"/>
          <w:szCs w:val="16"/>
          <w:color w:val="auto"/>
        </w:rPr>
        <w:t>Product life cycle management (including product and technology design, development, transfer, manufacturing introduction, and sales price optimization and management)</w:t>
      </w:r>
    </w:p>
    <w:p>
      <w:pPr>
        <w:spacing w:after="0" w:line="18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Economic profit or loss</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Market share</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6"/>
          <w:szCs w:val="16"/>
          <w:color w:val="auto"/>
        </w:rPr>
        <w:t>Employee retention, compensation, training and development, including succession planning</w:t>
      </w:r>
    </w:p>
    <w:p>
      <w:pPr>
        <w:spacing w:after="0" w:line="220" w:lineRule="exact"/>
        <w:rPr>
          <w:sz w:val="20"/>
          <w:szCs w:val="20"/>
          <w:color w:val="auto"/>
        </w:rPr>
      </w:pPr>
    </w:p>
    <w:p>
      <w:pPr>
        <w:ind w:left="860" w:right="20"/>
        <w:spacing w:after="0" w:line="270" w:lineRule="auto"/>
        <w:rPr>
          <w:sz w:val="20"/>
          <w:szCs w:val="20"/>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180"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w:t>
      </w: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69850</wp:posOffset>
            </wp:positionV>
            <wp:extent cx="726821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258" w:right="219" w:bottom="1440" w:gutter="0" w:footer="0" w:header="0"/>
        </w:sectPr>
      </w:pPr>
    </w:p>
    <w:bookmarkStart w:id="26" w:name="page27"/>
    <w:bookmarkEnd w:id="26"/>
    <w:p>
      <w:pPr>
        <w:jc w:val="both"/>
        <w:ind w:right="20"/>
        <w:spacing w:after="0" w:line="313" w:lineRule="auto"/>
        <w:rPr>
          <w:sz w:val="20"/>
          <w:szCs w:val="20"/>
          <w:color w:val="auto"/>
        </w:rPr>
      </w:pPr>
      <w:r>
        <w:rPr>
          <w:rFonts w:ascii="Arial" w:cs="Arial" w:eastAsia="Arial" w:hAnsi="Arial"/>
          <w:sz w:val="14"/>
          <w:szCs w:val="14"/>
          <w:color w:val="auto"/>
        </w:rPr>
        <w:t>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54" w:lineRule="exact"/>
        <w:rPr>
          <w:sz w:val="20"/>
          <w:szCs w:val="20"/>
          <w:color w:val="auto"/>
        </w:rPr>
      </w:pPr>
    </w:p>
    <w:p>
      <w:pPr>
        <w:jc w:val="both"/>
        <w:ind w:firstLine="575"/>
        <w:spacing w:after="0" w:line="192" w:lineRule="exact"/>
        <w:tabs>
          <w:tab w:leader="none" w:pos="1191"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Qualified Performance</w:t>
      </w:r>
      <w:r>
        <w:rPr>
          <w:rFonts w:ascii="MS PGothic" w:cs="MS PGothic" w:eastAsia="MS PGothic" w:hAnsi="MS PGothic"/>
          <w:sz w:val="14"/>
          <w:szCs w:val="14"/>
          <w:color w:val="auto"/>
        </w:rPr>
        <w:t>‑</w:t>
      </w:r>
      <w:r>
        <w:rPr>
          <w:rFonts w:ascii="Arial" w:cs="Arial" w:eastAsia="Arial" w:hAnsi="Arial"/>
          <w:sz w:val="14"/>
          <w:szCs w:val="14"/>
          <w:color w:val="auto"/>
        </w:rPr>
        <w:t>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Performance periods established by the Committee for any such Qualified Performance</w:t>
      </w:r>
      <w:r>
        <w:rPr>
          <w:rFonts w:ascii="MS PGothic" w:cs="MS PGothic" w:eastAsia="MS PGothic" w:hAnsi="MS PGothic"/>
          <w:sz w:val="14"/>
          <w:szCs w:val="14"/>
          <w:color w:val="auto"/>
        </w:rPr>
        <w:t>‑</w:t>
      </w:r>
      <w:r>
        <w:rPr>
          <w:rFonts w:ascii="Arial" w:cs="Arial" w:eastAsia="Arial" w:hAnsi="Arial"/>
          <w:sz w:val="14"/>
          <w:szCs w:val="14"/>
          <w:color w:val="auto"/>
        </w:rPr>
        <w:t>Based Award may be as short as ninety (90) days and may be any longer period. In addition, 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204" w:lineRule="exact"/>
        <w:rPr>
          <w:rFonts w:ascii="Arial" w:cs="Arial" w:eastAsia="Arial" w:hAnsi="Arial"/>
          <w:sz w:val="14"/>
          <w:szCs w:val="14"/>
          <w:color w:val="auto"/>
        </w:rPr>
      </w:pPr>
    </w:p>
    <w:p>
      <w:pPr>
        <w:jc w:val="both"/>
        <w:ind w:right="20" w:firstLine="575"/>
        <w:spacing w:after="0" w:line="192" w:lineRule="exact"/>
        <w:tabs>
          <w:tab w:leader="none" w:pos="133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Committee may provide in any Qualified Performance</w:t>
      </w:r>
      <w:r>
        <w:rPr>
          <w:rFonts w:ascii="MS PGothic" w:cs="MS PGothic" w:eastAsia="MS PGothic" w:hAnsi="MS PGothic"/>
          <w:sz w:val="14"/>
          <w:szCs w:val="14"/>
          <w:color w:val="auto"/>
        </w:rPr>
        <w:t>‑</w:t>
      </w:r>
      <w:r>
        <w:rPr>
          <w:rFonts w:ascii="Arial" w:cs="Arial" w:eastAsia="Arial" w:hAnsi="Arial"/>
          <w:sz w:val="14"/>
          <w:szCs w:val="14"/>
          <w:color w:val="auto"/>
        </w:rPr>
        <w:t>Based Award, at the time the performance goals are established, that any evaluation of performance shall include, exclude or otherwise equitably adjust for any event that occurs during a performance period, including by way of example but without limitation the following: (a) asset write</w:t>
      </w:r>
      <w:r>
        <w:rPr>
          <w:rFonts w:ascii="MS PGothic" w:cs="MS PGothic" w:eastAsia="MS PGothic" w:hAnsi="MS PGothic"/>
          <w:sz w:val="14"/>
          <w:szCs w:val="14"/>
          <w:color w:val="auto"/>
        </w:rPr>
        <w:t>‑</w:t>
      </w:r>
      <w:r>
        <w:rPr>
          <w:rFonts w:ascii="Arial" w:cs="Arial" w:eastAsia="Arial" w:hAnsi="Arial"/>
          <w:sz w:val="14"/>
          <w:szCs w:val="14"/>
          <w:color w:val="auto"/>
        </w:rPr>
        <w:t>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then-current account principles and/or in management's discussion and analysis of financial condition and results of operations appearing in the Company's annual report to stockholders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205" w:lineRule="exact"/>
        <w:rPr>
          <w:rFonts w:ascii="Arial" w:cs="Arial" w:eastAsia="Arial" w:hAnsi="Arial"/>
          <w:sz w:val="14"/>
          <w:szCs w:val="14"/>
          <w:color w:val="auto"/>
        </w:rPr>
      </w:pPr>
    </w:p>
    <w:p>
      <w:pPr>
        <w:jc w:val="both"/>
        <w:ind w:firstLine="575"/>
        <w:spacing w:after="0" w:line="192" w:lineRule="exact"/>
        <w:tabs>
          <w:tab w:leader="none" w:pos="127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payment of a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w:t>
      </w:r>
    </w:p>
    <w:p>
      <w:pPr>
        <w:spacing w:after="0" w:line="313"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69850</wp:posOffset>
            </wp:positionV>
            <wp:extent cx="726821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448" w:right="219" w:bottom="1440" w:gutter="0" w:footer="0" w:header="0"/>
        </w:sectPr>
      </w:pPr>
    </w:p>
    <w:bookmarkStart w:id="27" w:name="page28"/>
    <w:bookmarkEnd w:id="27"/>
    <w:p>
      <w:pPr>
        <w:jc w:val="both"/>
        <w:ind w:left="560"/>
        <w:spacing w:after="0" w:line="192" w:lineRule="exact"/>
        <w:rPr>
          <w:sz w:val="20"/>
          <w:szCs w:val="20"/>
          <w:color w:val="auto"/>
        </w:rPr>
      </w:pPr>
      <w:r>
        <w:rPr>
          <w:rFonts w:ascii="Arial" w:cs="Arial" w:eastAsia="Arial" w:hAnsi="Arial"/>
          <w:sz w:val="14"/>
          <w:szCs w:val="14"/>
          <w:color w:val="auto"/>
        </w:rPr>
        <w:t>minutes of the Committee in which such determinations were made. Except as specifically provided in subsection (c), no Qualified Performance</w:t>
      </w:r>
      <w:r>
        <w:rPr>
          <w:rFonts w:ascii="MS PGothic" w:cs="MS PGothic" w:eastAsia="MS PGothic" w:hAnsi="MS PGothic"/>
          <w:sz w:val="14"/>
          <w:szCs w:val="14"/>
          <w:color w:val="auto"/>
        </w:rPr>
        <w:t>‑</w:t>
      </w:r>
      <w:r>
        <w:rPr>
          <w:rFonts w:ascii="Arial" w:cs="Arial" w:eastAsia="Arial" w:hAnsi="Arial"/>
          <w:sz w:val="14"/>
          <w:szCs w:val="14"/>
          <w:color w:val="auto"/>
        </w:rPr>
        <w:t>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w:t>
      </w:r>
      <w:r>
        <w:rPr>
          <w:rFonts w:ascii="MS PGothic" w:cs="MS PGothic" w:eastAsia="MS PGothic" w:hAnsi="MS PGothic"/>
          <w:sz w:val="14"/>
          <w:szCs w:val="14"/>
          <w:color w:val="auto"/>
        </w:rPr>
        <w:t>‑</w:t>
      </w:r>
      <w:r>
        <w:rPr>
          <w:rFonts w:ascii="Arial" w:cs="Arial" w:eastAsia="Arial" w:hAnsi="Arial"/>
          <w:sz w:val="14"/>
          <w:szCs w:val="14"/>
          <w:color w:val="auto"/>
        </w:rPr>
        <w:t>Based Award under the Plan, in any manner to waive the achievement of the applicable performance goal based on Qualified Business Criteria or to increase the amount payable pursuant thereto or the value thereof, or otherwise in a manner that would cause the Qualified Performance</w:t>
      </w:r>
      <w:r>
        <w:rPr>
          <w:rFonts w:ascii="MS PGothic" w:cs="MS PGothic" w:eastAsia="MS PGothic" w:hAnsi="MS PGothic"/>
          <w:sz w:val="14"/>
          <w:szCs w:val="14"/>
          <w:color w:val="auto"/>
        </w:rPr>
        <w:t>‑</w:t>
      </w:r>
      <w:r>
        <w:rPr>
          <w:rFonts w:ascii="Arial" w:cs="Arial" w:eastAsia="Arial" w:hAnsi="Arial"/>
          <w:sz w:val="14"/>
          <w:szCs w:val="14"/>
          <w:color w:val="auto"/>
        </w:rPr>
        <w:t xml:space="preserve"> Based Award to cease to qualify for the Section 162(m) Exemption.</w:t>
      </w:r>
    </w:p>
    <w:p>
      <w:pPr>
        <w:spacing w:after="0" w:line="205" w:lineRule="exact"/>
        <w:rPr>
          <w:sz w:val="20"/>
          <w:szCs w:val="20"/>
          <w:color w:val="auto"/>
        </w:rPr>
      </w:pPr>
    </w:p>
    <w:p>
      <w:pPr>
        <w:ind w:left="560" w:right="20" w:firstLine="575"/>
        <w:spacing w:after="0" w:line="196" w:lineRule="exact"/>
        <w:tabs>
          <w:tab w:leader="none" w:pos="17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Section 5.4 sets forth the maximum number of Shares or dollar value that may be granted in any one-year period to a Participant in designated forms of Qualified Performance</w:t>
      </w:r>
      <w:r>
        <w:rPr>
          <w:rFonts w:ascii="MS PGothic" w:cs="MS PGothic" w:eastAsia="MS PGothic" w:hAnsi="MS PGothic"/>
          <w:sz w:val="16"/>
          <w:szCs w:val="16"/>
          <w:color w:val="auto"/>
        </w:rPr>
        <w:t>‑</w:t>
      </w:r>
      <w:r>
        <w:rPr>
          <w:rFonts w:ascii="Arial" w:cs="Arial" w:eastAsia="Arial" w:hAnsi="Arial"/>
          <w:sz w:val="16"/>
          <w:szCs w:val="16"/>
          <w:color w:val="auto"/>
        </w:rPr>
        <w:t>Based Awards.</w:t>
      </w:r>
    </w:p>
    <w:p>
      <w:pPr>
        <w:spacing w:after="0" w:line="202" w:lineRule="exact"/>
        <w:rPr>
          <w:rFonts w:ascii="Arial" w:cs="Arial" w:eastAsia="Arial" w:hAnsi="Arial"/>
          <w:sz w:val="16"/>
          <w:szCs w:val="16"/>
          <w:color w:val="auto"/>
        </w:rPr>
      </w:pPr>
    </w:p>
    <w:p>
      <w:pPr>
        <w:jc w:val="both"/>
        <w:ind w:left="560" w:firstLine="575"/>
        <w:spacing w:after="0" w:line="192" w:lineRule="exact"/>
        <w:tabs>
          <w:tab w:leader="none" w:pos="1789" w:val="left"/>
        </w:tabs>
        <w:numPr>
          <w:ilvl w:val="0"/>
          <w:numId w:val="31"/>
        </w:numPr>
        <w:rPr>
          <w:rFonts w:ascii="Arial" w:cs="Arial" w:eastAsia="Arial" w:hAnsi="Arial"/>
          <w:sz w:val="14"/>
          <w:szCs w:val="14"/>
          <w:color w:val="auto"/>
        </w:rPr>
      </w:pPr>
      <w:r>
        <w:rPr>
          <w:rFonts w:ascii="Arial" w:cs="Arial" w:eastAsia="Arial" w:hAnsi="Arial"/>
          <w:sz w:val="14"/>
          <w:szCs w:val="14"/>
          <w:color w:val="auto"/>
        </w:rPr>
        <w:t>With respect to a Participant who is an officer of the Company, any payment of a Qualified Performance</w:t>
      </w:r>
      <w:r>
        <w:rPr>
          <w:rFonts w:ascii="MS PGothic" w:cs="MS PGothic" w:eastAsia="MS PGothic" w:hAnsi="MS PGothic"/>
          <w:sz w:val="14"/>
          <w:szCs w:val="14"/>
          <w:color w:val="auto"/>
        </w:rPr>
        <w:t>‑</w:t>
      </w:r>
      <w:r>
        <w:rPr>
          <w:rFonts w:ascii="Arial" w:cs="Arial" w:eastAsia="Arial" w:hAnsi="Arial"/>
          <w:sz w:val="14"/>
          <w:szCs w:val="14"/>
          <w:color w:val="auto"/>
        </w:rPr>
        <w:t>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who (i)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206" w:lineRule="exact"/>
        <w:rPr>
          <w:sz w:val="20"/>
          <w:szCs w:val="20"/>
          <w:color w:val="auto"/>
        </w:rPr>
      </w:pPr>
    </w:p>
    <w:p>
      <w:pPr>
        <w:jc w:val="both"/>
        <w:ind w:firstLine="570"/>
        <w:spacing w:after="0" w:line="251"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97" w:lineRule="exact"/>
        <w:rPr>
          <w:sz w:val="20"/>
          <w:szCs w:val="20"/>
          <w:color w:val="auto"/>
        </w:rPr>
      </w:pPr>
    </w:p>
    <w:p>
      <w:pPr>
        <w:jc w:val="both"/>
        <w:ind w:right="20" w:firstLine="570"/>
        <w:spacing w:after="0" w:line="194" w:lineRule="exact"/>
        <w:rPr>
          <w:sz w:val="20"/>
          <w:szCs w:val="20"/>
          <w:color w:val="auto"/>
        </w:rPr>
      </w:pPr>
      <w:r>
        <w:rPr>
          <w:rFonts w:ascii="Arial" w:cs="Arial" w:eastAsia="Arial" w:hAnsi="Arial"/>
          <w:sz w:val="15"/>
          <w:szCs w:val="15"/>
          <w:color w:val="auto"/>
        </w:rPr>
        <w:t xml:space="preserve">14.13. </w:t>
      </w:r>
      <w:r>
        <w:rPr>
          <w:rFonts w:ascii="Arial" w:cs="Arial" w:eastAsia="Arial" w:hAnsi="Arial"/>
          <w:sz w:val="15"/>
          <w:szCs w:val="15"/>
          <w:i w:val="1"/>
          <w:iCs w:val="1"/>
          <w:color w:val="auto"/>
        </w:rPr>
        <w:t>DEFERRAL.</w:t>
      </w:r>
      <w:r>
        <w:rPr>
          <w:rFonts w:ascii="Arial" w:cs="Arial" w:eastAsia="Arial" w:hAnsi="Arial"/>
          <w:sz w:val="15"/>
          <w:szCs w:val="15"/>
          <w:color w:val="auto"/>
        </w:rPr>
        <w:t xml:space="preserve"> Subject to applicable law, the Committee may permit or require a Participant to defer such Participant's receipt of the payment of cash or the delivery of Shares that would otherwise be due to such Participant by virtue of the exercise of an Option or SAR, the lapse or waiver of restrictions with respect to Restricted Stock or Restricted Stock Units, or the satisfaction of any requirements or goals with respect to Performance Shares, and Other Stock</w:t>
      </w:r>
      <w:r>
        <w:rPr>
          <w:rFonts w:ascii="MS PGothic" w:cs="MS PGothic" w:eastAsia="MS PGothic" w:hAnsi="MS PGothic"/>
          <w:sz w:val="15"/>
          <w:szCs w:val="15"/>
          <w:color w:val="auto"/>
        </w:rPr>
        <w:t>‑</w:t>
      </w:r>
      <w:r>
        <w:rPr>
          <w:rFonts w:ascii="Arial" w:cs="Arial" w:eastAsia="Arial" w:hAnsi="Arial"/>
          <w:sz w:val="15"/>
          <w:szCs w:val="15"/>
          <w:color w:val="auto"/>
        </w:rPr>
        <w:t xml:space="preserve"> Based Awards. If any such</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28" w:name="page29"/>
    <w:bookmarkEnd w:id="28"/>
    <w:p>
      <w:pPr>
        <w:jc w:val="both"/>
        <w:ind w:right="20"/>
        <w:spacing w:after="0" w:line="270" w:lineRule="auto"/>
        <w:rPr>
          <w:sz w:val="20"/>
          <w:szCs w:val="20"/>
          <w:color w:val="auto"/>
        </w:rPr>
      </w:pPr>
      <w:r>
        <w:rPr>
          <w:rFonts w:ascii="Arial" w:cs="Arial" w:eastAsia="Arial" w:hAnsi="Arial"/>
          <w:sz w:val="16"/>
          <w:szCs w:val="16"/>
          <w:color w:val="auto"/>
        </w:rPr>
        <w:t>deferral election is required or permitted, the Board shall, in its sole discretion, establish rules and procedures for such payment deferrals in compliance with Section 409A of the Code and other applicable law.</w:t>
      </w:r>
    </w:p>
    <w:p>
      <w:pPr>
        <w:spacing w:after="0" w:line="180" w:lineRule="exact"/>
        <w:rPr>
          <w:sz w:val="20"/>
          <w:szCs w:val="20"/>
          <w:color w:val="auto"/>
        </w:rPr>
      </w:pPr>
    </w:p>
    <w:p>
      <w:pPr>
        <w:jc w:val="both"/>
        <w:ind w:firstLine="570"/>
        <w:spacing w:after="0" w:line="293" w:lineRule="auto"/>
        <w:rPr>
          <w:sz w:val="20"/>
          <w:szCs w:val="20"/>
          <w:color w:val="auto"/>
        </w:rPr>
      </w:pPr>
      <w:r>
        <w:rPr>
          <w:rFonts w:ascii="Arial" w:cs="Arial" w:eastAsia="Arial" w:hAnsi="Arial"/>
          <w:sz w:val="14"/>
          <w:szCs w:val="14"/>
          <w:color w:val="auto"/>
        </w:rPr>
        <w:t xml:space="preserve">14.14. </w:t>
      </w:r>
      <w:r>
        <w:rPr>
          <w:rFonts w:ascii="Arial" w:cs="Arial" w:eastAsia="Arial" w:hAnsi="Arial"/>
          <w:sz w:val="14"/>
          <w:szCs w:val="14"/>
          <w:i w:val="1"/>
          <w:iCs w:val="1"/>
          <w:color w:val="auto"/>
        </w:rPr>
        <w:t>FORFEITURE EVENTS.</w:t>
      </w:r>
      <w:r>
        <w:rPr>
          <w:rFonts w:ascii="Arial" w:cs="Arial" w:eastAsia="Arial" w:hAnsi="Arial"/>
          <w:sz w:val="14"/>
          <w:szCs w:val="14"/>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68" w:lineRule="exact"/>
        <w:rPr>
          <w:sz w:val="20"/>
          <w:szCs w:val="20"/>
          <w:color w:val="auto"/>
        </w:rPr>
      </w:pPr>
    </w:p>
    <w:p>
      <w:pPr>
        <w:jc w:val="both"/>
        <w:ind w:firstLine="570"/>
        <w:spacing w:after="0" w:line="193" w:lineRule="exact"/>
        <w:rPr>
          <w:sz w:val="20"/>
          <w:szCs w:val="20"/>
          <w:color w:val="auto"/>
        </w:rPr>
      </w:pPr>
      <w:r>
        <w:rPr>
          <w:rFonts w:ascii="Arial" w:cs="Arial" w:eastAsia="Arial" w:hAnsi="Arial"/>
          <w:sz w:val="16"/>
          <w:szCs w:val="16"/>
          <w:color w:val="auto"/>
        </w:rPr>
        <w:t xml:space="preserve">14.15. </w:t>
      </w:r>
      <w:r>
        <w:rPr>
          <w:rFonts w:ascii="Arial" w:cs="Arial" w:eastAsia="Arial" w:hAnsi="Arial"/>
          <w:sz w:val="16"/>
          <w:szCs w:val="16"/>
          <w:i w:val="1"/>
          <w:iCs w:val="1"/>
          <w:color w:val="auto"/>
        </w:rPr>
        <w:t>SUBSTITUTE AWARDS.</w:t>
      </w:r>
      <w:r>
        <w:rPr>
          <w:rFonts w:ascii="Arial" w:cs="Arial" w:eastAsia="Arial" w:hAnsi="Arial"/>
          <w:sz w:val="16"/>
          <w:szCs w:val="16"/>
          <w:color w:val="auto"/>
        </w:rPr>
        <w:t xml:space="preserve"> The Committee may grant Awards under the Plan in substitution for stock and stock</w:t>
      </w:r>
      <w:r>
        <w:rPr>
          <w:rFonts w:ascii="MS PGothic" w:cs="MS PGothic" w:eastAsia="MS PGothic" w:hAnsi="MS PGothic"/>
          <w:sz w:val="16"/>
          <w:szCs w:val="16"/>
          <w:color w:val="auto"/>
        </w:rPr>
        <w:t>‑</w:t>
      </w:r>
      <w:r>
        <w:rPr>
          <w:rFonts w:ascii="Arial" w:cs="Arial" w:eastAsia="Arial" w:hAnsi="Arial"/>
          <w:sz w:val="16"/>
          <w:szCs w:val="16"/>
          <w:color w:val="auto"/>
        </w:rPr>
        <w:t>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CHANGES IN CAPITAL STRUCTURE</w:t>
      </w:r>
    </w:p>
    <w:p>
      <w:pPr>
        <w:spacing w:after="0" w:line="209" w:lineRule="exact"/>
        <w:rPr>
          <w:sz w:val="20"/>
          <w:szCs w:val="20"/>
          <w:color w:val="auto"/>
        </w:rPr>
      </w:pPr>
    </w:p>
    <w:p>
      <w:pPr>
        <w:jc w:val="both"/>
        <w:ind w:firstLine="570"/>
        <w:spacing w:after="0" w:line="191" w:lineRule="exact"/>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i w:val="1"/>
          <w:iCs w:val="1"/>
          <w:color w:val="auto"/>
        </w:rPr>
        <w:t>MANDATORY ADJUSTMENTS.</w:t>
      </w:r>
      <w:r>
        <w:rPr>
          <w:rFonts w:ascii="Arial" w:cs="Arial" w:eastAsia="Arial" w:hAnsi="Arial"/>
          <w:sz w:val="14"/>
          <w:szCs w:val="14"/>
          <w:color w:val="auto"/>
        </w:rPr>
        <w:t xml:space="preserve"> Subject to any required action by the stockholders of the Company, the number of shares of Common Stock covered by each outstanding Award, and the number of issued shares of Common Stock which have been authorized for issuance under the Plan but as to which no Awards have yet been granted or which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Without limiting the foregoing, in the event of a subdivision of the outstanding Stock (stock</w:t>
      </w:r>
      <w:r>
        <w:rPr>
          <w:rFonts w:ascii="MS PGothic" w:cs="MS PGothic" w:eastAsia="MS PGothic" w:hAnsi="MS PGothic"/>
          <w:sz w:val="14"/>
          <w:szCs w:val="14"/>
          <w:color w:val="auto"/>
        </w:rPr>
        <w:t>‑</w:t>
      </w:r>
      <w:r>
        <w:rPr>
          <w:rFonts w:ascii="Arial" w:cs="Arial" w:eastAsia="Arial" w:hAnsi="Arial"/>
          <w:sz w:val="14"/>
          <w:szCs w:val="14"/>
          <w:color w:val="auto"/>
        </w:rPr>
        <w:t>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be adjusted proportionately without any change in the aggregate purchase price therefor. To the extent that any adjustments made pursuant to this Article 15 cause Incentive Stock Options to cease to qualify as Incentive Stock Options, such Options shall be deemed to be Nonstatutory Stock Options. Notwithstanding the foregoing, the Committee shall not make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29" w:name="page30"/>
    <w:bookmarkEnd w:id="29"/>
    <w:p>
      <w:pPr>
        <w:jc w:val="both"/>
        <w:ind w:left="5" w:right="20"/>
        <w:spacing w:after="0" w:line="270" w:lineRule="auto"/>
        <w:rPr>
          <w:sz w:val="20"/>
          <w:szCs w:val="20"/>
          <w:color w:val="auto"/>
        </w:rPr>
      </w:pPr>
      <w:r>
        <w:rPr>
          <w:rFonts w:ascii="Arial" w:cs="Arial" w:eastAsia="Arial" w:hAnsi="Arial"/>
          <w:sz w:val="16"/>
          <w:szCs w:val="16"/>
          <w:color w:val="auto"/>
        </w:rPr>
        <w:t>any adjustments to outstanding Options or SARs that would constitute a modification or substitution of the stock right under Treas. Reg. Sections 1.409A-1(b)(5)(v) that would be treated as the grant of a new stock right or change in the form of payment for purposes of Code Section 409A.</w:t>
      </w:r>
    </w:p>
    <w:p>
      <w:pPr>
        <w:spacing w:after="0" w:line="180" w:lineRule="exact"/>
        <w:rPr>
          <w:sz w:val="20"/>
          <w:szCs w:val="20"/>
          <w:color w:val="auto"/>
        </w:rPr>
      </w:pPr>
    </w:p>
    <w:p>
      <w:pPr>
        <w:jc w:val="both"/>
        <w:ind w:left="5" w:firstLine="570"/>
        <w:spacing w:after="0" w:line="270" w:lineRule="auto"/>
        <w:rPr>
          <w:sz w:val="20"/>
          <w:szCs w:val="20"/>
          <w:color w:val="auto"/>
        </w:rPr>
      </w:pPr>
      <w:r>
        <w:rPr>
          <w:rFonts w:ascii="Arial" w:cs="Arial" w:eastAsia="Arial" w:hAnsi="Arial"/>
          <w:sz w:val="15"/>
          <w:szCs w:val="15"/>
          <w:color w:val="auto"/>
        </w:rPr>
        <w:t xml:space="preserve">15.2. </w:t>
      </w:r>
      <w:r>
        <w:rPr>
          <w:rFonts w:ascii="Arial" w:cs="Arial" w:eastAsia="Arial" w:hAnsi="Arial"/>
          <w:sz w:val="15"/>
          <w:szCs w:val="15"/>
          <w:i w:val="1"/>
          <w:iCs w:val="1"/>
          <w:color w:val="auto"/>
        </w:rPr>
        <w:t>DISCRETIONARY ADJUSTMENTS.</w:t>
      </w:r>
      <w:r>
        <w:rPr>
          <w:rFonts w:ascii="Arial" w:cs="Arial" w:eastAsia="Arial" w:hAnsi="Arial"/>
          <w:sz w:val="15"/>
          <w:szCs w:val="15"/>
          <w:color w:val="auto"/>
        </w:rPr>
        <w:t xml:space="preserve"> Upon the occurrence or in anticipation of any corporate event or transaction involving the Company (including, without limitation, any merger, reorganization, recapitalization or combination or exchange of shares or any transaction described in Section 15.1), the Committee may, in its sole discretion, provide (i) that Awards will be settled in cash rather than Stock, (ii) that Awards will become immediately vested and exercisable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applicable performance targets and performance periods for Awards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82" w:lineRule="exact"/>
        <w:rPr>
          <w:sz w:val="20"/>
          <w:szCs w:val="20"/>
          <w:color w:val="auto"/>
        </w:rPr>
      </w:pPr>
    </w:p>
    <w:p>
      <w:pPr>
        <w:jc w:val="both"/>
        <w:ind w:left="5" w:right="20" w:firstLine="570"/>
        <w:spacing w:after="0" w:line="343" w:lineRule="auto"/>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i w:val="1"/>
          <w:iCs w:val="1"/>
          <w:color w:val="auto"/>
        </w:rPr>
        <w:t>GENERAL.</w:t>
      </w:r>
      <w:r>
        <w:rPr>
          <w:rFonts w:ascii="Arial" w:cs="Arial" w:eastAsia="Arial" w:hAnsi="Arial"/>
          <w:sz w:val="14"/>
          <w:szCs w:val="14"/>
          <w:color w:val="auto"/>
        </w:rPr>
        <w:t xml:space="preserve"> Any discretionary adjustments made pursuant to this Article 15 shall be subject to the provisions of Article 16. To the extent that any adjustments made pursuant to this Article 15 cause Incentive Stock Options to cease to qualify as Incentive Stock Options, such Options shall be deemed to be Nonstatutory Stock Options.</w:t>
      </w:r>
    </w:p>
    <w:p>
      <w:pPr>
        <w:spacing w:after="0" w:line="130"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ARTICLE 16</w:t>
      </w:r>
    </w:p>
    <w:p>
      <w:pPr>
        <w:spacing w:after="0" w:line="21"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AMENDMENT, MODIFICATION AND TERMINATION</w:t>
      </w:r>
    </w:p>
    <w:p>
      <w:pPr>
        <w:spacing w:after="0" w:line="209" w:lineRule="exact"/>
        <w:rPr>
          <w:sz w:val="20"/>
          <w:szCs w:val="20"/>
          <w:color w:val="auto"/>
        </w:rPr>
      </w:pPr>
    </w:p>
    <w:p>
      <w:pPr>
        <w:jc w:val="both"/>
        <w:ind w:left="5" w:firstLine="570"/>
        <w:spacing w:after="0" w:line="288" w:lineRule="auto"/>
        <w:rPr>
          <w:sz w:val="20"/>
          <w:szCs w:val="20"/>
          <w:color w:val="auto"/>
        </w:rPr>
      </w:pPr>
      <w:r>
        <w:rPr>
          <w:rFonts w:ascii="Arial" w:cs="Arial" w:eastAsia="Arial" w:hAnsi="Arial"/>
          <w:sz w:val="14"/>
          <w:szCs w:val="14"/>
          <w:color w:val="auto"/>
        </w:rPr>
        <w:t xml:space="preserve">16.1. </w:t>
      </w:r>
      <w:r>
        <w:rPr>
          <w:rFonts w:ascii="Arial" w:cs="Arial" w:eastAsia="Arial" w:hAnsi="Arial"/>
          <w:sz w:val="14"/>
          <w:szCs w:val="14"/>
          <w:i w:val="1"/>
          <w:iCs w:val="1"/>
          <w:color w:val="auto"/>
        </w:rPr>
        <w:t>AMENDMENT, MODIFICATION AND TERMINATION.</w:t>
      </w:r>
      <w:r>
        <w:rPr>
          <w:rFonts w:ascii="Arial" w:cs="Arial" w:eastAsia="Arial" w:hAnsi="Arial"/>
          <w:sz w:val="14"/>
          <w:szCs w:val="14"/>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w:t>
      </w:r>
    </w:p>
    <w:p>
      <w:pPr>
        <w:spacing w:after="0" w:line="2" w:lineRule="exact"/>
        <w:rPr>
          <w:sz w:val="20"/>
          <w:szCs w:val="20"/>
          <w:color w:val="auto"/>
        </w:rPr>
      </w:pPr>
    </w:p>
    <w:p>
      <w:pPr>
        <w:jc w:val="both"/>
        <w:ind w:left="5" w:hanging="5"/>
        <w:spacing w:after="0" w:line="267" w:lineRule="auto"/>
        <w:tabs>
          <w:tab w:leader="none" w:pos="296"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stockholders of the Company for any reason, including by reason of such approval being necessary or deemed advisable to (i) comply with the listing or other requirements of an Exchange, or (ii) to satisfy any other tax, securities or other applicable laws, policies or regulations. Without the prior approval of the stockholders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88" w:lineRule="exact"/>
        <w:rPr>
          <w:sz w:val="20"/>
          <w:szCs w:val="20"/>
          <w:color w:val="auto"/>
        </w:rPr>
      </w:pPr>
    </w:p>
    <w:p>
      <w:pPr>
        <w:ind w:left="5" w:right="20" w:firstLine="570"/>
        <w:spacing w:after="0" w:line="270"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i w:val="1"/>
          <w:iCs w:val="1"/>
          <w:color w:val="auto"/>
        </w:rPr>
        <w:t>AWARDS PREVIOUSLY GRANTED.</w:t>
      </w:r>
      <w:r>
        <w:rPr>
          <w:rFonts w:ascii="Arial" w:cs="Arial" w:eastAsia="Arial" w:hAnsi="Arial"/>
          <w:sz w:val="16"/>
          <w:szCs w:val="16"/>
          <w:color w:val="auto"/>
        </w:rPr>
        <w:t xml:space="preserve"> At any time and from time to time, the Committee may amend, modify or terminate any outstanding Award without approval of the Participant; provided, however:</w:t>
      </w:r>
    </w:p>
    <w:p>
      <w:pPr>
        <w:spacing w:after="0" w:line="31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69850</wp:posOffset>
            </wp:positionV>
            <wp:extent cx="726821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5"/>
          </w:cols>
          <w:pgMar w:left="235" w:top="448" w:right="219" w:bottom="1440" w:gutter="0" w:footer="0" w:header="0"/>
        </w:sectPr>
      </w:pPr>
    </w:p>
    <w:bookmarkStart w:id="30" w:name="page31"/>
    <w:bookmarkEnd w:id="30"/>
    <w:p>
      <w:pPr>
        <w:jc w:val="both"/>
        <w:ind w:left="560" w:right="20" w:firstLine="575"/>
        <w:spacing w:after="0" w:line="255" w:lineRule="auto"/>
        <w:tabs>
          <w:tab w:leader="none" w:pos="1898" w:val="left"/>
        </w:tabs>
        <w:numPr>
          <w:ilvl w:val="0"/>
          <w:numId w:val="33"/>
        </w:numPr>
        <w:rPr>
          <w:rFonts w:ascii="Arial" w:cs="Arial" w:eastAsia="Arial" w:hAnsi="Arial"/>
          <w:sz w:val="16"/>
          <w:szCs w:val="16"/>
          <w:color w:val="auto"/>
        </w:rPr>
      </w:pPr>
      <w:r>
        <w:rPr>
          <w:rFonts w:ascii="Arial" w:cs="Arial" w:eastAsia="Arial" w:hAnsi="Arial"/>
          <w:sz w:val="16"/>
          <w:szCs w:val="16"/>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92" w:lineRule="exact"/>
        <w:rPr>
          <w:rFonts w:ascii="Arial" w:cs="Arial" w:eastAsia="Arial" w:hAnsi="Arial"/>
          <w:sz w:val="16"/>
          <w:szCs w:val="16"/>
          <w:color w:val="auto"/>
        </w:rPr>
      </w:pPr>
    </w:p>
    <w:p>
      <w:pPr>
        <w:ind w:left="1760" w:hanging="625"/>
        <w:spacing w:after="0"/>
        <w:tabs>
          <w:tab w:leader="none" w:pos="17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original term of an Option may not be extended without the prior approval of the stockholders of the Company;</w:t>
      </w:r>
    </w:p>
    <w:p>
      <w:pPr>
        <w:spacing w:after="0" w:line="219" w:lineRule="exact"/>
        <w:rPr>
          <w:rFonts w:ascii="Arial" w:cs="Arial" w:eastAsia="Arial" w:hAnsi="Arial"/>
          <w:sz w:val="16"/>
          <w:szCs w:val="16"/>
          <w:color w:val="auto"/>
        </w:rPr>
      </w:pPr>
    </w:p>
    <w:p>
      <w:pPr>
        <w:jc w:val="both"/>
        <w:ind w:left="560" w:right="20" w:firstLine="575"/>
        <w:spacing w:after="0" w:line="253" w:lineRule="auto"/>
        <w:tabs>
          <w:tab w:leader="none" w:pos="1846"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Except as otherwise provided in Article 15, without the prior approval of the stockholders of the Company: (i) the exercise price or base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w:t>
      </w:r>
    </w:p>
    <w:p>
      <w:pPr>
        <w:spacing w:after="0" w:line="194" w:lineRule="exact"/>
        <w:rPr>
          <w:rFonts w:ascii="Arial" w:cs="Arial" w:eastAsia="Arial" w:hAnsi="Arial"/>
          <w:sz w:val="16"/>
          <w:szCs w:val="16"/>
          <w:color w:val="auto"/>
        </w:rPr>
      </w:pPr>
    </w:p>
    <w:p>
      <w:pPr>
        <w:jc w:val="both"/>
        <w:ind w:left="560" w:firstLine="575"/>
        <w:spacing w:after="0" w:line="253" w:lineRule="auto"/>
        <w:tabs>
          <w:tab w:leader="none" w:pos="1758" w:val="left"/>
        </w:tabs>
        <w:numPr>
          <w:ilvl w:val="0"/>
          <w:numId w:val="33"/>
        </w:numPr>
        <w:rPr>
          <w:rFonts w:ascii="Arial" w:cs="Arial" w:eastAsia="Arial" w:hAnsi="Arial"/>
          <w:sz w:val="16"/>
          <w:szCs w:val="16"/>
          <w:color w:val="auto"/>
        </w:rPr>
      </w:pPr>
      <w:r>
        <w:rPr>
          <w:rFonts w:ascii="Arial" w:cs="Arial" w:eastAsia="Arial" w:hAnsi="Arial"/>
          <w:sz w:val="16"/>
          <w:szCs w:val="16"/>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194" w:lineRule="exact"/>
        <w:rPr>
          <w:sz w:val="20"/>
          <w:szCs w:val="20"/>
          <w:color w:val="auto"/>
        </w:rPr>
      </w:pPr>
    </w:p>
    <w:p>
      <w:pPr>
        <w:jc w:val="both"/>
        <w:ind w:firstLine="570"/>
        <w:spacing w:after="0" w:line="253"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i w:val="1"/>
          <w:iCs w:val="1"/>
          <w:color w:val="auto"/>
        </w:rPr>
        <w:t>COMPLIANCE AMENDMENTS.</w:t>
      </w:r>
      <w:r>
        <w:rPr>
          <w:rFonts w:ascii="Arial" w:cs="Arial" w:eastAsia="Arial" w:hAnsi="Arial"/>
          <w:sz w:val="16"/>
          <w:szCs w:val="16"/>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17</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PROVISIONS</w:t>
      </w:r>
    </w:p>
    <w:p>
      <w:pPr>
        <w:spacing w:after="0" w:line="209" w:lineRule="exact"/>
        <w:rPr>
          <w:sz w:val="20"/>
          <w:szCs w:val="20"/>
          <w:color w:val="auto"/>
        </w:rPr>
      </w:pPr>
    </w:p>
    <w:p>
      <w:pPr>
        <w:jc w:val="both"/>
        <w:ind w:right="20" w:firstLine="570"/>
        <w:spacing w:after="0" w:line="313" w:lineRule="auto"/>
        <w:rPr>
          <w:sz w:val="20"/>
          <w:szCs w:val="20"/>
          <w:color w:val="auto"/>
        </w:rPr>
      </w:pPr>
      <w:r>
        <w:rPr>
          <w:rFonts w:ascii="Arial" w:cs="Arial" w:eastAsia="Arial" w:hAnsi="Arial"/>
          <w:sz w:val="14"/>
          <w:szCs w:val="14"/>
          <w:color w:val="auto"/>
        </w:rPr>
        <w:t xml:space="preserve">17.1. </w:t>
      </w:r>
      <w:r>
        <w:rPr>
          <w:rFonts w:ascii="Arial" w:cs="Arial" w:eastAsia="Arial" w:hAnsi="Arial"/>
          <w:sz w:val="14"/>
          <w:szCs w:val="14"/>
          <w:i w:val="1"/>
          <w:iCs w:val="1"/>
          <w:color w:val="auto"/>
        </w:rPr>
        <w:t>NO RIGHTS TO AWARDS; NON-UNIFORM DETERMINATIONS.</w:t>
      </w:r>
      <w:r>
        <w:rPr>
          <w:rFonts w:ascii="Arial" w:cs="Arial" w:eastAsia="Arial" w:hAnsi="Arial"/>
          <w:sz w:val="14"/>
          <w:szCs w:val="14"/>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54"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i w:val="1"/>
          <w:iCs w:val="1"/>
          <w:color w:val="auto"/>
        </w:rPr>
        <w:t>NO STOCKHOLDER RIGHTS.</w:t>
      </w:r>
      <w:r>
        <w:rPr>
          <w:rFonts w:ascii="Arial" w:cs="Arial" w:eastAsia="Arial" w:hAnsi="Arial"/>
          <w:sz w:val="16"/>
          <w:szCs w:val="16"/>
          <w:color w:val="auto"/>
        </w:rPr>
        <w:t xml:space="preserve"> No Award gives a Participant any of the rights of a stockholder of the Company unless and until Shares are in fact issued to such person in connection with such Award.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i w:val="1"/>
          <w:iCs w:val="1"/>
          <w:color w:val="auto"/>
        </w:rPr>
        <w:t>SPECIAL PROVISIONS RELATED TO SECTION 409A OF THE CODE</w:t>
      </w:r>
      <w:r>
        <w:rPr>
          <w:rFonts w:ascii="Arial" w:cs="Arial" w:eastAsia="Arial" w:hAnsi="Arial"/>
          <w:sz w:val="16"/>
          <w:szCs w:val="16"/>
          <w:color w:val="auto"/>
        </w:rPr>
        <w:t>.</w:t>
      </w:r>
    </w:p>
    <w:p>
      <w:pPr>
        <w:spacing w:after="0" w:line="220" w:lineRule="exact"/>
        <w:rPr>
          <w:sz w:val="20"/>
          <w:szCs w:val="20"/>
          <w:color w:val="auto"/>
        </w:rPr>
      </w:pPr>
    </w:p>
    <w:p>
      <w:pPr>
        <w:jc w:val="both"/>
        <w:ind w:right="20" w:firstLine="575"/>
        <w:spacing w:after="0" w:line="253" w:lineRule="auto"/>
        <w:tabs>
          <w:tab w:leader="none" w:pos="1209"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94" w:lineRule="exact"/>
        <w:rPr>
          <w:rFonts w:ascii="Arial" w:cs="Arial" w:eastAsia="Arial" w:hAnsi="Arial"/>
          <w:sz w:val="16"/>
          <w:szCs w:val="16"/>
          <w:color w:val="auto"/>
        </w:rPr>
      </w:pPr>
    </w:p>
    <w:p>
      <w:pPr>
        <w:jc w:val="both"/>
        <w:ind w:firstLine="575"/>
        <w:spacing w:after="0" w:line="268" w:lineRule="auto"/>
        <w:tabs>
          <w:tab w:leader="none" w:pos="1291" w:val="left"/>
        </w:tabs>
        <w:numPr>
          <w:ilvl w:val="0"/>
          <w:numId w:val="34"/>
        </w:numPr>
        <w:rPr>
          <w:rFonts w:ascii="Arial" w:cs="Arial" w:eastAsia="Arial" w:hAnsi="Arial"/>
          <w:sz w:val="15"/>
          <w:szCs w:val="15"/>
          <w:color w:val="auto"/>
        </w:rPr>
      </w:pPr>
      <w:r>
        <w:rPr>
          <w:rFonts w:ascii="Arial" w:cs="Arial" w:eastAsia="Arial" w:hAnsi="Arial"/>
          <w:sz w:val="15"/>
          <w:szCs w:val="15"/>
          <w:color w:val="auto"/>
        </w:rPr>
        <w:t>Notwithstanding anything in the Plan or in any Award Certificate to the contrary, to the extent that any amount or benefit that would constitute non-exempt “deferred compensation” for purposes of Section 409A of the Code (“Non-Exempt Deferred Compensation”)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vesting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88" w:lineRule="exact"/>
        <w:rPr>
          <w:rFonts w:ascii="Arial" w:cs="Arial" w:eastAsia="Arial" w:hAnsi="Arial"/>
          <w:sz w:val="15"/>
          <w:szCs w:val="15"/>
          <w:color w:val="auto"/>
        </w:rPr>
      </w:pPr>
    </w:p>
    <w:p>
      <w:pPr>
        <w:jc w:val="both"/>
        <w:ind w:right="20" w:firstLine="575"/>
        <w:spacing w:after="0" w:line="259" w:lineRule="auto"/>
        <w:tabs>
          <w:tab w:leader="none" w:pos="1477"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Head of Human Resources) shall determine which Awards or portions thereof will be subject to such exemptions.</w:t>
      </w:r>
    </w:p>
    <w:p>
      <w:pPr>
        <w:spacing w:after="0" w:line="188" w:lineRule="exact"/>
        <w:rPr>
          <w:rFonts w:ascii="Arial" w:cs="Arial" w:eastAsia="Arial" w:hAnsi="Arial"/>
          <w:sz w:val="16"/>
          <w:szCs w:val="16"/>
          <w:color w:val="auto"/>
        </w:rPr>
      </w:pPr>
    </w:p>
    <w:p>
      <w:pPr>
        <w:jc w:val="both"/>
        <w:ind w:right="20" w:firstLine="575"/>
        <w:spacing w:after="0" w:line="277" w:lineRule="auto"/>
        <w:tabs>
          <w:tab w:leader="none" w:pos="1241" w:val="left"/>
        </w:tabs>
        <w:numPr>
          <w:ilvl w:val="0"/>
          <w:numId w:val="34"/>
        </w:numPr>
        <w:rPr>
          <w:rFonts w:ascii="Arial" w:cs="Arial" w:eastAsia="Arial" w:hAnsi="Arial"/>
          <w:sz w:val="15"/>
          <w:szCs w:val="15"/>
          <w:color w:val="auto"/>
        </w:rPr>
      </w:pPr>
      <w:r>
        <w:rPr>
          <w:rFonts w:ascii="Arial" w:cs="Arial" w:eastAsia="Arial" w:hAnsi="Arial"/>
          <w:sz w:val="15"/>
          <w:szCs w:val="15"/>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1.409A-3(j)(4)(ii) (domestic relations order), (j)(4)(iii) (conflicts of interest), or (j)(4)(vi) (payment of employment taxes):</w:t>
      </w:r>
    </w:p>
    <w:p>
      <w:pPr>
        <w:spacing w:after="0" w:line="177" w:lineRule="exact"/>
        <w:rPr>
          <w:rFonts w:ascii="Arial" w:cs="Arial" w:eastAsia="Arial" w:hAnsi="Arial"/>
          <w:sz w:val="15"/>
          <w:szCs w:val="15"/>
          <w:color w:val="auto"/>
        </w:rPr>
      </w:pPr>
    </w:p>
    <w:p>
      <w:pPr>
        <w:jc w:val="both"/>
        <w:ind w:left="580" w:firstLine="565"/>
        <w:spacing w:after="0" w:line="259" w:lineRule="auto"/>
        <w:tabs>
          <w:tab w:leader="none" w:pos="1767"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88" w:lineRule="exact"/>
        <w:rPr>
          <w:rFonts w:ascii="Arial" w:cs="Arial" w:eastAsia="Arial" w:hAnsi="Arial"/>
          <w:sz w:val="16"/>
          <w:szCs w:val="16"/>
          <w:color w:val="auto"/>
        </w:rPr>
      </w:pPr>
    </w:p>
    <w:p>
      <w:pPr>
        <w:ind w:left="1820" w:hanging="675"/>
        <w:spacing w:after="0"/>
        <w:tabs>
          <w:tab w:leader="none" w:pos="18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if the payment or distribution is payable over time, the amount of such Non-Exempt Deferred Compensation that would otherwise be payable</w:t>
      </w:r>
    </w:p>
    <w:p>
      <w:pPr>
        <w:spacing w:after="0" w:line="40"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6"/>
          <w:szCs w:val="16"/>
          <w:color w:val="auto"/>
        </w:rPr>
        <w:t>during the six-</w:t>
      </w:r>
    </w:p>
    <w:p>
      <w:pPr>
        <w:spacing w:after="0" w:line="316"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69850</wp:posOffset>
            </wp:positionV>
            <wp:extent cx="726821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0880"/>
          </w:cols>
          <w:pgMar w:left="800" w:top="258" w:right="219" w:bottom="1440" w:gutter="0" w:footer="0" w:header="0"/>
        </w:sectPr>
      </w:pPr>
    </w:p>
    <w:bookmarkStart w:id="32" w:name="page33"/>
    <w:bookmarkEnd w:id="32"/>
    <w:p>
      <w:pPr>
        <w:jc w:val="both"/>
        <w:ind w:left="1140"/>
        <w:spacing w:after="0" w:line="293" w:lineRule="auto"/>
        <w:rPr>
          <w:sz w:val="20"/>
          <w:szCs w:val="20"/>
          <w:color w:val="auto"/>
        </w:rPr>
      </w:pPr>
      <w:r>
        <w:rPr>
          <w:rFonts w:ascii="Arial" w:cs="Arial" w:eastAsia="Arial" w:hAnsi="Arial"/>
          <w:sz w:val="14"/>
          <w:szCs w:val="14"/>
          <w:color w:val="auto"/>
        </w:rPr>
        <w:t>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 For purposes of this Plan, the term “Specified Employee” has the meaning given such term in Code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68" w:lineRule="exact"/>
        <w:rPr>
          <w:sz w:val="20"/>
          <w:szCs w:val="20"/>
          <w:color w:val="auto"/>
        </w:rPr>
      </w:pPr>
    </w:p>
    <w:p>
      <w:pPr>
        <w:jc w:val="both"/>
        <w:ind w:left="560" w:firstLine="575"/>
        <w:spacing w:after="0" w:line="259" w:lineRule="auto"/>
        <w:tabs>
          <w:tab w:leader="none" w:pos="17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188" w:lineRule="exact"/>
        <w:rPr>
          <w:rFonts w:ascii="Arial" w:cs="Arial" w:eastAsia="Arial" w:hAnsi="Arial"/>
          <w:sz w:val="16"/>
          <w:szCs w:val="16"/>
          <w:color w:val="auto"/>
        </w:rPr>
      </w:pPr>
    </w:p>
    <w:p>
      <w:pPr>
        <w:ind w:left="560" w:right="20" w:firstLine="575"/>
        <w:spacing w:after="0" w:line="270" w:lineRule="auto"/>
        <w:tabs>
          <w:tab w:leader="none" w:pos="175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shall have the sole authority to make any accelerated distribution permissible under Treas. Reg. Section 1.409A-3(j)(4) to Participants of deferred amounts, provided that such distribution(s) meets the requirements of Treas. Reg. Section 1.409A-3(j)(4).</w:t>
      </w:r>
    </w:p>
    <w:p>
      <w:pPr>
        <w:spacing w:after="0" w:line="179" w:lineRule="exact"/>
        <w:rPr>
          <w:rFonts w:ascii="Arial" w:cs="Arial" w:eastAsia="Arial" w:hAnsi="Arial"/>
          <w:sz w:val="16"/>
          <w:szCs w:val="16"/>
          <w:color w:val="auto"/>
        </w:rPr>
      </w:pPr>
    </w:p>
    <w:p>
      <w:pPr>
        <w:jc w:val="both"/>
        <w:ind w:left="560" w:firstLine="575"/>
        <w:spacing w:after="0" w:line="293" w:lineRule="auto"/>
        <w:tabs>
          <w:tab w:leader="none" w:pos="1882" w:val="left"/>
        </w:tabs>
        <w:numPr>
          <w:ilvl w:val="0"/>
          <w:numId w:val="35"/>
        </w:numPr>
        <w:rPr>
          <w:rFonts w:ascii="Arial" w:cs="Arial" w:eastAsia="Arial" w:hAnsi="Arial"/>
          <w:sz w:val="14"/>
          <w:szCs w:val="14"/>
          <w:color w:val="auto"/>
        </w:rPr>
      </w:pPr>
      <w:r>
        <w:rPr>
          <w:rFonts w:ascii="Arial" w:cs="Arial" w:eastAsia="Arial" w:hAnsi="Arial"/>
          <w:sz w:val="14"/>
          <w:szCs w:val="14"/>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168"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5"/>
          <w:szCs w:val="15"/>
          <w:color w:val="auto"/>
        </w:rPr>
        <w:t xml:space="preserve">17.4. </w:t>
      </w:r>
      <w:r>
        <w:rPr>
          <w:rFonts w:ascii="Arial" w:cs="Arial" w:eastAsia="Arial" w:hAnsi="Arial"/>
          <w:sz w:val="15"/>
          <w:szCs w:val="15"/>
          <w:i w:val="1"/>
          <w:iCs w:val="1"/>
          <w:color w:val="auto"/>
        </w:rPr>
        <w:t>WITHHOLDING.</w:t>
      </w:r>
      <w:r>
        <w:rPr>
          <w:rFonts w:ascii="Arial" w:cs="Arial" w:eastAsia="Arial" w:hAnsi="Arial"/>
          <w:sz w:val="15"/>
          <w:szCs w:val="15"/>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If Shares are surrendered to the Company to satisfy withholding obligations in excess of the minimum withholding obligation, such Shares must have been held by the Participant as fully vested shares for such period of time, if any, as necessary to avoid the recognition of an expense under generally accepted accounting principles. The Company shall have the authority to require a Participant to remit cash to the Company in lieu of the surrender of Shares for tax withholding obligations if the surrender of Shares in satisfaction of such withholding obligations would result in the Company's recognition of expense under generally accepted accounting principles. With respect to withholding required upon any taxable event under the Plan, the Committee may, at the time the Award is granted or thereafter, require or permit that any such withholding requirement be satisfied, in whole or in part, by withholding from the Award Shares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33" w:name="page34"/>
    <w:bookmarkEnd w:id="33"/>
    <w:p>
      <w:pPr>
        <w:jc w:val="both"/>
        <w:ind w:right="20"/>
        <w:spacing w:after="0" w:line="270" w:lineRule="auto"/>
        <w:rPr>
          <w:sz w:val="20"/>
          <w:szCs w:val="20"/>
          <w:color w:val="auto"/>
        </w:rPr>
      </w:pPr>
      <w:r>
        <w:rPr>
          <w:rFonts w:ascii="Arial" w:cs="Arial" w:eastAsia="Arial" w:hAnsi="Arial"/>
          <w:sz w:val="16"/>
          <w:szCs w:val="16"/>
          <w:color w:val="auto"/>
        </w:rPr>
        <w:t>having a Fair Market Value on the date of withholding equal to the minimum amount (and not any greater amount) required to be withheld for tax purposes, all in accordance with such procedures as the Committee establishes.</w:t>
      </w:r>
    </w:p>
    <w:p>
      <w:pPr>
        <w:spacing w:after="0" w:line="180" w:lineRule="exact"/>
        <w:rPr>
          <w:sz w:val="20"/>
          <w:szCs w:val="20"/>
          <w:color w:val="auto"/>
        </w:rPr>
      </w:pPr>
    </w:p>
    <w:p>
      <w:pPr>
        <w:jc w:val="both"/>
        <w:ind w:firstLine="570"/>
        <w:spacing w:after="0" w:line="255" w:lineRule="auto"/>
        <w:rPr>
          <w:sz w:val="20"/>
          <w:szCs w:val="20"/>
          <w:color w:val="auto"/>
        </w:rPr>
      </w:pPr>
      <w:r>
        <w:rPr>
          <w:rFonts w:ascii="Arial" w:cs="Arial" w:eastAsia="Arial" w:hAnsi="Arial"/>
          <w:sz w:val="16"/>
          <w:szCs w:val="16"/>
          <w:color w:val="auto"/>
        </w:rPr>
        <w:t xml:space="preserve">17.5. </w:t>
      </w:r>
      <w:r>
        <w:rPr>
          <w:rFonts w:ascii="Arial" w:cs="Arial" w:eastAsia="Arial" w:hAnsi="Arial"/>
          <w:sz w:val="16"/>
          <w:szCs w:val="16"/>
          <w:i w:val="1"/>
          <w:iCs w:val="1"/>
          <w:color w:val="auto"/>
        </w:rPr>
        <w:t>NO RIGHT TO CONTINUED SERVICE.</w:t>
      </w:r>
      <w:r>
        <w:rPr>
          <w:rFonts w:ascii="Arial" w:cs="Arial" w:eastAsia="Arial" w:hAnsi="Arial"/>
          <w:sz w:val="16"/>
          <w:szCs w:val="16"/>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w:t>
      </w:r>
    </w:p>
    <w:p>
      <w:pPr>
        <w:spacing w:after="0" w:line="192" w:lineRule="exact"/>
        <w:rPr>
          <w:sz w:val="20"/>
          <w:szCs w:val="20"/>
          <w:color w:val="auto"/>
        </w:rPr>
      </w:pPr>
    </w:p>
    <w:p>
      <w:pPr>
        <w:jc w:val="both"/>
        <w:ind w:firstLine="570"/>
        <w:spacing w:after="0" w:line="259" w:lineRule="auto"/>
        <w:rPr>
          <w:sz w:val="20"/>
          <w:szCs w:val="20"/>
          <w:color w:val="auto"/>
        </w:rPr>
      </w:pPr>
      <w:r>
        <w:rPr>
          <w:rFonts w:ascii="Arial" w:cs="Arial" w:eastAsia="Arial" w:hAnsi="Arial"/>
          <w:sz w:val="16"/>
          <w:szCs w:val="16"/>
          <w:color w:val="auto"/>
        </w:rPr>
        <w:t xml:space="preserve">17.6. </w:t>
      </w:r>
      <w:r>
        <w:rPr>
          <w:rFonts w:ascii="Arial" w:cs="Arial" w:eastAsia="Arial" w:hAnsi="Arial"/>
          <w:sz w:val="16"/>
          <w:szCs w:val="16"/>
          <w:i w:val="1"/>
          <w:iCs w:val="1"/>
          <w:color w:val="auto"/>
        </w:rPr>
        <w:t>UNFUNDED STATUS OF AWARDS.</w:t>
      </w:r>
      <w:r>
        <w:rPr>
          <w:rFonts w:ascii="Arial" w:cs="Arial" w:eastAsia="Arial" w:hAnsi="Arial"/>
          <w:sz w:val="16"/>
          <w:szCs w:val="16"/>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88"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17.7. </w:t>
      </w:r>
      <w:r>
        <w:rPr>
          <w:rFonts w:ascii="Arial" w:cs="Arial" w:eastAsia="Arial" w:hAnsi="Arial"/>
          <w:sz w:val="16"/>
          <w:szCs w:val="16"/>
          <w:i w:val="1"/>
          <w:iCs w:val="1"/>
          <w:color w:val="auto"/>
        </w:rPr>
        <w:t>RELATIONSHIP TO OTHER BENEFITS.</w:t>
      </w:r>
      <w:r>
        <w:rPr>
          <w:rFonts w:ascii="Arial" w:cs="Arial" w:eastAsia="Arial" w:hAnsi="Arial"/>
          <w:sz w:val="16"/>
          <w:szCs w:val="16"/>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17.8.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The expenses of administering the Plan shall be borne by the Company and its Affiliates.</w:t>
      </w:r>
    </w:p>
    <w:p>
      <w:pPr>
        <w:spacing w:after="0" w:line="22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 xml:space="preserve">17.9. </w:t>
      </w:r>
      <w:r>
        <w:rPr>
          <w:rFonts w:ascii="Arial" w:cs="Arial" w:eastAsia="Arial" w:hAnsi="Arial"/>
          <w:sz w:val="16"/>
          <w:szCs w:val="16"/>
          <w:i w:val="1"/>
          <w:iCs w:val="1"/>
          <w:color w:val="auto"/>
        </w:rPr>
        <w:t>TITLES AND HEADINGS.</w:t>
      </w:r>
      <w:r>
        <w:rPr>
          <w:rFonts w:ascii="Arial" w:cs="Arial" w:eastAsia="Arial" w:hAnsi="Arial"/>
          <w:sz w:val="16"/>
          <w:szCs w:val="16"/>
          <w:color w:val="auto"/>
        </w:rPr>
        <w:t xml:space="preserve"> The titles and headings of the Sections in the Plan are for convenience of reference only, and in the event of any conflict, the text of the Plan, rather than such titles or headings, shall control.</w:t>
      </w:r>
    </w:p>
    <w:p>
      <w:pPr>
        <w:spacing w:after="0" w:line="180" w:lineRule="exact"/>
        <w:rPr>
          <w:sz w:val="20"/>
          <w:szCs w:val="20"/>
          <w:color w:val="auto"/>
        </w:rPr>
      </w:pPr>
    </w:p>
    <w:p>
      <w:pPr>
        <w:jc w:val="both"/>
        <w:ind w:firstLine="570"/>
        <w:spacing w:after="0" w:line="270" w:lineRule="auto"/>
        <w:rPr>
          <w:sz w:val="20"/>
          <w:szCs w:val="20"/>
          <w:color w:val="auto"/>
        </w:rPr>
      </w:pPr>
      <w:r>
        <w:rPr>
          <w:rFonts w:ascii="Arial" w:cs="Arial" w:eastAsia="Arial" w:hAnsi="Arial"/>
          <w:sz w:val="16"/>
          <w:szCs w:val="16"/>
          <w:color w:val="auto"/>
        </w:rPr>
        <w:t xml:space="preserve">17.10. </w:t>
      </w:r>
      <w:r>
        <w:rPr>
          <w:rFonts w:ascii="Arial" w:cs="Arial" w:eastAsia="Arial" w:hAnsi="Arial"/>
          <w:sz w:val="16"/>
          <w:szCs w:val="16"/>
          <w:i w:val="1"/>
          <w:iCs w:val="1"/>
          <w:color w:val="auto"/>
        </w:rPr>
        <w:t>GENDER AND NUMBER.</w:t>
      </w:r>
      <w:r>
        <w:rPr>
          <w:rFonts w:ascii="Arial" w:cs="Arial" w:eastAsia="Arial" w:hAnsi="Arial"/>
          <w:sz w:val="16"/>
          <w:szCs w:val="16"/>
          <w:color w:val="auto"/>
        </w:rPr>
        <w:t xml:space="preserve"> Except where otherwise indicated by the context, any masculine term used herein also shall include the feminine; the plural shall include the singular and the singular shall include the plural.</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17.11. </w:t>
      </w:r>
      <w:r>
        <w:rPr>
          <w:rFonts w:ascii="Arial" w:cs="Arial" w:eastAsia="Arial" w:hAnsi="Arial"/>
          <w:sz w:val="16"/>
          <w:szCs w:val="16"/>
          <w:i w:val="1"/>
          <w:iCs w:val="1"/>
          <w:color w:val="auto"/>
        </w:rPr>
        <w:t>FRACTIONAL SHARES.</w:t>
      </w:r>
      <w:r>
        <w:rPr>
          <w:rFonts w:ascii="Arial" w:cs="Arial" w:eastAsia="Arial" w:hAnsi="Arial"/>
          <w:sz w:val="16"/>
          <w:szCs w:val="16"/>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17.12. </w:t>
      </w:r>
      <w:r>
        <w:rPr>
          <w:rFonts w:ascii="Arial" w:cs="Arial" w:eastAsia="Arial" w:hAnsi="Arial"/>
          <w:sz w:val="16"/>
          <w:szCs w:val="16"/>
          <w:i w:val="1"/>
          <w:iCs w:val="1"/>
          <w:color w:val="auto"/>
        </w:rPr>
        <w:t>GOVERNMENT AND OTHER REGULATIONS.</w:t>
      </w:r>
    </w:p>
    <w:p>
      <w:pPr>
        <w:spacing w:after="0" w:line="220" w:lineRule="exact"/>
        <w:rPr>
          <w:sz w:val="20"/>
          <w:szCs w:val="20"/>
          <w:color w:val="auto"/>
        </w:rPr>
      </w:pPr>
    </w:p>
    <w:p>
      <w:pPr>
        <w:jc w:val="both"/>
        <w:ind w:left="560" w:right="20" w:firstLine="575"/>
        <w:spacing w:after="0" w:line="288" w:lineRule="auto"/>
        <w:tabs>
          <w:tab w:leader="none" w:pos="1876" w:val="left"/>
        </w:tabs>
        <w:numPr>
          <w:ilvl w:val="1"/>
          <w:numId w:val="36"/>
        </w:numPr>
        <w:rPr>
          <w:rFonts w:ascii="Arial" w:cs="Arial" w:eastAsia="Arial" w:hAnsi="Arial"/>
          <w:sz w:val="14"/>
          <w:szCs w:val="14"/>
          <w:color w:val="auto"/>
        </w:rPr>
      </w:pPr>
      <w:r>
        <w:rPr>
          <w:rFonts w:ascii="Arial" w:cs="Arial" w:eastAsia="Arial" w:hAnsi="Arial"/>
          <w:sz w:val="14"/>
          <w:szCs w:val="14"/>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w:t>
      </w:r>
    </w:p>
    <w:p>
      <w:pPr>
        <w:spacing w:after="0" w:line="1" w:lineRule="exact"/>
        <w:rPr>
          <w:rFonts w:ascii="Arial" w:cs="Arial" w:eastAsia="Arial" w:hAnsi="Arial"/>
          <w:sz w:val="14"/>
          <w:szCs w:val="14"/>
          <w:color w:val="auto"/>
        </w:rPr>
      </w:pPr>
    </w:p>
    <w:p>
      <w:pPr>
        <w:ind w:left="800" w:hanging="235"/>
        <w:spacing w:after="0"/>
        <w:tabs>
          <w:tab w:leader="none" w:pos="8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pursuant to an appropriate exemption from the registration requirement of the 1933 Act, such as that set forth in Rule 144 promulgated under the 1933 Act.</w:t>
      </w:r>
    </w:p>
    <w:p>
      <w:pPr>
        <w:spacing w:after="0" w:line="220" w:lineRule="exact"/>
        <w:rPr>
          <w:rFonts w:ascii="Arial" w:cs="Arial" w:eastAsia="Arial" w:hAnsi="Arial"/>
          <w:sz w:val="15"/>
          <w:szCs w:val="15"/>
          <w:color w:val="auto"/>
        </w:rPr>
      </w:pPr>
    </w:p>
    <w:p>
      <w:pPr>
        <w:jc w:val="both"/>
        <w:ind w:left="560" w:right="20" w:firstLine="575"/>
        <w:spacing w:after="0" w:line="259" w:lineRule="auto"/>
        <w:tabs>
          <w:tab w:leader="none" w:pos="1781" w:val="left"/>
        </w:tabs>
        <w:numPr>
          <w:ilvl w:val="1"/>
          <w:numId w:val="37"/>
        </w:numPr>
        <w:rPr>
          <w:rFonts w:ascii="Arial" w:cs="Arial" w:eastAsia="Arial" w:hAnsi="Arial"/>
          <w:sz w:val="16"/>
          <w:szCs w:val="16"/>
          <w:color w:val="auto"/>
        </w:rPr>
      </w:pPr>
      <w:r>
        <w:rPr>
          <w:rFonts w:ascii="Arial" w:cs="Arial" w:eastAsia="Arial" w:hAnsi="Arial"/>
          <w:sz w:val="16"/>
          <w:szCs w:val="16"/>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6821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2032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34" w:name="page35"/>
    <w:bookmarkEnd w:id="34"/>
    <w:p>
      <w:pPr>
        <w:jc w:val="both"/>
        <w:ind w:left="560"/>
        <w:spacing w:after="0" w:line="271" w:lineRule="auto"/>
        <w:rPr>
          <w:sz w:val="20"/>
          <w:szCs w:val="20"/>
          <w:color w:val="auto"/>
        </w:rPr>
      </w:pPr>
      <w:r>
        <w:rPr>
          <w:rFonts w:ascii="Arial" w:cs="Arial" w:eastAsia="Arial" w:hAnsi="Arial"/>
          <w:sz w:val="15"/>
          <w:szCs w:val="15"/>
          <w:color w:val="auto"/>
        </w:rPr>
        <w:t>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81"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17.13. </w:t>
      </w:r>
      <w:r>
        <w:rPr>
          <w:rFonts w:ascii="Arial" w:cs="Arial" w:eastAsia="Arial" w:hAnsi="Arial"/>
          <w:sz w:val="16"/>
          <w:szCs w:val="16"/>
          <w:i w:val="1"/>
          <w:iCs w:val="1"/>
          <w:color w:val="auto"/>
        </w:rPr>
        <w:t>GOVERNING LAW.</w:t>
      </w:r>
      <w:r>
        <w:rPr>
          <w:rFonts w:ascii="Arial" w:cs="Arial" w:eastAsia="Arial" w:hAnsi="Arial"/>
          <w:sz w:val="16"/>
          <w:szCs w:val="16"/>
          <w:color w:val="auto"/>
        </w:rPr>
        <w:t xml:space="preserve"> To the extent not governed by federal law, the Plan and all Award Certificates shall be construed in accordance with and governed by the laws of the State of Delaware.</w:t>
      </w:r>
    </w:p>
    <w:p>
      <w:pPr>
        <w:spacing w:after="0" w:line="180" w:lineRule="exact"/>
        <w:rPr>
          <w:sz w:val="20"/>
          <w:szCs w:val="20"/>
          <w:color w:val="auto"/>
        </w:rPr>
      </w:pPr>
    </w:p>
    <w:p>
      <w:pPr>
        <w:jc w:val="both"/>
        <w:ind w:right="20" w:firstLine="570"/>
        <w:spacing w:after="0" w:line="270" w:lineRule="auto"/>
        <w:rPr>
          <w:sz w:val="20"/>
          <w:szCs w:val="20"/>
          <w:color w:val="auto"/>
        </w:rPr>
      </w:pPr>
      <w:r>
        <w:rPr>
          <w:rFonts w:ascii="Arial" w:cs="Arial" w:eastAsia="Arial" w:hAnsi="Arial"/>
          <w:sz w:val="16"/>
          <w:szCs w:val="16"/>
          <w:color w:val="auto"/>
        </w:rPr>
        <w:t xml:space="preserve">17.14. </w:t>
      </w:r>
      <w:r>
        <w:rPr>
          <w:rFonts w:ascii="Arial" w:cs="Arial" w:eastAsia="Arial" w:hAnsi="Arial"/>
          <w:sz w:val="16"/>
          <w:szCs w:val="16"/>
          <w:i w:val="1"/>
          <w:iCs w:val="1"/>
          <w:color w:val="auto"/>
        </w:rPr>
        <w:t>ADDITIONAL PROVISIONS.</w:t>
      </w:r>
      <w:r>
        <w:rPr>
          <w:rFonts w:ascii="Arial" w:cs="Arial" w:eastAsia="Arial" w:hAnsi="Arial"/>
          <w:sz w:val="16"/>
          <w:szCs w:val="16"/>
          <w:color w:val="auto"/>
        </w:rPr>
        <w:t xml:space="preserve"> Each Award Certificate may contain such other terms and conditions as the Committee may determine; provided that such other terms and conditions are not inconsistent with the provisions of the Plan.</w:t>
      </w:r>
    </w:p>
    <w:p>
      <w:pPr>
        <w:spacing w:after="0" w:line="180" w:lineRule="exact"/>
        <w:rPr>
          <w:sz w:val="20"/>
          <w:szCs w:val="20"/>
          <w:color w:val="auto"/>
        </w:rPr>
      </w:pPr>
    </w:p>
    <w:p>
      <w:pPr>
        <w:jc w:val="both"/>
        <w:ind w:firstLine="570"/>
        <w:spacing w:after="0" w:line="252" w:lineRule="auto"/>
        <w:rPr>
          <w:sz w:val="20"/>
          <w:szCs w:val="20"/>
          <w:color w:val="auto"/>
        </w:rPr>
      </w:pPr>
      <w:r>
        <w:rPr>
          <w:rFonts w:ascii="Arial" w:cs="Arial" w:eastAsia="Arial" w:hAnsi="Arial"/>
          <w:sz w:val="16"/>
          <w:szCs w:val="16"/>
          <w:color w:val="auto"/>
        </w:rPr>
        <w:t xml:space="preserve">17.15. </w:t>
      </w:r>
      <w:r>
        <w:rPr>
          <w:rFonts w:ascii="Arial" w:cs="Arial" w:eastAsia="Arial" w:hAnsi="Arial"/>
          <w:sz w:val="16"/>
          <w:szCs w:val="16"/>
          <w:i w:val="1"/>
          <w:iCs w:val="1"/>
          <w:color w:val="auto"/>
        </w:rPr>
        <w:t>NO LIMITATIONS ON RIGHTS OF COMPANY.</w:t>
      </w:r>
      <w:r>
        <w:rPr>
          <w:rFonts w:ascii="Arial" w:cs="Arial" w:eastAsia="Arial" w:hAnsi="Arial"/>
          <w:sz w:val="16"/>
          <w:szCs w:val="16"/>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195" w:lineRule="exact"/>
        <w:rPr>
          <w:sz w:val="20"/>
          <w:szCs w:val="20"/>
          <w:color w:val="auto"/>
        </w:rPr>
      </w:pPr>
    </w:p>
    <w:p>
      <w:pPr>
        <w:jc w:val="both"/>
        <w:ind w:firstLine="570"/>
        <w:spacing w:after="0" w:line="269" w:lineRule="auto"/>
        <w:rPr>
          <w:sz w:val="20"/>
          <w:szCs w:val="20"/>
          <w:color w:val="auto"/>
        </w:rPr>
      </w:pPr>
      <w:r>
        <w:rPr>
          <w:rFonts w:ascii="Arial" w:cs="Arial" w:eastAsia="Arial" w:hAnsi="Arial"/>
          <w:sz w:val="15"/>
          <w:szCs w:val="15"/>
          <w:color w:val="auto"/>
        </w:rPr>
        <w:t xml:space="preserve">17.16. </w:t>
      </w:r>
      <w:r>
        <w:rPr>
          <w:rFonts w:ascii="Arial" w:cs="Arial" w:eastAsia="Arial" w:hAnsi="Arial"/>
          <w:sz w:val="15"/>
          <w:szCs w:val="15"/>
          <w:i w:val="1"/>
          <w:iCs w:val="1"/>
          <w:color w:val="auto"/>
        </w:rPr>
        <w:t>INDEMNIFICATION.</w:t>
      </w:r>
      <w:r>
        <w:rPr>
          <w:rFonts w:ascii="Arial" w:cs="Arial" w:eastAsia="Arial" w:hAnsi="Arial"/>
          <w:sz w:val="15"/>
          <w:szCs w:val="15"/>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84" w:lineRule="exact"/>
        <w:rPr>
          <w:sz w:val="20"/>
          <w:szCs w:val="20"/>
          <w:color w:val="auto"/>
        </w:rPr>
      </w:pPr>
    </w:p>
    <w:p>
      <w:pPr>
        <w:jc w:val="both"/>
        <w:ind w:right="20" w:firstLine="570"/>
        <w:spacing w:after="0" w:line="259" w:lineRule="auto"/>
        <w:rPr>
          <w:sz w:val="20"/>
          <w:szCs w:val="20"/>
          <w:color w:val="auto"/>
        </w:rPr>
      </w:pPr>
      <w:r>
        <w:rPr>
          <w:rFonts w:ascii="Arial" w:cs="Arial" w:eastAsia="Arial" w:hAnsi="Arial"/>
          <w:sz w:val="16"/>
          <w:szCs w:val="16"/>
          <w:color w:val="auto"/>
        </w:rPr>
        <w:t xml:space="preserve">17.17. </w:t>
      </w:r>
      <w:r>
        <w:rPr>
          <w:rFonts w:ascii="Arial" w:cs="Arial" w:eastAsia="Arial" w:hAnsi="Arial"/>
          <w:sz w:val="16"/>
          <w:szCs w:val="16"/>
          <w:i w:val="1"/>
          <w:iCs w:val="1"/>
          <w:color w:val="auto"/>
        </w:rPr>
        <w:t>SEVERABILITY</w:t>
      </w:r>
      <w:r>
        <w:rPr>
          <w:rFonts w:ascii="Arial" w:cs="Arial" w:eastAsia="Arial" w:hAnsi="Arial"/>
          <w:sz w:val="16"/>
          <w:szCs w:val="16"/>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6821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5854700</wp:posOffset>
            </wp:positionV>
            <wp:extent cx="726821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1440"/>
          </w:cols>
          <w:pgMar w:left="240" w:top="448"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July 17, 2013</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Micron Technology, Inc.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8000 South Federal Way</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Boise, ID 83707-0006</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20" w:lineRule="exact"/>
        <w:rPr>
          <w:sz w:val="20"/>
          <w:szCs w:val="20"/>
          <w:color w:val="auto"/>
        </w:rPr>
      </w:pPr>
    </w:p>
    <w:p>
      <w:pPr>
        <w:ind w:right="60" w:firstLine="570"/>
        <w:spacing w:after="0" w:line="277" w:lineRule="auto"/>
        <w:rPr>
          <w:sz w:val="20"/>
          <w:szCs w:val="20"/>
          <w:color w:val="auto"/>
        </w:rPr>
      </w:pPr>
      <w:r>
        <w:rPr>
          <w:rFonts w:ascii="Arial" w:cs="Arial" w:eastAsia="Arial" w:hAnsi="Arial"/>
          <w:sz w:val="15"/>
          <w:szCs w:val="15"/>
          <w:color w:val="auto"/>
        </w:rPr>
        <w:t>We have examined the Registration Statement on Form S-8 to be filed by you with the Securities and Exchange Commission on or about July 17, 2013 (the “Registration Statement”) in connection with the registration under the Securities Act of 1933, as amended, of 30,000,000 shares of your Common Stock, $0.10 par value (the “Shares”) reserved for issuance under the Micron Technology, Inc. 2004 Equity Incentive Plan (the “Plan”). As your legal counsel, we have examined the proceedings taken and are familiar with the proceedings proposed to be taken by you in connection with the sale and issuance of the Shares under the Plan.</w:t>
      </w:r>
    </w:p>
    <w:p>
      <w:pPr>
        <w:spacing w:after="0" w:line="178" w:lineRule="exact"/>
        <w:rPr>
          <w:sz w:val="20"/>
          <w:szCs w:val="20"/>
          <w:color w:val="auto"/>
        </w:rPr>
      </w:pPr>
    </w:p>
    <w:p>
      <w:pPr>
        <w:ind w:right="40" w:firstLine="570"/>
        <w:spacing w:after="0" w:line="277" w:lineRule="auto"/>
        <w:rPr>
          <w:sz w:val="20"/>
          <w:szCs w:val="20"/>
          <w:color w:val="auto"/>
        </w:rPr>
      </w:pPr>
      <w:r>
        <w:rPr>
          <w:rFonts w:ascii="Arial" w:cs="Arial" w:eastAsia="Arial" w:hAnsi="Arial"/>
          <w:sz w:val="15"/>
          <w:szCs w:val="15"/>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78" w:lineRule="exact"/>
        <w:rPr>
          <w:sz w:val="20"/>
          <w:szCs w:val="20"/>
          <w:color w:val="auto"/>
        </w:rPr>
      </w:pPr>
    </w:p>
    <w:p>
      <w:pPr>
        <w:ind w:right="600" w:firstLine="570"/>
        <w:spacing w:after="0" w:line="270"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Very truly yours,</w:t>
      </w:r>
    </w:p>
    <w:p>
      <w:pPr>
        <w:spacing w:after="0" w:line="200" w:lineRule="exact"/>
        <w:rPr>
          <w:sz w:val="20"/>
          <w:szCs w:val="20"/>
          <w:color w:val="auto"/>
        </w:rPr>
      </w:pPr>
    </w:p>
    <w:p>
      <w:pPr>
        <w:spacing w:after="0" w:line="23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WILSON SONSINI GOODRICH &amp; ROSATI,</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682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40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5885180</wp:posOffset>
            </wp:positionV>
            <wp:extent cx="726821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8210" cy="34290"/>
                    </a:xfrm>
                    <a:prstGeom prst="rect">
                      <a:avLst/>
                    </a:prstGeom>
                    <a:noFill/>
                  </pic:spPr>
                </pic:pic>
              </a:graphicData>
            </a:graphic>
          </wp:anchor>
        </w:drawing>
      </w:r>
    </w:p>
    <w:p>
      <w:pPr>
        <w:sectPr>
          <w:pgSz w:w="11900" w:h="16838" w:orient="portrait"/>
          <w:cols w:equalWidth="0" w:num="1">
            <w:col w:w="11440"/>
          </w:cols>
          <w:pgMar w:left="240" w:top="551" w:right="21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CONSENT OF INDEPENDENT REGISTERED PUBLIC ACCOUNTING FIRM</w:t>
      </w:r>
    </w:p>
    <w:p>
      <w:pPr>
        <w:spacing w:after="0" w:line="220"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color w:val="auto"/>
        </w:rPr>
        <w:t>We hereby consent to the incorporation by reference in this Registration Statement on Form S-8 of our report dated October 29, 2012 relating to the financial statements, financial statement schedule and the effectiveness of internal control over financial reporting, which appears in Micron Technology, Inc.'s Annual Report on Form 10-K for the year ended August 30, 2012.</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/s/PricewaterhouseCoopers LLP</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San Jose, CA</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July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620395</wp:posOffset>
            </wp:positionV>
            <wp:extent cx="726821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8210" cy="40005"/>
                    </a:xfrm>
                    <a:prstGeom prst="rect">
                      <a:avLst/>
                    </a:prstGeom>
                    <a:noFill/>
                  </pic:spPr>
                </pic:pic>
              </a:graphicData>
            </a:graphic>
          </wp:anchor>
        </w:drawing>
      </w:r>
    </w:p>
    <w:p>
      <w:pPr>
        <w:sectPr>
          <w:pgSz w:w="11900" w:h="16838" w:orient="portrait"/>
          <w:cols w:equalWidth="0" w:num="1">
            <w:col w:w="11440"/>
          </w:cols>
          <w:pgMar w:left="240" w:top="764" w:right="21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146685</wp:posOffset>
            </wp:positionH>
            <wp:positionV relativeFrom="page">
              <wp:posOffset>184150</wp:posOffset>
            </wp:positionV>
            <wp:extent cx="7268210" cy="35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8210" cy="35560"/>
                    </a:xfrm>
                    <a:prstGeom prst="rect">
                      <a:avLst/>
                    </a:prstGeom>
                    <a:noFill/>
                  </pic:spPr>
                </pic:pic>
              </a:graphicData>
            </a:graphic>
          </wp:anchor>
        </w:drawing>
        <w:t>EXHIBIT 23.2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9"/>
          <w:szCs w:val="29"/>
          <w:i w:val="1"/>
          <w:iCs w:val="1"/>
          <w:color w:val="auto"/>
        </w:rPr>
        <w:t>KPMG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Inotera Memories Inc.:</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84" w:lineRule="auto"/>
        <w:rPr>
          <w:sz w:val="20"/>
          <w:szCs w:val="20"/>
          <w:color w:val="auto"/>
        </w:rPr>
      </w:pPr>
      <w:r>
        <w:rPr>
          <w:rFonts w:ascii="Arial" w:cs="Arial" w:eastAsia="Arial" w:hAnsi="Arial"/>
          <w:sz w:val="15"/>
          <w:szCs w:val="15"/>
          <w:color w:val="auto"/>
        </w:rPr>
        <w:t>We consent to the incorporation by reference in the registration statement on Form S-8 of Micron Technology, Inc. of our audit report dated October 9, 2012, with respect to the balance sheets of Inotera Memories Inc. as of December 31, 2010 and 2011, and the related statements of operations, changes in stockholders' equity, and cash flows for the three-year period ended December 31, 2011, which report appears in the August 30, 2012 annual report on Form 10-K of Micron Technology, Inc.</w:t>
      </w:r>
    </w:p>
    <w:p>
      <w:pPr>
        <w:spacing w:after="0" w:line="3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report contains an explanatory paragraph that states Inotera Memories Inc. did not maintain a minimum current ratio of 1:1 and a maximum debt to equity ratio of 1.5:1 at December 31, 2011, as part of the financial covenants originally required of the Company under its syndicated bank loan agreements. On June 8, 2012, the syndicate banks formally agreed to waive the requirement of the Company to comply with its financial loan covenants for the financial statements for the year ended December 31, 2011. However, the Company was unable to maintain the same ratios as of June 30, 2012 and has until November 30, 2012 to cure the breach. In July 2012, the Company has submitted a request for a waiver from complying with these financial covenants, so that the managing bank can convene a meeting of the Banks to consider whether to grant such waiver. The potential consequences to the Company of a violation of any of its financial covenants pursuant to its syndicated bank loan agreements are also described in Notes 19(b)(iii) and 27(g) to the financial statements.</w:t>
      </w:r>
    </w:p>
    <w:p>
      <w:pPr>
        <w:spacing w:after="0" w:line="200" w:lineRule="exact"/>
        <w:rPr>
          <w:sz w:val="20"/>
          <w:szCs w:val="20"/>
          <w:color w:val="auto"/>
        </w:rPr>
      </w:pPr>
    </w:p>
    <w:p>
      <w:pPr>
        <w:spacing w:after="0" w:line="21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Our report also contains an explanatory paragraph that states effective January 1, 2009, the Company adopted the newly revised SFAS No. 10 “Inventories”, under which, the unallocated fixed overhead and direct labor cost of NT$12,903,228 thousand and gain from market price recovery of inventories of NT$1,767,684 thousand were charged to cost of goods sold for the year ended December 31, 2009.</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 KPMG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July 16, 2013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Taipei, Taiwan (the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682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8210" cy="40005"/>
                    </a:xfrm>
                    <a:prstGeom prst="rect">
                      <a:avLst/>
                    </a:prstGeom>
                    <a:noFill/>
                  </pic:spPr>
                </pic:pic>
              </a:graphicData>
            </a:graphic>
          </wp:anchor>
        </w:drawing>
      </w:r>
    </w:p>
    <w:sectPr>
      <w:pgSz w:w="11900" w:h="16838" w:orient="portrait"/>
      <w:cols w:equalWidth="0" w:num="1">
        <w:col w:w="11440"/>
      </w:cols>
      <w:pgMar w:left="240" w:top="40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lowerLetter"/>
      <w:start w:val="1"/>
    </w:lvl>
  </w:abstractNum>
  <w:abstractNum w:abstractNumId="2">
    <w:nsid w:val="62BBD95A"/>
    <w:multiLevelType w:val="hybridMultilevel"/>
    <w:lvl w:ilvl="0">
      <w:lvlJc w:val="left"/>
      <w:lvlText w:val="(%1)"/>
      <w:numFmt w:val="decimal"/>
      <w:start w:val="1"/>
    </w:lvl>
    <w:lvl w:ilvl="1">
      <w:lvlJc w:val="left"/>
      <w:lvlText w:val="(%2)"/>
      <w:numFmt w:val="lowerRoman"/>
      <w:start w:val="1"/>
    </w:lvl>
  </w:abstractNum>
  <w:abstractNum w:abstractNumId="3">
    <w:nsid w:val="436C6125"/>
    <w:multiLevelType w:val="hybridMultilevel"/>
    <w:lvl w:ilvl="0">
      <w:lvlJc w:val="left"/>
      <w:lvlText w:val="%1"/>
      <w:numFmt w:val="lowerLetter"/>
      <w:start w:val="1"/>
    </w:lvl>
    <w:lvl w:ilvl="1">
      <w:lvlJc w:val="left"/>
      <w:lvlText w:val="(%2)"/>
      <w:numFmt w:val="decimal"/>
      <w:start w:val="2"/>
    </w:lvl>
  </w:abstractNum>
  <w:abstractNum w:abstractNumId="4">
    <w:nsid w:val="628C895D"/>
    <w:multiLevelType w:val="hybridMultilevel"/>
    <w:lvl w:ilvl="0">
      <w:lvlJc w:val="left"/>
      <w:lvlText w:val="(%1)"/>
      <w:numFmt w:val="lowerLetter"/>
      <w:start w:val="2"/>
    </w:lvl>
    <w:lvl w:ilvl="1">
      <w:lvlJc w:val="left"/>
      <w:lvlText w:val="%2"/>
      <w:numFmt w:val="decimal"/>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1)"/>
      <w:numFmt w:val="lowerLetter"/>
      <w:start w:val="1"/>
    </w:lvl>
    <w:lvl w:ilvl="1">
      <w:lvlJc w:val="left"/>
      <w:lvlText w:val="(%2)"/>
      <w:numFmt w:val="lowerLetter"/>
      <w:start w:val="9"/>
    </w:lvl>
  </w:abstractNum>
  <w:abstractNum w:abstractNumId="7">
    <w:nsid w:val="2443A858"/>
    <w:multiLevelType w:val="hybridMultilevel"/>
    <w:lvl w:ilvl="0">
      <w:lvlJc w:val="left"/>
      <w:lvlText w:val="(%1)"/>
      <w:numFmt w:val="lowerRoman"/>
      <w:start w:val="2"/>
    </w:lvl>
  </w:abstractNum>
  <w:abstractNum w:abstractNumId="8">
    <w:nsid w:val="2D1D5AE9"/>
    <w:multiLevelType w:val="hybridMultilevel"/>
    <w:lvl w:ilvl="0">
      <w:lvlJc w:val="left"/>
      <w:lvlText w:val="%1"/>
      <w:numFmt w:val="lowerLetter"/>
      <w:start w:val="1"/>
    </w:lvl>
    <w:lvl w:ilvl="1">
      <w:lvlJc w:val="left"/>
      <w:lvlText w:val="(%2)"/>
      <w:numFmt w:val="lowerRoman"/>
      <w:start w:val="4"/>
    </w:lvl>
  </w:abstractNum>
  <w:abstractNum w:abstractNumId="9">
    <w:nsid w:val="6763845E"/>
    <w:multiLevelType w:val="hybridMultilevel"/>
    <w:lvl w:ilvl="0">
      <w:lvlJc w:val="left"/>
      <w:lvlText w:val="(%1)"/>
      <w:numFmt w:val="lowerLetter"/>
      <w:start w:val="6"/>
    </w:lvl>
    <w:lvl w:ilvl="1">
      <w:lvlJc w:val="left"/>
      <w:lvlText w:val="%2"/>
      <w:numFmt w:val="lowerRoman"/>
      <w:start w:val="1"/>
    </w:lvl>
  </w:abstractNum>
  <w:abstractNum w:abstractNumId="10">
    <w:nsid w:val="75A2A8D4"/>
    <w:multiLevelType w:val="hybridMultilevel"/>
    <w:lvl w:ilvl="0">
      <w:lvlJc w:val="left"/>
      <w:lvlText w:val="(%1)"/>
      <w:numFmt w:val="lowerLetter"/>
      <w:start w:val="15"/>
    </w:lvl>
  </w:abstractNum>
  <w:abstractNum w:abstractNumId="11">
    <w:nsid w:val="8EDBDAB"/>
    <w:multiLevelType w:val="hybridMultilevel"/>
    <w:lvl w:ilvl="0">
      <w:lvlJc w:val="left"/>
      <w:lvlText w:val="(%1)"/>
      <w:numFmt w:val="lowerLetter"/>
      <w:start w:val="26"/>
    </w:lvl>
  </w:abstractNum>
  <w:abstractNum w:abstractNumId="12">
    <w:nsid w:val="79838CB2"/>
    <w:multiLevelType w:val="hybridMultilevel"/>
    <w:lvl w:ilvl="0">
      <w:lvlJc w:val="left"/>
      <w:lvlText w:val="(%1)"/>
      <w:numFmt w:val="lowerLetter"/>
      <w:start w:val="27"/>
    </w:lvl>
  </w:abstractNum>
  <w:abstractNum w:abstractNumId="13">
    <w:nsid w:val="4353D0CD"/>
    <w:multiLevelType w:val="hybridMultilevel"/>
    <w:lvl w:ilvl="0">
      <w:lvlJc w:val="left"/>
      <w:lvlText w:val="(%1)"/>
      <w:numFmt w:val="lowerLetter"/>
      <w:start w:val="39"/>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2"/>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3"/>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2"/>
    </w:lvl>
    <w:lvl w:ilvl="1">
      <w:lvlJc w:val="left"/>
      <w:lvlText w:val="(%2)"/>
      <w:numFmt w:val="decimal"/>
      <w:start w:val="1"/>
    </w:lvl>
  </w:abstractNum>
  <w:abstractNum w:abstractNumId="21">
    <w:nsid w:val="3A95F874"/>
    <w:multiLevelType w:val="hybridMultilevel"/>
    <w:lvl w:ilvl="0">
      <w:lvlJc w:val="left"/>
      <w:lvlText w:val="(%1)"/>
      <w:numFmt w:val="lowerLetter"/>
      <w:start w:val="3"/>
    </w:lvl>
  </w:abstractNum>
  <w:abstractNum w:abstractNumId="22">
    <w:nsid w:val="8138641"/>
    <w:multiLevelType w:val="hybridMultilevel"/>
    <w:lvl w:ilvl="0">
      <w:lvlJc w:val="left"/>
      <w:lvlText w:val="(%1)"/>
      <w:numFmt w:val="lowerLetter"/>
      <w:start w:val="7"/>
    </w:lvl>
  </w:abstractNum>
  <w:abstractNum w:abstractNumId="23">
    <w:nsid w:val="1E7FF521"/>
    <w:multiLevelType w:val="hybridMultilevel"/>
    <w:lvl w:ilvl="0">
      <w:lvlJc w:val="left"/>
      <w:lvlText w:val="(%1)"/>
      <w:numFmt w:val="lowerLetter"/>
      <w:start w:val="1"/>
    </w:lvl>
    <w:lvl w:ilvl="1">
      <w:lvlJc w:val="left"/>
      <w:lvlText w:val="(%2)"/>
      <w:numFmt w:val="decimal"/>
      <w:start w:val="1"/>
    </w:lvl>
  </w:abstractNum>
  <w:abstractNum w:abstractNumId="24">
    <w:nsid w:val="7C3DBD3D"/>
    <w:multiLevelType w:val="hybridMultilevel"/>
    <w:lvl w:ilvl="0">
      <w:lvlJc w:val="left"/>
      <w:lvlText w:val="(%1)"/>
      <w:numFmt w:val="lowerRoman"/>
      <w:start w:val="1"/>
    </w:lvl>
  </w:abstractNum>
  <w:abstractNum w:abstractNumId="25">
    <w:nsid w:val="737B8DDC"/>
    <w:multiLevelType w:val="hybridMultilevel"/>
    <w:lvl w:ilvl="0">
      <w:lvlJc w:val="left"/>
      <w:lvlText w:val="(%1)"/>
      <w:numFmt w:val="lowerRoman"/>
      <w:start w:val="1"/>
    </w:lvl>
  </w:abstractNum>
  <w:abstractNum w:abstractNumId="26">
    <w:nsid w:val="6CEAF087"/>
    <w:multiLevelType w:val="hybridMultilevel"/>
    <w:lvl w:ilvl="0">
      <w:lvlJc w:val="left"/>
      <w:lvlText w:val="(%1)"/>
      <w:numFmt w:val="lowerRoman"/>
      <w:start w:val="3"/>
    </w:lvl>
  </w:abstractNum>
  <w:abstractNum w:abstractNumId="27">
    <w:nsid w:val="22221A70"/>
    <w:multiLevelType w:val="hybridMultilevel"/>
    <w:lvl w:ilvl="0">
      <w:lvlJc w:val="left"/>
      <w:lvlText w:val="(%1)"/>
      <w:numFmt w:val="lowerLetter"/>
      <w:start w:val="1"/>
    </w:lvl>
  </w:abstractNum>
  <w:abstractNum w:abstractNumId="28">
    <w:nsid w:val="4516DDE9"/>
    <w:multiLevelType w:val="hybridMultilevel"/>
    <w:lvl w:ilvl="0">
      <w:lvlJc w:val="left"/>
      <w:lvlText w:val="(%1)"/>
      <w:numFmt w:val="lowerLetter"/>
      <w:start w:val="2"/>
    </w:lvl>
  </w:abstractNum>
  <w:abstractNum w:abstractNumId="29">
    <w:nsid w:val="3006C83E"/>
    <w:multiLevelType w:val="hybridMultilevel"/>
    <w:lvl w:ilvl="0">
      <w:lvlJc w:val="left"/>
      <w:lvlText w:val="(%1)"/>
      <w:numFmt w:val="lowerLetter"/>
      <w:start w:val="3"/>
    </w:lvl>
  </w:abstractNum>
  <w:abstractNum w:abstractNumId="30">
    <w:nsid w:val="614FD4A1"/>
    <w:multiLevelType w:val="hybridMultilevel"/>
    <w:lvl w:ilvl="0">
      <w:lvlJc w:val="left"/>
      <w:lvlText w:val="(%1)"/>
      <w:numFmt w:val="lowerLetter"/>
      <w:start w:val="6"/>
    </w:lvl>
  </w:abstractNum>
  <w:abstractNum w:abstractNumId="31">
    <w:nsid w:val="419AC241"/>
    <w:multiLevelType w:val="hybridMultilevel"/>
    <w:lvl w:ilvl="0">
      <w:lvlJc w:val="left"/>
      <w:lvlText w:val="(%1)"/>
      <w:numFmt w:val="lowerRoman"/>
      <w:start w:val="4"/>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1"/>
    </w:lvl>
    <w:lvl w:ilvl="1">
      <w:lvlJc w:val="left"/>
      <w:lvlText w:val="(%2)"/>
      <w:numFmt w:val="lowerRoman"/>
      <w:start w:val="1"/>
    </w:lvl>
  </w:abstractNum>
  <w:abstractNum w:abstractNumId="34">
    <w:nsid w:val="5072367"/>
    <w:multiLevelType w:val="hybridMultilevel"/>
    <w:lvl w:ilvl="0">
      <w:lvlJc w:val="left"/>
      <w:lvlText w:val="(%1)"/>
      <w:numFmt w:val="lowerLetter"/>
      <w:start w:val="5"/>
    </w:lvl>
  </w:abstractNum>
  <w:abstractNum w:abstractNumId="35">
    <w:nsid w:val="3804823E"/>
    <w:multiLevelType w:val="hybridMultilevel"/>
    <w:lvl w:ilvl="0">
      <w:lvlJc w:val="left"/>
      <w:lvlText w:val="%1"/>
      <w:numFmt w:val="lowerLetter"/>
      <w:start w:val="1"/>
    </w:lvl>
    <w:lvl w:ilvl="1">
      <w:lvlJc w:val="left"/>
      <w:lvlText w:val="(%2)"/>
      <w:numFmt w:val="lowerLetter"/>
      <w:start w:val="1"/>
    </w:lvl>
  </w:abstractNum>
  <w:abstractNum w:abstractNumId="36">
    <w:nsid w:val="77465F01"/>
    <w:multiLevelType w:val="hybridMultilevel"/>
    <w:lvl w:ilvl="0">
      <w:lvlJc w:val="left"/>
      <w:lvlText w:val="(%1)"/>
      <w:numFmt w:val="lowerLetter"/>
      <w:start w:val="35"/>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2019-12-05T20:05:00Z</dcterms:created>
  <dcterms:modified xsi:type="dcterms:W3CDTF">2019-12-05T20:05:00Z</dcterms:modified>
</cp:coreProperties>
</file>