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10, 2015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0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8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75-1618004</w:t>
            </w:r>
          </w:p>
        </w:tc>
      </w:tr>
      <w:tr>
        <w:trPr>
          <w:trHeight w:val="234"/>
        </w:trPr>
        <w:tc>
          <w:tcPr>
            <w:tcW w:w="38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0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(Commission File Number)</w:t>
            </w:r>
          </w:p>
        </w:tc>
        <w:tc>
          <w:tcPr>
            <w:tcW w:w="35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9"/>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8000 South Federal Way</w:t>
            </w:r>
          </w:p>
        </w:tc>
        <w:tc>
          <w:tcPr>
            <w:tcW w:w="3540" w:type="dxa"/>
            <w:vAlign w:val="bottom"/>
          </w:tcPr>
          <w:p>
            <w:pPr>
              <w:spacing w:after="0"/>
              <w:rPr>
                <w:sz w:val="24"/>
                <w:szCs w:val="24"/>
                <w:color w:val="auto"/>
              </w:rPr>
            </w:pPr>
          </w:p>
        </w:tc>
      </w:tr>
      <w:tr>
        <w:trPr>
          <w:trHeight w:val="245"/>
        </w:trPr>
        <w:tc>
          <w:tcPr>
            <w:tcW w:w="3800" w:type="dxa"/>
            <w:vAlign w:val="bottom"/>
          </w:tcPr>
          <w:p>
            <w:pPr>
              <w:spacing w:after="0"/>
              <w:rPr>
                <w:sz w:val="21"/>
                <w:szCs w:val="21"/>
                <w:color w:val="auto"/>
              </w:rPr>
            </w:pP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Boise, Idaho 83716-9632</w:t>
            </w:r>
          </w:p>
        </w:tc>
        <w:tc>
          <w:tcPr>
            <w:tcW w:w="3540" w:type="dxa"/>
            <w:vAlign w:val="bottom"/>
          </w:tcPr>
          <w:p>
            <w:pPr>
              <w:spacing w:after="0"/>
              <w:rPr>
                <w:sz w:val="21"/>
                <w:szCs w:val="21"/>
                <w:color w:val="auto"/>
              </w:rPr>
            </w:pPr>
          </w:p>
        </w:tc>
      </w:tr>
      <w:tr>
        <w:trPr>
          <w:trHeight w:val="234"/>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40" w:type="dxa"/>
            <w:vAlign w:val="bottom"/>
          </w:tcPr>
          <w:p>
            <w:pPr>
              <w:spacing w:after="0"/>
              <w:rPr>
                <w:sz w:val="20"/>
                <w:szCs w:val="20"/>
                <w:color w:val="auto"/>
              </w:rPr>
            </w:pPr>
          </w:p>
        </w:tc>
      </w:tr>
    </w:tbl>
    <w:p>
      <w:pPr>
        <w:spacing w:after="0" w:line="202"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19685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52"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9" w:right="2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Definitive Material Agreement</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Inotera Supply Agreement</w:t>
      </w:r>
    </w:p>
    <w:p>
      <w:pPr>
        <w:spacing w:after="0" w:line="25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February 10, 2015, Micron Technology, Inc. (“Micron”), Micron Semiconductor Asia Pte. Ltd. (“MSA”), a wholly owned subsidiary of Micron, and Inotera Memories, Inc. (“Inotera”) entered into (1) a supply agreement (the “2015 Supply Agreement”) that amends and restates the existing supply agreement, dated as of January 17, 2013 (the “Existing Supply Agreement”), among Micron, MSA and Inotera and (2) a new supply agreement, to take effect as of January 1, 2016 (the “2016 Supply Agreement” and, together with the 2015 Supply Agreement, the “Supply Agreements”). The Supply Agreements provide that, during their respective terms, Inotera will sell to Micron all of the DRAM products manufactured by Inotera.</w:t>
      </w:r>
    </w:p>
    <w:p>
      <w:pPr>
        <w:spacing w:after="0" w:line="184"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Under the 2015 Supply Agreement, the price for DRAM products sold to Micron is based on a discount from market prices and is determined in a manner generally consistent with the Existing Supply Agreement. The 2015 Supply Agreement will expire on December 31, 2015.</w:t>
      </w:r>
    </w:p>
    <w:p>
      <w:pPr>
        <w:spacing w:after="0" w:line="162" w:lineRule="exact"/>
        <w:rPr>
          <w:sz w:val="20"/>
          <w:szCs w:val="20"/>
          <w:color w:val="auto"/>
        </w:rPr>
      </w:pPr>
    </w:p>
    <w:p>
      <w:pPr>
        <w:jc w:val="both"/>
        <w:ind w:right="80" w:firstLine="324"/>
        <w:spacing w:after="0" w:line="258" w:lineRule="auto"/>
        <w:rPr>
          <w:sz w:val="20"/>
          <w:szCs w:val="20"/>
          <w:color w:val="auto"/>
        </w:rPr>
      </w:pPr>
      <w:r>
        <w:rPr>
          <w:rFonts w:ascii="Times New Roman" w:cs="Times New Roman" w:eastAsia="Times New Roman" w:hAnsi="Times New Roman"/>
          <w:sz w:val="18"/>
          <w:szCs w:val="18"/>
          <w:color w:val="auto"/>
        </w:rPr>
        <w:t>Under the 2016 Supply Agreement, the price for DRAM products sold to Micron is based on a formula that equally shares margin between Inotera and Micron. The formula takes into account each party’s costs of manufacture as well as Micron’s consolidated operating expense ratio and Micron’s worldwide revenue per wafer on a per-node basis. The 2016 Supply Agreement has an initial two-year term, and contemplates negotiations in late 2016 with respect to a two-year extension, and annual negotiations thereafter with respect to successive one-year extensions. If the parties do not agree to any given extension, the 2016 Supply Agreement provides that it would terminate following the end of the then-existing term and a subsequent three-year wind-down period.</w:t>
      </w:r>
    </w:p>
    <w:p>
      <w:pPr>
        <w:spacing w:after="0" w:line="18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Each party has the right to terminate the Supply Agreements upon certain material breaches by the other party, and Micron has the right to terminate the Supply Agreements if certain events occur, including, among others, Inotera’s bankruptcy, reorganization or similar events relating to Inotera. In the event the 2015 Supply Agreement is terminated prior to the end of its term, the 2016 Supply Agreement will terminate and will not become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620" w:type="dxa"/>
            <w:vAlign w:val="bottom"/>
            <w:gridSpan w:val="2"/>
          </w:tcPr>
          <w:p>
            <w:pPr>
              <w:ind w:left="3140"/>
              <w:spacing w:after="0"/>
              <w:rPr>
                <w:sz w:val="20"/>
                <w:szCs w:val="20"/>
                <w:color w:val="auto"/>
              </w:rPr>
            </w:pPr>
            <w:r>
              <w:rPr>
                <w:rFonts w:ascii="Times New Roman" w:cs="Times New Roman" w:eastAsia="Times New Roman" w:hAnsi="Times New Roman"/>
                <w:sz w:val="18"/>
                <w:szCs w:val="18"/>
                <w:b w:val="1"/>
                <w:bCs w:val="1"/>
                <w:color w:val="auto"/>
              </w:rPr>
              <w:t>MICRON TECHNOLOGY, INC.</w:t>
            </w:r>
          </w:p>
        </w:tc>
      </w:tr>
      <w:tr>
        <w:trPr>
          <w:trHeight w:val="65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2015</w:t>
            </w:r>
          </w:p>
        </w:tc>
        <w:tc>
          <w:tcPr>
            <w:tcW w:w="392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 Mark Durcan</w:t>
            </w:r>
          </w:p>
        </w:tc>
      </w:tr>
      <w:tr>
        <w:trPr>
          <w:trHeight w:val="198"/>
        </w:trPr>
        <w:tc>
          <w:tcPr>
            <w:tcW w:w="3800" w:type="dxa"/>
            <w:vAlign w:val="bottom"/>
          </w:tcPr>
          <w:p>
            <w:pPr>
              <w:spacing w:after="0"/>
              <w:rPr>
                <w:sz w:val="17"/>
                <w:szCs w:val="17"/>
                <w:color w:val="auto"/>
              </w:rPr>
            </w:pPr>
          </w:p>
        </w:tc>
        <w:tc>
          <w:tcPr>
            <w:tcW w:w="3920" w:type="dxa"/>
            <w:vAlign w:val="bottom"/>
          </w:tcPr>
          <w:p>
            <w:pPr>
              <w:ind w:left="31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 Mark Durcan</w:t>
            </w:r>
          </w:p>
        </w:tc>
      </w:tr>
      <w:tr>
        <w:trPr>
          <w:trHeight w:val="234"/>
        </w:trPr>
        <w:tc>
          <w:tcPr>
            <w:tcW w:w="3800" w:type="dxa"/>
            <w:vAlign w:val="bottom"/>
          </w:tcPr>
          <w:p>
            <w:pPr>
              <w:spacing w:after="0"/>
              <w:rPr>
                <w:sz w:val="20"/>
                <w:szCs w:val="20"/>
                <w:color w:val="auto"/>
              </w:rPr>
            </w:pPr>
          </w:p>
        </w:tc>
        <w:tc>
          <w:tcPr>
            <w:tcW w:w="392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800" w:type="dxa"/>
            <w:vAlign w:val="bottom"/>
          </w:tcPr>
          <w:p>
            <w:pPr>
              <w:spacing w:after="0"/>
              <w:rPr>
                <w:sz w:val="24"/>
                <w:szCs w:val="24"/>
                <w:color w:val="auto"/>
              </w:rPr>
            </w:pPr>
          </w:p>
        </w:tc>
        <w:tc>
          <w:tcPr>
            <w:tcW w:w="39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2</w:t>
            </w:r>
          </w:p>
        </w:tc>
        <w:tc>
          <w:tcPr>
            <w:tcW w:w="3700" w:type="dxa"/>
            <w:vAlign w:val="bottom"/>
          </w:tcPr>
          <w:p>
            <w:pPr>
              <w:spacing w:after="0"/>
              <w:rPr>
                <w:sz w:val="24"/>
                <w:szCs w:val="24"/>
                <w:color w:val="auto"/>
              </w:rPr>
            </w:pPr>
          </w:p>
        </w:tc>
      </w:tr>
      <w:tr>
        <w:trPr>
          <w:trHeight w:val="361"/>
        </w:trPr>
        <w:tc>
          <w:tcPr>
            <w:tcW w:w="38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71"/>
        </w:trPr>
        <w:tc>
          <w:tcPr>
            <w:tcW w:w="3800" w:type="dxa"/>
            <w:vAlign w:val="bottom"/>
            <w:shd w:val="clear" w:color="auto" w:fill="808080"/>
          </w:tcPr>
          <w:p>
            <w:pPr>
              <w:spacing w:after="0"/>
              <w:rPr>
                <w:sz w:val="6"/>
                <w:szCs w:val="6"/>
                <w:color w:val="auto"/>
              </w:rPr>
            </w:pPr>
          </w:p>
        </w:tc>
        <w:tc>
          <w:tcPr>
            <w:tcW w:w="3920" w:type="dxa"/>
            <w:vAlign w:val="bottom"/>
            <w:shd w:val="clear" w:color="auto" w:fill="808080"/>
          </w:tcPr>
          <w:p>
            <w:pPr>
              <w:spacing w:after="0"/>
              <w:rPr>
                <w:sz w:val="6"/>
                <w:szCs w:val="6"/>
                <w:color w:val="auto"/>
              </w:rPr>
            </w:pPr>
          </w:p>
        </w:tc>
        <w:tc>
          <w:tcPr>
            <w:tcW w:w="370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2019-12-05T21:49:02Z</dcterms:created>
  <dcterms:modified xsi:type="dcterms:W3CDTF">2019-12-05T21:49:02Z</dcterms:modified>
</cp:coreProperties>
</file>