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line="233" w:lineRule="auto"/>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S-8</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line="233" w:lineRule="auto"/>
        <w:rPr>
          <w:sz w:val="20"/>
          <w:szCs w:val="20"/>
          <w:color w:val="auto"/>
        </w:rPr>
      </w:pPr>
      <w:r>
        <w:rPr>
          <w:rFonts w:ascii="Arial" w:cs="Arial" w:eastAsia="Arial" w:hAnsi="Arial"/>
          <w:sz w:val="20"/>
          <w:szCs w:val="20"/>
          <w:b w:val="1"/>
          <w:bCs w:val="1"/>
          <w:i w:val="1"/>
          <w:iCs w:val="1"/>
          <w:color w:val="auto"/>
        </w:rPr>
        <w:t>The Securities Act of 1933</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MICRON TECHNOLOGY,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147" w:lineRule="exact"/>
        <w:rPr>
          <w:sz w:val="24"/>
          <w:szCs w:val="24"/>
          <w:color w:val="auto"/>
        </w:rPr>
      </w:pPr>
    </w:p>
    <w:tbl>
      <w:tblPr>
        <w:tblLayout w:type="fixed"/>
        <w:tblInd w:w="1820" w:type="dxa"/>
        <w:tblCellMar>
          <w:top w:w="0" w:type="dxa"/>
          <w:left w:w="0" w:type="dxa"/>
          <w:bottom w:w="0" w:type="dxa"/>
          <w:right w:w="0" w:type="dxa"/>
        </w:tblCellMar>
      </w:tblPr>
      <w:tr>
        <w:trPr>
          <w:trHeight w:val="256"/>
        </w:trPr>
        <w:tc>
          <w:tcPr>
            <w:tcW w:w="2600" w:type="dxa"/>
            <w:vAlign w:val="bottom"/>
          </w:tcPr>
          <w:p>
            <w:pPr>
              <w:jc w:val="center"/>
              <w:ind w:right="639"/>
              <w:spacing w:after="0"/>
              <w:rPr>
                <w:sz w:val="20"/>
                <w:szCs w:val="20"/>
                <w:color w:val="auto"/>
              </w:rPr>
            </w:pPr>
            <w:r>
              <w:rPr>
                <w:rFonts w:ascii="Arial" w:cs="Arial" w:eastAsia="Arial" w:hAnsi="Arial"/>
                <w:sz w:val="20"/>
                <w:szCs w:val="20"/>
                <w:b w:val="1"/>
                <w:bCs w:val="1"/>
                <w:color w:val="auto"/>
                <w:w w:val="91"/>
              </w:rPr>
              <w:t>Delaware</w:t>
            </w:r>
          </w:p>
        </w:tc>
        <w:tc>
          <w:tcPr>
            <w:tcW w:w="4960" w:type="dxa"/>
            <w:vAlign w:val="bottom"/>
            <w:gridSpan w:val="2"/>
          </w:tcPr>
          <w:p>
            <w:pPr>
              <w:jc w:val="center"/>
              <w:ind w:left="3432"/>
              <w:spacing w:after="0"/>
              <w:rPr>
                <w:sz w:val="20"/>
                <w:szCs w:val="20"/>
                <w:color w:val="auto"/>
              </w:rPr>
            </w:pPr>
            <w:r>
              <w:rPr>
                <w:rFonts w:ascii="Arial" w:cs="Arial" w:eastAsia="Arial" w:hAnsi="Arial"/>
                <w:sz w:val="20"/>
                <w:szCs w:val="20"/>
                <w:b w:val="1"/>
                <w:bCs w:val="1"/>
                <w:color w:val="auto"/>
                <w:w w:val="89"/>
              </w:rPr>
              <w:t>75-1618004</w:t>
            </w:r>
          </w:p>
        </w:tc>
      </w:tr>
      <w:tr>
        <w:trPr>
          <w:trHeight w:val="214"/>
        </w:trPr>
        <w:tc>
          <w:tcPr>
            <w:tcW w:w="2600" w:type="dxa"/>
            <w:vAlign w:val="bottom"/>
          </w:tcPr>
          <w:p>
            <w:pPr>
              <w:jc w:val="center"/>
              <w:ind w:right="639"/>
              <w:spacing w:after="0"/>
              <w:rPr>
                <w:sz w:val="20"/>
                <w:szCs w:val="20"/>
                <w:color w:val="auto"/>
              </w:rPr>
            </w:pPr>
            <w:r>
              <w:rPr>
                <w:rFonts w:ascii="Arial" w:cs="Arial" w:eastAsia="Arial" w:hAnsi="Arial"/>
                <w:sz w:val="14"/>
                <w:szCs w:val="14"/>
                <w:b w:val="1"/>
                <w:bCs w:val="1"/>
                <w:color w:val="auto"/>
                <w:w w:val="93"/>
              </w:rPr>
              <w:t>(State or other jurisdiction of</w:t>
            </w:r>
          </w:p>
        </w:tc>
        <w:tc>
          <w:tcPr>
            <w:tcW w:w="2580" w:type="dxa"/>
            <w:vAlign w:val="bottom"/>
          </w:tcPr>
          <w:p>
            <w:pPr>
              <w:spacing w:after="0"/>
              <w:rPr>
                <w:sz w:val="18"/>
                <w:szCs w:val="18"/>
                <w:color w:val="auto"/>
              </w:rPr>
            </w:pPr>
          </w:p>
        </w:tc>
        <w:tc>
          <w:tcPr>
            <w:tcW w:w="2380" w:type="dxa"/>
            <w:vAlign w:val="bottom"/>
          </w:tcPr>
          <w:p>
            <w:pPr>
              <w:jc w:val="center"/>
              <w:ind w:left="868"/>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2600" w:type="dxa"/>
            <w:vAlign w:val="bottom"/>
          </w:tcPr>
          <w:p>
            <w:pPr>
              <w:jc w:val="center"/>
              <w:ind w:right="639"/>
              <w:spacing w:after="0"/>
              <w:rPr>
                <w:sz w:val="20"/>
                <w:szCs w:val="20"/>
                <w:color w:val="auto"/>
              </w:rPr>
            </w:pPr>
            <w:r>
              <w:rPr>
                <w:rFonts w:ascii="Arial" w:cs="Arial" w:eastAsia="Arial" w:hAnsi="Arial"/>
                <w:sz w:val="14"/>
                <w:szCs w:val="14"/>
                <w:b w:val="1"/>
                <w:bCs w:val="1"/>
                <w:color w:val="auto"/>
                <w:w w:val="94"/>
              </w:rPr>
              <w:t>incorporation or organization)</w:t>
            </w:r>
          </w:p>
        </w:tc>
        <w:tc>
          <w:tcPr>
            <w:tcW w:w="2580" w:type="dxa"/>
            <w:vAlign w:val="bottom"/>
          </w:tcPr>
          <w:p>
            <w:pPr>
              <w:spacing w:after="0"/>
              <w:rPr>
                <w:sz w:val="17"/>
                <w:szCs w:val="17"/>
                <w:color w:val="auto"/>
              </w:rPr>
            </w:pPr>
          </w:p>
        </w:tc>
        <w:tc>
          <w:tcPr>
            <w:tcW w:w="2380" w:type="dxa"/>
            <w:vAlign w:val="bottom"/>
          </w:tcPr>
          <w:p>
            <w:pPr>
              <w:jc w:val="center"/>
              <w:ind w:left="888"/>
              <w:spacing w:after="0"/>
              <w:rPr>
                <w:sz w:val="20"/>
                <w:szCs w:val="20"/>
                <w:color w:val="auto"/>
              </w:rPr>
            </w:pPr>
            <w:r>
              <w:rPr>
                <w:rFonts w:ascii="Arial" w:cs="Arial" w:eastAsia="Arial" w:hAnsi="Arial"/>
                <w:sz w:val="14"/>
                <w:szCs w:val="14"/>
                <w:b w:val="1"/>
                <w:bCs w:val="1"/>
                <w:color w:val="auto"/>
                <w:w w:val="95"/>
              </w:rPr>
              <w:t>Identification Number)</w:t>
            </w:r>
          </w:p>
        </w:tc>
      </w:tr>
      <w:tr>
        <w:trPr>
          <w:trHeight w:val="273"/>
        </w:trPr>
        <w:tc>
          <w:tcPr>
            <w:tcW w:w="2600" w:type="dxa"/>
            <w:vAlign w:val="bottom"/>
          </w:tcPr>
          <w:p>
            <w:pPr>
              <w:spacing w:after="0"/>
              <w:rPr>
                <w:sz w:val="23"/>
                <w:szCs w:val="23"/>
                <w:color w:val="auto"/>
              </w:rPr>
            </w:pPr>
          </w:p>
        </w:tc>
        <w:tc>
          <w:tcPr>
            <w:tcW w:w="4960" w:type="dxa"/>
            <w:vAlign w:val="bottom"/>
            <w:gridSpan w:val="2"/>
          </w:tcPr>
          <w:p>
            <w:pPr>
              <w:jc w:val="center"/>
              <w:ind w:right="2308"/>
              <w:spacing w:after="0"/>
              <w:rPr>
                <w:sz w:val="20"/>
                <w:szCs w:val="20"/>
                <w:color w:val="auto"/>
              </w:rPr>
            </w:pPr>
            <w:r>
              <w:rPr>
                <w:rFonts w:ascii="Arial" w:cs="Arial" w:eastAsia="Arial" w:hAnsi="Arial"/>
                <w:sz w:val="20"/>
                <w:szCs w:val="20"/>
                <w:b w:val="1"/>
                <w:bCs w:val="1"/>
                <w:color w:val="auto"/>
                <w:w w:val="90"/>
              </w:rPr>
              <w:t>8000 S. Federal Way</w:t>
            </w:r>
          </w:p>
        </w:tc>
      </w:tr>
      <w:tr>
        <w:trPr>
          <w:trHeight w:val="230"/>
        </w:trPr>
        <w:tc>
          <w:tcPr>
            <w:tcW w:w="2600" w:type="dxa"/>
            <w:vAlign w:val="bottom"/>
          </w:tcPr>
          <w:p>
            <w:pPr>
              <w:spacing w:after="0"/>
              <w:rPr>
                <w:sz w:val="19"/>
                <w:szCs w:val="19"/>
                <w:color w:val="auto"/>
              </w:rPr>
            </w:pPr>
          </w:p>
        </w:tc>
        <w:tc>
          <w:tcPr>
            <w:tcW w:w="4960" w:type="dxa"/>
            <w:vAlign w:val="bottom"/>
            <w:gridSpan w:val="2"/>
          </w:tcPr>
          <w:p>
            <w:pPr>
              <w:jc w:val="center"/>
              <w:ind w:right="2308"/>
              <w:spacing w:after="0"/>
              <w:rPr>
                <w:sz w:val="20"/>
                <w:szCs w:val="20"/>
                <w:color w:val="auto"/>
              </w:rPr>
            </w:pPr>
            <w:r>
              <w:rPr>
                <w:rFonts w:ascii="Arial" w:cs="Arial" w:eastAsia="Arial" w:hAnsi="Arial"/>
                <w:sz w:val="20"/>
                <w:szCs w:val="20"/>
                <w:b w:val="1"/>
                <w:bCs w:val="1"/>
                <w:color w:val="auto"/>
                <w:w w:val="89"/>
              </w:rPr>
              <w:t>Boise, Idaho 83716-9632</w:t>
            </w:r>
          </w:p>
        </w:tc>
      </w:tr>
      <w:tr>
        <w:trPr>
          <w:trHeight w:val="162"/>
        </w:trPr>
        <w:tc>
          <w:tcPr>
            <w:tcW w:w="2600" w:type="dxa"/>
            <w:vAlign w:val="bottom"/>
          </w:tcPr>
          <w:p>
            <w:pPr>
              <w:spacing w:after="0"/>
              <w:rPr>
                <w:sz w:val="14"/>
                <w:szCs w:val="14"/>
                <w:color w:val="auto"/>
              </w:rPr>
            </w:pPr>
          </w:p>
        </w:tc>
        <w:tc>
          <w:tcPr>
            <w:tcW w:w="496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58"/>
        </w:trPr>
        <w:tc>
          <w:tcPr>
            <w:tcW w:w="2600" w:type="dxa"/>
            <w:vAlign w:val="bottom"/>
          </w:tcPr>
          <w:p>
            <w:pPr>
              <w:spacing w:after="0"/>
              <w:rPr>
                <w:sz w:val="13"/>
                <w:szCs w:val="13"/>
                <w:color w:val="auto"/>
              </w:rPr>
            </w:pPr>
          </w:p>
        </w:tc>
        <w:tc>
          <w:tcPr>
            <w:tcW w:w="25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____________________________________</w:t>
            </w:r>
          </w:p>
        </w:tc>
        <w:tc>
          <w:tcPr>
            <w:tcW w:w="2380" w:type="dxa"/>
            <w:vAlign w:val="bottom"/>
          </w:tcPr>
          <w:p>
            <w:pPr>
              <w:spacing w:after="0"/>
              <w:rPr>
                <w:sz w:val="13"/>
                <w:szCs w:val="13"/>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Micron Technology,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Amended and Restated 2007 Equity Incentive Plan</w:t>
      </w:r>
    </w:p>
    <w:p>
      <w:pPr>
        <w:jc w:val="center"/>
        <w:spacing w:after="0" w:line="239" w:lineRule="auto"/>
        <w:rPr>
          <w:sz w:val="20"/>
          <w:szCs w:val="20"/>
          <w:color w:val="auto"/>
        </w:rPr>
      </w:pPr>
      <w:r>
        <w:rPr>
          <w:rFonts w:ascii="Arial" w:cs="Arial" w:eastAsia="Arial" w:hAnsi="Arial"/>
          <w:sz w:val="31"/>
          <w:szCs w:val="31"/>
          <w:b w:val="1"/>
          <w:bCs w:val="1"/>
          <w:color w:val="auto"/>
        </w:rPr>
        <w:t>Deferred Compensation Plan</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(Full title of the plan)</w:t>
      </w:r>
    </w:p>
    <w:p>
      <w:pPr>
        <w:spacing w:after="0" w:line="15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D. Mark Durcan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ind w:right="3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ind w:left="1920"/>
              <w:spacing w:after="0"/>
              <w:rPr>
                <w:sz w:val="20"/>
                <w:szCs w:val="20"/>
                <w:color w:val="auto"/>
              </w:rPr>
            </w:pPr>
            <w:r>
              <w:rPr>
                <w:rFonts w:ascii="Arial" w:cs="Arial" w:eastAsia="Arial" w:hAnsi="Arial"/>
                <w:sz w:val="18"/>
                <w:szCs w:val="18"/>
                <w:color w:val="auto"/>
              </w:rPr>
              <w:t>x</w:t>
            </w:r>
          </w:p>
        </w:tc>
        <w:tc>
          <w:tcPr>
            <w:tcW w:w="2800" w:type="dxa"/>
            <w:vAlign w:val="bottom"/>
          </w:tcPr>
          <w:p>
            <w:pPr>
              <w:ind w:left="120"/>
              <w:spacing w:after="0"/>
              <w:rPr>
                <w:sz w:val="20"/>
                <w:szCs w:val="20"/>
                <w:color w:val="auto"/>
              </w:rPr>
            </w:pPr>
            <w:r>
              <w:rPr>
                <w:rFonts w:ascii="Arial" w:cs="Arial" w:eastAsia="Arial" w:hAnsi="Arial"/>
                <w:sz w:val="16"/>
                <w:szCs w:val="16"/>
                <w:color w:val="auto"/>
              </w:rPr>
              <w:t>Large accelerated filer</w:t>
            </w: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o</w:t>
            </w:r>
          </w:p>
        </w:tc>
        <w:tc>
          <w:tcPr>
            <w:tcW w:w="14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60" w:type="dxa"/>
            <w:vAlign w:val="bottom"/>
          </w:tcPr>
          <w:p>
            <w:pPr>
              <w:ind w:left="1920"/>
              <w:spacing w:after="0"/>
              <w:rPr>
                <w:sz w:val="20"/>
                <w:szCs w:val="20"/>
                <w:color w:val="auto"/>
              </w:rPr>
            </w:pPr>
            <w:r>
              <w:rPr>
                <w:rFonts w:ascii="Arial" w:cs="Arial" w:eastAsia="Arial" w:hAnsi="Arial"/>
                <w:sz w:val="18"/>
                <w:szCs w:val="18"/>
                <w:color w:val="auto"/>
              </w:rPr>
              <w:t>o</w:t>
            </w:r>
          </w:p>
        </w:tc>
        <w:tc>
          <w:tcPr>
            <w:tcW w:w="4980" w:type="dxa"/>
            <w:vAlign w:val="bottom"/>
            <w:gridSpan w:val="3"/>
          </w:tcPr>
          <w:p>
            <w:pPr>
              <w:jc w:val="right"/>
              <w:spacing w:after="0"/>
              <w:rPr>
                <w:sz w:val="20"/>
                <w:szCs w:val="20"/>
                <w:color w:val="auto"/>
              </w:rPr>
            </w:pPr>
            <w:r>
              <w:rPr>
                <w:rFonts w:ascii="Arial" w:cs="Arial" w:eastAsia="Arial" w:hAnsi="Arial"/>
                <w:sz w:val="16"/>
                <w:szCs w:val="16"/>
                <w:color w:val="auto"/>
                <w:w w:val="97"/>
              </w:rPr>
              <w:t xml:space="preserve">Non-accelerated filer (Do not check if a smaller reporting company)    </w:t>
            </w:r>
            <w:r>
              <w:rPr>
                <w:rFonts w:ascii="Arial" w:cs="Arial" w:eastAsia="Arial" w:hAnsi="Arial"/>
                <w:sz w:val="18"/>
                <w:szCs w:val="18"/>
                <w:color w:val="auto"/>
                <w:w w:val="97"/>
              </w:rPr>
              <w:t>o</w:t>
            </w:r>
          </w:p>
        </w:tc>
        <w:tc>
          <w:tcPr>
            <w:tcW w:w="3040" w:type="dxa"/>
            <w:vAlign w:val="bottom"/>
            <w:gridSpan w:val="2"/>
          </w:tcPr>
          <w:p>
            <w:pPr>
              <w:ind w:left="80"/>
              <w:spacing w:after="0"/>
              <w:rPr>
                <w:sz w:val="20"/>
                <w:szCs w:val="20"/>
                <w:color w:val="auto"/>
              </w:rPr>
            </w:pPr>
            <w:r>
              <w:rPr>
                <w:rFonts w:ascii="Arial" w:cs="Arial" w:eastAsia="Arial" w:hAnsi="Arial"/>
                <w:sz w:val="16"/>
                <w:szCs w:val="16"/>
                <w:color w:val="auto"/>
              </w:rPr>
              <w:t>Smaller reporting company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6420" w:type="dxa"/>
            <w:vAlign w:val="bottom"/>
            <w:gridSpan w:val="4"/>
          </w:tcPr>
          <w:p>
            <w:pPr>
              <w:ind w:left="19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2800" w:type="dxa"/>
            <w:vAlign w:val="bottom"/>
            <w:vMerge w:val="restart"/>
          </w:tcPr>
          <w:p>
            <w:pPr>
              <w:jc w:val="center"/>
              <w:ind w:right="2137"/>
              <w:spacing w:after="0"/>
              <w:rPr>
                <w:sz w:val="20"/>
                <w:szCs w:val="20"/>
                <w:color w:val="auto"/>
              </w:rPr>
            </w:pPr>
            <w:r>
              <w:rPr>
                <w:rFonts w:ascii="Arial" w:cs="Arial" w:eastAsia="Arial" w:hAnsi="Arial"/>
                <w:sz w:val="16"/>
                <w:szCs w:val="16"/>
                <w:b w:val="1"/>
                <w:bCs w:val="1"/>
                <w:color w:val="auto"/>
                <w:w w:val="95"/>
              </w:rPr>
              <w:t>Title of</w:t>
            </w:r>
          </w:p>
        </w:tc>
        <w:tc>
          <w:tcPr>
            <w:tcW w:w="156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Proposed maximum</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Proposed maximum</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1560" w:type="dxa"/>
            <w:vAlign w:val="bottom"/>
          </w:tcPr>
          <w:p>
            <w:pPr>
              <w:jc w:val="right"/>
              <w:ind w:right="314"/>
              <w:spacing w:after="0" w:line="176" w:lineRule="exact"/>
              <w:rPr>
                <w:sz w:val="20"/>
                <w:szCs w:val="20"/>
                <w:color w:val="auto"/>
              </w:rPr>
            </w:pPr>
            <w:r>
              <w:rPr>
                <w:rFonts w:ascii="Arial" w:cs="Arial" w:eastAsia="Arial" w:hAnsi="Arial"/>
                <w:sz w:val="16"/>
                <w:szCs w:val="16"/>
                <w:b w:val="1"/>
                <w:bCs w:val="1"/>
                <w:color w:val="auto"/>
              </w:rPr>
              <w:t>Amount to be</w:t>
            </w:r>
          </w:p>
        </w:tc>
        <w:tc>
          <w:tcPr>
            <w:tcW w:w="20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0"/>
              </w:rPr>
              <w:t>aggregate offering price per</w:t>
            </w: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aggregate offering</w:t>
            </w: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37"/>
        </w:trPr>
        <w:tc>
          <w:tcPr>
            <w:tcW w:w="4860" w:type="dxa"/>
            <w:vAlign w:val="bottom"/>
            <w:gridSpan w:val="2"/>
          </w:tcPr>
          <w:p>
            <w:pPr>
              <w:jc w:val="center"/>
              <w:ind w:right="77"/>
              <w:spacing w:after="0"/>
              <w:rPr>
                <w:sz w:val="20"/>
                <w:szCs w:val="20"/>
                <w:color w:val="auto"/>
              </w:rPr>
            </w:pPr>
            <w:r>
              <w:rPr>
                <w:rFonts w:ascii="Arial" w:cs="Arial" w:eastAsia="Arial" w:hAnsi="Arial"/>
                <w:sz w:val="16"/>
                <w:szCs w:val="16"/>
                <w:b w:val="1"/>
                <w:bCs w:val="1"/>
                <w:color w:val="auto"/>
                <w:w w:val="87"/>
              </w:rPr>
              <w:t>securities to be registered</w:t>
            </w:r>
          </w:p>
        </w:tc>
        <w:tc>
          <w:tcPr>
            <w:tcW w:w="1560" w:type="dxa"/>
            <w:vAlign w:val="bottom"/>
          </w:tcPr>
          <w:p>
            <w:pPr>
              <w:jc w:val="right"/>
              <w:ind w:right="434"/>
              <w:spacing w:after="0"/>
              <w:rPr>
                <w:sz w:val="20"/>
                <w:szCs w:val="20"/>
                <w:color w:val="auto"/>
              </w:rPr>
            </w:pPr>
            <w:r>
              <w:rPr>
                <w:rFonts w:ascii="Arial" w:cs="Arial" w:eastAsia="Arial" w:hAnsi="Arial"/>
                <w:sz w:val="16"/>
                <w:szCs w:val="16"/>
                <w:b w:val="1"/>
                <w:bCs w:val="1"/>
                <w:color w:val="auto"/>
              </w:rPr>
              <w:t>registered</w:t>
            </w:r>
          </w:p>
        </w:tc>
        <w:tc>
          <w:tcPr>
            <w:tcW w:w="620" w:type="dxa"/>
            <w:vAlign w:val="bottom"/>
          </w:tcPr>
          <w:p>
            <w:pPr>
              <w:spacing w:after="0"/>
              <w:rPr>
                <w:sz w:val="20"/>
                <w:szCs w:val="20"/>
                <w:color w:val="auto"/>
              </w:rPr>
            </w:pPr>
          </w:p>
        </w:tc>
        <w:tc>
          <w:tcPr>
            <w:tcW w:w="1440" w:type="dxa"/>
            <w:vAlign w:val="bottom"/>
          </w:tcPr>
          <w:p>
            <w:pPr>
              <w:jc w:val="center"/>
              <w:ind w:right="575"/>
              <w:spacing w:after="0"/>
              <w:rPr>
                <w:sz w:val="20"/>
                <w:szCs w:val="20"/>
                <w:color w:val="auto"/>
              </w:rPr>
            </w:pPr>
            <w:r>
              <w:rPr>
                <w:rFonts w:ascii="Arial" w:cs="Arial" w:eastAsia="Arial" w:hAnsi="Arial"/>
                <w:sz w:val="16"/>
                <w:szCs w:val="16"/>
                <w:b w:val="1"/>
                <w:bCs w:val="1"/>
                <w:color w:val="auto"/>
                <w:w w:val="88"/>
              </w:rPr>
              <w:t>share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price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registration fee</w:t>
            </w:r>
          </w:p>
        </w:tc>
        <w:tc>
          <w:tcPr>
            <w:tcW w:w="0" w:type="dxa"/>
            <w:vAlign w:val="bottom"/>
          </w:tcPr>
          <w:p>
            <w:pPr>
              <w:spacing w:after="0"/>
              <w:rPr>
                <w:sz w:val="1"/>
                <w:szCs w:val="1"/>
                <w:color w:val="auto"/>
              </w:rPr>
            </w:pPr>
          </w:p>
        </w:tc>
      </w:tr>
      <w:tr>
        <w:trPr>
          <w:trHeight w:val="33"/>
        </w:trPr>
        <w:tc>
          <w:tcPr>
            <w:tcW w:w="48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ind w:left="40"/>
              <w:spacing w:after="0"/>
              <w:rPr>
                <w:sz w:val="20"/>
                <w:szCs w:val="20"/>
                <w:color w:val="auto"/>
              </w:rPr>
            </w:pPr>
            <w:r>
              <w:rPr>
                <w:rFonts w:ascii="Arial" w:cs="Arial" w:eastAsia="Arial" w:hAnsi="Arial"/>
                <w:sz w:val="16"/>
                <w:szCs w:val="16"/>
                <w:color w:val="auto"/>
                <w:w w:val="95"/>
              </w:rPr>
              <w:t>Common Stock $0.10 par value per share, to be issued pursuant to the</w:t>
            </w: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ind w:left="40"/>
              <w:spacing w:after="0"/>
              <w:rPr>
                <w:sz w:val="20"/>
                <w:szCs w:val="20"/>
                <w:color w:val="auto"/>
              </w:rPr>
            </w:pPr>
            <w:r>
              <w:rPr>
                <w:rFonts w:ascii="Arial" w:cs="Arial" w:eastAsia="Arial" w:hAnsi="Arial"/>
                <w:sz w:val="16"/>
                <w:szCs w:val="16"/>
                <w:color w:val="auto"/>
                <w:w w:val="96"/>
              </w:rPr>
              <w:t>Micron Technology, Inc. Amended and Restated 2007 Equity Incentive</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vMerge w:val="restart"/>
          </w:tcPr>
          <w:p>
            <w:pPr>
              <w:jc w:val="right"/>
              <w:ind w:right="715"/>
              <w:spacing w:after="0"/>
              <w:rPr>
                <w:sz w:val="20"/>
                <w:szCs w:val="20"/>
                <w:color w:val="auto"/>
              </w:rPr>
            </w:pPr>
            <w:r>
              <w:rPr>
                <w:rFonts w:ascii="Arial" w:cs="Arial" w:eastAsia="Arial" w:hAnsi="Arial"/>
                <w:sz w:val="18"/>
                <w:szCs w:val="18"/>
                <w:color w:val="auto"/>
              </w:rPr>
              <w:t>$27.05</w:t>
            </w:r>
          </w:p>
        </w:tc>
        <w:tc>
          <w:tcPr>
            <w:tcW w:w="1600" w:type="dxa"/>
            <w:vAlign w:val="bottom"/>
            <w:vMerge w:val="restart"/>
          </w:tcPr>
          <w:p>
            <w:pPr>
              <w:jc w:val="center"/>
              <w:ind w:right="155"/>
              <w:spacing w:after="0"/>
              <w:rPr>
                <w:sz w:val="20"/>
                <w:szCs w:val="20"/>
                <w:color w:val="auto"/>
              </w:rPr>
            </w:pPr>
            <w:r>
              <w:rPr>
                <w:rFonts w:ascii="Arial" w:cs="Arial" w:eastAsia="Arial" w:hAnsi="Arial"/>
                <w:sz w:val="18"/>
                <w:szCs w:val="18"/>
                <w:color w:val="auto"/>
              </w:rPr>
              <w:t>$811,500,000</w:t>
            </w:r>
            <w:r>
              <w:rPr>
                <w:rFonts w:ascii="Arial" w:cs="Arial" w:eastAsia="Arial" w:hAnsi="Arial"/>
                <w:sz w:val="21"/>
                <w:szCs w:val="21"/>
                <w:color w:val="auto"/>
                <w:vertAlign w:val="superscript"/>
              </w:rPr>
              <w:t>(2)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Plan</w:t>
            </w:r>
          </w:p>
        </w:tc>
        <w:tc>
          <w:tcPr>
            <w:tcW w:w="28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30,000,000</w:t>
            </w:r>
            <w:r>
              <w:rPr>
                <w:rFonts w:ascii="Arial" w:cs="Arial" w:eastAsia="Arial" w:hAnsi="Arial"/>
                <w:sz w:val="21"/>
                <w:szCs w:val="21"/>
                <w:color w:val="auto"/>
                <w:vertAlign w:val="superscript"/>
              </w:rPr>
              <w:t>(1)</w:t>
            </w:r>
          </w:p>
        </w:tc>
        <w:tc>
          <w:tcPr>
            <w:tcW w:w="6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vMerge w:val="continue"/>
          </w:tcPr>
          <w:p>
            <w:pPr>
              <w:spacing w:after="0"/>
              <w:rPr>
                <w:sz w:val="23"/>
                <w:szCs w:val="23"/>
                <w:color w:val="auto"/>
              </w:rPr>
            </w:pPr>
          </w:p>
        </w:tc>
        <w:tc>
          <w:tcPr>
            <w:tcW w:w="1600" w:type="dxa"/>
            <w:vAlign w:val="bottom"/>
            <w:tcBorders>
              <w:bottom w:val="single" w:sz="8" w:color="auto"/>
            </w:tcBorders>
            <w:vMerge w:val="continue"/>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$94,053</w:t>
            </w:r>
          </w:p>
        </w:tc>
        <w:tc>
          <w:tcPr>
            <w:tcW w:w="0" w:type="dxa"/>
            <w:vAlign w:val="bottom"/>
          </w:tcPr>
          <w:p>
            <w:pPr>
              <w:spacing w:after="0"/>
              <w:rPr>
                <w:sz w:val="1"/>
                <w:szCs w:val="1"/>
                <w:color w:val="auto"/>
              </w:rPr>
            </w:pPr>
          </w:p>
        </w:tc>
      </w:tr>
      <w:tr>
        <w:trPr>
          <w:trHeight w:val="318"/>
        </w:trPr>
        <w:tc>
          <w:tcPr>
            <w:tcW w:w="4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Deferred Compensation Obligations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r>
              <w:rPr>
                <w:rFonts w:ascii="Arial" w:cs="Arial" w:eastAsia="Arial" w:hAnsi="Arial"/>
                <w:sz w:val="21"/>
                <w:szCs w:val="21"/>
                <w:color w:val="auto"/>
                <w:vertAlign w:val="superscript"/>
              </w:rPr>
              <w:t>(3)</w:t>
            </w:r>
          </w:p>
        </w:tc>
        <w:tc>
          <w:tcPr>
            <w:tcW w:w="6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100%</w:t>
            </w:r>
          </w:p>
        </w:tc>
        <w:tc>
          <w:tcPr>
            <w:tcW w:w="16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$10,000,000</w:t>
            </w: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$1,159</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4"/>
          <w:szCs w:val="24"/>
          <w:color w:val="auto"/>
        </w:rPr>
      </w:pPr>
    </w:p>
    <w:p>
      <w:pPr>
        <w:ind w:left="340" w:right="20" w:hanging="332"/>
        <w:spacing w:after="0" w:line="25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ectPr>
          <w:pgSz w:w="11900" w:h="16838" w:orient="portrait"/>
          <w:cols w:equalWidth="0" w:num="1">
            <w:col w:w="11420"/>
          </w:cols>
          <w:pgMar w:left="240" w:top="684" w:right="239" w:bottom="1440" w:gutter="0" w:footer="0" w:header="0"/>
        </w:sectPr>
      </w:pPr>
    </w:p>
    <w:bookmarkStart w:id="1" w:name="page2"/>
    <w:bookmarkEnd w:id="1"/>
    <w:p>
      <w:pPr>
        <w:ind w:left="332" w:hanging="332"/>
        <w:spacing w:after="0" w:line="250"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 of calculating the registration fee on the basis of $27.05 per share, which is the average of the high and low price of the Company’s Common Stock as reported on the Nasdaq Global Select Market on April 12, 2017.</w:t>
      </w:r>
    </w:p>
    <w:p>
      <w:pPr>
        <w:ind w:left="332" w:right="180" w:hanging="332"/>
        <w:spacing w:after="0" w:line="241"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deferred compensation obligations are unsecured obligations of the Registrant to pay deferred compensation in the future in accordance with the terms of the Micron Technology, Inc. Deferred Compensation Plan (the "Deferred Compensation Plan").</w:t>
      </w:r>
    </w:p>
    <w:p>
      <w:pPr>
        <w:ind w:left="332" w:right="60" w:hanging="332"/>
        <w:spacing w:after="0" w:line="255"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in accordance with Rule 457(h) under the Securities Act, solely for the purpose of calculating the registration fee based on an estimate of the amount of compensation participants may defer under the Deferred Compensation Plan.</w:t>
      </w:r>
    </w:p>
    <w:p>
      <w:pPr>
        <w:sectPr>
          <w:pgSz w:w="11900" w:h="16838" w:orient="portrait"/>
          <w:cols w:equalWidth="0" w:num="1">
            <w:col w:w="11252"/>
          </w:cols>
          <w:pgMar w:left="248" w:top="580" w:right="3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PART I</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266" w:lineRule="exact"/>
        <w:rPr>
          <w:sz w:val="20"/>
          <w:szCs w:val="20"/>
          <w:color w:val="auto"/>
        </w:rPr>
      </w:pPr>
    </w:p>
    <w:p>
      <w:pPr>
        <w:ind w:right="280" w:firstLine="324"/>
        <w:spacing w:after="0" w:line="312" w:lineRule="auto"/>
        <w:rPr>
          <w:sz w:val="20"/>
          <w:szCs w:val="20"/>
          <w:color w:val="auto"/>
        </w:rPr>
      </w:pPr>
      <w:r>
        <w:rPr>
          <w:rFonts w:ascii="Arial" w:cs="Arial" w:eastAsia="Arial" w:hAnsi="Arial"/>
          <w:sz w:val="19"/>
          <w:szCs w:val="19"/>
          <w:color w:val="auto"/>
        </w:rPr>
        <w:t>The documents containing the information specified in Part I of Form S-8 are not required to be filed with the Securities and Exchange Commission (the "Commission") either as part of this Registration Statement or as a prospectus or prospectus supplements pursuant to the Note to Part I of Form S-8 and Rule 424 under the Securities Act.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260"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Incorporation of Documents by Reference.</w:t>
      </w:r>
    </w:p>
    <w:p>
      <w:pPr>
        <w:spacing w:after="0" w:line="266" w:lineRule="exact"/>
        <w:rPr>
          <w:sz w:val="20"/>
          <w:szCs w:val="20"/>
          <w:color w:val="auto"/>
        </w:rPr>
      </w:pPr>
    </w:p>
    <w:p>
      <w:pPr>
        <w:ind w:right="760" w:firstLine="324"/>
        <w:spacing w:after="0" w:line="263" w:lineRule="auto"/>
        <w:rPr>
          <w:sz w:val="20"/>
          <w:szCs w:val="20"/>
          <w:color w:val="auto"/>
        </w:rPr>
      </w:pPr>
      <w:r>
        <w:rPr>
          <w:rFonts w:ascii="Arial" w:cs="Arial" w:eastAsia="Arial" w:hAnsi="Arial"/>
          <w:sz w:val="22"/>
          <w:szCs w:val="22"/>
          <w:color w:val="auto"/>
        </w:rPr>
        <w:t>The following documents filed by Micron Technology, Inc. (the "Company") with the Commission are incorporated by reference in this Registration Statement:</w:t>
      </w:r>
    </w:p>
    <w:p>
      <w:pPr>
        <w:spacing w:after="0" w:line="215" w:lineRule="exact"/>
        <w:rPr>
          <w:sz w:val="20"/>
          <w:szCs w:val="20"/>
          <w:color w:val="auto"/>
        </w:rPr>
      </w:pPr>
    </w:p>
    <w:p>
      <w:pPr>
        <w:ind w:right="100" w:firstLine="332"/>
        <w:spacing w:after="0" w:line="253" w:lineRule="auto"/>
        <w:tabs>
          <w:tab w:leader="none" w:pos="77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Company’s Annual Report on Form 10-K for the year ended September 1, 2016 (the “Annual Report”) filed with the Commission pursuant to Section 13(a) of the Securities Exchange Act of 1934, as amended (the "Exchange Act") (File No. 1-10658), on October 28, 2016.</w:t>
      </w:r>
    </w:p>
    <w:p>
      <w:pPr>
        <w:spacing w:after="0" w:line="226" w:lineRule="exact"/>
        <w:rPr>
          <w:rFonts w:ascii="Arial" w:cs="Arial" w:eastAsia="Arial" w:hAnsi="Arial"/>
          <w:sz w:val="22"/>
          <w:szCs w:val="22"/>
          <w:color w:val="auto"/>
        </w:rPr>
      </w:pPr>
    </w:p>
    <w:p>
      <w:pPr>
        <w:ind w:right="220" w:firstLine="332"/>
        <w:spacing w:after="0" w:line="263" w:lineRule="auto"/>
        <w:tabs>
          <w:tab w:leader="none" w:pos="78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other reports filed pursuant to Section 13(a) or 15(d) of the Exchange Act since the end of the fiscal year covered by the Annual Report.</w:t>
      </w:r>
    </w:p>
    <w:p>
      <w:pPr>
        <w:spacing w:after="0" w:line="215" w:lineRule="exact"/>
        <w:rPr>
          <w:rFonts w:ascii="Arial" w:cs="Arial" w:eastAsia="Arial" w:hAnsi="Arial"/>
          <w:sz w:val="22"/>
          <w:szCs w:val="22"/>
          <w:color w:val="auto"/>
        </w:rPr>
      </w:pPr>
    </w:p>
    <w:p>
      <w:pPr>
        <w:ind w:right="120" w:firstLine="332"/>
        <w:spacing w:after="0" w:line="271" w:lineRule="auto"/>
        <w:tabs>
          <w:tab w:leader="none" w:pos="776"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description of the Company’s Common Stock contained in the Company’s Registration Statement on Form 8-A filed with the Commission on November 9, 1990, pursuant to Section 12(b) of the Exchange Act (File No. 1-10658), including any amendment or report filed with the Commission for the purpose of updating such description.</w:t>
      </w:r>
    </w:p>
    <w:p>
      <w:pPr>
        <w:spacing w:after="0" w:line="208" w:lineRule="exact"/>
        <w:rPr>
          <w:sz w:val="20"/>
          <w:szCs w:val="20"/>
          <w:color w:val="auto"/>
        </w:rPr>
      </w:pPr>
    </w:p>
    <w:p>
      <w:pPr>
        <w:ind w:firstLine="324"/>
        <w:spacing w:after="0" w:line="302" w:lineRule="auto"/>
        <w:rPr>
          <w:sz w:val="20"/>
          <w:szCs w:val="20"/>
          <w:color w:val="auto"/>
        </w:rPr>
      </w:pPr>
      <w:r>
        <w:rPr>
          <w:rFonts w:ascii="Arial" w:cs="Arial" w:eastAsia="Arial" w:hAnsi="Arial"/>
          <w:sz w:val="19"/>
          <w:szCs w:val="19"/>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Description of Securities.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Micron Technology, Inc. Deferred Compensation Plan Obligations</w:t>
      </w:r>
    </w:p>
    <w:p>
      <w:pPr>
        <w:spacing w:after="0" w:line="266" w:lineRule="exact"/>
        <w:rPr>
          <w:sz w:val="20"/>
          <w:szCs w:val="20"/>
          <w:color w:val="auto"/>
        </w:rPr>
      </w:pPr>
    </w:p>
    <w:p>
      <w:pPr>
        <w:jc w:val="both"/>
        <w:ind w:right="140" w:firstLine="324"/>
        <w:spacing w:after="0" w:line="248" w:lineRule="auto"/>
        <w:rPr>
          <w:sz w:val="20"/>
          <w:szCs w:val="20"/>
          <w:color w:val="auto"/>
        </w:rPr>
      </w:pPr>
      <w:r>
        <w:rPr>
          <w:rFonts w:ascii="Arial" w:cs="Arial" w:eastAsia="Arial" w:hAnsi="Arial"/>
          <w:sz w:val="22"/>
          <w:szCs w:val="22"/>
          <w:color w:val="auto"/>
        </w:rPr>
        <w:t>The securities being registered represent deferred compensation obligations (the “Obligations”) of the Company arising under the Micron Technology, Inc. Deferred Compensation Plan (the “Plan”). The Obligations are unsecured general obligations of the Company. The Company reserves the right to amend or terminate the Plan at any time in accordance with its terms, provided that such amendment or termination shall not reduce or eliminate any benefit that has become fully vested under the Plan prior to such amendment or termination.</w:t>
      </w:r>
    </w:p>
    <w:p>
      <w:pPr>
        <w:spacing w:after="0" w:line="233" w:lineRule="exact"/>
        <w:rPr>
          <w:sz w:val="20"/>
          <w:szCs w:val="20"/>
          <w:color w:val="auto"/>
        </w:rPr>
      </w:pPr>
    </w:p>
    <w:p>
      <w:pPr>
        <w:ind w:right="100" w:firstLine="324"/>
        <w:spacing w:after="0" w:line="263" w:lineRule="auto"/>
        <w:rPr>
          <w:sz w:val="20"/>
          <w:szCs w:val="20"/>
          <w:color w:val="auto"/>
        </w:rPr>
      </w:pPr>
      <w:r>
        <w:rPr>
          <w:rFonts w:ascii="Arial" w:cs="Arial" w:eastAsia="Arial" w:hAnsi="Arial"/>
          <w:sz w:val="22"/>
          <w:szCs w:val="22"/>
          <w:color w:val="auto"/>
        </w:rPr>
        <w:t>Following is a summary of the Plan as it relates to the Obligations. This summary is qualified in its entirety by reference to the Plan.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5" w:right="279" w:bottom="1440" w:gutter="0" w:footer="0" w:header="0"/>
        </w:sectPr>
      </w:pPr>
    </w:p>
    <w:bookmarkStart w:id="3" w:name="page4"/>
    <w:bookmarkEnd w:id="3"/>
    <w:p>
      <w:pPr>
        <w:ind w:right="40" w:firstLine="324"/>
        <w:spacing w:after="0" w:line="261" w:lineRule="auto"/>
        <w:rPr>
          <w:sz w:val="20"/>
          <w:szCs w:val="20"/>
          <w:color w:val="auto"/>
        </w:rPr>
      </w:pPr>
      <w:r>
        <w:rPr>
          <w:rFonts w:ascii="Arial" w:cs="Arial" w:eastAsia="Arial" w:hAnsi="Arial"/>
          <w:sz w:val="21"/>
          <w:szCs w:val="21"/>
          <w:i w:val="1"/>
          <w:iCs w:val="1"/>
          <w:color w:val="auto"/>
        </w:rPr>
        <w:t>Purpose and Participation</w:t>
      </w:r>
      <w:r>
        <w:rPr>
          <w:rFonts w:ascii="Arial" w:cs="Arial" w:eastAsia="Arial" w:hAnsi="Arial"/>
          <w:sz w:val="21"/>
          <w:szCs w:val="21"/>
          <w:color w:val="auto"/>
        </w:rPr>
        <w:t>. The Plan is intended to constitute a non-qualified deferred compensation plan that, in accordance</w:t>
      </w:r>
      <w:r>
        <w:rPr>
          <w:rFonts w:ascii="Arial" w:cs="Arial" w:eastAsia="Arial" w:hAnsi="Arial"/>
          <w:sz w:val="21"/>
          <w:szCs w:val="21"/>
          <w:i w:val="1"/>
          <w:iCs w:val="1"/>
          <w:color w:val="auto"/>
        </w:rPr>
        <w:t xml:space="preserve"> </w:t>
      </w:r>
      <w:r>
        <w:rPr>
          <w:rFonts w:ascii="Arial" w:cs="Arial" w:eastAsia="Arial" w:hAnsi="Arial"/>
          <w:sz w:val="21"/>
          <w:szCs w:val="21"/>
          <w:color w:val="auto"/>
        </w:rPr>
        <w:t>with Sections 201(2), 301(a)(3), and 40l(a)(l) of the Employee Retirement Income Security Act of 1974, as amended, is unfunded and established primarily for the purpose of providing deferred compensation to specifically designated employees of the Company (the “Participants”). The Plan is an unfunded deferred compensation plan for purposes of the Internal Revenue Code of 1986, as amended (the “Code”), and is intended to comply with the requirements of Section 409A of the Code so that no penalty taxes are owned under Section 409A(a)(1)(B).</w:t>
      </w:r>
    </w:p>
    <w:p>
      <w:pPr>
        <w:spacing w:after="0" w:line="221" w:lineRule="exact"/>
        <w:rPr>
          <w:sz w:val="20"/>
          <w:szCs w:val="20"/>
          <w:color w:val="auto"/>
        </w:rPr>
      </w:pPr>
    </w:p>
    <w:p>
      <w:pPr>
        <w:ind w:right="180" w:firstLine="324"/>
        <w:spacing w:after="0" w:line="289" w:lineRule="auto"/>
        <w:rPr>
          <w:sz w:val="20"/>
          <w:szCs w:val="20"/>
          <w:color w:val="auto"/>
        </w:rPr>
      </w:pPr>
      <w:r>
        <w:rPr>
          <w:rFonts w:ascii="Arial" w:cs="Arial" w:eastAsia="Arial" w:hAnsi="Arial"/>
          <w:sz w:val="19"/>
          <w:szCs w:val="19"/>
          <w:i w:val="1"/>
          <w:iCs w:val="1"/>
          <w:color w:val="auto"/>
        </w:rPr>
        <w:t>Plan Deferrals</w:t>
      </w:r>
      <w:r>
        <w:rPr>
          <w:rFonts w:ascii="Arial" w:cs="Arial" w:eastAsia="Arial" w:hAnsi="Arial"/>
          <w:sz w:val="19"/>
          <w:szCs w:val="19"/>
          <w:color w:val="auto"/>
        </w:rPr>
        <w:t>. Participants may elect to defer up to 75% of base compensation and up to 100% of bonus compensation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Plan by completing deferral elections in accordance with Plan rules. The Company, in its sole discretion, may make employer contributions to the Plan. Participant and employer contributions to the Plan are credited to bookkeeping accounts maintained on behalf of each Participant under the Plan. The amounts credited to such deferral accounts under the Plan represent an unfunded, unsecured Obligation of the Company, and do not represent ownership, or any ownership interest in, any particular assets of the Company. The deferred compensation Obligations are not convertible into any other security of the Company and do not have the benefit of any negative pledges or of any covenants on the part of the Company, other than to pay the deferred compensation Obligations arising under the Plan. The Company may elect to contribute deferrals to a trust that satisfies the tax requirements applicable to nonqualified deferred compensation plans to satisfy its payment Obligations under the Plan.</w:t>
      </w:r>
    </w:p>
    <w:p>
      <w:pPr>
        <w:spacing w:after="0" w:line="198" w:lineRule="exact"/>
        <w:rPr>
          <w:sz w:val="20"/>
          <w:szCs w:val="20"/>
          <w:color w:val="auto"/>
        </w:rPr>
      </w:pPr>
    </w:p>
    <w:p>
      <w:pPr>
        <w:ind w:right="460" w:firstLine="324"/>
        <w:spacing w:after="0" w:line="312" w:lineRule="auto"/>
        <w:rPr>
          <w:sz w:val="20"/>
          <w:szCs w:val="20"/>
          <w:color w:val="auto"/>
        </w:rPr>
      </w:pPr>
      <w:r>
        <w:rPr>
          <w:rFonts w:ascii="Arial" w:cs="Arial" w:eastAsia="Arial" w:hAnsi="Arial"/>
          <w:sz w:val="19"/>
          <w:szCs w:val="19"/>
          <w:i w:val="1"/>
          <w:iCs w:val="1"/>
          <w:color w:val="auto"/>
        </w:rPr>
        <w:t>Vesting of Deferrals</w:t>
      </w:r>
      <w:r>
        <w:rPr>
          <w:rFonts w:ascii="Arial" w:cs="Arial" w:eastAsia="Arial" w:hAnsi="Arial"/>
          <w:sz w:val="19"/>
          <w:szCs w:val="19"/>
          <w:color w:val="auto"/>
        </w:rPr>
        <w:t>. Participant deferrals are fully vested at all times. Participants become 100% vested in employer</w:t>
      </w:r>
      <w:r>
        <w:rPr>
          <w:rFonts w:ascii="Arial" w:cs="Arial" w:eastAsia="Arial" w:hAnsi="Arial"/>
          <w:sz w:val="19"/>
          <w:szCs w:val="19"/>
          <w:i w:val="1"/>
          <w:iCs w:val="1"/>
          <w:color w:val="auto"/>
        </w:rPr>
        <w:t xml:space="preserve"> </w:t>
      </w:r>
      <w:r>
        <w:rPr>
          <w:rFonts w:ascii="Arial" w:cs="Arial" w:eastAsia="Arial" w:hAnsi="Arial"/>
          <w:sz w:val="19"/>
          <w:szCs w:val="19"/>
          <w:color w:val="auto"/>
        </w:rPr>
        <w:t>contributions, if any, upon 2 years of service with the Company. If not already vested, a Participant’s deferral account becomes 100% vested upon a change in control of the Company or upon the Participant’s death or disability.</w:t>
      </w:r>
    </w:p>
    <w:p>
      <w:pPr>
        <w:spacing w:after="0" w:line="174"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i w:val="1"/>
          <w:iCs w:val="1"/>
          <w:color w:val="auto"/>
        </w:rPr>
        <w:t>Earnings Credits</w:t>
      </w:r>
      <w:r>
        <w:rPr>
          <w:rFonts w:ascii="Arial" w:cs="Arial" w:eastAsia="Arial" w:hAnsi="Arial"/>
          <w:sz w:val="22"/>
          <w:szCs w:val="22"/>
          <w:color w:val="auto"/>
        </w:rPr>
        <w:t>. Subject to certain exceptions and restrictions, a Participant’s deferral account balance is indexed to one or</w:t>
      </w:r>
      <w:r>
        <w:rPr>
          <w:rFonts w:ascii="Arial" w:cs="Arial" w:eastAsia="Arial" w:hAnsi="Arial"/>
          <w:sz w:val="22"/>
          <w:szCs w:val="22"/>
          <w:i w:val="1"/>
          <w:iCs w:val="1"/>
          <w:color w:val="auto"/>
        </w:rPr>
        <w:t xml:space="preserve"> </w:t>
      </w:r>
      <w:r>
        <w:rPr>
          <w:rFonts w:ascii="Arial" w:cs="Arial" w:eastAsia="Arial" w:hAnsi="Arial"/>
          <w:sz w:val="22"/>
          <w:szCs w:val="22"/>
          <w:color w:val="auto"/>
        </w:rPr>
        <w:t>more hypothetical or “phantom” investment options chosen by the Participant from the phantom investment options available under the Plan. A Participant’s deferred compensation benefit payable under the Plan increases or decreases based on the investment performance of the selected “phantom” investment options.</w:t>
      </w:r>
    </w:p>
    <w:p>
      <w:pPr>
        <w:spacing w:after="0" w:line="229" w:lineRule="exact"/>
        <w:rPr>
          <w:sz w:val="20"/>
          <w:szCs w:val="20"/>
          <w:color w:val="auto"/>
        </w:rPr>
      </w:pPr>
    </w:p>
    <w:p>
      <w:pPr>
        <w:ind w:right="580" w:firstLine="324"/>
        <w:spacing w:after="0" w:line="343" w:lineRule="auto"/>
        <w:rPr>
          <w:sz w:val="20"/>
          <w:szCs w:val="20"/>
          <w:color w:val="auto"/>
        </w:rPr>
      </w:pPr>
      <w:r>
        <w:rPr>
          <w:rFonts w:ascii="Arial" w:cs="Arial" w:eastAsia="Arial" w:hAnsi="Arial"/>
          <w:sz w:val="19"/>
          <w:szCs w:val="19"/>
          <w:i w:val="1"/>
          <w:iCs w:val="1"/>
          <w:color w:val="auto"/>
        </w:rPr>
        <w:t>Distribution of Deferrals</w:t>
      </w:r>
      <w:r>
        <w:rPr>
          <w:rFonts w:ascii="Arial" w:cs="Arial" w:eastAsia="Arial" w:hAnsi="Arial"/>
          <w:sz w:val="19"/>
          <w:szCs w:val="19"/>
          <w:color w:val="auto"/>
        </w:rPr>
        <w:t>. Participants choose the time and manner of distribution of their deferral accounts. Payment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deferral accounts is made in cash at the time and in the form elected by the Participant, subject to the following general rules:</w:t>
      </w:r>
    </w:p>
    <w:p>
      <w:pPr>
        <w:spacing w:after="0" w:line="145" w:lineRule="exact"/>
        <w:rPr>
          <w:sz w:val="20"/>
          <w:szCs w:val="20"/>
          <w:color w:val="auto"/>
        </w:rPr>
      </w:pPr>
    </w:p>
    <w:p>
      <w:pPr>
        <w:ind w:left="1300" w:right="360" w:hanging="320"/>
        <w:spacing w:after="0" w:line="26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Participant may elect, but is not required to elect, to receive his or her deferrals on a specified distribution date that occurs during the Participant’s employment.</w:t>
      </w:r>
    </w:p>
    <w:p>
      <w:pPr>
        <w:spacing w:after="0" w:line="215" w:lineRule="exact"/>
        <w:rPr>
          <w:rFonts w:ascii="Arial" w:cs="Arial" w:eastAsia="Arial" w:hAnsi="Arial"/>
          <w:sz w:val="22"/>
          <w:szCs w:val="22"/>
          <w:color w:val="auto"/>
        </w:rPr>
      </w:pPr>
    </w:p>
    <w:p>
      <w:pPr>
        <w:ind w:left="1300" w:right="100" w:hanging="320"/>
        <w:spacing w:after="0" w:line="312"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A Participant’s deferrals will commence to be paid, if such deferrals have not already commenced to be paid, on the Participant’s termination of employment. Amounts payable to certain specified employees are delayed six months following such Participant’s termination of employment in accordance with the requirements of the Code and Plan.</w:t>
      </w:r>
    </w:p>
    <w:p>
      <w:pPr>
        <w:spacing w:after="0" w:line="174" w:lineRule="exact"/>
        <w:rPr>
          <w:rFonts w:ascii="Arial" w:cs="Arial" w:eastAsia="Arial" w:hAnsi="Arial"/>
          <w:sz w:val="19"/>
          <w:szCs w:val="19"/>
          <w:color w:val="auto"/>
        </w:rPr>
      </w:pPr>
    </w:p>
    <w:p>
      <w:pPr>
        <w:ind w:left="1300" w:right="100" w:hanging="320"/>
        <w:spacing w:after="0" w:line="26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Participant may elect to receive his or her deferrals in a lump-sum or in annual installments over a period of up to ten years.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47" w:right="239" w:bottom="1440" w:gutter="0" w:footer="0" w:header="0"/>
        </w:sectPr>
      </w:pPr>
    </w:p>
    <w:bookmarkStart w:id="4" w:name="page5"/>
    <w:bookmarkEnd w:id="4"/>
    <w:p>
      <w:pPr>
        <w:ind w:left="1300" w:right="80" w:hanging="320"/>
        <w:spacing w:after="0" w:line="25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Participant’s entire deferral account balance will be paid in a lump sum upon the death or disability of the Participant, or upon a change in the ownership of the Company, a change in the effective control of the Company or a change in the ownership of a substantial portion of the assets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Interests of Named Experts and Counsel.</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266" w:lineRule="exact"/>
        <w:rPr>
          <w:sz w:val="20"/>
          <w:szCs w:val="20"/>
          <w:color w:val="auto"/>
        </w:rPr>
      </w:pPr>
    </w:p>
    <w:p>
      <w:pPr>
        <w:ind w:right="280" w:firstLine="324"/>
        <w:spacing w:after="0" w:line="292" w:lineRule="auto"/>
        <w:rPr>
          <w:sz w:val="20"/>
          <w:szCs w:val="20"/>
          <w:color w:val="auto"/>
        </w:rPr>
      </w:pPr>
      <w:r>
        <w:rPr>
          <w:rFonts w:ascii="Arial" w:cs="Arial" w:eastAsia="Arial" w:hAnsi="Arial"/>
          <w:sz w:val="19"/>
          <w:szCs w:val="19"/>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Exemption from Registration Claimed.</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Exhibits.</w:t>
      </w:r>
    </w:p>
    <w:p>
      <w:pPr>
        <w:spacing w:after="0" w:line="266" w:lineRule="exact"/>
        <w:rPr>
          <w:sz w:val="20"/>
          <w:szCs w:val="20"/>
          <w:color w:val="auto"/>
        </w:rPr>
      </w:pPr>
    </w:p>
    <w:p>
      <w:pPr>
        <w:ind w:right="480" w:firstLine="324"/>
        <w:spacing w:after="0" w:line="263" w:lineRule="auto"/>
        <w:rPr>
          <w:sz w:val="20"/>
          <w:szCs w:val="20"/>
          <w:color w:val="auto"/>
        </w:rPr>
      </w:pPr>
      <w:r>
        <w:rPr>
          <w:rFonts w:ascii="Arial" w:cs="Arial" w:eastAsia="Arial" w:hAnsi="Arial"/>
          <w:sz w:val="22"/>
          <w:szCs w:val="22"/>
          <w:color w:val="auto"/>
        </w:rPr>
        <w:t>The Exhibits to this registration statement are listed in the Exhibit Index of this registration statement and are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Undertakings.</w:t>
      </w:r>
    </w:p>
    <w:p>
      <w:pPr>
        <w:spacing w:after="0" w:line="266" w:lineRule="exact"/>
        <w:rPr>
          <w:sz w:val="20"/>
          <w:szCs w:val="20"/>
          <w:color w:val="auto"/>
        </w:rPr>
      </w:pPr>
    </w:p>
    <w:p>
      <w:pPr>
        <w:ind w:left="780" w:hanging="448"/>
        <w:spacing w:after="0"/>
        <w:tabs>
          <w:tab w:leader="none" w:pos="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undersigned Company hereby undertakes:</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1"/>
          <w:numId w:val="6"/>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42" w:lineRule="exact"/>
        <w:rPr>
          <w:rFonts w:ascii="Arial" w:cs="Arial" w:eastAsia="Arial" w:hAnsi="Arial"/>
          <w:sz w:val="19"/>
          <w:szCs w:val="19"/>
          <w:color w:val="auto"/>
        </w:rPr>
      </w:pPr>
    </w:p>
    <w:p>
      <w:pPr>
        <w:ind w:left="1400" w:hanging="420"/>
        <w:spacing w:after="0"/>
        <w:tabs>
          <w:tab w:leader="none" w:pos="1400" w:val="left"/>
        </w:tabs>
        <w:numPr>
          <w:ilvl w:val="2"/>
          <w:numId w:val="6"/>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w:t>
      </w:r>
    </w:p>
    <w:p>
      <w:pPr>
        <w:spacing w:after="0" w:line="260" w:lineRule="exact"/>
        <w:rPr>
          <w:rFonts w:ascii="Arial" w:cs="Arial" w:eastAsia="Arial" w:hAnsi="Arial"/>
          <w:sz w:val="22"/>
          <w:szCs w:val="22"/>
          <w:color w:val="auto"/>
        </w:rPr>
      </w:pPr>
    </w:p>
    <w:p>
      <w:pPr>
        <w:ind w:firstLine="980"/>
        <w:spacing w:after="0" w:line="292" w:lineRule="auto"/>
        <w:tabs>
          <w:tab w:leader="none" w:pos="1453" w:val="left"/>
        </w:tabs>
        <w:numPr>
          <w:ilvl w:val="2"/>
          <w:numId w:val="6"/>
        </w:numPr>
        <w:rPr>
          <w:rFonts w:ascii="Arial" w:cs="Arial" w:eastAsia="Arial" w:hAnsi="Arial"/>
          <w:sz w:val="19"/>
          <w:szCs w:val="19"/>
          <w:color w:val="auto"/>
        </w:rPr>
      </w:pPr>
      <w:r>
        <w:rPr>
          <w:rFonts w:ascii="Arial" w:cs="Arial" w:eastAsia="Arial" w:hAnsi="Arial"/>
          <w:sz w:val="19"/>
          <w:szCs w:val="19"/>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1" w:right="259" w:bottom="1440" w:gutter="0" w:footer="0" w:header="0"/>
        </w:sectPr>
      </w:pPr>
    </w:p>
    <w:bookmarkStart w:id="5" w:name="page6"/>
    <w:bookmarkEnd w:id="5"/>
    <w:p>
      <w:pPr>
        <w:ind w:right="960" w:firstLine="980"/>
        <w:spacing w:after="0" w:line="287" w:lineRule="auto"/>
        <w:tabs>
          <w:tab w:leader="none" w:pos="1351" w:val="left"/>
        </w:tabs>
        <w:numPr>
          <w:ilvl w:val="0"/>
          <w:numId w:val="7"/>
        </w:numPr>
        <w:rPr>
          <w:rFonts w:ascii="Arial" w:cs="Arial" w:eastAsia="Arial" w:hAnsi="Arial"/>
          <w:sz w:val="21"/>
          <w:szCs w:val="21"/>
          <w:color w:val="auto"/>
        </w:rPr>
      </w:pPr>
      <w:r>
        <w:rPr>
          <w:rFonts w:ascii="Arial" w:cs="Arial" w:eastAsia="Arial" w:hAnsi="Arial"/>
          <w:sz w:val="21"/>
          <w:szCs w:val="21"/>
          <w:color w:val="auto"/>
        </w:rPr>
        <w:t>to include any material information with respect to the plan of distribution not previously disclosed in the Registration Statement or any material change to such information in the Registration Statement;</w:t>
      </w:r>
    </w:p>
    <w:p>
      <w:pPr>
        <w:spacing w:after="0" w:line="192" w:lineRule="exact"/>
        <w:rPr>
          <w:sz w:val="20"/>
          <w:szCs w:val="20"/>
          <w:color w:val="auto"/>
        </w:rPr>
      </w:pPr>
    </w:p>
    <w:p>
      <w:pPr>
        <w:ind w:right="20" w:firstLine="1297"/>
        <w:spacing w:after="0" w:line="312"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(a)(1)(i) and (a)(1)(ii) do not apply if the information required to be included in a</w:t>
      </w:r>
      <w:r>
        <w:rPr>
          <w:rFonts w:ascii="Arial" w:cs="Arial" w:eastAsia="Arial" w:hAnsi="Arial"/>
          <w:sz w:val="19"/>
          <w:szCs w:val="19"/>
          <w:i w:val="1"/>
          <w:iCs w:val="1"/>
          <w:color w:val="auto"/>
        </w:rPr>
        <w:t xml:space="preserve"> </w:t>
      </w:r>
      <w:r>
        <w:rPr>
          <w:rFonts w:ascii="Arial" w:cs="Arial" w:eastAsia="Arial" w:hAnsi="Arial"/>
          <w:sz w:val="19"/>
          <w:szCs w:val="19"/>
          <w:color w:val="auto"/>
        </w:rPr>
        <w:t>post-effective amendment by those paragraphs is contained in reports filed with or furnished to the Commission by the Company pursuant to Section 13 or Section 15(d) of the Exchange Act that are incorporated by reference in the Registration Statement.</w:t>
      </w:r>
    </w:p>
    <w:p>
      <w:pPr>
        <w:spacing w:after="0" w:line="174" w:lineRule="exact"/>
        <w:rPr>
          <w:sz w:val="20"/>
          <w:szCs w:val="20"/>
          <w:color w:val="auto"/>
        </w:rPr>
      </w:pPr>
    </w:p>
    <w:p>
      <w:pPr>
        <w:ind w:firstLine="656"/>
        <w:spacing w:after="0" w:line="253" w:lineRule="auto"/>
        <w:tabs>
          <w:tab w:leader="none" w:pos="1112" w:val="left"/>
        </w:tabs>
        <w:numPr>
          <w:ilvl w:val="1"/>
          <w:numId w:val="8"/>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26" w:lineRule="exact"/>
        <w:rPr>
          <w:rFonts w:ascii="Arial" w:cs="Arial" w:eastAsia="Arial" w:hAnsi="Arial"/>
          <w:sz w:val="22"/>
          <w:szCs w:val="22"/>
          <w:color w:val="auto"/>
        </w:rPr>
      </w:pPr>
    </w:p>
    <w:p>
      <w:pPr>
        <w:ind w:right="480" w:firstLine="656"/>
        <w:spacing w:after="0" w:line="263" w:lineRule="auto"/>
        <w:tabs>
          <w:tab w:leader="none" w:pos="1112" w:val="left"/>
        </w:tabs>
        <w:numPr>
          <w:ilvl w:val="1"/>
          <w:numId w:val="8"/>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215" w:lineRule="exact"/>
        <w:rPr>
          <w:rFonts w:ascii="Arial" w:cs="Arial" w:eastAsia="Arial" w:hAnsi="Arial"/>
          <w:sz w:val="22"/>
          <w:szCs w:val="22"/>
          <w:color w:val="auto"/>
        </w:rPr>
      </w:pPr>
    </w:p>
    <w:p>
      <w:pPr>
        <w:ind w:right="120" w:firstLine="332"/>
        <w:spacing w:after="0" w:line="297" w:lineRule="auto"/>
        <w:tabs>
          <w:tab w:leader="none" w:pos="788"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9"/>
          <w:szCs w:val="19"/>
          <w:color w:val="auto"/>
        </w:rPr>
      </w:pPr>
    </w:p>
    <w:p>
      <w:pPr>
        <w:ind w:right="40" w:firstLine="332"/>
        <w:spacing w:after="0" w:line="259" w:lineRule="auto"/>
        <w:tabs>
          <w:tab w:leader="none" w:pos="780" w:val="left"/>
        </w:tabs>
        <w:numPr>
          <w:ilvl w:val="0"/>
          <w:numId w:val="9"/>
        </w:numPr>
        <w:rPr>
          <w:rFonts w:ascii="Arial" w:cs="Arial" w:eastAsia="Arial" w:hAnsi="Arial"/>
          <w:sz w:val="21"/>
          <w:szCs w:val="21"/>
          <w:color w:val="auto"/>
        </w:rPr>
      </w:pPr>
      <w:r>
        <w:rPr>
          <w:rFonts w:ascii="Arial" w:cs="Arial" w:eastAsia="Arial" w:hAnsi="Arial"/>
          <w:sz w:val="21"/>
          <w:szCs w:val="21"/>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324"/>
        <w:spacing w:after="0" w:line="293" w:lineRule="auto"/>
        <w:rPr>
          <w:sz w:val="20"/>
          <w:szCs w:val="20"/>
          <w:color w:val="auto"/>
        </w:rPr>
      </w:pPr>
      <w:r>
        <w:rPr>
          <w:rFonts w:ascii="Arial" w:cs="Arial" w:eastAsia="Arial" w:hAnsi="Arial"/>
          <w:sz w:val="20"/>
          <w:szCs w:val="20"/>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April 2017.</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MICRON TECHNOLOGY, INC.</w:t>
      </w:r>
    </w:p>
    <w:p>
      <w:pPr>
        <w:spacing w:after="0" w:line="341" w:lineRule="exact"/>
        <w:rPr>
          <w:sz w:val="20"/>
          <w:szCs w:val="20"/>
          <w:color w:val="auto"/>
        </w:rPr>
      </w:pPr>
    </w:p>
    <w:p>
      <w:pPr>
        <w:ind w:left="6740"/>
        <w:spacing w:after="0"/>
        <w:rPr>
          <w:sz w:val="20"/>
          <w:szCs w:val="20"/>
          <w:color w:val="auto"/>
        </w:rPr>
      </w:pPr>
      <w:r>
        <w:rPr>
          <w:rFonts w:ascii="Arial" w:cs="Arial" w:eastAsia="Arial" w:hAnsi="Arial"/>
          <w:sz w:val="22"/>
          <w:szCs w:val="22"/>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24765</wp:posOffset>
            </wp:positionV>
            <wp:extent cx="2992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By: D. Mark Durcan</w:t>
      </w:r>
    </w:p>
    <w:p>
      <w:pPr>
        <w:spacing w:after="0" w:line="4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Chief Executive Officer</w:t>
      </w:r>
    </w:p>
    <w:p>
      <w:pPr>
        <w:spacing w:after="0" w:line="395" w:lineRule="exact"/>
        <w:rPr>
          <w:sz w:val="20"/>
          <w:szCs w:val="20"/>
          <w:color w:val="auto"/>
        </w:rPr>
      </w:pPr>
    </w:p>
    <w:p>
      <w:pPr>
        <w:ind w:left="6740"/>
        <w:spacing w:after="0"/>
        <w:rPr>
          <w:sz w:val="20"/>
          <w:szCs w:val="20"/>
          <w:color w:val="auto"/>
        </w:rPr>
      </w:pPr>
      <w:r>
        <w:rPr>
          <w:rFonts w:ascii="Arial" w:cs="Arial" w:eastAsia="Arial" w:hAnsi="Arial"/>
          <w:sz w:val="22"/>
          <w:szCs w:val="22"/>
          <w:i w:val="1"/>
          <w:iCs w:val="1"/>
          <w:color w:val="auto"/>
        </w:rPr>
        <w:t>/s/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24765</wp:posOffset>
            </wp:positionV>
            <wp:extent cx="2992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By: Ernest E. Maddock</w:t>
      </w:r>
    </w:p>
    <w:p>
      <w:pPr>
        <w:spacing w:after="0" w:line="4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Chief Financial Officer and Vice President,</w:t>
      </w:r>
    </w:p>
    <w:p>
      <w:pPr>
        <w:spacing w:after="0" w:line="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Finance</w:t>
      </w:r>
    </w:p>
    <w:p>
      <w:pPr>
        <w:sectPr>
          <w:pgSz w:w="11900" w:h="16838" w:orient="portrait"/>
          <w:cols w:equalWidth="0" w:num="1">
            <w:col w:w="11280"/>
          </w:cols>
          <w:pgMar w:left="240" w:top="585"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26" w:lineRule="exact"/>
        <w:rPr>
          <w:sz w:val="20"/>
          <w:szCs w:val="20"/>
          <w:color w:val="auto"/>
        </w:rPr>
      </w:pPr>
    </w:p>
    <w:p>
      <w:pPr>
        <w:ind w:right="220" w:firstLine="324"/>
        <w:spacing w:after="0" w:line="297" w:lineRule="auto"/>
        <w:rPr>
          <w:sz w:val="20"/>
          <w:szCs w:val="20"/>
          <w:color w:val="auto"/>
        </w:rPr>
      </w:pPr>
      <w:r>
        <w:rPr>
          <w:rFonts w:ascii="Arial" w:cs="Arial" w:eastAsia="Arial" w:hAnsi="Arial"/>
          <w:sz w:val="19"/>
          <w:szCs w:val="19"/>
          <w:color w:val="auto"/>
        </w:rPr>
        <w:t>Each person whose signature appears below constitutes and appoints D. Mark Durcan and Ernest E. Maddock,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47" w:lineRule="exact"/>
        <w:rPr>
          <w:sz w:val="20"/>
          <w:szCs w:val="20"/>
          <w:color w:val="auto"/>
        </w:rPr>
      </w:pPr>
    </w:p>
    <w:p>
      <w:pPr>
        <w:ind w:right="480" w:firstLine="324"/>
        <w:spacing w:after="0" w:line="263" w:lineRule="auto"/>
        <w:rPr>
          <w:sz w:val="20"/>
          <w:szCs w:val="20"/>
          <w:color w:val="auto"/>
        </w:rPr>
      </w:pPr>
      <w:r>
        <w:rPr>
          <w:rFonts w:ascii="Arial" w:cs="Arial" w:eastAsia="Arial" w:hAnsi="Arial"/>
          <w:sz w:val="22"/>
          <w:szCs w:val="22"/>
          <w:color w:val="auto"/>
        </w:rPr>
        <w:t>Pursuant to the requirements of the Securities Act of 1933, as amended, this Registration Statement has been signed by the following persons in the capacities and on the date indicated.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340" w:type="dxa"/>
            <w:vAlign w:val="bottom"/>
          </w:tcPr>
          <w:p>
            <w:pPr>
              <w:jc w:val="center"/>
              <w:spacing w:after="0"/>
              <w:rPr>
                <w:sz w:val="20"/>
                <w:szCs w:val="20"/>
                <w:color w:val="auto"/>
              </w:rPr>
            </w:pPr>
            <w:r>
              <w:rPr>
                <w:rFonts w:ascii="Arial" w:cs="Arial" w:eastAsia="Arial" w:hAnsi="Arial"/>
                <w:sz w:val="22"/>
                <w:szCs w:val="22"/>
                <w:b w:val="1"/>
                <w:bCs w:val="1"/>
                <w:color w:val="auto"/>
                <w:w w:val="88"/>
              </w:rPr>
              <w:t>Signature</w:t>
            </w:r>
          </w:p>
        </w:tc>
        <w:tc>
          <w:tcPr>
            <w:tcW w:w="120" w:type="dxa"/>
            <w:vAlign w:val="bottom"/>
          </w:tcPr>
          <w:p>
            <w:pPr>
              <w:spacing w:after="0"/>
              <w:rPr>
                <w:sz w:val="24"/>
                <w:szCs w:val="24"/>
                <w:color w:val="auto"/>
              </w:rPr>
            </w:pPr>
          </w:p>
        </w:tc>
        <w:tc>
          <w:tcPr>
            <w:tcW w:w="5800" w:type="dxa"/>
            <w:vAlign w:val="bottom"/>
            <w:gridSpan w:val="2"/>
          </w:tcPr>
          <w:p>
            <w:pPr>
              <w:ind w:left="2620"/>
              <w:spacing w:after="0"/>
              <w:rPr>
                <w:sz w:val="20"/>
                <w:szCs w:val="20"/>
                <w:color w:val="auto"/>
              </w:rPr>
            </w:pPr>
            <w:r>
              <w:rPr>
                <w:rFonts w:ascii="Arial" w:cs="Arial" w:eastAsia="Arial" w:hAnsi="Arial"/>
                <w:sz w:val="22"/>
                <w:szCs w:val="22"/>
                <w:b w:val="1"/>
                <w:bCs w:val="1"/>
                <w:color w:val="auto"/>
              </w:rPr>
              <w:t>Title</w:t>
            </w:r>
          </w:p>
        </w:tc>
        <w:tc>
          <w:tcPr>
            <w:tcW w:w="216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0" w:type="dxa"/>
            <w:vAlign w:val="bottom"/>
          </w:tcPr>
          <w:p>
            <w:pPr>
              <w:spacing w:after="0"/>
              <w:rPr>
                <w:sz w:val="1"/>
                <w:szCs w:val="1"/>
                <w:color w:val="auto"/>
              </w:rPr>
            </w:pPr>
          </w:p>
        </w:tc>
      </w:tr>
      <w:tr>
        <w:trPr>
          <w:trHeight w:val="291"/>
        </w:trPr>
        <w:tc>
          <w:tcPr>
            <w:tcW w:w="3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2"/>
                <w:szCs w:val="22"/>
                <w:i w:val="1"/>
                <w:iCs w:val="1"/>
                <w:color w:val="auto"/>
              </w:rPr>
              <w:t>/s/ D. Mark Durcan</w:t>
            </w:r>
          </w:p>
        </w:tc>
        <w:tc>
          <w:tcPr>
            <w:tcW w:w="120" w:type="dxa"/>
            <w:vAlign w:val="bottom"/>
          </w:tcPr>
          <w:p>
            <w:pPr>
              <w:spacing w:after="0"/>
              <w:rPr>
                <w:sz w:val="24"/>
                <w:szCs w:val="24"/>
                <w:color w:val="auto"/>
              </w:rPr>
            </w:pPr>
          </w:p>
        </w:tc>
        <w:tc>
          <w:tcPr>
            <w:tcW w:w="5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4"/>
              </w:rPr>
              <w:t>April 14, 2017</w:t>
            </w:r>
          </w:p>
        </w:tc>
        <w:tc>
          <w:tcPr>
            <w:tcW w:w="0" w:type="dxa"/>
            <w:vAlign w:val="bottom"/>
          </w:tcPr>
          <w:p>
            <w:pPr>
              <w:spacing w:after="0"/>
              <w:rPr>
                <w:sz w:val="1"/>
                <w:szCs w:val="1"/>
                <w:color w:val="auto"/>
              </w:rPr>
            </w:pP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2"/>
              </w:rPr>
              <w:t>D. Mark Durcan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Chief Executive Officer and Director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(Principal Executive Officer)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Ernest E. Maddock</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94"/>
              </w:rPr>
              <w:t>April 14, 2017</w:t>
            </w:r>
          </w:p>
        </w:tc>
        <w:tc>
          <w:tcPr>
            <w:tcW w:w="0" w:type="dxa"/>
            <w:vAlign w:val="bottom"/>
          </w:tcPr>
          <w:p>
            <w:pPr>
              <w:spacing w:after="0"/>
              <w:rPr>
                <w:sz w:val="1"/>
                <w:szCs w:val="1"/>
                <w:color w:val="auto"/>
              </w:rPr>
            </w:pP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9"/>
              </w:rPr>
              <w:t>Ernest E. Maddock</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Chief Financial Officer and Vice President, Finance</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(Principal Financial and Accounting Officer)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vMerge w:val="restart"/>
          </w:tcPr>
          <w:p>
            <w:pPr>
              <w:ind w:left="20"/>
              <w:spacing w:after="0"/>
              <w:rPr>
                <w:sz w:val="20"/>
                <w:szCs w:val="20"/>
                <w:color w:val="auto"/>
              </w:rPr>
            </w:pPr>
            <w:r>
              <w:rPr>
                <w:rFonts w:ascii="Arial" w:cs="Arial" w:eastAsia="Arial" w:hAnsi="Arial"/>
                <w:sz w:val="22"/>
                <w:szCs w:val="22"/>
                <w:color w:val="auto"/>
              </w:rPr>
              <w:t>Chairman of the Board</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340" w:type="dxa"/>
            <w:vAlign w:val="bottom"/>
          </w:tcPr>
          <w:p>
            <w:pPr>
              <w:jc w:val="center"/>
              <w:spacing w:after="0"/>
              <w:rPr>
                <w:sz w:val="20"/>
                <w:szCs w:val="20"/>
                <w:color w:val="auto"/>
              </w:rPr>
            </w:pPr>
            <w:r>
              <w:rPr>
                <w:rFonts w:ascii="Arial" w:cs="Arial" w:eastAsia="Arial" w:hAnsi="Arial"/>
                <w:sz w:val="22"/>
                <w:szCs w:val="22"/>
                <w:color w:val="auto"/>
                <w:w w:val="90"/>
              </w:rPr>
              <w:t>Robert E. Switz</w:t>
            </w:r>
          </w:p>
        </w:tc>
        <w:tc>
          <w:tcPr>
            <w:tcW w:w="120" w:type="dxa"/>
            <w:vAlign w:val="bottom"/>
          </w:tcPr>
          <w:p>
            <w:pPr>
              <w:spacing w:after="0"/>
              <w:rPr>
                <w:sz w:val="23"/>
                <w:szCs w:val="23"/>
                <w:color w:val="auto"/>
              </w:rPr>
            </w:pPr>
          </w:p>
        </w:tc>
        <w:tc>
          <w:tcPr>
            <w:tcW w:w="5800" w:type="dxa"/>
            <w:vAlign w:val="bottom"/>
            <w:gridSpan w:val="2"/>
            <w:vMerge w:val="continue"/>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Robert L. Bailey</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94"/>
              </w:rPr>
              <w:t>April 13, 2017</w:t>
            </w:r>
          </w:p>
        </w:tc>
        <w:tc>
          <w:tcPr>
            <w:tcW w:w="0" w:type="dxa"/>
            <w:vAlign w:val="bottom"/>
          </w:tcPr>
          <w:p>
            <w:pPr>
              <w:spacing w:after="0"/>
              <w:rPr>
                <w:sz w:val="1"/>
                <w:szCs w:val="1"/>
                <w:color w:val="auto"/>
              </w:rPr>
            </w:pP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3"/>
              </w:rPr>
              <w:t>Robert L. Bailey</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Richard M. Beyer</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93"/>
              </w:rPr>
              <w:t>April 7, 2017</w:t>
            </w:r>
          </w:p>
        </w:tc>
        <w:tc>
          <w:tcPr>
            <w:tcW w:w="0" w:type="dxa"/>
            <w:vAlign w:val="bottom"/>
          </w:tcPr>
          <w:p>
            <w:pPr>
              <w:spacing w:after="0"/>
              <w:rPr>
                <w:sz w:val="1"/>
                <w:szCs w:val="1"/>
                <w:color w:val="auto"/>
              </w:rPr>
            </w:pP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0"/>
              </w:rPr>
              <w:t>Richard M. Beyer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Patrick J. Byrne</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94"/>
              </w:rPr>
              <w:t>April 10, 2017</w:t>
            </w:r>
          </w:p>
        </w:tc>
        <w:tc>
          <w:tcPr>
            <w:tcW w:w="0" w:type="dxa"/>
            <w:vAlign w:val="bottom"/>
          </w:tcPr>
          <w:p>
            <w:pPr>
              <w:spacing w:after="0"/>
              <w:rPr>
                <w:sz w:val="1"/>
                <w:szCs w:val="1"/>
                <w:color w:val="auto"/>
              </w:rPr>
            </w:pP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9"/>
              </w:rPr>
              <w:t>Patrick J. Byrne</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Mercedes Johnson</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93"/>
              </w:rPr>
              <w:t>April 7, 2017</w:t>
            </w:r>
          </w:p>
        </w:tc>
        <w:tc>
          <w:tcPr>
            <w:tcW w:w="0" w:type="dxa"/>
            <w:vAlign w:val="bottom"/>
          </w:tcPr>
          <w:p>
            <w:pPr>
              <w:spacing w:after="0"/>
              <w:rPr>
                <w:sz w:val="1"/>
                <w:szCs w:val="1"/>
                <w:color w:val="auto"/>
              </w:rPr>
            </w:pP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7"/>
              </w:rPr>
              <w:t>Mercedes Johnson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Lawrence N. Mondry</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94"/>
              </w:rPr>
              <w:t>April 10, 2017</w:t>
            </w:r>
          </w:p>
        </w:tc>
        <w:tc>
          <w:tcPr>
            <w:tcW w:w="0" w:type="dxa"/>
            <w:vAlign w:val="bottom"/>
          </w:tcPr>
          <w:p>
            <w:pPr>
              <w:spacing w:after="0"/>
              <w:rPr>
                <w:sz w:val="1"/>
                <w:szCs w:val="1"/>
                <w:color w:val="auto"/>
              </w:rPr>
            </w:pP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1"/>
              </w:rPr>
              <w:t>Lawrence N. Mondry</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5"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500"/>
              <w:spacing w:after="0"/>
              <w:rPr>
                <w:sz w:val="20"/>
                <w:szCs w:val="20"/>
                <w:color w:val="auto"/>
              </w:rPr>
            </w:pPr>
            <w:r>
              <w:rPr>
                <w:rFonts w:ascii="Arial" w:cs="Arial" w:eastAsia="Arial" w:hAnsi="Arial"/>
                <w:sz w:val="22"/>
                <w:szCs w:val="22"/>
                <w:b w:val="1"/>
                <w:bCs w:val="1"/>
                <w:color w:val="auto"/>
              </w:rPr>
              <w:t>EXHIBIT INDEX</w:t>
            </w:r>
          </w:p>
        </w:tc>
      </w:tr>
      <w:tr>
        <w:trPr>
          <w:trHeight w:val="584"/>
        </w:trPr>
        <w:tc>
          <w:tcPr>
            <w:tcW w:w="1380" w:type="dxa"/>
            <w:vAlign w:val="bottom"/>
            <w:gridSpan w:val="2"/>
          </w:tcPr>
          <w:p>
            <w:pPr>
              <w:ind w:left="40"/>
              <w:spacing w:after="0"/>
              <w:rPr>
                <w:sz w:val="20"/>
                <w:szCs w:val="20"/>
                <w:color w:val="auto"/>
              </w:rPr>
            </w:pPr>
            <w:r>
              <w:rPr>
                <w:rFonts w:ascii="Arial" w:cs="Arial" w:eastAsia="Arial" w:hAnsi="Arial"/>
                <w:sz w:val="22"/>
                <w:szCs w:val="22"/>
                <w:b w:val="1"/>
                <w:bCs w:val="1"/>
                <w:color w:val="auto"/>
              </w:rPr>
              <w:t>Exhibit</w:t>
            </w:r>
          </w:p>
        </w:tc>
        <w:tc>
          <w:tcPr>
            <w:tcW w:w="10040" w:type="dxa"/>
            <w:vAlign w:val="bottom"/>
          </w:tcPr>
          <w:p>
            <w:pPr>
              <w:spacing w:after="0"/>
              <w:rPr>
                <w:sz w:val="24"/>
                <w:szCs w:val="24"/>
                <w:color w:val="auto"/>
              </w:rPr>
            </w:pPr>
          </w:p>
        </w:tc>
      </w:tr>
      <w:tr>
        <w:trPr>
          <w:trHeight w:val="291"/>
        </w:trPr>
        <w:tc>
          <w:tcPr>
            <w:tcW w:w="1380" w:type="dxa"/>
            <w:vAlign w:val="bottom"/>
            <w:gridSpan w:val="2"/>
          </w:tcPr>
          <w:p>
            <w:pPr>
              <w:ind w:left="40"/>
              <w:spacing w:after="0"/>
              <w:rPr>
                <w:sz w:val="20"/>
                <w:szCs w:val="20"/>
                <w:color w:val="auto"/>
              </w:rPr>
            </w:pPr>
            <w:r>
              <w:rPr>
                <w:rFonts w:ascii="Arial" w:cs="Arial" w:eastAsia="Arial" w:hAnsi="Arial"/>
                <w:sz w:val="22"/>
                <w:szCs w:val="22"/>
                <w:b w:val="1"/>
                <w:bCs w:val="1"/>
                <w:color w:val="auto"/>
              </w:rPr>
              <w:t>Number</w:t>
            </w:r>
          </w:p>
        </w:tc>
        <w:tc>
          <w:tcPr>
            <w:tcW w:w="10040" w:type="dxa"/>
            <w:vAlign w:val="bottom"/>
          </w:tcPr>
          <w:p>
            <w:pPr>
              <w:ind w:left="40"/>
              <w:spacing w:after="0"/>
              <w:rPr>
                <w:sz w:val="20"/>
                <w:szCs w:val="20"/>
                <w:color w:val="auto"/>
              </w:rPr>
            </w:pPr>
            <w:r>
              <w:rPr>
                <w:rFonts w:ascii="Arial" w:cs="Arial" w:eastAsia="Arial" w:hAnsi="Arial"/>
                <w:sz w:val="22"/>
                <w:szCs w:val="22"/>
                <w:b w:val="1"/>
                <w:bCs w:val="1"/>
                <w:color w:val="auto"/>
              </w:rPr>
              <w:t>Description</w:t>
            </w:r>
          </w:p>
        </w:tc>
      </w:tr>
      <w:tr>
        <w:trPr>
          <w:trHeight w:val="280"/>
        </w:trPr>
        <w:tc>
          <w:tcPr>
            <w:tcW w:w="1260" w:type="dxa"/>
            <w:vAlign w:val="bottom"/>
            <w:tcBorders>
              <w:top w:val="single" w:sz="8" w:color="auto"/>
            </w:tcBorders>
          </w:tcPr>
          <w:p>
            <w:pPr>
              <w:jc w:val="right"/>
              <w:ind w:right="392"/>
              <w:spacing w:after="0"/>
              <w:rPr>
                <w:sz w:val="20"/>
                <w:szCs w:val="20"/>
                <w:color w:val="auto"/>
              </w:rPr>
            </w:pPr>
            <w:r>
              <w:rPr>
                <w:rFonts w:ascii="Arial" w:cs="Arial" w:eastAsia="Arial" w:hAnsi="Arial"/>
                <w:sz w:val="22"/>
                <w:szCs w:val="22"/>
                <w:color w:val="auto"/>
              </w:rPr>
              <w:t>4.1*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Micron Technology, Inc. Amended and Restated 2007 Equity Incentive Plan</w:t>
            </w:r>
          </w:p>
        </w:tc>
      </w:tr>
      <w:tr>
        <w:trPr>
          <w:trHeight w:val="297"/>
        </w:trPr>
        <w:tc>
          <w:tcPr>
            <w:tcW w:w="1260" w:type="dxa"/>
            <w:vAlign w:val="bottom"/>
          </w:tcPr>
          <w:p>
            <w:pPr>
              <w:jc w:val="right"/>
              <w:ind w:right="272"/>
              <w:spacing w:after="0"/>
              <w:rPr>
                <w:sz w:val="20"/>
                <w:szCs w:val="20"/>
                <w:color w:val="auto"/>
              </w:rPr>
            </w:pPr>
            <w:r>
              <w:rPr>
                <w:rFonts w:ascii="Arial" w:cs="Arial" w:eastAsia="Arial" w:hAnsi="Arial"/>
                <w:sz w:val="22"/>
                <w:szCs w:val="22"/>
                <w:color w:val="auto"/>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22"/>
                <w:szCs w:val="22"/>
                <w:color w:val="auto"/>
              </w:rPr>
              <w:t>Micron Technology, Inc. Amended and Restated 2007 Equity Incentive Plan Forms of Agreement</w:t>
            </w:r>
          </w:p>
        </w:tc>
      </w:tr>
      <w:tr>
        <w:trPr>
          <w:trHeight w:val="297"/>
        </w:trPr>
        <w:tc>
          <w:tcPr>
            <w:tcW w:w="1260" w:type="dxa"/>
            <w:vAlign w:val="bottom"/>
          </w:tcPr>
          <w:p>
            <w:pPr>
              <w:jc w:val="right"/>
              <w:ind w:right="172"/>
              <w:spacing w:after="0"/>
              <w:rPr>
                <w:sz w:val="20"/>
                <w:szCs w:val="20"/>
                <w:color w:val="auto"/>
              </w:rPr>
            </w:pPr>
            <w:r>
              <w:rPr>
                <w:rFonts w:ascii="Arial" w:cs="Arial" w:eastAsia="Arial" w:hAnsi="Arial"/>
                <w:sz w:val="22"/>
                <w:szCs w:val="22"/>
                <w:color w:val="auto"/>
              </w:rPr>
              <w:t>4.3***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22"/>
                <w:szCs w:val="22"/>
                <w:color w:val="auto"/>
              </w:rPr>
              <w:t>Deferred Compensation Plan</w:t>
            </w:r>
          </w:p>
        </w:tc>
      </w:tr>
      <w:tr>
        <w:trPr>
          <w:trHeight w:val="297"/>
        </w:trPr>
        <w:tc>
          <w:tcPr>
            <w:tcW w:w="1260" w:type="dxa"/>
            <w:vAlign w:val="bottom"/>
          </w:tcPr>
          <w:p>
            <w:pPr>
              <w:jc w:val="right"/>
              <w:ind w:right="492"/>
              <w:spacing w:after="0"/>
              <w:rPr>
                <w:sz w:val="20"/>
                <w:szCs w:val="20"/>
                <w:color w:val="auto"/>
              </w:rPr>
            </w:pPr>
            <w:r>
              <w:rPr>
                <w:rFonts w:ascii="Arial" w:cs="Arial" w:eastAsia="Arial" w:hAnsi="Arial"/>
                <w:sz w:val="22"/>
                <w:szCs w:val="22"/>
                <w:color w:val="auto"/>
              </w:rPr>
              <w:t>5.1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22"/>
                <w:szCs w:val="22"/>
                <w:color w:val="auto"/>
              </w:rPr>
              <w:t>Opinion of Counsel</w:t>
            </w:r>
          </w:p>
        </w:tc>
      </w:tr>
      <w:tr>
        <w:trPr>
          <w:trHeight w:val="297"/>
        </w:trPr>
        <w:tc>
          <w:tcPr>
            <w:tcW w:w="1260" w:type="dxa"/>
            <w:vAlign w:val="bottom"/>
          </w:tcPr>
          <w:p>
            <w:pPr>
              <w:jc w:val="right"/>
              <w:ind w:right="492"/>
              <w:spacing w:after="0"/>
              <w:rPr>
                <w:sz w:val="20"/>
                <w:szCs w:val="20"/>
                <w:color w:val="auto"/>
              </w:rPr>
            </w:pPr>
            <w:r>
              <w:rPr>
                <w:rFonts w:ascii="Arial" w:cs="Arial" w:eastAsia="Arial" w:hAnsi="Arial"/>
                <w:sz w:val="22"/>
                <w:szCs w:val="22"/>
                <w:color w:val="auto"/>
              </w:rPr>
              <w:t>23.1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22"/>
                <w:szCs w:val="22"/>
                <w:color w:val="auto"/>
              </w:rPr>
              <w:t>Consent of Independent Registered Public Accounting Firm</w:t>
            </w:r>
          </w:p>
        </w:tc>
      </w:tr>
      <w:tr>
        <w:trPr>
          <w:trHeight w:val="297"/>
        </w:trPr>
        <w:tc>
          <w:tcPr>
            <w:tcW w:w="1260" w:type="dxa"/>
            <w:vAlign w:val="bottom"/>
          </w:tcPr>
          <w:p>
            <w:pPr>
              <w:jc w:val="right"/>
              <w:ind w:right="492"/>
              <w:spacing w:after="0"/>
              <w:rPr>
                <w:sz w:val="20"/>
                <w:szCs w:val="20"/>
                <w:color w:val="auto"/>
              </w:rPr>
            </w:pPr>
            <w:r>
              <w:rPr>
                <w:rFonts w:ascii="Arial" w:cs="Arial" w:eastAsia="Arial" w:hAnsi="Arial"/>
                <w:sz w:val="22"/>
                <w:szCs w:val="22"/>
                <w:color w:val="auto"/>
              </w:rPr>
              <w:t>23.2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22"/>
                <w:szCs w:val="22"/>
                <w:color w:val="auto"/>
              </w:rPr>
              <w:t>Consent of Counsel (contained in Exhibit 5.1)</w:t>
            </w:r>
          </w:p>
        </w:tc>
      </w:tr>
      <w:tr>
        <w:trPr>
          <w:trHeight w:val="297"/>
        </w:trPr>
        <w:tc>
          <w:tcPr>
            <w:tcW w:w="1260" w:type="dxa"/>
            <w:vAlign w:val="bottom"/>
          </w:tcPr>
          <w:p>
            <w:pPr>
              <w:jc w:val="right"/>
              <w:ind w:right="492"/>
              <w:spacing w:after="0"/>
              <w:rPr>
                <w:sz w:val="20"/>
                <w:szCs w:val="20"/>
                <w:color w:val="auto"/>
              </w:rPr>
            </w:pPr>
            <w:r>
              <w:rPr>
                <w:rFonts w:ascii="Arial" w:cs="Arial" w:eastAsia="Arial" w:hAnsi="Arial"/>
                <w:sz w:val="22"/>
                <w:szCs w:val="22"/>
                <w:color w:val="auto"/>
              </w:rPr>
              <w:t>24.1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22"/>
                <w:szCs w:val="22"/>
                <w:color w:val="auto"/>
              </w:rPr>
              <w:t>Power of Attorney (included on signature page)</w:t>
            </w:r>
          </w:p>
        </w:tc>
      </w:tr>
    </w:tbl>
    <w:p>
      <w:pPr>
        <w:spacing w:after="0" w:line="3" w:lineRule="exact"/>
        <w:rPr>
          <w:sz w:val="20"/>
          <w:szCs w:val="20"/>
          <w:color w:val="auto"/>
        </w:rPr>
      </w:pPr>
    </w:p>
    <w:p>
      <w:pPr>
        <w:ind w:left="34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Incorporated by reference to the Company’s Definitive Proxy Statement on Schedule 14A Dated December 8, 2016.</w:t>
      </w:r>
    </w:p>
    <w:p>
      <w:pPr>
        <w:spacing w:after="0" w:line="23" w:lineRule="exact"/>
        <w:rPr>
          <w:sz w:val="20"/>
          <w:szCs w:val="20"/>
          <w:color w:val="auto"/>
        </w:rPr>
      </w:pPr>
    </w:p>
    <w:p>
      <w:pPr>
        <w:ind w:left="700" w:hanging="368"/>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10.9 to the Company’s Annual Report on Form 10-K filed with the Commission on October 28, 2016.</w:t>
      </w:r>
    </w:p>
    <w:p>
      <w:pPr>
        <w:spacing w:after="0" w:line="20" w:lineRule="exact"/>
        <w:rPr>
          <w:rFonts w:ascii="Arial" w:cs="Arial" w:eastAsia="Arial" w:hAnsi="Arial"/>
          <w:sz w:val="17"/>
          <w:szCs w:val="17"/>
          <w:color w:val="auto"/>
        </w:rPr>
      </w:pPr>
    </w:p>
    <w:p>
      <w:pPr>
        <w:ind w:right="140" w:firstLine="332"/>
        <w:spacing w:after="0" w:line="261" w:lineRule="auto"/>
        <w:tabs>
          <w:tab w:leader="none" w:pos="7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10.64 to the Company’s Quarterly Report on Form 10-Q for quarterly period ended March 2, 2017 filed with the Commission on March 28, 2017.</w:t>
      </w:r>
    </w:p>
    <w:p>
      <w:pPr>
        <w:sectPr>
          <w:pgSz w:w="11900" w:h="16838" w:orient="portrait"/>
          <w:cols w:equalWidth="0" w:num="1">
            <w:col w:w="11420"/>
          </w:cols>
          <w:pgMar w:left="240" w:top="58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5.1</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April 14, 2017</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Micron Technology, Inc.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8000 South Federal Way</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Boise, ID 83707-0006</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20" w:firstLine="324"/>
        <w:spacing w:after="0" w:line="288" w:lineRule="auto"/>
        <w:rPr>
          <w:sz w:val="20"/>
          <w:szCs w:val="20"/>
          <w:color w:val="auto"/>
        </w:rPr>
      </w:pPr>
      <w:r>
        <w:rPr>
          <w:rFonts w:ascii="Arial" w:cs="Arial" w:eastAsia="Arial" w:hAnsi="Arial"/>
          <w:sz w:val="19"/>
          <w:szCs w:val="19"/>
          <w:color w:val="auto"/>
        </w:rPr>
        <w:t>We have examined the Registration Statement on Form S-8 to be filed by you with the Securities and Exchange Commission on or about April 14, 2017 (the "Registration Statement") in connection with the registration under the Securities Act of 1933, as amended, of (i) 30,000,000 shares of your Common Stock, par value $0.10 per share (the "Shares"), reserved for issuance under the Micron Technology, Inc. Amended and Restated 2007 Equity Incentive Plan (the "Equity Plan"); and (ii) $10,000,000 of deferred compensation obligations (the "Obligations") of Micron Technology, Inc. (the "Company") to be issued pursuant to the Micron Technology, Inc. Deferred Compensation Plan ("Deferred Compensation Plan"). The Obligations will be issued from time to time pursuant to one or more agreements (the “Plan Agreements”), to be entered into by and between participants in the Deferred Compensation Plan (the “Participants”) and the Company (or certain of its subsidiaries and/or affiliates) in accordance with the terms of the Deferred Compensation Plan. As your legal counsel, we have examined the proceedings taken and are familiar with the proceedings proposed to be taken by you in connection with the sale and issuance of the Shares under the Equity Plan and the issuance of the Obligations under the Deferred Compensation Plan.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It is our opinion that:</w:t>
      </w:r>
    </w:p>
    <w:p>
      <w:pPr>
        <w:spacing w:after="0" w:line="260" w:lineRule="exact"/>
        <w:rPr>
          <w:sz w:val="20"/>
          <w:szCs w:val="20"/>
          <w:color w:val="auto"/>
        </w:rPr>
      </w:pPr>
    </w:p>
    <w:p>
      <w:pPr>
        <w:ind w:left="340" w:right="420" w:hanging="8"/>
        <w:spacing w:after="0" w:line="261" w:lineRule="auto"/>
        <w:tabs>
          <w:tab w:leader="none" w:pos="718" w:val="left"/>
        </w:tabs>
        <w:numPr>
          <w:ilvl w:val="0"/>
          <w:numId w:val="12"/>
        </w:numPr>
        <w:rPr>
          <w:rFonts w:ascii="Arial" w:cs="Arial" w:eastAsia="Arial" w:hAnsi="Arial"/>
          <w:sz w:val="21"/>
          <w:szCs w:val="21"/>
          <w:color w:val="auto"/>
        </w:rPr>
      </w:pPr>
      <w:r>
        <w:rPr>
          <w:rFonts w:ascii="Arial" w:cs="Arial" w:eastAsia="Arial" w:hAnsi="Arial"/>
          <w:sz w:val="21"/>
          <w:szCs w:val="21"/>
          <w:color w:val="auto"/>
        </w:rPr>
        <w:t>Upon completion of the proceedings to be taken, or contemplated by us as your counsel to be taken by you, prior to issuance of the Shares pursuant to the Registration Statement and the Equity Plan, and upon completion of the proceedings being taken in order to permit such transactions to be carried out in accordance with the securities laws of the various states where required, the Shares, when issued and sold in the manner referred to in the Equity Plan and the agreements which accompany the Equity Plan, and in accordance with the Company's Certificate of Incorporation, will be legally and validly issued, fully paid and nonassessable.</w:t>
      </w:r>
    </w:p>
    <w:p>
      <w:pPr>
        <w:spacing w:after="0" w:line="220" w:lineRule="exact"/>
        <w:rPr>
          <w:rFonts w:ascii="Arial" w:cs="Arial" w:eastAsia="Arial" w:hAnsi="Arial"/>
          <w:sz w:val="21"/>
          <w:szCs w:val="21"/>
          <w:color w:val="auto"/>
        </w:rPr>
      </w:pPr>
    </w:p>
    <w:p>
      <w:pPr>
        <w:ind w:left="340" w:right="100" w:hanging="8"/>
        <w:spacing w:after="0" w:line="297" w:lineRule="auto"/>
        <w:tabs>
          <w:tab w:leader="none" w:pos="718" w:val="left"/>
        </w:tabs>
        <w:numPr>
          <w:ilvl w:val="0"/>
          <w:numId w:val="12"/>
        </w:numPr>
        <w:rPr>
          <w:rFonts w:ascii="Arial" w:cs="Arial" w:eastAsia="Arial" w:hAnsi="Arial"/>
          <w:sz w:val="19"/>
          <w:szCs w:val="19"/>
          <w:color w:val="auto"/>
        </w:rPr>
      </w:pPr>
      <w:r>
        <w:rPr>
          <w:rFonts w:ascii="Arial" w:cs="Arial" w:eastAsia="Arial" w:hAnsi="Arial"/>
          <w:sz w:val="19"/>
          <w:szCs w:val="19"/>
          <w:color w:val="auto"/>
        </w:rPr>
        <w:t>Upon completion of the proceedings to be taken, or contemplated by us as your counsel to be taken by you, prior to issuance of the Obligations pursuant to the Registration Statement and the Deferred Compensation Plan, and upon completion of the proceedings being taken in order to permit such transactions to be carried out in accordance with the securities laws of the various states where required, the Obligations, when incurred in the manner referred to in the Deferred Compensation Plan, will constitute valid and binding obligations of the Company, enforceable against the Company in accordance with their terms.</w:t>
      </w:r>
    </w:p>
    <w:p>
      <w:pPr>
        <w:spacing w:after="0" w:line="188" w:lineRule="exact"/>
        <w:rPr>
          <w:sz w:val="20"/>
          <w:szCs w:val="20"/>
          <w:color w:val="auto"/>
        </w:rPr>
      </w:pPr>
    </w:p>
    <w:p>
      <w:pPr>
        <w:ind w:right="80" w:firstLine="324"/>
        <w:spacing w:after="0" w:line="263" w:lineRule="auto"/>
        <w:rPr>
          <w:sz w:val="20"/>
          <w:szCs w:val="20"/>
          <w:color w:val="auto"/>
        </w:rPr>
      </w:pPr>
      <w:r>
        <w:rPr>
          <w:rFonts w:ascii="Arial" w:cs="Arial" w:eastAsia="Arial" w:hAnsi="Arial"/>
          <w:sz w:val="22"/>
          <w:szCs w:val="22"/>
          <w:color w:val="auto"/>
        </w:rPr>
        <w:t>We express no opinion as to any matter relating to laws of any jurisdiction other than the laws of the State of New York and the General Corporation Law of the State of Delaware, as such are in effect on the date hereof.</w:t>
      </w:r>
    </w:p>
    <w:p>
      <w:pPr>
        <w:spacing w:after="0" w:line="215" w:lineRule="exact"/>
        <w:rPr>
          <w:sz w:val="20"/>
          <w:szCs w:val="20"/>
          <w:color w:val="auto"/>
        </w:rPr>
      </w:pPr>
    </w:p>
    <w:p>
      <w:pPr>
        <w:ind w:right="240" w:firstLine="324"/>
        <w:spacing w:after="0" w:line="263" w:lineRule="auto"/>
        <w:rPr>
          <w:sz w:val="20"/>
          <w:szCs w:val="20"/>
          <w:color w:val="auto"/>
        </w:rPr>
      </w:pPr>
      <w:r>
        <w:rPr>
          <w:rFonts w:ascii="Arial" w:cs="Arial" w:eastAsia="Arial" w:hAnsi="Arial"/>
          <w:sz w:val="22"/>
          <w:szCs w:val="22"/>
          <w:color w:val="auto"/>
        </w:rPr>
        <w:t>We express no opinion as to (i) the effect of any bankruptcy, insolvency, reorganization, arrangement, fraudulent conveyance, moratorium or other similar laws relating to or affecting the rights of creditors</w:t>
      </w:r>
    </w:p>
    <w:p>
      <w:pPr>
        <w:sectPr>
          <w:pgSz w:w="11900" w:h="16838" w:orient="portrait"/>
          <w:cols w:equalWidth="0" w:num="1">
            <w:col w:w="11420"/>
          </w:cols>
          <w:pgMar w:left="240" w:top="585" w:right="239" w:bottom="1440" w:gutter="0" w:footer="0" w:header="0"/>
        </w:sectPr>
      </w:pPr>
    </w:p>
    <w:bookmarkStart w:id="10" w:name="page11"/>
    <w:bookmarkEnd w:id="10"/>
    <w:p>
      <w:pPr>
        <w:ind w:right="60"/>
        <w:spacing w:after="0" w:line="302" w:lineRule="auto"/>
        <w:rPr>
          <w:sz w:val="20"/>
          <w:szCs w:val="20"/>
          <w:color w:val="auto"/>
        </w:rPr>
      </w:pPr>
      <w:r>
        <w:rPr>
          <w:rFonts w:ascii="Arial" w:cs="Arial" w:eastAsia="Arial" w:hAnsi="Arial"/>
          <w:sz w:val="19"/>
          <w:szCs w:val="19"/>
          <w:color w:val="auto"/>
        </w:rPr>
        <w:t>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limitations on rights of acceleration, whether considered in a proceeding in equity or at law.</w:t>
      </w:r>
    </w:p>
    <w:p>
      <w:pPr>
        <w:spacing w:after="0" w:line="183" w:lineRule="exact"/>
        <w:rPr>
          <w:sz w:val="20"/>
          <w:szCs w:val="20"/>
          <w:color w:val="auto"/>
        </w:rPr>
      </w:pPr>
    </w:p>
    <w:p>
      <w:pPr>
        <w:ind w:firstLine="324"/>
        <w:spacing w:after="0" w:line="290" w:lineRule="auto"/>
        <w:rPr>
          <w:sz w:val="20"/>
          <w:szCs w:val="20"/>
          <w:color w:val="auto"/>
        </w:rPr>
      </w:pPr>
      <w:r>
        <w:rPr>
          <w:rFonts w:ascii="Arial" w:cs="Arial" w:eastAsia="Arial" w:hAnsi="Arial"/>
          <w:sz w:val="19"/>
          <w:szCs w:val="19"/>
          <w:color w:val="auto"/>
        </w:rPr>
        <w:t>With your consent, we have assumed (a) that each of the Plan Agreements and the election forms to be delivered by the Participants pursuant to the Deferred Compensation Plan (the “Election Forms”) will be in the form examined by us, (b) that each of the Deferred Compensation Plan, the Plan Agreements and the Election Forms constitutes or will constitute legally valid and binding obligations of the parties thereto other than the Company, enforceable against each of them in accordance with their respective terms, and (c) that the status of each of the Deferred Compensation Plan, the Plan Agreements and the Election Forms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97" w:lineRule="exact"/>
        <w:rPr>
          <w:sz w:val="20"/>
          <w:szCs w:val="20"/>
          <w:color w:val="auto"/>
        </w:rPr>
      </w:pPr>
    </w:p>
    <w:p>
      <w:pPr>
        <w:ind w:right="300" w:firstLine="324"/>
        <w:spacing w:after="0" w:line="343" w:lineRule="auto"/>
        <w:rPr>
          <w:sz w:val="20"/>
          <w:szCs w:val="20"/>
          <w:color w:val="auto"/>
        </w:rPr>
      </w:pPr>
      <w:r>
        <w:rPr>
          <w:rFonts w:ascii="Arial" w:cs="Arial" w:eastAsia="Arial" w:hAnsi="Arial"/>
          <w:sz w:val="19"/>
          <w:szCs w:val="19"/>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 Wilson Sonsini Goodrich &amp; Rosati</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WILSON SONSINI GOODRICH &amp; ROSATI,</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380"/>
          </w:cols>
          <w:pgMar w:left="240" w:top="591" w:right="27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ind w:right="380"/>
        <w:spacing w:after="0" w:line="312" w:lineRule="auto"/>
        <w:rPr>
          <w:sz w:val="20"/>
          <w:szCs w:val="20"/>
          <w:color w:val="auto"/>
        </w:rPr>
      </w:pPr>
      <w:r>
        <w:rPr>
          <w:rFonts w:ascii="Arial" w:cs="Arial" w:eastAsia="Arial" w:hAnsi="Arial"/>
          <w:sz w:val="19"/>
          <w:szCs w:val="19"/>
          <w:color w:val="auto"/>
        </w:rPr>
        <w:t>We hereby consent to the incorporation by reference in this Registration Statement on Form S-8 of our report dated October 28, 2016 relating to the financial statements, financial statement schedules and the effectiveness of internal control over financial reporting, which appears in Micron Technology, Inc.'s Annual Report on Form 10-K for the year ended September 1, 2016.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 PricewaterhouseCoopers LLP</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San Jose, California</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April 14, 2017</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12200854"/>
    <w:multiLevelType w:val="hybridMultilevel"/>
    <w:lvl w:ilvl="0">
      <w:lvlJc w:val="left"/>
      <w:lvlText w:val="(%1)"/>
      <w:numFmt w:val="lowerRoman"/>
      <w:start w:val="3"/>
    </w:lvl>
  </w:abstractNum>
  <w:abstractNum w:abstractNumId="7">
    <w:nsid w:val="4DB127F8"/>
    <w:multiLevelType w:val="hybridMultilevel"/>
    <w:lvl w:ilvl="0">
      <w:lvlJc w:val="left"/>
      <w:lvlText w:val="%1"/>
      <w:numFmt w:val="lowerLetter"/>
      <w:start w:val="1"/>
    </w:lvl>
    <w:lvl w:ilvl="1">
      <w:lvlJc w:val="left"/>
      <w:lvlText w:val="(%2)"/>
      <w:numFmt w:val="decimal"/>
      <w:start w:val="2"/>
    </w:lvl>
  </w:abstractNum>
  <w:abstractNum w:abstractNumId="8">
    <w:nsid w:val="216231B"/>
    <w:multiLevelType w:val="hybridMultilevel"/>
    <w:lvl w:ilvl="0">
      <w:lvlJc w:val="left"/>
      <w:lvlText w:val="(%1)"/>
      <w:numFmt w:val="lowerLetter"/>
      <w:start w:val="2"/>
    </w:lvl>
    <w:lvl w:ilvl="1">
      <w:lvlJc w:val="left"/>
      <w:lvlText w:val="%2"/>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2019-12-05T11:18:52Z</dcterms:created>
  <dcterms:modified xsi:type="dcterms:W3CDTF">2019-12-05T11:18:52Z</dcterms:modified>
</cp:coreProperties>
</file>