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i w:val="1"/>
          <w:iCs w:val="1"/>
          <w:color w:val="auto"/>
        </w:rPr>
        <w:t>Filed Pursuant to Rule 433</w:t>
      </w:r>
    </w:p>
    <w:p>
      <w:pPr>
        <w:spacing w:after="0" w:line="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Registration No. 333-275276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Issuer Free Writing Prospectus dated January 10, 2024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Relating to Preliminary Prospectus Supplement dated January 10, 2024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JANUARY 10,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$1,000,000,000 5.30% SENIOR NOTES DUE 2031</w:t>
      </w:r>
    </w:p>
    <w:p>
      <w:pPr>
        <w:spacing w:after="0" w:line="229" w:lineRule="exact"/>
        <w:rPr>
          <w:sz w:val="24"/>
          <w:szCs w:val="24"/>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pricing term sheet supplements Micron Technology, Inc.’s (“Micron”) preliminary prospectus supplement, dated January 10, 2024 (the “Preliminary Prospectus Supplement”), and supplements and supersedes the information in the Preliminary Prospectus Supplement to the extent supplementary to or inconsistent with the information in the Preliminary Prospectus Supplement. Terms used herein but not defined herein shall have the respective meanings as set forth in the Preliminary Prospectus Supplement.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Micron Technology, Inc. (Nasdaq: MU)</w:t>
            </w:r>
          </w:p>
        </w:tc>
      </w:tr>
      <w:tr>
        <w:trPr>
          <w:trHeight w:val="43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$1,000,000,000 aggregate principal amount of 5.30% Senior Notes due 2031 (the “notes”)</w:t>
            </w:r>
          </w:p>
        </w:tc>
      </w:tr>
      <w:tr>
        <w:trPr>
          <w:trHeight w:val="43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Pricing Date:</w:t>
            </w: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January 10, 2024</w:t>
            </w:r>
          </w:p>
        </w:tc>
      </w:tr>
      <w:tr>
        <w:trPr>
          <w:trHeight w:val="43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Closing Date:</w:t>
            </w: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January 12, 2024 (T+2)</w:t>
            </w:r>
          </w:p>
        </w:tc>
      </w:tr>
      <w:tr>
        <w:trPr>
          <w:trHeight w:val="43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tc>
      </w:tr>
      <w:tr>
        <w:trPr>
          <w:trHeight w:val="41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Micron estimates that the net proceeds from the sale of the notes, after deducting underwriter</w:t>
            </w:r>
          </w:p>
        </w:tc>
      </w:tr>
      <w:tr>
        <w:trPr>
          <w:trHeight w:val="234"/>
        </w:trPr>
        <w:tc>
          <w:tcPr>
            <w:tcW w:w="3140" w:type="dxa"/>
            <w:vAlign w:val="bottom"/>
          </w:tcPr>
          <w:p>
            <w:pPr>
              <w:spacing w:after="0"/>
              <w:rPr>
                <w:sz w:val="20"/>
                <w:szCs w:val="20"/>
                <w:color w:val="auto"/>
              </w:rPr>
            </w:pP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discounts and other estimated offering expenses, will be approximately $993 million.</w:t>
            </w:r>
          </w:p>
        </w:tc>
      </w:tr>
      <w:tr>
        <w:trPr>
          <w:trHeight w:val="414"/>
        </w:trPr>
        <w:tc>
          <w:tcPr>
            <w:tcW w:w="3140" w:type="dxa"/>
            <w:vAlign w:val="bottom"/>
          </w:tcPr>
          <w:p>
            <w:pPr>
              <w:spacing w:after="0"/>
              <w:rPr>
                <w:sz w:val="24"/>
                <w:szCs w:val="24"/>
                <w:color w:val="auto"/>
              </w:rPr>
            </w:pP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Micron intends to use net proceeds from the sale of the notes to repay borrowings under its</w:t>
            </w:r>
          </w:p>
        </w:tc>
      </w:tr>
      <w:tr>
        <w:trPr>
          <w:trHeight w:val="234"/>
        </w:trPr>
        <w:tc>
          <w:tcPr>
            <w:tcW w:w="3140" w:type="dxa"/>
            <w:vAlign w:val="bottom"/>
          </w:tcPr>
          <w:p>
            <w:pPr>
              <w:spacing w:after="0"/>
              <w:rPr>
                <w:sz w:val="20"/>
                <w:szCs w:val="20"/>
                <w:color w:val="auto"/>
              </w:rPr>
            </w:pP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2024 Term Loan A.</w:t>
            </w:r>
          </w:p>
        </w:tc>
      </w:tr>
      <w:tr>
        <w:trPr>
          <w:trHeight w:val="414"/>
        </w:trPr>
        <w:tc>
          <w:tcPr>
            <w:tcW w:w="3140" w:type="dxa"/>
            <w:vAlign w:val="bottom"/>
          </w:tcPr>
          <w:p>
            <w:pPr>
              <w:spacing w:after="0"/>
              <w:rPr>
                <w:sz w:val="24"/>
                <w:szCs w:val="24"/>
                <w:color w:val="auto"/>
              </w:rPr>
            </w:pP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Micron intends to use the remainder of the net proceeds from the sale of the notes for general</w:t>
            </w:r>
          </w:p>
        </w:tc>
      </w:tr>
      <w:tr>
        <w:trPr>
          <w:trHeight w:val="234"/>
        </w:trPr>
        <w:tc>
          <w:tcPr>
            <w:tcW w:w="3140" w:type="dxa"/>
            <w:vAlign w:val="bottom"/>
          </w:tcPr>
          <w:p>
            <w:pPr>
              <w:spacing w:after="0"/>
              <w:rPr>
                <w:sz w:val="20"/>
                <w:szCs w:val="20"/>
                <w:color w:val="auto"/>
              </w:rPr>
            </w:pP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corporate purposes, which may include the repayment of other indebtedness.</w:t>
            </w:r>
          </w:p>
        </w:tc>
      </w:tr>
      <w:tr>
        <w:trPr>
          <w:trHeight w:val="41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Ratings:*</w:t>
            </w: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Baa3 (Stable) (Moody’s Investors Service, Inc.)</w:t>
            </w:r>
          </w:p>
        </w:tc>
      </w:tr>
      <w:tr>
        <w:trPr>
          <w:trHeight w:val="216"/>
        </w:trPr>
        <w:tc>
          <w:tcPr>
            <w:tcW w:w="3140" w:type="dxa"/>
            <w:vAlign w:val="bottom"/>
          </w:tcPr>
          <w:p>
            <w:pPr>
              <w:spacing w:after="0"/>
              <w:rPr>
                <w:sz w:val="18"/>
                <w:szCs w:val="18"/>
                <w:color w:val="auto"/>
              </w:rPr>
            </w:pP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BBB (Stable) (Fitch Ratings Inc.)</w:t>
            </w:r>
          </w:p>
        </w:tc>
      </w:tr>
      <w:tr>
        <w:trPr>
          <w:trHeight w:val="234"/>
        </w:trPr>
        <w:tc>
          <w:tcPr>
            <w:tcW w:w="3140" w:type="dxa"/>
            <w:vAlign w:val="bottom"/>
          </w:tcPr>
          <w:p>
            <w:pPr>
              <w:spacing w:after="0"/>
              <w:rPr>
                <w:sz w:val="20"/>
                <w:szCs w:val="20"/>
                <w:color w:val="auto"/>
              </w:rPr>
            </w:pP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BBB- (Stable) (S&amp;P Global Ratings)</w:t>
            </w: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January 15, 2031</w:t>
            </w:r>
          </w:p>
        </w:tc>
      </w:tr>
      <w:tr>
        <w:trPr>
          <w:trHeight w:val="43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5.300% per year on the principal amount of the notes</w:t>
            </w:r>
          </w:p>
        </w:tc>
      </w:tr>
      <w:tr>
        <w:trPr>
          <w:trHeight w:val="43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January 15 and July 15, beginning July 15, 2024 and accruing from January 12, 2024</w:t>
            </w:r>
          </w:p>
        </w:tc>
      </w:tr>
      <w:tr>
        <w:trPr>
          <w:trHeight w:val="43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8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January 1 and July 1</w:t>
            </w:r>
          </w:p>
        </w:tc>
      </w:tr>
      <w:tr>
        <w:trPr>
          <w:trHeight w:val="432"/>
        </w:trPr>
        <w:tc>
          <w:tcPr>
            <w:tcW w:w="31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Price to Public: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Discount: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 Yield: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ISIN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at Micron’s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Book-Running Managers:</w:t>
      </w:r>
    </w:p>
    <w:p>
      <w:pPr>
        <w:spacing w:after="0" w:line="20" w:lineRule="exact"/>
        <w:rPr>
          <w:sz w:val="20"/>
          <w:szCs w:val="20"/>
          <w:color w:val="auto"/>
        </w:rPr>
      </w:pPr>
      <w:r>
        <w:rPr>
          <w:sz w:val="20"/>
          <w:szCs w:val="20"/>
          <w:color w:val="auto"/>
        </w:rPr>
        <w:br w:type="column"/>
      </w:r>
    </w:p>
    <w:p>
      <w:pPr>
        <w:ind w:left="5"/>
        <w:spacing w:after="0"/>
        <w:rPr>
          <w:sz w:val="20"/>
          <w:szCs w:val="20"/>
          <w:color w:val="auto"/>
        </w:rPr>
      </w:pPr>
      <w:r>
        <w:rPr>
          <w:rFonts w:ascii="Times New Roman" w:cs="Times New Roman" w:eastAsia="Times New Roman" w:hAnsi="Times New Roman"/>
          <w:sz w:val="18"/>
          <w:szCs w:val="18"/>
          <w:color w:val="auto"/>
        </w:rPr>
        <w:t>99.930% of the principal amount</w:t>
      </w:r>
    </w:p>
    <w:p>
      <w:pPr>
        <w:spacing w:after="0" w:line="2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0.35% per note</w:t>
      </w:r>
    </w:p>
    <w:p>
      <w:pPr>
        <w:spacing w:after="0" w:line="2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UST 3.75% due December 31, 2030</w:t>
      </w:r>
    </w:p>
    <w:p>
      <w:pPr>
        <w:spacing w:after="0" w:line="2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98-13+ / 4.012%</w:t>
      </w:r>
    </w:p>
    <w:p>
      <w:pPr>
        <w:spacing w:after="0" w:line="2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+130 basis points</w:t>
      </w:r>
    </w:p>
    <w:p>
      <w:pPr>
        <w:spacing w:after="0" w:line="2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5.312%</w:t>
      </w:r>
    </w:p>
    <w:p>
      <w:pPr>
        <w:spacing w:after="0" w:line="2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595112CD3</w:t>
      </w:r>
    </w:p>
    <w:p>
      <w:pPr>
        <w:spacing w:after="0" w:line="2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US595112CD31</w:t>
      </w:r>
    </w:p>
    <w:p>
      <w:pPr>
        <w:spacing w:after="0" w:line="225" w:lineRule="exact"/>
        <w:rPr>
          <w:sz w:val="20"/>
          <w:szCs w:val="20"/>
          <w:color w:val="auto"/>
        </w:rPr>
      </w:pPr>
    </w:p>
    <w:p>
      <w:pPr>
        <w:ind w:left="5" w:right="120"/>
        <w:spacing w:after="0" w:line="253" w:lineRule="auto"/>
        <w:rPr>
          <w:sz w:val="20"/>
          <w:szCs w:val="20"/>
          <w:color w:val="auto"/>
        </w:rPr>
      </w:pPr>
      <w:r>
        <w:rPr>
          <w:rFonts w:ascii="Times New Roman" w:cs="Times New Roman" w:eastAsia="Times New Roman" w:hAnsi="Times New Roman"/>
          <w:sz w:val="18"/>
          <w:szCs w:val="18"/>
          <w:color w:val="auto"/>
        </w:rPr>
        <w:t>Prior to the Par Call Date, Micron may redeem the notes at its option, in whole or in part, at any time and from time to time, at a redemption price (expressed as a percentage of principal amount and rounded to three decimal places) equal to the greater of (A)(i)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20 basis points, less (ii) interest accrued to the date of redemption, and</w:t>
      </w:r>
    </w:p>
    <w:p>
      <w:pPr>
        <w:spacing w:after="0" w:line="3" w:lineRule="exact"/>
        <w:rPr>
          <w:sz w:val="20"/>
          <w:szCs w:val="20"/>
          <w:color w:val="auto"/>
        </w:rPr>
      </w:pPr>
    </w:p>
    <w:p>
      <w:pPr>
        <w:ind w:left="5" w:hanging="5"/>
        <w:spacing w:after="0" w:line="252" w:lineRule="auto"/>
        <w:tabs>
          <w:tab w:leader="none" w:pos="29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plus, in each case, accrued and unpaid interest, if any, on the amount being redeemed to, but excluding, the date of redemption. On or after the Par Call Date, Micron may, at its option, redeem the notes in whole or in part, at any time and from time to time, at a redemption price equal to 100% of the principal amount of the notes redeemed, plus accrued and unpaid interest, if any, to, but excluding, the date of redemption.</w:t>
      </w:r>
    </w:p>
    <w:p>
      <w:pPr>
        <w:spacing w:after="0" w:line="190" w:lineRule="exact"/>
        <w:rPr>
          <w:sz w:val="20"/>
          <w:szCs w:val="20"/>
          <w:color w:val="auto"/>
        </w:rPr>
      </w:pPr>
    </w:p>
    <w:p>
      <w:pPr>
        <w:ind w:left="45"/>
        <w:spacing w:after="0"/>
        <w:rPr>
          <w:sz w:val="20"/>
          <w:szCs w:val="20"/>
          <w:color w:val="auto"/>
        </w:rPr>
      </w:pPr>
      <w:r>
        <w:rPr>
          <w:rFonts w:ascii="Times New Roman" w:cs="Times New Roman" w:eastAsia="Times New Roman" w:hAnsi="Times New Roman"/>
          <w:sz w:val="18"/>
          <w:szCs w:val="18"/>
          <w:color w:val="auto"/>
        </w:rPr>
        <w:t>“Par Call Date” means November 15, 2030 (two months prior to the maturity date).</w:t>
      </w:r>
    </w:p>
    <w:p>
      <w:pPr>
        <w:spacing w:after="0" w:line="2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Credit Agricole Securities (USA) Inc.</w:t>
      </w:r>
    </w:p>
    <w:p>
      <w:pPr>
        <w:spacing w:after="0" w:line="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0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2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297180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655" w:space="720"/>
            <w:col w:w="6805"/>
          </w:cols>
          <w:pgMar w:left="340" w:top="927" w:right="37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7"/>
          <w:szCs w:val="17"/>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Siebert Williams Shank &amp; Co., LLC</w:t>
      </w:r>
    </w:p>
    <w:p>
      <w:pPr>
        <w:spacing w:after="0" w:line="200" w:lineRule="exact"/>
        <w:rPr>
          <w:sz w:val="20"/>
          <w:szCs w:val="20"/>
          <w:color w:val="auto"/>
        </w:rPr>
      </w:pPr>
    </w:p>
    <w:p>
      <w:pPr>
        <w:sectPr>
          <w:pgSz w:w="11900" w:h="16838" w:orient="portrait"/>
          <w:cols w:equalWidth="0" w:num="2">
            <w:col w:w="3680" w:space="720"/>
            <w:col w:w="6840"/>
          </w:cols>
          <w:pgMar w:left="320" w:top="900" w:right="339" w:bottom="1440" w:gutter="0" w:footer="0" w:header="0"/>
        </w:sectPr>
      </w:pPr>
    </w:p>
    <w:p>
      <w:pPr>
        <w:spacing w:after="0" w:line="1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ANZ Securities, Inc.</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Commerz Markets LLC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U.S. Bancorp Investments, Inc.</w:t>
      </w:r>
    </w:p>
    <w:p>
      <w:pPr>
        <w:sectPr>
          <w:pgSz w:w="11900" w:h="16838" w:orient="portrait"/>
          <w:cols w:equalWidth="0" w:num="1">
            <w:col w:w="11240"/>
          </w:cols>
          <w:pgMar w:left="320" w:top="900" w:right="3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Note: A securities rating is not a recommendation to buy, sell or hold securities and may be subject to revision or withdrawal at any time.</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prospectus supplement with the Securities and Exchange Commission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Morgan Stanley &amp; Co. LLC toll-free at 1-866-718-1649, Credit Agricole Securities (USA) Inc. at 1-866-807-6030 or Scotia Capital (USA) Inc. toll free at 1-800-372-3930.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2024-01-11T05:10:10Z</dcterms:created>
  <dcterms:modified xsi:type="dcterms:W3CDTF">2024-01-11T05:10:10Z</dcterms:modified>
</cp:coreProperties>
</file>