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Micron Technology Incorporated</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Cusip #595112103</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#595112103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Corp.</w:t>
      </w:r>
    </w:p>
    <w:p>
      <w:pPr>
        <w:spacing w:after="0" w:line="238" w:lineRule="auto"/>
        <w:rPr>
          <w:sz w:val="20"/>
          <w:szCs w:val="20"/>
          <w:color w:val="auto"/>
        </w:rPr>
      </w:pPr>
      <w:r>
        <w:rPr>
          <w:rFonts w:ascii="Courier New" w:cs="Courier New" w:eastAsia="Courier New" w:hAnsi="Courier New"/>
          <w:sz w:val="18"/>
          <w:szCs w:val="18"/>
          <w:color w:val="auto"/>
        </w:rPr>
        <w:t>Item 4: Delaware</w:t>
      </w:r>
    </w:p>
    <w:p>
      <w:pPr>
        <w:spacing w:after="0"/>
        <w:rPr>
          <w:sz w:val="20"/>
          <w:szCs w:val="20"/>
          <w:color w:val="auto"/>
        </w:rPr>
      </w:pPr>
      <w:r>
        <w:rPr>
          <w:rFonts w:ascii="Courier New" w:cs="Courier New" w:eastAsia="Courier New" w:hAnsi="Courier New"/>
          <w:sz w:val="18"/>
          <w:szCs w:val="18"/>
          <w:color w:val="auto"/>
        </w:rPr>
        <w:t>Item 5: 656,636</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18,730,921</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18,730,921</w:t>
      </w:r>
    </w:p>
    <w:tbl>
      <w:tblPr>
        <w:tblLayout w:type="fixed"/>
        <w:tblInd w:w="0" w:type="dxa"/>
        <w:tblCellMar>
          <w:top w:w="0" w:type="dxa"/>
          <w:left w:w="0" w:type="dxa"/>
          <w:bottom w:w="0" w:type="dxa"/>
          <w:right w:w="0" w:type="dxa"/>
        </w:tblCellMar>
      </w:tblPr>
      <w:tr>
        <w:trPr>
          <w:trHeight w:val="171"/>
        </w:trPr>
        <w:tc>
          <w:tcPr>
            <w:tcW w:w="480" w:type="dxa"/>
            <w:vAlign w:val="bottom"/>
          </w:tcPr>
          <w:p>
            <w:pPr>
              <w:spacing w:after="0" w:line="170"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170"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rPr>
              <w:t>3.066%</w:t>
            </w:r>
          </w:p>
        </w:tc>
      </w:tr>
      <w:tr>
        <w:trPr>
          <w:trHeight w:val="296"/>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HC</w:t>
            </w:r>
          </w:p>
        </w:tc>
      </w:tr>
    </w:tbl>
    <w:p>
      <w:pPr>
        <w:spacing w:after="0" w:line="31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#595112103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Edward C. Johnson 3d</w:t>
      </w:r>
    </w:p>
    <w:p>
      <w:pPr>
        <w:spacing w:after="0" w:line="238" w:lineRule="auto"/>
        <w:rPr>
          <w:sz w:val="20"/>
          <w:szCs w:val="20"/>
          <w:color w:val="auto"/>
        </w:rPr>
      </w:pPr>
      <w:r>
        <w:rPr>
          <w:rFonts w:ascii="Courier New" w:cs="Courier New" w:eastAsia="Courier New" w:hAnsi="Courier New"/>
          <w:sz w:val="18"/>
          <w:szCs w:val="18"/>
          <w:color w:val="auto"/>
        </w:rPr>
        <w:t>Item 4: United States of America</w:t>
      </w:r>
    </w:p>
    <w:p>
      <w:pPr>
        <w:spacing w:after="0"/>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18,730,921</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18,730,921</w:t>
      </w:r>
    </w:p>
    <w:tbl>
      <w:tblPr>
        <w:tblLayout w:type="fixed"/>
        <w:tblInd w:w="0" w:type="dxa"/>
        <w:tblCellMar>
          <w:top w:w="0" w:type="dxa"/>
          <w:left w:w="0" w:type="dxa"/>
          <w:bottom w:w="0" w:type="dxa"/>
          <w:right w:w="0" w:type="dxa"/>
        </w:tblCellMar>
      </w:tblPr>
      <w:tr>
        <w:trPr>
          <w:trHeight w:val="171"/>
        </w:trPr>
        <w:tc>
          <w:tcPr>
            <w:tcW w:w="480" w:type="dxa"/>
            <w:vAlign w:val="bottom"/>
          </w:tcPr>
          <w:p>
            <w:pPr>
              <w:spacing w:after="0" w:line="170"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170"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ind w:left="420"/>
              <w:spacing w:after="0" w:line="170" w:lineRule="exact"/>
              <w:rPr>
                <w:sz w:val="20"/>
                <w:szCs w:val="20"/>
                <w:color w:val="auto"/>
              </w:rPr>
            </w:pPr>
            <w:r>
              <w:rPr>
                <w:rFonts w:ascii="Courier New" w:cs="Courier New" w:eastAsia="Courier New" w:hAnsi="Courier New"/>
                <w:sz w:val="18"/>
                <w:szCs w:val="18"/>
                <w:color w:val="auto"/>
                <w:w w:val="92"/>
              </w:rPr>
              <w:t>3.066%</w:t>
            </w:r>
          </w:p>
        </w:tc>
      </w:tr>
      <w:tr>
        <w:trPr>
          <w:trHeight w:val="296"/>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12:</w:t>
            </w:r>
          </w:p>
        </w:tc>
        <w:tc>
          <w:tcPr>
            <w:tcW w:w="1040" w:type="dxa"/>
            <w:vAlign w:val="bottom"/>
          </w:tcPr>
          <w:p>
            <w:pPr>
              <w:ind w:left="420"/>
              <w:spacing w:after="0"/>
              <w:rPr>
                <w:sz w:val="20"/>
                <w:szCs w:val="20"/>
                <w:color w:val="auto"/>
              </w:rPr>
            </w:pPr>
            <w:r>
              <w:rPr>
                <w:rFonts w:ascii="Courier New" w:cs="Courier New" w:eastAsia="Courier New" w:hAnsi="Courier New"/>
                <w:sz w:val="18"/>
                <w:szCs w:val="18"/>
                <w:color w:val="auto"/>
              </w:rPr>
              <w:t>IN</w:t>
            </w:r>
          </w:p>
        </w:tc>
      </w:tr>
    </w:tbl>
    <w:p>
      <w:pPr>
        <w:spacing w:after="0" w:line="31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#595112103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line="238" w:lineRule="auto"/>
        <w:rPr>
          <w:sz w:val="20"/>
          <w:szCs w:val="20"/>
          <w:color w:val="auto"/>
        </w:rPr>
      </w:pPr>
      <w:r>
        <w:rPr>
          <w:rFonts w:ascii="Courier New" w:cs="Courier New" w:eastAsia="Courier New" w:hAnsi="Courier New"/>
          <w:sz w:val="18"/>
          <w:szCs w:val="18"/>
          <w:color w:val="auto"/>
        </w:rPr>
        <w:t>Item 4: United States of America</w:t>
      </w:r>
    </w:p>
    <w:p>
      <w:pPr>
        <w:spacing w:after="0"/>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18,730,921</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18,730,921</w:t>
      </w:r>
    </w:p>
    <w:tbl>
      <w:tblPr>
        <w:tblLayout w:type="fixed"/>
        <w:tblInd w:w="0" w:type="dxa"/>
        <w:tblCellMar>
          <w:top w:w="0" w:type="dxa"/>
          <w:left w:w="0" w:type="dxa"/>
          <w:bottom w:w="0" w:type="dxa"/>
          <w:right w:w="0" w:type="dxa"/>
        </w:tblCellMar>
      </w:tblPr>
      <w:tr>
        <w:trPr>
          <w:trHeight w:val="171"/>
        </w:trPr>
        <w:tc>
          <w:tcPr>
            <w:tcW w:w="480" w:type="dxa"/>
            <w:vAlign w:val="bottom"/>
          </w:tcPr>
          <w:p>
            <w:pPr>
              <w:spacing w:after="0" w:line="170"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170"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rPr>
              <w:t>3.066%</w:t>
            </w:r>
          </w:p>
        </w:tc>
      </w:tr>
      <w:tr>
        <w:trPr>
          <w:trHeight w:val="296"/>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314"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jc w:val="center"/>
        <w:ind w:right="3679"/>
        <w:spacing w:after="0"/>
        <w:rPr>
          <w:sz w:val="20"/>
          <w:szCs w:val="20"/>
          <w:color w:val="auto"/>
        </w:rPr>
      </w:pPr>
      <w:r>
        <w:rPr>
          <w:rFonts w:ascii="Courier New" w:cs="Courier New" w:eastAsia="Courier New" w:hAnsi="Courier New"/>
          <w:sz w:val="18"/>
          <w:szCs w:val="18"/>
          <w:color w:val="auto"/>
        </w:rPr>
        <w:t>Micron Technology Incorporated</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8000 South Federal Way</w:t>
      </w:r>
    </w:p>
    <w:p>
      <w:pPr>
        <w:spacing w:after="0" w:line="29"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P.O. Box 6</w:t>
      </w:r>
    </w:p>
    <w:p>
      <w:pPr>
        <w:ind w:left="1700"/>
        <w:spacing w:after="0"/>
        <w:tabs>
          <w:tab w:leader="none" w:pos="2840" w:val="left"/>
        </w:tabs>
        <w:rPr>
          <w:sz w:val="20"/>
          <w:szCs w:val="20"/>
          <w:color w:val="auto"/>
        </w:rPr>
      </w:pPr>
      <w:r>
        <w:rPr>
          <w:rFonts w:ascii="Courier New" w:cs="Courier New" w:eastAsia="Courier New" w:hAnsi="Courier New"/>
          <w:sz w:val="18"/>
          <w:szCs w:val="18"/>
          <w:color w:val="auto"/>
        </w:rPr>
        <w:t>Boise, ID</w:t>
      </w:r>
      <w:r>
        <w:rPr>
          <w:sz w:val="20"/>
          <w:szCs w:val="20"/>
          <w:color w:val="auto"/>
        </w:rPr>
        <w:tab/>
      </w:r>
      <w:r>
        <w:rPr>
          <w:rFonts w:ascii="Courier New" w:cs="Courier New" w:eastAsia="Courier New" w:hAnsi="Courier New"/>
          <w:sz w:val="16"/>
          <w:szCs w:val="16"/>
          <w:color w:val="auto"/>
        </w:rPr>
        <w:t>83716-9632</w:t>
      </w:r>
    </w:p>
    <w:p>
      <w:pPr>
        <w:spacing w:after="0" w:line="37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4"/>
          <w:szCs w:val="24"/>
          <w:color w:val="auto"/>
        </w:rPr>
      </w:pPr>
    </w:p>
    <w:p>
      <w:pPr>
        <w:ind w:right="3359"/>
        <w:spacing w:after="0" w:line="347"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18"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31" w:lineRule="exact"/>
        <w:rPr>
          <w:sz w:val="24"/>
          <w:szCs w:val="24"/>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169"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ectPr>
          <w:pgSz w:w="11900" w:h="16838" w:orient="portrait"/>
          <w:cols w:equalWidth="0" w:num="1">
            <w:col w:w="10219"/>
          </w:cols>
          <w:pgMar w:left="240" w:top="218" w:right="1440" w:bottom="0" w:gutter="0" w:footer="0" w:header="0"/>
        </w:sectPr>
      </w:pPr>
    </w:p>
    <w:bookmarkStart w:id="1" w:name="page2"/>
    <w:bookmarkEnd w:id="1"/>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595112103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53" w:lineRule="exact"/>
        <w:rPr>
          <w:sz w:val="20"/>
          <w:szCs w:val="20"/>
          <w:color w:val="auto"/>
        </w:rPr>
      </w:pPr>
    </w:p>
    <w:p>
      <w:pPr>
        <w:ind w:right="3779"/>
        <w:spacing w:after="0" w:line="273" w:lineRule="auto"/>
        <w:rPr>
          <w:sz w:val="20"/>
          <w:szCs w:val="20"/>
          <w:color w:val="auto"/>
        </w:rPr>
      </w:pPr>
      <w:r>
        <w:rPr>
          <w:rFonts w:ascii="Courier New" w:cs="Courier New" w:eastAsia="Courier New" w:hAnsi="Courier New"/>
          <w:sz w:val="18"/>
          <w:szCs w:val="18"/>
          <w:color w:val="auto"/>
        </w:rPr>
        <w:t>and the person filing, FMR Corp., is a parent holding company in accordance with Section 240.13d-1(b)(ii)(G). (Note: See Item 7).</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96"/>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18,730,921</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3.066%</w:t>
            </w:r>
          </w:p>
        </w:tc>
        <w:tc>
          <w:tcPr>
            <w:tcW w:w="1160" w:type="dxa"/>
            <w:vAlign w:val="bottom"/>
          </w:tcPr>
          <w:p>
            <w:pPr>
              <w:spacing w:after="0"/>
              <w:rPr>
                <w:sz w:val="24"/>
                <w:szCs w:val="24"/>
                <w:color w:val="auto"/>
              </w:rPr>
            </w:pPr>
          </w:p>
        </w:tc>
      </w:tr>
    </w:tbl>
    <w:p>
      <w:pPr>
        <w:spacing w:after="0" w:line="109"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110" w:right="1440" w:bottom="0" w:gutter="0" w:footer="0" w:header="0"/>
        </w:sectPr>
      </w:pP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656,636</w:t>
      </w:r>
    </w:p>
    <w:p>
      <w:pPr>
        <w:spacing w:after="0" w:line="169" w:lineRule="exact"/>
        <w:rPr>
          <w:sz w:val="20"/>
          <w:szCs w:val="20"/>
          <w:color w:val="auto"/>
        </w:rPr>
      </w:pPr>
    </w:p>
    <w:p>
      <w:pPr>
        <w:sectPr>
          <w:pgSz w:w="11900" w:h="16838" w:orient="portrait"/>
          <w:cols w:equalWidth="0" w:num="2">
            <w:col w:w="1160" w:space="540"/>
            <w:col w:w="8519"/>
          </w:cols>
          <w:pgMar w:left="240" w:top="110" w:right="1440" w:bottom="0" w:gutter="0" w:footer="0" w:header="0"/>
          <w:type w:val="continuous"/>
        </w:sect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120" w:type="dxa"/>
            <w:vAlign w:val="bottom"/>
          </w:tcPr>
          <w:p>
            <w:pPr>
              <w:spacing w:after="0"/>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77"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060" w:type="dxa"/>
            <w:vAlign w:val="bottom"/>
          </w:tcPr>
          <w:p>
            <w:pPr>
              <w:spacing w:after="0"/>
              <w:rPr>
                <w:sz w:val="20"/>
                <w:szCs w:val="20"/>
                <w:color w:val="auto"/>
              </w:rPr>
            </w:pPr>
            <w:r>
              <w:rPr>
                <w:rFonts w:ascii="Courier New" w:cs="Courier New" w:eastAsia="Courier New" w:hAnsi="Courier New"/>
                <w:sz w:val="18"/>
                <w:szCs w:val="18"/>
                <w:color w:val="auto"/>
              </w:rPr>
              <w:t>direct the disposition of:</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18,730,921</w:t>
            </w:r>
          </w:p>
        </w:tc>
      </w:tr>
    </w:tbl>
    <w:p>
      <w:pPr>
        <w:spacing w:after="0" w:line="77"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060" w:type="dxa"/>
            <w:vAlign w:val="bottom"/>
          </w:tcPr>
          <w:p>
            <w:pPr>
              <w:spacing w:after="0"/>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right="2419" w:firstLine="843"/>
        <w:spacing w:after="0" w:line="25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w:t>
      </w:r>
    </w:p>
    <w:p>
      <w:pPr>
        <w:ind w:right="4099"/>
        <w:spacing w:after="0" w:line="309" w:lineRule="auto"/>
        <w:rPr>
          <w:sz w:val="20"/>
          <w:szCs w:val="20"/>
          <w:color w:val="auto"/>
        </w:rPr>
      </w:pPr>
      <w:r>
        <w:rPr>
          <w:rFonts w:ascii="Courier New" w:cs="Courier New" w:eastAsia="Courier New" w:hAnsi="Courier New"/>
          <w:sz w:val="18"/>
          <w:szCs w:val="18"/>
          <w:color w:val="auto"/>
        </w:rPr>
        <w:t>beneficial owner of more than five percent of the class of securities, check the following (X).</w:t>
      </w:r>
    </w:p>
    <w:p>
      <w:pPr>
        <w:spacing w:after="0" w:line="51" w:lineRule="exact"/>
        <w:rPr>
          <w:sz w:val="20"/>
          <w:szCs w:val="20"/>
          <w:color w:val="auto"/>
        </w:rPr>
      </w:pPr>
    </w:p>
    <w:p>
      <w:pPr>
        <w:ind w:right="3479"/>
        <w:spacing w:after="0" w:line="347"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right="335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6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w:t>
      </w:r>
    </w:p>
    <w:p>
      <w:pPr>
        <w:spacing w:after="0" w:line="201" w:lineRule="exact"/>
        <w:rPr>
          <w:sz w:val="20"/>
          <w:szCs w:val="20"/>
          <w:color w:val="auto"/>
        </w:rPr>
      </w:pPr>
    </w:p>
    <w:p>
      <w:pPr>
        <w:ind w:right="4419"/>
        <w:spacing w:after="0" w:line="347"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right="2839" w:firstLine="843"/>
        <w:spacing w:after="0" w:line="245" w:lineRule="auto"/>
        <w:rPr>
          <w:sz w:val="20"/>
          <w:szCs w:val="20"/>
          <w:color w:val="auto"/>
        </w:rPr>
      </w:pPr>
      <w:r>
        <w:rPr>
          <w:rFonts w:ascii="Courier New" w:cs="Courier New" w:eastAsia="Courier New" w:hAnsi="Courier New"/>
          <w:sz w:val="18"/>
          <w:szCs w:val="18"/>
          <w:color w:val="auto"/>
        </w:rPr>
        <w:t>Inasmuch as the reporting persons are no longer the beneficial owners of more than five percent of the number of shares outstanding, the reporting persons have no further reporting obligation under Section 13(d) of the Securities and Exchange Commission thereunder, and the reporting persons have no</w:t>
      </w:r>
    </w:p>
    <w:p>
      <w:pPr>
        <w:spacing w:after="0" w:line="4" w:lineRule="exact"/>
        <w:rPr>
          <w:sz w:val="20"/>
          <w:szCs w:val="20"/>
          <w:color w:val="auto"/>
        </w:rPr>
      </w:pPr>
    </w:p>
    <w:p>
      <w:pPr>
        <w:ind w:right="4199"/>
        <w:spacing w:after="0" w:line="309" w:lineRule="auto"/>
        <w:rPr>
          <w:sz w:val="20"/>
          <w:szCs w:val="20"/>
          <w:color w:val="auto"/>
        </w:rPr>
      </w:pPr>
      <w:r>
        <w:rPr>
          <w:rFonts w:ascii="Courier New" w:cs="Courier New" w:eastAsia="Courier New" w:hAnsi="Courier New"/>
          <w:sz w:val="18"/>
          <w:szCs w:val="18"/>
          <w:color w:val="auto"/>
        </w:rPr>
        <w:t>obligation to amend this Statement if any material change occurs in the facts set forth herein.</w:t>
      </w:r>
    </w:p>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039" w:firstLine="843"/>
        <w:spacing w:after="0" w:line="282"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Schedule 13G in connection with FMR Corp.'s beneficial ownership of</w:t>
      </w:r>
    </w:p>
    <w:p>
      <w:pPr>
        <w:spacing w:after="0" w:line="1" w:lineRule="exact"/>
        <w:rPr>
          <w:sz w:val="20"/>
          <w:szCs w:val="20"/>
          <w:color w:val="auto"/>
        </w:rPr>
      </w:pPr>
    </w:p>
    <w:p>
      <w:pPr>
        <w:ind w:right="4619"/>
        <w:spacing w:after="0" w:line="309" w:lineRule="auto"/>
        <w:rPr>
          <w:sz w:val="20"/>
          <w:szCs w:val="20"/>
          <w:color w:val="auto"/>
        </w:rPr>
      </w:pPr>
      <w:r>
        <w:rPr>
          <w:rFonts w:ascii="Courier New" w:cs="Courier New" w:eastAsia="Courier New" w:hAnsi="Courier New"/>
          <w:sz w:val="18"/>
          <w:szCs w:val="18"/>
          <w:color w:val="auto"/>
        </w:rPr>
        <w:t>the Common Stock of Micron Technology Incorporated at December 31, 2003 is true, complete and correct.</w:t>
      </w:r>
    </w:p>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16, 2004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/s/Eric D. Roiter</w:t>
      </w:r>
    </w:p>
    <w:p>
      <w:pPr>
        <w:sectPr>
          <w:pgSz w:w="11900" w:h="16838" w:orient="portrait"/>
          <w:cols w:equalWidth="0" w:num="1">
            <w:col w:w="10219"/>
          </w:cols>
          <w:pgMar w:left="240" w:top="110" w:right="1440" w:bottom="0" w:gutter="0" w:footer="0" w:header="0"/>
          <w:type w:val="continuous"/>
        </w:sectPr>
      </w:pPr>
    </w:p>
    <w:bookmarkStart w:id="2" w:name="page3"/>
    <w:bookmarkEnd w:id="2"/>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Eric D. Roiter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Duly authorized under Power of Attorney</w:t>
      </w:r>
    </w:p>
    <w:p>
      <w:pPr>
        <w:spacing w:after="0" w:line="238" w:lineRule="auto"/>
        <w:rPr>
          <w:sz w:val="20"/>
          <w:szCs w:val="20"/>
          <w:color w:val="auto"/>
        </w:rPr>
      </w:pPr>
      <w:r>
        <w:rPr>
          <w:rFonts w:ascii="Courier New" w:cs="Courier New" w:eastAsia="Courier New" w:hAnsi="Courier New"/>
          <w:sz w:val="18"/>
          <w:szCs w:val="18"/>
          <w:color w:val="auto"/>
        </w:rPr>
        <w:t>dated December 30, 1997 by and on behalf</w:t>
      </w:r>
    </w:p>
    <w:p>
      <w:pPr>
        <w:spacing w:after="0"/>
        <w:rPr>
          <w:sz w:val="20"/>
          <w:szCs w:val="20"/>
          <w:color w:val="auto"/>
        </w:rPr>
      </w:pPr>
      <w:r>
        <w:rPr>
          <w:rFonts w:ascii="Courier New" w:cs="Courier New" w:eastAsia="Courier New" w:hAnsi="Courier New"/>
          <w:sz w:val="18"/>
          <w:szCs w:val="18"/>
          <w:color w:val="auto"/>
        </w:rPr>
        <w:t>of FMR Corp. and its direct and indirect</w:t>
      </w:r>
    </w:p>
    <w:p>
      <w:pPr>
        <w:spacing w:after="0"/>
        <w:rPr>
          <w:sz w:val="20"/>
          <w:szCs w:val="20"/>
          <w:color w:val="auto"/>
        </w:rPr>
      </w:pPr>
      <w:r>
        <w:rPr>
          <w:rFonts w:ascii="Courier New" w:cs="Courier New" w:eastAsia="Courier New" w:hAnsi="Courier New"/>
          <w:sz w:val="18"/>
          <w:szCs w:val="18"/>
          <w:color w:val="auto"/>
        </w:rPr>
        <w:t>subsidiaries</w:t>
      </w:r>
    </w:p>
    <w:p>
      <w:pPr>
        <w:spacing w:after="0" w:line="37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37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Pursuant to the instructions in Item 7 of Schedule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 Fidelity Management &amp; Research Company</w:t>
      </w:r>
    </w:p>
    <w:p>
      <w:pPr>
        <w:spacing w:after="0" w:line="238" w:lineRule="auto"/>
        <w:rPr>
          <w:sz w:val="20"/>
          <w:szCs w:val="20"/>
          <w:color w:val="auto"/>
        </w:rPr>
      </w:pPr>
      <w:r>
        <w:rPr>
          <w:rFonts w:ascii="Courier New" w:cs="Courier New" w:eastAsia="Courier New" w:hAnsi="Courier New"/>
          <w:sz w:val="18"/>
          <w:szCs w:val="18"/>
          <w:color w:val="auto"/>
        </w:rPr>
        <w:t>("Fidelity"), 82 Devonshire Street, Boston, Massachusetts</w:t>
      </w:r>
    </w:p>
    <w:p>
      <w:pPr>
        <w:spacing w:after="0"/>
        <w:rPr>
          <w:sz w:val="20"/>
          <w:szCs w:val="20"/>
          <w:color w:val="auto"/>
        </w:rPr>
      </w:pPr>
      <w:r>
        <w:rPr>
          <w:rFonts w:ascii="Courier New" w:cs="Courier New" w:eastAsia="Courier New" w:hAnsi="Courier New"/>
          <w:sz w:val="18"/>
          <w:szCs w:val="18"/>
          <w:color w:val="auto"/>
        </w:rPr>
        <w:t>02109, a wholly-owned subsidiary of FMR Corp. and an</w:t>
      </w:r>
    </w:p>
    <w:p>
      <w:pPr>
        <w:spacing w:after="0" w:line="238" w:lineRule="auto"/>
        <w:rPr>
          <w:sz w:val="20"/>
          <w:szCs w:val="20"/>
          <w:color w:val="auto"/>
        </w:rPr>
      </w:pPr>
      <w:r>
        <w:rPr>
          <w:rFonts w:ascii="Courier New" w:cs="Courier New" w:eastAsia="Courier New" w:hAnsi="Courier New"/>
          <w:sz w:val="18"/>
          <w:szCs w:val="18"/>
          <w:color w:val="auto"/>
        </w:rPr>
        <w:t>investment adviser registered under Section 203 of the</w:t>
      </w:r>
    </w:p>
    <w:p>
      <w:pPr>
        <w:spacing w:after="0"/>
        <w:rPr>
          <w:sz w:val="20"/>
          <w:szCs w:val="20"/>
          <w:color w:val="auto"/>
        </w:rPr>
      </w:pPr>
      <w:r>
        <w:rPr>
          <w:rFonts w:ascii="Courier New" w:cs="Courier New" w:eastAsia="Courier New" w:hAnsi="Courier New"/>
          <w:sz w:val="18"/>
          <w:szCs w:val="18"/>
          <w:color w:val="auto"/>
        </w:rPr>
        <w:t>Investment Advisers Act of 1940, is the beneficial owner of</w:t>
      </w:r>
    </w:p>
    <w:p>
      <w:pPr>
        <w:spacing w:after="0" w:line="238" w:lineRule="auto"/>
        <w:rPr>
          <w:sz w:val="20"/>
          <w:szCs w:val="20"/>
          <w:color w:val="auto"/>
        </w:rPr>
      </w:pPr>
      <w:r>
        <w:rPr>
          <w:rFonts w:ascii="Courier New" w:cs="Courier New" w:eastAsia="Courier New" w:hAnsi="Courier New"/>
          <w:sz w:val="18"/>
          <w:szCs w:val="18"/>
          <w:color w:val="auto"/>
        </w:rPr>
        <w:t>18,068,975 shares or 2.958% of the Common Stock</w:t>
      </w:r>
    </w:p>
    <w:p>
      <w:pPr>
        <w:spacing w:after="0"/>
        <w:tabs>
          <w:tab w:leader="none" w:pos="4940" w:val="left"/>
        </w:tabs>
        <w:rPr>
          <w:sz w:val="20"/>
          <w:szCs w:val="20"/>
          <w:color w:val="auto"/>
        </w:rPr>
      </w:pPr>
      <w:r>
        <w:rPr>
          <w:rFonts w:ascii="Courier New" w:cs="Courier New" w:eastAsia="Courier New" w:hAnsi="Courier New"/>
          <w:sz w:val="18"/>
          <w:szCs w:val="18"/>
          <w:color w:val="auto"/>
        </w:rPr>
        <w:t>outstanding of Micron Technology Incorporated</w:t>
      </w:r>
      <w:r>
        <w:rPr>
          <w:sz w:val="20"/>
          <w:szCs w:val="20"/>
          <w:color w:val="auto"/>
        </w:rPr>
        <w:tab/>
      </w:r>
      <w:r>
        <w:rPr>
          <w:rFonts w:ascii="Courier New" w:cs="Courier New" w:eastAsia="Courier New" w:hAnsi="Courier New"/>
          <w:sz w:val="16"/>
          <w:szCs w:val="16"/>
          <w:color w:val="auto"/>
        </w:rPr>
        <w:t>("the</w:t>
      </w:r>
    </w:p>
    <w:p>
      <w:pPr>
        <w:spacing w:after="0" w:line="238" w:lineRule="auto"/>
        <w:rPr>
          <w:sz w:val="20"/>
          <w:szCs w:val="20"/>
          <w:color w:val="auto"/>
        </w:rPr>
      </w:pPr>
      <w:r>
        <w:rPr>
          <w:rFonts w:ascii="Courier New" w:cs="Courier New" w:eastAsia="Courier New" w:hAnsi="Courier New"/>
          <w:sz w:val="18"/>
          <w:szCs w:val="18"/>
          <w:color w:val="auto"/>
        </w:rPr>
        <w:t>Company") as a result of acting as investment adviser to</w:t>
      </w:r>
    </w:p>
    <w:p>
      <w:pPr>
        <w:spacing w:after="0"/>
        <w:rPr>
          <w:sz w:val="20"/>
          <w:szCs w:val="20"/>
          <w:color w:val="auto"/>
        </w:rPr>
      </w:pPr>
      <w:r>
        <w:rPr>
          <w:rFonts w:ascii="Courier New" w:cs="Courier New" w:eastAsia="Courier New" w:hAnsi="Courier New"/>
          <w:sz w:val="18"/>
          <w:szCs w:val="18"/>
          <w:color w:val="auto"/>
        </w:rPr>
        <w:t>various investment companies registered under Section 8 of</w:t>
      </w:r>
    </w:p>
    <w:p>
      <w:pPr>
        <w:spacing w:after="0" w:line="238" w:lineRule="auto"/>
        <w:rPr>
          <w:sz w:val="20"/>
          <w:szCs w:val="20"/>
          <w:color w:val="auto"/>
        </w:rPr>
      </w:pPr>
      <w:r>
        <w:rPr>
          <w:rFonts w:ascii="Courier New" w:cs="Courier New" w:eastAsia="Courier New" w:hAnsi="Courier New"/>
          <w:sz w:val="18"/>
          <w:szCs w:val="18"/>
          <w:color w:val="auto"/>
        </w:rPr>
        <w:t>the Investment Company Act of 1940. The number of shares</w:t>
      </w:r>
    </w:p>
    <w:p>
      <w:pPr>
        <w:ind w:right="4099"/>
        <w:spacing w:after="0" w:line="238" w:lineRule="auto"/>
        <w:rPr>
          <w:sz w:val="20"/>
          <w:szCs w:val="20"/>
          <w:color w:val="auto"/>
        </w:rPr>
      </w:pPr>
      <w:r>
        <w:rPr>
          <w:rFonts w:ascii="Courier New" w:cs="Courier New" w:eastAsia="Courier New" w:hAnsi="Courier New"/>
          <w:sz w:val="18"/>
          <w:szCs w:val="18"/>
          <w:color w:val="auto"/>
        </w:rPr>
        <w:t>of Common Stock of Micron Technology Incorporated owned by the investment companies at December 31, 2003 included 257,295 shares of Common Stock resulting from the assumed conversion of $3,033,000 principal amount of MICRON CONV 2.5% 2/1/10 144A (84.832 shares of Common Stock for each $1,000 principal amount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debenture).</w:t>
      </w:r>
    </w:p>
    <w:p>
      <w:pPr>
        <w:spacing w:after="0" w:line="169" w:lineRule="exact"/>
        <w:rPr>
          <w:sz w:val="20"/>
          <w:szCs w:val="20"/>
          <w:color w:val="auto"/>
        </w:rPr>
      </w:pPr>
    </w:p>
    <w:p>
      <w:pPr>
        <w:ind w:right="4199" w:firstLine="843"/>
        <w:spacing w:after="0" w:line="292"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18,068,975 shares owned by the Funds.</w:t>
      </w:r>
    </w:p>
    <w:p>
      <w:pPr>
        <w:spacing w:after="0" w:line="66" w:lineRule="exact"/>
        <w:rPr>
          <w:sz w:val="20"/>
          <w:szCs w:val="20"/>
          <w:color w:val="auto"/>
        </w:rPr>
      </w:pPr>
    </w:p>
    <w:p>
      <w:pPr>
        <w:ind w:right="3679" w:firstLine="843"/>
        <w:spacing w:after="0" w:line="260"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93" w:lineRule="exact"/>
        <w:rPr>
          <w:sz w:val="20"/>
          <w:szCs w:val="20"/>
          <w:color w:val="auto"/>
        </w:rPr>
      </w:pPr>
    </w:p>
    <w:p>
      <w:pPr>
        <w:ind w:right="3679" w:firstLine="843"/>
        <w:spacing w:after="0" w:line="256"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661,796 shares or 0.108% of the Common Stock outstanding of the Company as a result of its serving as investment manager of the institutional account(s).</w:t>
      </w:r>
    </w:p>
    <w:p>
      <w:pPr>
        <w:spacing w:after="0" w:line="9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 and FMR Corp., through its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control of Fidelity Management Trust Company, each has</w:t>
      </w:r>
    </w:p>
    <w:p>
      <w:pPr>
        <w:spacing w:after="0" w:line="238" w:lineRule="auto"/>
        <w:rPr>
          <w:sz w:val="20"/>
          <w:szCs w:val="20"/>
          <w:color w:val="auto"/>
        </w:rPr>
      </w:pPr>
      <w:r>
        <w:rPr>
          <w:rFonts w:ascii="Courier New" w:cs="Courier New" w:eastAsia="Courier New" w:hAnsi="Courier New"/>
          <w:sz w:val="18"/>
          <w:szCs w:val="18"/>
          <w:color w:val="auto"/>
        </w:rPr>
        <w:t>sole dispositive power over 661,796 shares and sole power to</w:t>
      </w:r>
    </w:p>
    <w:p>
      <w:pPr>
        <w:spacing w:after="0"/>
        <w:rPr>
          <w:sz w:val="20"/>
          <w:szCs w:val="20"/>
          <w:color w:val="auto"/>
        </w:rPr>
      </w:pPr>
      <w:r>
        <w:rPr>
          <w:rFonts w:ascii="Courier New" w:cs="Courier New" w:eastAsia="Courier New" w:hAnsi="Courier New"/>
          <w:sz w:val="18"/>
          <w:szCs w:val="18"/>
          <w:color w:val="auto"/>
        </w:rPr>
        <w:t>vote or to direct the voting of 641,196 shares, and no power</w:t>
      </w:r>
    </w:p>
    <w:p>
      <w:pPr>
        <w:spacing w:after="0" w:line="238" w:lineRule="auto"/>
        <w:rPr>
          <w:sz w:val="20"/>
          <w:szCs w:val="20"/>
          <w:color w:val="auto"/>
        </w:rPr>
      </w:pPr>
      <w:r>
        <w:rPr>
          <w:rFonts w:ascii="Courier New" w:cs="Courier New" w:eastAsia="Courier New" w:hAnsi="Courier New"/>
          <w:sz w:val="18"/>
          <w:szCs w:val="18"/>
          <w:color w:val="auto"/>
        </w:rPr>
        <w:t>to vote or to direct the voting of 20,600 shares of Common</w:t>
      </w:r>
    </w:p>
    <w:p>
      <w:pPr>
        <w:spacing w:after="0"/>
        <w:rPr>
          <w:sz w:val="20"/>
          <w:szCs w:val="20"/>
          <w:color w:val="auto"/>
        </w:rPr>
      </w:pPr>
      <w:r>
        <w:rPr>
          <w:rFonts w:ascii="Courier New" w:cs="Courier New" w:eastAsia="Courier New" w:hAnsi="Courier New"/>
          <w:sz w:val="18"/>
          <w:szCs w:val="18"/>
          <w:color w:val="auto"/>
        </w:rPr>
        <w:t>Stock owned by the institutional account(s) as reported</w:t>
      </w:r>
    </w:p>
    <w:p>
      <w:pPr>
        <w:spacing w:after="0"/>
        <w:rPr>
          <w:sz w:val="20"/>
          <w:szCs w:val="20"/>
          <w:color w:val="auto"/>
        </w:rPr>
      </w:pPr>
      <w:r>
        <w:rPr>
          <w:rFonts w:ascii="Courier New" w:cs="Courier New" w:eastAsia="Courier New" w:hAnsi="Courier New"/>
          <w:sz w:val="18"/>
          <w:szCs w:val="18"/>
          <w:color w:val="auto"/>
        </w:rPr>
        <w:t>above.</w:t>
      </w:r>
    </w:p>
    <w:p>
      <w:pPr>
        <w:spacing w:after="0" w:line="169" w:lineRule="exact"/>
        <w:rPr>
          <w:sz w:val="20"/>
          <w:szCs w:val="20"/>
          <w:color w:val="auto"/>
        </w:rPr>
      </w:pPr>
    </w:p>
    <w:p>
      <w:pPr>
        <w:ind w:right="4419" w:firstLine="843"/>
        <w:spacing w:after="0" w:line="289" w:lineRule="auto"/>
        <w:rPr>
          <w:sz w:val="20"/>
          <w:szCs w:val="20"/>
          <w:color w:val="auto"/>
        </w:rPr>
      </w:pPr>
      <w:r>
        <w:rPr>
          <w:rFonts w:ascii="Courier New" w:cs="Courier New" w:eastAsia="Courier New" w:hAnsi="Courier New"/>
          <w:sz w:val="16"/>
          <w:szCs w:val="16"/>
          <w:color w:val="auto"/>
        </w:rPr>
        <w:t>Strategic Advisers, Inc., 82 Devonshire Street, Boston, MA 02109, a wholly-owned subsidiary of FMR</w:t>
      </w:r>
    </w:p>
    <w:p>
      <w:pPr>
        <w:spacing w:after="0" w:line="1" w:lineRule="exact"/>
        <w:rPr>
          <w:sz w:val="20"/>
          <w:szCs w:val="20"/>
          <w:color w:val="auto"/>
        </w:rPr>
      </w:pPr>
    </w:p>
    <w:p>
      <w:pPr>
        <w:ind w:right="3899"/>
        <w:spacing w:after="0" w:line="250" w:lineRule="auto"/>
        <w:rPr>
          <w:sz w:val="20"/>
          <w:szCs w:val="20"/>
          <w:color w:val="auto"/>
        </w:rPr>
      </w:pPr>
      <w:r>
        <w:rPr>
          <w:rFonts w:ascii="Courier New" w:cs="Courier New" w:eastAsia="Courier New" w:hAnsi="Courier New"/>
          <w:sz w:val="18"/>
          <w:szCs w:val="18"/>
          <w:color w:val="auto"/>
        </w:rPr>
        <w:t>Corp. and an investment adviser registered under Section 203 of the Investment Advisers Act of 1940, provides investment advisory services to individuals. As such, FMR Corp.'s beneficial ownership includes 150 shares, or 0.000%, of the Common Stock stock outstanding of Micron Technology Incorporated, beneficially owned through Strategic Advisers, Inc.</w:t>
      </w:r>
    </w:p>
    <w:p>
      <w:pPr>
        <w:spacing w:after="0" w:line="102" w:lineRule="exact"/>
        <w:rPr>
          <w:sz w:val="20"/>
          <w:szCs w:val="20"/>
          <w:color w:val="auto"/>
        </w:rPr>
      </w:pPr>
    </w:p>
    <w:p>
      <w:pPr>
        <w:ind w:right="4099" w:firstLine="843"/>
        <w:spacing w:after="0" w:line="285" w:lineRule="auto"/>
        <w:rPr>
          <w:sz w:val="20"/>
          <w:szCs w:val="20"/>
          <w:color w:val="auto"/>
        </w:rPr>
      </w:pPr>
      <w:r>
        <w:rPr>
          <w:rFonts w:ascii="Courier New" w:cs="Courier New" w:eastAsia="Courier New" w:hAnsi="Courier New"/>
          <w:sz w:val="16"/>
          <w:szCs w:val="16"/>
          <w:color w:val="auto"/>
        </w:rPr>
        <w:t>Members of the Edward C. Johnson 3d family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w:t>
      </w:r>
    </w:p>
    <w:p>
      <w:pPr>
        <w:sectPr>
          <w:pgSz w:w="11900" w:h="16846" w:orient="portrait"/>
          <w:cols w:equalWidth="0" w:num="1">
            <w:col w:w="10219"/>
          </w:cols>
          <w:pgMar w:left="240" w:top="110" w:right="1440" w:bottom="0" w:gutter="0" w:footer="0" w:header="0"/>
        </w:sectPr>
      </w:pPr>
    </w:p>
    <w:bookmarkStart w:id="3" w:name="page4"/>
    <w:bookmarkEnd w:id="3"/>
    <w:p>
      <w:pPr>
        <w:ind w:right="4419"/>
        <w:spacing w:after="0" w:line="260" w:lineRule="auto"/>
        <w:rPr>
          <w:sz w:val="20"/>
          <w:szCs w:val="20"/>
          <w:color w:val="auto"/>
        </w:rPr>
      </w:pPr>
      <w:r>
        <w:rPr>
          <w:rFonts w:ascii="Courier New" w:cs="Courier New" w:eastAsia="Courier New" w:hAnsi="Courier New"/>
          <w:sz w:val="18"/>
          <w:szCs w:val="18"/>
          <w:color w:val="auto"/>
        </w:rPr>
        <w:t>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STATEMENTS</w:t>
      </w:r>
    </w:p>
    <w:p>
      <w:pPr>
        <w:ind w:left="860"/>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169" w:lineRule="exact"/>
        <w:rPr>
          <w:sz w:val="20"/>
          <w:szCs w:val="20"/>
          <w:color w:val="auto"/>
        </w:rPr>
      </w:pPr>
    </w:p>
    <w:p>
      <w:pPr>
        <w:ind w:right="3479" w:firstLine="843"/>
        <w:spacing w:after="0" w:line="265" w:lineRule="auto"/>
        <w:rPr>
          <w:sz w:val="20"/>
          <w:szCs w:val="20"/>
          <w:color w:val="auto"/>
        </w:rPr>
      </w:pPr>
      <w:r>
        <w:rPr>
          <w:rFonts w:ascii="Courier New" w:cs="Courier New" w:eastAsia="Courier New" w:hAnsi="Courier New"/>
          <w:sz w:val="18"/>
          <w:szCs w:val="18"/>
          <w:color w:val="auto"/>
        </w:rPr>
        <w:t>The undersigned persons, on February 16, 2004, agree and consent to the joint filing on their behalf of this Schedule 13G in connection with their beneficial ownership of the Common Stock of Micron Technology Incorporated at December 31, 2003.</w:t>
      </w:r>
    </w:p>
    <w:p>
      <w:pPr>
        <w:spacing w:after="0" w:line="9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Eric D. Roiter</w:t>
      </w:r>
    </w:p>
    <w:p>
      <w:pPr>
        <w:ind w:left="860"/>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ind w:left="860"/>
        <w:spacing w:after="0"/>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FMR Corp. and its direct and indirect</w:t>
      </w:r>
    </w:p>
    <w:p>
      <w:pPr>
        <w:ind w:left="860"/>
        <w:spacing w:after="0"/>
        <w:rPr>
          <w:sz w:val="20"/>
          <w:szCs w:val="20"/>
          <w:color w:val="auto"/>
        </w:rPr>
      </w:pPr>
      <w:r>
        <w:rPr>
          <w:rFonts w:ascii="Courier New" w:cs="Courier New" w:eastAsia="Courier New" w:hAnsi="Courier New"/>
          <w:sz w:val="18"/>
          <w:szCs w:val="18"/>
          <w:color w:val="auto"/>
        </w:rPr>
        <w:t>subsidiaries</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Eric D. Roiter</w:t>
      </w:r>
    </w:p>
    <w:p>
      <w:pPr>
        <w:ind w:left="860"/>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ind w:left="860"/>
        <w:spacing w:after="0"/>
        <w:rPr>
          <w:sz w:val="20"/>
          <w:szCs w:val="20"/>
          <w:color w:val="auto"/>
        </w:rPr>
      </w:pPr>
      <w:r>
        <w:rPr>
          <w:rFonts w:ascii="Courier New" w:cs="Courier New" w:eastAsia="Courier New" w:hAnsi="Courier New"/>
          <w:sz w:val="18"/>
          <w:szCs w:val="18"/>
          <w:color w:val="auto"/>
        </w:rPr>
        <w:t>dated December 30, 1997, by and on behalf</w:t>
      </w:r>
    </w:p>
    <w:p>
      <w:pPr>
        <w:ind w:left="860"/>
        <w:spacing w:after="0"/>
        <w:rPr>
          <w:sz w:val="20"/>
          <w:szCs w:val="20"/>
          <w:color w:val="auto"/>
        </w:rPr>
      </w:pPr>
      <w:r>
        <w:rPr>
          <w:rFonts w:ascii="Courier New" w:cs="Courier New" w:eastAsia="Courier New" w:hAnsi="Courier New"/>
          <w:sz w:val="18"/>
          <w:szCs w:val="18"/>
          <w:color w:val="auto"/>
        </w:rPr>
        <w:t>of Edward C. Johnson 3d</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Eric D. Roiter</w:t>
      </w:r>
    </w:p>
    <w:p>
      <w:pPr>
        <w:ind w:left="860"/>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ind w:left="860"/>
        <w:spacing w:after="0"/>
        <w:rPr>
          <w:sz w:val="20"/>
          <w:szCs w:val="20"/>
          <w:color w:val="auto"/>
        </w:rPr>
      </w:pPr>
      <w:r>
        <w:rPr>
          <w:rFonts w:ascii="Courier New" w:cs="Courier New" w:eastAsia="Courier New" w:hAnsi="Courier New"/>
          <w:sz w:val="18"/>
          <w:szCs w:val="18"/>
          <w:color w:val="auto"/>
        </w:rPr>
        <w:t>dated December 30, 1997, by and on behalf</w:t>
      </w:r>
    </w:p>
    <w:p>
      <w:pPr>
        <w:ind w:left="860"/>
        <w:spacing w:after="0"/>
        <w:rPr>
          <w:sz w:val="20"/>
          <w:szCs w:val="20"/>
          <w:color w:val="auto"/>
        </w:rPr>
      </w:pPr>
      <w:r>
        <w:rPr>
          <w:rFonts w:ascii="Courier New" w:cs="Courier New" w:eastAsia="Courier New" w:hAnsi="Courier New"/>
          <w:sz w:val="18"/>
          <w:szCs w:val="18"/>
          <w:color w:val="auto"/>
        </w:rPr>
        <w:t>of Abigail P. Johnson</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2019-12-13T13:14:07Z</dcterms:created>
  <dcterms:modified xsi:type="dcterms:W3CDTF">2019-12-13T13:14:07Z</dcterms:modified>
</cp:coreProperties>
</file>