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11,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4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On February 11, 2011, at its 2011 Winter Analyst Conference the Company presented preliminary revenue levels for the first quarter ended December 2, 2010 for its proposed new business units, namely its DRAM Solutions Group(“DSG”), NAND Solutions Group (“NSG”), Wireless Solutions Group (“WSG”) and Embedded Solutions Group (“ESG”). A copy of the slide used for the presentation of this information is attached as Exhibit 99.1 to this Current Report on Form 8-K.</w:t>
      </w:r>
    </w:p>
    <w:p>
      <w:pPr>
        <w:spacing w:after="0" w:line="39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On February 14, 2011, Mercedes Johnson, a member of the Company’s Board of Directors, adopted a prearranged trading plan under Rule 10b5-1 of the Securities and Exchange Act of 1934. Rule 10b5-1 permits officers and directors of public companies to adopt predetermined plans for selling specified amounts of stock. Ms. Johnson’s trading plan provides for the sale of up to 40,000 shares of the Company’s stock over a 12-month period.</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16, 2011, Ronald C. Foster, an officer of the Company, adopted a prearranged trading plan under Rule 10b5-1 of the Securities and Exchange Act of 1934. Rule 10b5-1 permits officers and directors of public companies to adopt predetermined plans for selling specified amounts of stock. Mr. Foster’s trading plan provides for the sale of up to 160,000 shares of the Company’s stock over a 12-month period.</w:t>
      </w:r>
    </w:p>
    <w:p>
      <w:pPr>
        <w:spacing w:after="0" w:line="200" w:lineRule="exact"/>
        <w:rPr>
          <w:sz w:val="20"/>
          <w:szCs w:val="20"/>
          <w:color w:val="auto"/>
        </w:rPr>
      </w:pP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FiFinancial Statements and Exhibits.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(d(d) 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99.1</w:t>
            </w:r>
          </w:p>
        </w:tc>
        <w:tc>
          <w:tcPr>
            <w:tcW w:w="240" w:type="dxa"/>
            <w:vAlign w:val="bottom"/>
            <w:vMerge w:val="continue"/>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Slide presented at 2011 Winter Analyst Conference hosted by Micron Technology, Inc. on February 11, 2011.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756"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7000" w:type="dxa"/>
            <w:vAlign w:val="bottom"/>
            <w:gridSpan w:val="3"/>
          </w:tcPr>
          <w:p>
            <w:pPr>
              <w:ind w:left="25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20" w:type="dxa"/>
            <w:vAlign w:val="bottom"/>
          </w:tcPr>
          <w:p>
            <w:pPr>
              <w:spacing w:after="0"/>
              <w:rPr>
                <w:sz w:val="20"/>
                <w:szCs w:val="20"/>
                <w:color w:val="auto"/>
              </w:rPr>
            </w:pPr>
            <w:r>
              <w:rPr>
                <w:rFonts w:ascii="Arial" w:cs="Arial" w:eastAsia="Arial" w:hAnsi="Arial"/>
                <w:sz w:val="18"/>
                <w:szCs w:val="18"/>
                <w:color w:val="auto"/>
              </w:rPr>
              <w:t>Date:  February 16, 2011</w:t>
            </w:r>
          </w:p>
        </w:tc>
        <w:tc>
          <w:tcPr>
            <w:tcW w:w="3180" w:type="dxa"/>
            <w:vAlign w:val="bottom"/>
          </w:tcPr>
          <w:p>
            <w:pPr>
              <w:ind w:left="252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364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420" w:type="dxa"/>
            <w:vAlign w:val="bottom"/>
          </w:tcPr>
          <w:p>
            <w:pPr>
              <w:spacing w:after="0"/>
              <w:rPr>
                <w:sz w:val="17"/>
                <w:szCs w:val="17"/>
                <w:color w:val="auto"/>
              </w:rPr>
            </w:pPr>
          </w:p>
        </w:tc>
        <w:tc>
          <w:tcPr>
            <w:tcW w:w="3180" w:type="dxa"/>
            <w:vAlign w:val="bottom"/>
          </w:tcPr>
          <w:p>
            <w:pPr>
              <w:ind w:left="2520"/>
              <w:spacing w:after="0" w:line="201" w:lineRule="exact"/>
              <w:rPr>
                <w:sz w:val="20"/>
                <w:szCs w:val="20"/>
                <w:color w:val="auto"/>
              </w:rPr>
            </w:pPr>
            <w:r>
              <w:rPr>
                <w:rFonts w:ascii="Arial" w:cs="Arial" w:eastAsia="Arial" w:hAnsi="Arial"/>
                <w:sz w:val="18"/>
                <w:szCs w:val="18"/>
                <w:color w:val="auto"/>
              </w:rPr>
              <w:t>Name:</w:t>
            </w:r>
          </w:p>
        </w:tc>
        <w:tc>
          <w:tcPr>
            <w:tcW w:w="18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420" w:type="dxa"/>
            <w:vAlign w:val="bottom"/>
          </w:tcPr>
          <w:p>
            <w:pPr>
              <w:spacing w:after="0"/>
              <w:rPr>
                <w:sz w:val="18"/>
                <w:szCs w:val="18"/>
                <w:color w:val="auto"/>
              </w:rPr>
            </w:pPr>
          </w:p>
        </w:tc>
        <w:tc>
          <w:tcPr>
            <w:tcW w:w="3180" w:type="dxa"/>
            <w:vAlign w:val="bottom"/>
          </w:tcPr>
          <w:p>
            <w:pPr>
              <w:ind w:left="2520"/>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jc w:val="center"/>
              <w:ind w:right="1410"/>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8"/>
              </w:rPr>
              <w:t>THE CURRENT REPORT ON FORM 8-K DATED FEBRUARY 11, 2011</w:t>
            </w:r>
          </w:p>
        </w:tc>
      </w:tr>
      <w:tr>
        <w:trPr>
          <w:trHeight w:val="95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Slide presented at 2011 Winter Analyst Conference hosted by Micron Technology, Inc. on February 11, 2011.</w:t>
            </w:r>
          </w:p>
        </w:tc>
      </w:tr>
      <w:tr>
        <w:trPr>
          <w:trHeight w:val="593"/>
        </w:trPr>
        <w:tc>
          <w:tcPr>
            <w:tcW w:w="1260" w:type="dxa"/>
            <w:vAlign w:val="bottom"/>
          </w:tcPr>
          <w:p>
            <w:pPr>
              <w:spacing w:after="0"/>
              <w:rPr>
                <w:sz w:val="24"/>
                <w:szCs w:val="24"/>
                <w:color w:val="auto"/>
              </w:rPr>
            </w:pPr>
          </w:p>
        </w:tc>
        <w:tc>
          <w:tcPr>
            <w:tcW w:w="10160" w:type="dxa"/>
            <w:vAlign w:val="bottom"/>
            <w:gridSpan w:val="2"/>
          </w:tcPr>
          <w:p>
            <w:pPr>
              <w:jc w:val="center"/>
              <w:ind w:right="1170"/>
              <w:spacing w:after="0"/>
              <w:rPr>
                <w:sz w:val="20"/>
                <w:szCs w:val="20"/>
                <w:color w:val="auto"/>
              </w:rPr>
            </w:pPr>
            <w:r>
              <w:rPr>
                <w:rFonts w:ascii="Arial" w:cs="Arial" w:eastAsia="Arial" w:hAnsi="Arial"/>
                <w:sz w:val="18"/>
                <w:szCs w:val="18"/>
                <w:color w:val="auto"/>
                <w:w w:val="99"/>
              </w:rPr>
              <w:t>3</w:t>
            </w:r>
          </w:p>
        </w:tc>
      </w:tr>
      <w:tr>
        <w:trPr>
          <w:trHeight w:val="118"/>
        </w:trPr>
        <w:tc>
          <w:tcPr>
            <w:tcW w:w="1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ind w:left="9340"/>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184150</wp:posOffset>
            </wp:positionV>
            <wp:extent cx="7250430" cy="3978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978910"/>
                    </a:xfrm>
                    <a:prstGeom prst="rect">
                      <a:avLst/>
                    </a:prstGeom>
                    <a:noFill/>
                  </pic:spPr>
                </pic:pic>
              </a:graphicData>
            </a:graphic>
          </wp:anchor>
        </w:drawing>
      </w:r>
    </w:p>
    <w:sectPr>
      <w:pgSz w:w="11900" w:h="16838" w:orient="portrait"/>
      <w:cols w:equalWidth="0" w:num="1">
        <w:col w:w="10220"/>
      </w:cols>
      <w:pgMar w:left="14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2019-12-10T06:12:01Z</dcterms:created>
  <dcterms:modified xsi:type="dcterms:W3CDTF">2019-12-10T06:12:01Z</dcterms:modified>
</cp:coreProperties>
</file>