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February 21, 2006</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5" w:gutter="0" w:footer="0" w:header="0"/>
        </w:sectPr>
      </w:pPr>
    </w:p>
    <w:p>
      <w:pPr>
        <w:spacing w:after="0" w:line="20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380" w:space="720"/>
            <w:col w:w="2620" w:space="720"/>
            <w:col w:w="3000"/>
          </w:cols>
          <w:pgMar w:left="240" w:top="585" w:right="219" w:bottom="5" w:gutter="0" w:footer="0" w:header="0"/>
          <w:type w:val="continuous"/>
        </w:sectPr>
      </w:pP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40"/>
          </w:cols>
          <w:pgMar w:left="240" w:top="585" w:right="219" w:bottom="5" w:gutter="0" w:footer="0" w:header="0"/>
          <w:type w:val="continuous"/>
        </w:sectPr>
      </w:pPr>
    </w:p>
    <w:p>
      <w:pPr>
        <w:spacing w:after="0" w:line="23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On February 21, 2006 the Company issued a press release announcing it had filed a lawsuit against Rambus Inc. alleging that Rambus violated sections of the federal Racketeer Influenced and Corrupt Organizations Act (RICO) and Virginia conspiracy laws through a pattern of illegal conduct. The full text of the release is attached as Exhibit 99.1 to this Current Report on Form 8K.</w:t>
      </w:r>
    </w:p>
    <w:p>
      <w:pPr>
        <w:spacing w:after="0" w:line="177"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following exhibits are filed herewith:</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780" w:type="dxa"/>
            <w:vAlign w:val="bottom"/>
          </w:tcPr>
          <w:p>
            <w:pPr>
              <w:jc w:val="right"/>
              <w:ind w:right="4456"/>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426"/>
        </w:trPr>
        <w:tc>
          <w:tcPr>
            <w:tcW w:w="1280" w:type="dxa"/>
            <w:vAlign w:val="bottom"/>
            <w:tcBorders>
              <w:top w:val="single" w:sz="8" w:color="auto"/>
            </w:tcBorders>
          </w:tcPr>
          <w:p>
            <w:pPr>
              <w:jc w:val="right"/>
              <w:ind w:right="399"/>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9780" w:type="dxa"/>
            <w:vAlign w:val="bottom"/>
            <w:tcBorders>
              <w:top w:val="single" w:sz="8" w:color="auto"/>
            </w:tcBorders>
          </w:tcPr>
          <w:p>
            <w:pPr>
              <w:jc w:val="right"/>
              <w:ind w:right="6896"/>
              <w:spacing w:after="0"/>
              <w:rPr>
                <w:sz w:val="20"/>
                <w:szCs w:val="20"/>
                <w:color w:val="auto"/>
              </w:rPr>
            </w:pPr>
            <w:r>
              <w:rPr>
                <w:rFonts w:ascii="Arial" w:cs="Arial" w:eastAsia="Arial" w:hAnsi="Arial"/>
                <w:sz w:val="18"/>
                <w:szCs w:val="18"/>
                <w:color w:val="auto"/>
                <w:w w:val="87"/>
              </w:rPr>
              <w:t>Press Release dated February 21, 2006</w:t>
            </w:r>
          </w:p>
        </w:tc>
        <w:tc>
          <w:tcPr>
            <w:tcW w:w="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18"/>
        </w:trPr>
        <w:tc>
          <w:tcPr>
            <w:tcW w:w="1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9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CURRENT REPORT ON FORM 8-K DATED FEBRUARY 21, 2006</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14"/>
                <w:szCs w:val="14"/>
                <w:color w:val="auto"/>
              </w:rPr>
            </w:pPr>
          </w:p>
        </w:tc>
        <w:tc>
          <w:tcPr>
            <w:tcW w:w="9800" w:type="dxa"/>
            <w:vAlign w:val="bottom"/>
            <w:tcBorders>
              <w:bottom w:val="single" w:sz="8" w:color="auto"/>
            </w:tcBorders>
          </w:tcPr>
          <w:p>
            <w:pPr>
              <w:jc w:val="right"/>
              <w:ind w:right="4468"/>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426"/>
        </w:trPr>
        <w:tc>
          <w:tcPr>
            <w:tcW w:w="1280" w:type="dxa"/>
            <w:vAlign w:val="bottom"/>
          </w:tcPr>
          <w:p>
            <w:pPr>
              <w:jc w:val="right"/>
              <w:ind w:right="399"/>
              <w:spacing w:after="0"/>
              <w:rPr>
                <w:sz w:val="20"/>
                <w:szCs w:val="20"/>
                <w:color w:val="auto"/>
              </w:rPr>
            </w:pPr>
            <w:r>
              <w:rPr>
                <w:rFonts w:ascii="Arial" w:cs="Arial" w:eastAsia="Arial" w:hAnsi="Arial"/>
                <w:sz w:val="18"/>
                <w:szCs w:val="18"/>
                <w:color w:val="auto"/>
              </w:rPr>
              <w:t>99.1</w:t>
            </w:r>
          </w:p>
        </w:tc>
        <w:tc>
          <w:tcPr>
            <w:tcW w:w="10140" w:type="dxa"/>
            <w:vAlign w:val="bottom"/>
            <w:gridSpan w:val="2"/>
          </w:tcPr>
          <w:p>
            <w:pPr>
              <w:jc w:val="right"/>
              <w:ind w:right="6928"/>
              <w:spacing w:after="0"/>
              <w:rPr>
                <w:sz w:val="20"/>
                <w:szCs w:val="20"/>
                <w:color w:val="auto"/>
              </w:rPr>
            </w:pPr>
            <w:r>
              <w:rPr>
                <w:rFonts w:ascii="Arial" w:cs="Arial" w:eastAsia="Arial" w:hAnsi="Arial"/>
                <w:sz w:val="18"/>
                <w:szCs w:val="18"/>
                <w:color w:val="auto"/>
                <w:w w:val="97"/>
              </w:rPr>
              <w:t>Press Release dated February 21, 2006</w:t>
            </w:r>
          </w:p>
        </w:tc>
        <w:tc>
          <w:tcPr>
            <w:tcW w:w="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0140" w:type="dxa"/>
            <w:vAlign w:val="bottom"/>
            <w:gridSpan w:val="2"/>
          </w:tcPr>
          <w:p>
            <w:pPr>
              <w:jc w:val="right"/>
              <w:ind w:right="5588"/>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118"/>
        </w:trPr>
        <w:tc>
          <w:tcPr>
            <w:tcW w:w="12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5" w:right="219" w:bottom="5"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264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648"/>
        </w:trPr>
        <w:tc>
          <w:tcPr>
            <w:tcW w:w="3820" w:type="dxa"/>
            <w:vAlign w:val="bottom"/>
          </w:tcPr>
          <w:p>
            <w:pPr>
              <w:spacing w:after="0"/>
              <w:rPr>
                <w:sz w:val="20"/>
                <w:szCs w:val="20"/>
                <w:color w:val="auto"/>
              </w:rPr>
            </w:pPr>
            <w:r>
              <w:rPr>
                <w:rFonts w:ascii="Arial" w:cs="Arial" w:eastAsia="Arial" w:hAnsi="Arial"/>
                <w:sz w:val="18"/>
                <w:szCs w:val="18"/>
                <w:color w:val="auto"/>
              </w:rPr>
              <w:t>Date:   February 22, 2006</w:t>
            </w:r>
          </w:p>
        </w:tc>
        <w:tc>
          <w:tcPr>
            <w:tcW w:w="3420" w:type="dxa"/>
            <w:vAlign w:val="bottom"/>
          </w:tcPr>
          <w:p>
            <w:pPr>
              <w:ind w:left="264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3420" w:type="dxa"/>
            <w:vAlign w:val="bottom"/>
          </w:tcPr>
          <w:p>
            <w:pPr>
              <w:ind w:left="2640"/>
              <w:spacing w:after="0" w:line="195" w:lineRule="exact"/>
              <w:rPr>
                <w:sz w:val="20"/>
                <w:szCs w:val="20"/>
                <w:color w:val="auto"/>
              </w:rPr>
            </w:pPr>
            <w:r>
              <w:rPr>
                <w:rFonts w:ascii="Arial" w:cs="Arial" w:eastAsia="Arial" w:hAnsi="Arial"/>
                <w:sz w:val="18"/>
                <w:szCs w:val="18"/>
                <w:color w:val="auto"/>
              </w:rPr>
              <w:t>Name:</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420" w:type="dxa"/>
            <w:vAlign w:val="bottom"/>
          </w:tcPr>
          <w:p>
            <w:pPr>
              <w:ind w:left="2640"/>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3820" w:type="dxa"/>
            <w:vAlign w:val="bottom"/>
          </w:tcPr>
          <w:p>
            <w:pPr>
              <w:spacing w:after="0"/>
              <w:rPr>
                <w:sz w:val="24"/>
                <w:szCs w:val="24"/>
                <w:color w:val="auto"/>
              </w:rPr>
            </w:pPr>
          </w:p>
        </w:tc>
        <w:tc>
          <w:tcPr>
            <w:tcW w:w="3420" w:type="dxa"/>
            <w:vAlign w:val="bottom"/>
          </w:tcPr>
          <w:p>
            <w:pPr>
              <w:ind w:left="1840"/>
              <w:spacing w:after="0"/>
              <w:rPr>
                <w:sz w:val="20"/>
                <w:szCs w:val="20"/>
                <w:color w:val="auto"/>
              </w:rPr>
            </w:pPr>
            <w:r>
              <w:rPr>
                <w:rFonts w:ascii="Arial" w:cs="Arial" w:eastAsia="Arial" w:hAnsi="Arial"/>
                <w:sz w:val="18"/>
                <w:szCs w:val="18"/>
                <w:color w:val="auto"/>
              </w:rPr>
              <w:t>4</w:t>
            </w:r>
          </w:p>
        </w:tc>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82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4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ectPr>
          <w:pgSz w:w="11900" w:h="16838" w:orient="portrait"/>
          <w:cols w:equalWidth="0" w:num="1">
            <w:col w:w="11420"/>
          </w:cols>
          <w:pgMar w:left="240" w:top="12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Daniel Francisco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(208) 368-5584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dfrancisco@micron.com</w:t>
      </w:r>
    </w:p>
    <w:p>
      <w:pPr>
        <w:spacing w:after="0" w:line="200" w:lineRule="exact"/>
        <w:rPr>
          <w:sz w:val="20"/>
          <w:szCs w:val="20"/>
          <w:color w:val="auto"/>
        </w:rPr>
      </w:pPr>
    </w:p>
    <w:p>
      <w:pPr>
        <w:sectPr>
          <w:pgSz w:w="11900" w:h="16838" w:orient="portrait"/>
          <w:cols w:equalWidth="0" w:num="2">
            <w:col w:w="620" w:space="580"/>
            <w:col w:w="10220"/>
          </w:cols>
          <w:pgMar w:left="240" w:top="121" w:right="239" w:bottom="144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 FILES RICO LAWSUIT AGAINST RAMBUS</w:t>
      </w:r>
    </w:p>
    <w:p>
      <w:pPr>
        <w:sectPr>
          <w:pgSz w:w="11900" w:h="16838" w:orient="portrait"/>
          <w:cols w:equalWidth="0" w:num="1">
            <w:col w:w="11420"/>
          </w:cols>
          <w:pgMar w:left="240" w:top="121" w:right="239" w:bottom="1440" w:gutter="0" w:footer="0" w:header="0"/>
          <w:type w:val="continuous"/>
        </w:sectPr>
      </w:pP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BOISE, Idaho, Feb. 21</w:t>
      </w:r>
      <w:r>
        <w:rPr>
          <w:rFonts w:ascii="Arial" w:cs="Arial" w:eastAsia="Arial" w:hAnsi="Arial"/>
          <w:sz w:val="17"/>
          <w:szCs w:val="17"/>
          <w:color w:val="auto"/>
        </w:rPr>
        <w:t>, 2006 – Micron Technology, Inc., (NYSE: MU) today announced that it has filed a new lawsuit against Rambus Inc. (NASDAQ: RMBS).</w:t>
      </w:r>
      <w:r>
        <w:rPr>
          <w:rFonts w:ascii="Arial" w:cs="Arial" w:eastAsia="Arial" w:hAnsi="Arial"/>
          <w:sz w:val="18"/>
          <w:szCs w:val="18"/>
          <w:color w:val="auto"/>
        </w:rPr>
        <w:t xml:space="preserve"> </w:t>
      </w:r>
      <w:r>
        <w:rPr>
          <w:rFonts w:ascii="Arial" w:cs="Arial" w:eastAsia="Arial" w:hAnsi="Arial"/>
          <w:sz w:val="17"/>
          <w:szCs w:val="17"/>
          <w:color w:val="auto"/>
        </w:rPr>
        <w:t>The suit alleges that Rambus violated sections of the federal Racketeer Influenced and Corrupt Organizations Act (RICO) and Virginia conspiracy laws through a pattern of illegal conduct.</w:t>
      </w:r>
    </w:p>
    <w:p>
      <w:pPr>
        <w:spacing w:after="0" w:line="17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“As our complaint describes, Rambus has engaged in a variety of illegal activities designed to injure Micron,” said Rod Lewis, Micron’s Vice President of Legal Affairs and General Counsel.</w:t>
      </w:r>
    </w:p>
    <w:p>
      <w:pPr>
        <w:spacing w:after="0" w:line="170"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Micron’s complaint alleges that Rambus engaged in a pattern of destruction of evidence, false testimony and other improper activities designed to mislead courts and Micron to extract unjust patent licensing fees or damages from Micron. The complaint includes allegations that Rambus intentionally concealed information through false testimony and other means regarding the ownership of key Rambus patents asserted against Micron in patent suits.</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Today’s lawsuit was filed in the U.S. District Court for the Eastern District of Virginia. Micron designated the case as related to other cases before the Honorable Judge Robert E. Payne, including a pending case between Rambus and Samsung Electronics Co., Ltd. and an earlier case between Rambus and Infineon Technologies AG. In Rambus’ suit against Infineon, the Virginia court ruled that Rambus’ actions relating to destroying documents and litigation misconduct warranted the dismissal of Rambus’ patent claims against Infineon.</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2019-12-13T13:28:10Z</dcterms:created>
  <dcterms:modified xsi:type="dcterms:W3CDTF">2019-12-13T13:28:10Z</dcterms:modified>
</cp:coreProperties>
</file>