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478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47,266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Acquisition resulted from the vesting of Restricted Stock Units.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Withholding of common stock shares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Restricted Stock Units vested 25% on January 19, 2023, and 6.25% of the total restricted stock award vested, or will vest, quarterly thereafter.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-3356610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2024-07-23T17:37:38Z</dcterms:created>
  <dcterms:modified xsi:type="dcterms:W3CDTF">2024-07-23T17:37:38Z</dcterms:modified>
</cp:coreProperties>
</file>