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SCHEDULE 14A</w:t>
      </w:r>
    </w:p>
    <w:p>
      <w:pPr>
        <w:sectPr>
          <w:pgSz w:w="11900" w:h="16875" w:orient="portrait"/>
          <w:cols w:equalWidth="0" w:num="1">
            <w:col w:w="9019"/>
          </w:cols>
          <w:pgMar w:left="1440" w:top="225" w:right="1440" w:bottom="0" w:gutter="0" w:footer="0" w:header="0"/>
        </w:sectPr>
      </w:pPr>
    </w:p>
    <w:p>
      <w:pPr>
        <w:spacing w:after="0" w:line="128" w:lineRule="exact"/>
        <w:rPr>
          <w:sz w:val="24"/>
          <w:szCs w:val="24"/>
          <w:color w:val="auto"/>
        </w:rPr>
      </w:pPr>
    </w:p>
    <w:p>
      <w:pPr>
        <w:jc w:val="both"/>
        <w:ind w:left="2200" w:firstLine="685"/>
        <w:spacing w:after="0" w:line="313" w:lineRule="auto"/>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4" w:lineRule="exact"/>
        <w:rPr>
          <w:sz w:val="24"/>
          <w:szCs w:val="24"/>
          <w:color w:val="auto"/>
        </w:rPr>
      </w:pPr>
    </w:p>
    <w:p>
      <w:pPr>
        <w:sectPr>
          <w:pgSz w:w="11900" w:h="16875" w:orient="portrait"/>
          <w:cols w:equalWidth="0" w:num="2">
            <w:col w:w="6140" w:space="620"/>
            <w:col w:w="2259"/>
          </w:cols>
          <w:pgMar w:left="1440" w:top="225" w:right="1440"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9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ectPr>
          <w:pgSz w:w="11900" w:h="16875" w:orient="portrait"/>
          <w:cols w:equalWidth="0" w:num="1">
            <w:col w:w="9019"/>
          </w:cols>
          <w:pgMar w:left="1440" w:top="225" w:right="1440" w:bottom="0" w:gutter="0" w:footer="0" w:header="0"/>
          <w:type w:val="continuous"/>
        </w:sectPr>
      </w:pPr>
    </w:p>
    <w:p>
      <w:pPr>
        <w:spacing w:after="0" w:line="7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6" w:lineRule="exact"/>
        <w:rPr>
          <w:sz w:val="24"/>
          <w:szCs w:val="24"/>
          <w:color w:val="auto"/>
        </w:rPr>
      </w:pPr>
    </w:p>
    <w:p>
      <w:pPr>
        <w:ind w:left="1580" w:hanging="273"/>
        <w:spacing w:after="0"/>
        <w:tabs>
          <w:tab w:leader="none" w:pos="1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7" w:lineRule="exact"/>
        <w:rPr>
          <w:rFonts w:ascii="Times New Roman" w:cs="Times New Roman" w:eastAsia="Times New Roman" w:hAnsi="Times New Roman"/>
          <w:sz w:val="18"/>
          <w:szCs w:val="18"/>
          <w:color w:val="auto"/>
        </w:rPr>
      </w:pPr>
    </w:p>
    <w:p>
      <w:pPr>
        <w:ind w:left="1580" w:hanging="273"/>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w:t>
      </w:r>
    </w:p>
    <w:p>
      <w:pPr>
        <w:spacing w:after="0" w:line="2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7" w:lineRule="exact"/>
        <w:rPr>
          <w:sz w:val="24"/>
          <w:szCs w:val="24"/>
          <w:color w:val="auto"/>
        </w:rPr>
      </w:pPr>
    </w:p>
    <w:p>
      <w:pPr>
        <w:ind w:left="1580" w:hanging="273"/>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7" w:lineRule="exact"/>
        <w:rPr>
          <w:rFonts w:ascii="Times New Roman" w:cs="Times New Roman" w:eastAsia="Times New Roman" w:hAnsi="Times New Roman"/>
          <w:sz w:val="18"/>
          <w:szCs w:val="18"/>
          <w:color w:val="auto"/>
        </w:rPr>
      </w:pPr>
    </w:p>
    <w:p>
      <w:pPr>
        <w:ind w:left="1580" w:hanging="273"/>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Micron Technology,</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1816100</wp:posOffset>
            </wp:positionH>
            <wp:positionV relativeFrom="paragraph">
              <wp:posOffset>1270</wp:posOffset>
            </wp:positionV>
            <wp:extent cx="2109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(Name of Registrant as Specified In Its</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Charter)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of Person(s) Filing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1816100</wp:posOffset>
            </wp:positionH>
            <wp:positionV relativeFrom="paragraph">
              <wp:posOffset>-130810</wp:posOffset>
            </wp:positionV>
            <wp:extent cx="2109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other than the Registrant)</w:t>
      </w:r>
    </w:p>
    <w:p>
      <w:pPr>
        <w:spacing w:after="0" w:line="20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Payment of Filing Fee (Check the appropriate</w:t>
      </w:r>
    </w:p>
    <w:p>
      <w:pPr>
        <w:spacing w:after="0" w:line="2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box):</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x No fee required.</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o Fee computed on table below per Exchange</w:t>
      </w:r>
    </w:p>
    <w:p>
      <w:pPr>
        <w:spacing w:after="0" w:line="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Act Rules 14a-6(i)(1) and 0-11.</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Title of each class of securities to which</w:t>
      </w:r>
    </w:p>
    <w:p>
      <w:pPr>
        <w:spacing w:after="0" w:line="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(1)transaction applies:</w:t>
      </w:r>
    </w:p>
    <w:p>
      <w:pPr>
        <w:spacing w:after="0" w:line="22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Aggregate number of securities to which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-127635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(2)transaction applies:</w:t>
      </w:r>
    </w:p>
    <w:p>
      <w:pPr>
        <w:spacing w:after="0" w:line="20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(3)Per unit price or other underlying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-119380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of transaction computed pursuant to</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Exchange Act Rule 0-11 (set forth the</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amount on which the filing fee is</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calculated and state how it was</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determined):</w:t>
      </w:r>
    </w:p>
    <w:p>
      <w:pPr>
        <w:spacing w:after="0" w:line="22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Proposed maximum aggregate value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-127635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(4)transaction:</w:t>
      </w:r>
    </w:p>
    <w:p>
      <w:pPr>
        <w:spacing w:after="0" w:line="22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(5)Total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-127635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o Fee paid previously with preliminary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-119380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materials.</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o Check box if any part of the fee is offset as</w:t>
      </w:r>
    </w:p>
    <w:p>
      <w:pPr>
        <w:spacing w:after="0" w:line="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provided by Exchange Act Rule 0-11(a)</w:t>
      </w:r>
    </w:p>
    <w:p>
      <w:pPr>
        <w:spacing w:after="0" w:line="9" w:lineRule="exact"/>
        <w:rPr>
          <w:sz w:val="24"/>
          <w:szCs w:val="24"/>
          <w:color w:val="auto"/>
        </w:rPr>
      </w:pPr>
    </w:p>
    <w:p>
      <w:pPr>
        <w:ind w:left="3220" w:hanging="246"/>
        <w:spacing w:after="0"/>
        <w:tabs>
          <w:tab w:leader="none" w:pos="3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identify the filing for which the</w:t>
      </w:r>
    </w:p>
    <w:p>
      <w:pPr>
        <w:spacing w:after="0" w:line="9" w:lineRule="exact"/>
        <w:rPr>
          <w:rFonts w:ascii="Times New Roman" w:cs="Times New Roman" w:eastAsia="Times New Roman" w:hAnsi="Times New Roman"/>
          <w:sz w:val="18"/>
          <w:szCs w:val="18"/>
          <w:color w:val="auto"/>
        </w:rPr>
      </w:pPr>
    </w:p>
    <w:p>
      <w:pPr>
        <w:ind w:left="2980" w:right="28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fee was paid previously. Identify the previous filing by registration statement number, or the Form or Schedule and the date of its filing.</w:t>
      </w:r>
    </w:p>
    <w:p>
      <w:pPr>
        <w:spacing w:after="0" w:line="1" w:lineRule="exact"/>
        <w:rPr>
          <w:rFonts w:ascii="Times New Roman" w:cs="Times New Roman" w:eastAsia="Times New Roman" w:hAnsi="Times New Roman"/>
          <w:sz w:val="18"/>
          <w:szCs w:val="18"/>
          <w:color w:val="auto"/>
        </w:rPr>
      </w:pPr>
    </w:p>
    <w:p>
      <w:pPr>
        <w:ind w:left="3200" w:hanging="226"/>
        <w:spacing w:after="0"/>
        <w:tabs>
          <w:tab w:leader="none" w:pos="3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Form, Schedule or Registration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-127635</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7"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(2)Statement No.:</w:t>
      </w:r>
    </w:p>
    <w:p>
      <w:pPr>
        <w:spacing w:after="0" w:line="22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(3)Filing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-127635</wp:posOffset>
            </wp:positionV>
            <wp:extent cx="189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1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154940</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-127635</wp:posOffset>
            </wp:positionV>
            <wp:extent cx="1895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Persons who are to respond to the</w:t>
      </w:r>
    </w:p>
    <w:p>
      <w:pPr>
        <w:spacing w:after="0" w:line="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collection of information contained in</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this form are not required to respond</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unless the form displays a currently</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valid OMB control number.</w:t>
      </w:r>
    </w:p>
    <w:p>
      <w:pPr>
        <w:sectPr>
          <w:pgSz w:w="11900" w:h="16875" w:orient="portrait"/>
          <w:cols w:equalWidth="0" w:num="1">
            <w:col w:w="9019"/>
          </w:cols>
          <w:pgMar w:left="1440" w:top="225" w:right="144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732155</wp:posOffset>
            </wp:positionV>
            <wp:extent cx="247015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2006 Annual Meeting of Shareholders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5, 2006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117" w:lineRule="exact"/>
        <w:rPr>
          <w:sz w:val="20"/>
          <w:szCs w:val="20"/>
          <w:color w:val="auto"/>
        </w:rPr>
      </w:pPr>
    </w:p>
    <w:p>
      <w:pPr>
        <w:ind w:right="200" w:firstLine="360"/>
        <w:spacing w:after="0" w:line="279" w:lineRule="auto"/>
        <w:rPr>
          <w:sz w:val="20"/>
          <w:szCs w:val="20"/>
          <w:color w:val="auto"/>
        </w:rPr>
      </w:pPr>
      <w:r>
        <w:rPr>
          <w:rFonts w:ascii="Times New Roman" w:cs="Times New Roman" w:eastAsia="Times New Roman" w:hAnsi="Times New Roman"/>
          <w:sz w:val="18"/>
          <w:szCs w:val="18"/>
          <w:color w:val="auto"/>
        </w:rPr>
        <w:t xml:space="preserve">NOTICE IS HEREBY GIVEN </w:t>
      </w:r>
      <w:r>
        <w:rPr>
          <w:rFonts w:ascii="Times New Roman" w:cs="Times New Roman" w:eastAsia="Times New Roman" w:hAnsi="Times New Roman"/>
          <w:sz w:val="17"/>
          <w:szCs w:val="17"/>
          <w:color w:val="auto"/>
        </w:rPr>
        <w:t>that the 2006 Annual Meeting of Shareholders of Micron Technology, Inc., a Delaware corporation (the “Company”),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be held on December 5, 2006, at 9:00 a.m., Mountain Standard Time, at the Company’s headquarters located at 8000 South Federal Way, Boise, Idaho 83716-9632, for the following purposes:</w:t>
      </w:r>
    </w:p>
    <w:p>
      <w:pPr>
        <w:spacing w:after="0" w:line="61" w:lineRule="exact"/>
        <w:rPr>
          <w:sz w:val="20"/>
          <w:szCs w:val="20"/>
          <w:color w:val="auto"/>
        </w:rPr>
      </w:pPr>
    </w:p>
    <w:p>
      <w:pPr>
        <w:ind w:left="720" w:hanging="35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to serve for the ensuing year and until their successors are elected and qualified;</w:t>
      </w:r>
    </w:p>
    <w:p>
      <w:pPr>
        <w:spacing w:after="0" w:line="117" w:lineRule="exact"/>
        <w:rPr>
          <w:rFonts w:ascii="Times New Roman" w:cs="Times New Roman" w:eastAsia="Times New Roman" w:hAnsi="Times New Roman"/>
          <w:sz w:val="18"/>
          <w:szCs w:val="18"/>
          <w:color w:val="auto"/>
        </w:rPr>
      </w:pPr>
    </w:p>
    <w:p>
      <w:pPr>
        <w:ind w:left="720" w:right="520" w:hanging="352"/>
        <w:spacing w:after="0" w:line="282" w:lineRule="auto"/>
        <w:tabs>
          <w:tab w:leader="none" w:pos="7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2004 Equity Incentive Plan increasing the number of shares reserved for issuance thereunder by 30,000,000;</w:t>
      </w:r>
    </w:p>
    <w:p>
      <w:pPr>
        <w:spacing w:after="0" w:line="53" w:lineRule="exact"/>
        <w:rPr>
          <w:rFonts w:ascii="Times New Roman" w:cs="Times New Roman" w:eastAsia="Times New Roman" w:hAnsi="Times New Roman"/>
          <w:sz w:val="18"/>
          <w:szCs w:val="18"/>
          <w:color w:val="auto"/>
        </w:rPr>
      </w:pPr>
    </w:p>
    <w:p>
      <w:pPr>
        <w:ind w:left="720" w:right="340" w:hanging="352"/>
        <w:spacing w:after="0" w:line="282" w:lineRule="auto"/>
        <w:tabs>
          <w:tab w:leader="none" w:pos="7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Independent Registered Public Accounting Firm of the Company for the fiscal year ending August 30, 2007;</w:t>
      </w:r>
    </w:p>
    <w:p>
      <w:pPr>
        <w:spacing w:after="0" w:line="53"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a shareholder proposal, if properly presented at the meeting; and</w:t>
      </w:r>
    </w:p>
    <w:p>
      <w:pPr>
        <w:spacing w:after="0" w:line="117"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117"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Only shareholders of record at the close of business on October 11, 2006,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72"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54" w:lineRule="exact"/>
        <w:rPr>
          <w:sz w:val="20"/>
          <w:szCs w:val="20"/>
          <w:color w:val="auto"/>
        </w:rPr>
      </w:pPr>
    </w:p>
    <w:p>
      <w:pPr>
        <w:ind w:right="240" w:firstLine="360"/>
        <w:spacing w:after="0" w:line="261" w:lineRule="auto"/>
        <w:rPr>
          <w:sz w:val="20"/>
          <w:szCs w:val="20"/>
          <w:color w:val="auto"/>
        </w:rPr>
      </w:pPr>
      <w:r>
        <w:rPr>
          <w:rFonts w:ascii="Times New Roman" w:cs="Times New Roman" w:eastAsia="Times New Roman" w:hAnsi="Times New Roman"/>
          <w:sz w:val="18"/>
          <w:szCs w:val="18"/>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Roderic W. Lewis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of Legal Affairs,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Counsel &amp; Corporate Secretary</w:t>
      </w:r>
    </w:p>
    <w:p>
      <w:pPr>
        <w:spacing w:after="0" w:line="9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Boise, Idaho</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November 8, 2006</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560070</wp:posOffset>
            </wp:positionV>
            <wp:extent cx="2470150"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2006 ANNUAL MEETING OF SHAREHOLDERS</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December 5, 2006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enclosed proxy is solicited on behalf of the Board of Directors of Micron Technology, Inc. (the “Company”), for use at the 2006 Annual Meeting of Shareholders to be held on December 5, 2006, at 9:00 a.m., Mountain Standard Time, or at any adjournment or postponement thereof (the “Annual Meeting”). The purposes of the Annual Meeting are set forth herein and in the accompanying Notice of 2006 Annual Meeting of Shareholders. The Annual Meeting will</w:t>
      </w:r>
    </w:p>
    <w:p>
      <w:pPr>
        <w:sectPr>
          <w:pgSz w:w="11900" w:h="16838" w:orient="portrait"/>
          <w:cols w:equalWidth="0" w:num="1">
            <w:col w:w="11420"/>
          </w:cols>
          <w:pgMar w:left="240" w:top="1440" w:right="239" w:bottom="0" w:gutter="0" w:footer="0" w:header="0"/>
        </w:sectPr>
      </w:pPr>
    </w:p>
    <w:bookmarkStart w:id="2" w:name="page3"/>
    <w:bookmarkEnd w:id="2"/>
    <w:p>
      <w:pPr>
        <w:ind w:right="480"/>
        <w:spacing w:after="0" w:line="282" w:lineRule="auto"/>
        <w:rPr>
          <w:sz w:val="20"/>
          <w:szCs w:val="20"/>
          <w:color w:val="auto"/>
        </w:rPr>
      </w:pPr>
      <w:r>
        <w:rPr>
          <w:rFonts w:ascii="Times New Roman" w:cs="Times New Roman" w:eastAsia="Times New Roman" w:hAnsi="Times New Roman"/>
          <w:sz w:val="18"/>
          <w:szCs w:val="18"/>
          <w:color w:val="auto"/>
        </w:rPr>
        <w:t>be held at the Company’s headquarters located at 8000 South Federal Way, Boise, Idaho 83716-9632. Directions to the Annual Meeting accompany this Proxy Statement. The Company’s telephone number is (208) 368-4000.</w:t>
      </w:r>
    </w:p>
    <w:p>
      <w:pPr>
        <w:spacing w:after="0" w:line="54"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and enclosed proxy card are first being distributed on or about November 8, 2006, to all shareholders entitled to vote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of record at the close of business on October 11, 2006 (the “Record Date”) are entitled to notice of and to vote at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Proxy</w:t>
      </w:r>
    </w:p>
    <w:p>
      <w:pPr>
        <w:spacing w:after="0" w:line="121" w:lineRule="exact"/>
        <w:rPr>
          <w:sz w:val="20"/>
          <w:szCs w:val="20"/>
          <w:color w:val="auto"/>
        </w:rPr>
      </w:pPr>
    </w:p>
    <w:p>
      <w:pPr>
        <w:jc w:val="both"/>
        <w:ind w:right="400" w:firstLine="360"/>
        <w:spacing w:after="0" w:line="26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121"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18"/>
          <w:szCs w:val="18"/>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Georgeson, Inc., a proxy solicitation firm, in connection with the solicitation of proxies. Although the exact cost of the solicitation services is not known at this time, it is anticipated that the fees and expenses paid by the Company for these services will be approximately $15,000.</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SECURITIES AND PRINCIPAL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Company has one class of stock outstanding, common stock, $.10 par value per share (the “Common Stock”). At October 11, 2006, the Record Date, 754,379,515 shares of Common Stock were issued and outstanding and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and Required Vote</w:t>
      </w:r>
    </w:p>
    <w:p>
      <w:pPr>
        <w:spacing w:after="0" w:line="121"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and the Company’s Restated Certificate of Incorporation and its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78"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Shares held in a brokerage account or by another nominee are considered held in “street name” by the shareholder or “beneficial owner.” A broker or nominee holding shares for a beneficial owner may not vote on matters relating to equity compensation plans unless the broker or nominee receives specific voting instructions from the beneficial owner of the shares. As a result, absent specific instructions, brokers or nominees may not vote a beneficial owner’s shares on Proposal 2 and such shares will be considered “broker non-votes” for such proposal.</w:t>
      </w:r>
    </w:p>
    <w:p>
      <w:pPr>
        <w:spacing w:after="0" w:line="72"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The seven nominees for director receiving the highest number of “FOR” votes will be elected, regardless of whether any one of them receives the vote of a majority of the Votes Cast. With respect to each other item of business, the “FOR” vote of a majority of the Votes Cast is required in order for such matter to be considered approved by the shareholders. Abstentions and broker non-votes will not count as Votes Cast “FOR” any nominee or proposal.</w:t>
      </w:r>
    </w:p>
    <w:p>
      <w:pPr>
        <w:spacing w:after="0" w:line="6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Cumulative voting for the election of directors shall not be required unless a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shares of the Company’s Common Stock represented by all properly executed proxies received in time for the meeting will be voted in accordance with the directions given by the shareholders. </w:t>
      </w:r>
      <w:r>
        <w:rPr>
          <w:rFonts w:ascii="Times New Roman" w:cs="Times New Roman" w:eastAsia="Times New Roman" w:hAnsi="Times New Roman"/>
          <w:sz w:val="18"/>
          <w:szCs w:val="18"/>
          <w:b w:val="1"/>
          <w:bCs w:val="1"/>
          <w:color w:val="auto"/>
        </w:rPr>
        <w:t>If no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instructions are given wit</w:t>
      </w:r>
      <w:r>
        <w:rPr>
          <w:rFonts w:ascii="Times New Roman" w:cs="Times New Roman" w:eastAsia="Times New Roman" w:hAnsi="Times New Roman"/>
          <w:sz w:val="17"/>
          <w:szCs w:val="17"/>
          <w:b w:val="1"/>
          <w:bCs w:val="1"/>
          <w:color w:val="auto"/>
        </w:rPr>
        <w:t>h respect to a properly executed Proxy timely received by the Company, the shares of the Company’s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7"/>
          <w:szCs w:val="17"/>
          <w:b w:val="1"/>
          <w:bCs w:val="1"/>
          <w:color w:val="auto"/>
        </w:rPr>
        <w:t xml:space="preserve">represented thereby will be voted </w:t>
      </w: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8"/>
          <w:szCs w:val="18"/>
          <w:color w:val="auto"/>
        </w:rPr>
        <w:t>each of the nominees named herein as directors, or their respective substitutes as may be appointed by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8"/>
          <w:szCs w:val="18"/>
          <w:color w:val="auto"/>
        </w:rPr>
        <w:t xml:space="preserve">of Directors,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an amendment to the Company’s 2004 Equity Incentive Plan increasing the number of shares reserved for issuance thereunder by 30,000,000, (iii)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appointment of PricewaterhouseCoopers LLP as the Independent Registered Public Accounting Firm</w:t>
      </w:r>
    </w:p>
    <w:p>
      <w:pPr>
        <w:sectPr>
          <w:pgSz w:w="11900" w:h="16838" w:orient="portrait"/>
          <w:cols w:equalWidth="0" w:num="1">
            <w:col w:w="11420"/>
          </w:cols>
          <w:pgMar w:left="240" w:top="121" w:right="239" w:bottom="0" w:gutter="0" w:footer="0" w:header="0"/>
        </w:sectPr>
      </w:pPr>
    </w:p>
    <w:bookmarkStart w:id="3" w:name="page4"/>
    <w:bookmarkEnd w:id="3"/>
    <w:p>
      <w:pPr>
        <w:ind w:right="360"/>
        <w:spacing w:after="0" w:line="286" w:lineRule="auto"/>
        <w:rPr>
          <w:sz w:val="20"/>
          <w:szCs w:val="20"/>
          <w:color w:val="auto"/>
        </w:rPr>
      </w:pPr>
      <w:r>
        <w:rPr>
          <w:rFonts w:ascii="Times New Roman" w:cs="Times New Roman" w:eastAsia="Times New Roman" w:hAnsi="Times New Roman"/>
          <w:sz w:val="18"/>
          <w:szCs w:val="18"/>
          <w:color w:val="auto"/>
        </w:rPr>
        <w:t xml:space="preserve">of the Company for fiscal 2007, (vi)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shareholder proposal, and (vii) in the discretion of the proxy holders for such other matter or matters which may properly come before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security ownership information of the Company’s Common Stock as of the Record Date (October 11, 2006),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4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Right to Acquire(2)</w:t>
            </w: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3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Shares Owned(1)</w:t>
            </w:r>
          </w:p>
        </w:tc>
        <w:tc>
          <w:tcPr>
            <w:tcW w:w="15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Class(3)</w:t>
            </w: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Brandes Investment Partners, L.P.(4)</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72,947,753</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72,947,753</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11988 El Camino Real, Suite 500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 Diego, CA 92130</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CAM North America, LLC(5)</w:t>
            </w:r>
          </w:p>
        </w:tc>
        <w:tc>
          <w:tcPr>
            <w:tcW w:w="1400" w:type="dxa"/>
            <w:vAlign w:val="bottom"/>
            <w:gridSpan w:val="2"/>
          </w:tcPr>
          <w:p>
            <w:pPr>
              <w:jc w:val="right"/>
              <w:ind w:right="97"/>
              <w:spacing w:after="0" w:line="198" w:lineRule="exact"/>
              <w:rPr>
                <w:sz w:val="20"/>
                <w:szCs w:val="20"/>
                <w:color w:val="auto"/>
              </w:rPr>
            </w:pPr>
            <w:r>
              <w:rPr>
                <w:rFonts w:ascii="Times New Roman" w:cs="Times New Roman" w:eastAsia="Times New Roman" w:hAnsi="Times New Roman"/>
                <w:sz w:val="18"/>
                <w:szCs w:val="18"/>
                <w:color w:val="auto"/>
              </w:rPr>
              <w:t>46,595,972</w:t>
            </w:r>
          </w:p>
        </w:tc>
        <w:tc>
          <w:tcPr>
            <w:tcW w:w="220" w:type="dxa"/>
            <w:vAlign w:val="bottom"/>
          </w:tcPr>
          <w:p>
            <w:pPr>
              <w:spacing w:after="0"/>
              <w:rPr>
                <w:sz w:val="17"/>
                <w:szCs w:val="17"/>
                <w:color w:val="auto"/>
              </w:rPr>
            </w:pPr>
          </w:p>
        </w:tc>
        <w:tc>
          <w:tcPr>
            <w:tcW w:w="152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46,595,972</w:t>
            </w:r>
          </w:p>
        </w:tc>
        <w:tc>
          <w:tcPr>
            <w:tcW w:w="240" w:type="dxa"/>
            <w:vAlign w:val="bottom"/>
          </w:tcPr>
          <w:p>
            <w:pPr>
              <w:spacing w:after="0"/>
              <w:rPr>
                <w:sz w:val="17"/>
                <w:szCs w:val="17"/>
                <w:color w:val="auto"/>
              </w:rPr>
            </w:pPr>
          </w:p>
        </w:tc>
        <w:tc>
          <w:tcPr>
            <w:tcW w:w="760" w:type="dxa"/>
            <w:vAlign w:val="bottom"/>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399 Park Avenue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NY 10022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Research and Management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38,619,120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38,619,120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333 South Hope Street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 Angeles, CA 90071-1406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PrimeCap Management(7)</w:t>
            </w:r>
          </w:p>
        </w:tc>
        <w:tc>
          <w:tcPr>
            <w:tcW w:w="220" w:type="dxa"/>
            <w:vAlign w:val="bottom"/>
          </w:tcPr>
          <w:p>
            <w:pPr>
              <w:spacing w:after="0"/>
              <w:rPr>
                <w:sz w:val="17"/>
                <w:szCs w:val="17"/>
                <w:color w:val="auto"/>
              </w:rPr>
            </w:pPr>
          </w:p>
        </w:tc>
        <w:tc>
          <w:tcPr>
            <w:tcW w:w="1180" w:type="dxa"/>
            <w:vAlign w:val="bottom"/>
          </w:tcPr>
          <w:p>
            <w:pPr>
              <w:jc w:val="right"/>
              <w:ind w:right="97"/>
              <w:spacing w:after="0" w:line="198" w:lineRule="exact"/>
              <w:rPr>
                <w:sz w:val="20"/>
                <w:szCs w:val="20"/>
                <w:color w:val="auto"/>
              </w:rPr>
            </w:pPr>
            <w:r>
              <w:rPr>
                <w:rFonts w:ascii="Times New Roman" w:cs="Times New Roman" w:eastAsia="Times New Roman" w:hAnsi="Times New Roman"/>
                <w:sz w:val="18"/>
                <w:szCs w:val="18"/>
                <w:color w:val="auto"/>
              </w:rPr>
              <w:t>56,664,206</w:t>
            </w:r>
          </w:p>
        </w:tc>
        <w:tc>
          <w:tcPr>
            <w:tcW w:w="220" w:type="dxa"/>
            <w:vAlign w:val="bottom"/>
          </w:tcPr>
          <w:p>
            <w:pPr>
              <w:spacing w:after="0"/>
              <w:rPr>
                <w:sz w:val="17"/>
                <w:szCs w:val="17"/>
                <w:color w:val="auto"/>
              </w:rPr>
            </w:pPr>
          </w:p>
        </w:tc>
        <w:tc>
          <w:tcPr>
            <w:tcW w:w="152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56,664,206</w:t>
            </w:r>
          </w:p>
        </w:tc>
        <w:tc>
          <w:tcPr>
            <w:tcW w:w="240" w:type="dxa"/>
            <w:vAlign w:val="bottom"/>
          </w:tcPr>
          <w:p>
            <w:pPr>
              <w:spacing w:after="0"/>
              <w:rPr>
                <w:sz w:val="17"/>
                <w:szCs w:val="17"/>
                <w:color w:val="auto"/>
              </w:rPr>
            </w:pPr>
          </w:p>
        </w:tc>
        <w:tc>
          <w:tcPr>
            <w:tcW w:w="760" w:type="dxa"/>
            <w:vAlign w:val="bottom"/>
          </w:tcPr>
          <w:p>
            <w:pPr>
              <w:jc w:val="right"/>
              <w:ind w:right="12"/>
              <w:spacing w:after="0" w:line="198" w:lineRule="exact"/>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225 South Lake Ave, Ste. 400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Pasadena, CA 91101-3005</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Teruaki Aoki</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Steven R. Appleton(8)</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1,168,466</w:t>
            </w:r>
          </w:p>
        </w:tc>
        <w:tc>
          <w:tcPr>
            <w:tcW w:w="22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2,780,000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3,948,466</w:t>
            </w: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 Bagley</w:t>
            </w:r>
          </w:p>
        </w:tc>
        <w:tc>
          <w:tcPr>
            <w:tcW w:w="1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22,583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94,613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117,196</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 Mark Durcan(9)</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432,453</w:t>
            </w:r>
          </w:p>
        </w:tc>
        <w:tc>
          <w:tcPr>
            <w:tcW w:w="22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1,590,000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2,022,453</w:t>
            </w: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Gove</w:t>
            </w:r>
          </w:p>
        </w:tc>
        <w:tc>
          <w:tcPr>
            <w:tcW w:w="1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181,979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809,500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991,479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Mercedes Johnson</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24,505</w:t>
            </w:r>
          </w:p>
        </w:tc>
        <w:tc>
          <w:tcPr>
            <w:tcW w:w="22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42,005</w:t>
            </w: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 W. Lewis</w:t>
            </w:r>
          </w:p>
        </w:tc>
        <w:tc>
          <w:tcPr>
            <w:tcW w:w="1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255,853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1,590,000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1,845,853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Robert A. Lothrop(10)</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111,871</w:t>
            </w:r>
          </w:p>
        </w:tc>
        <w:tc>
          <w:tcPr>
            <w:tcW w:w="22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106,933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218,804</w:t>
            </w: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N. Mondry</w:t>
            </w:r>
          </w:p>
        </w:tc>
        <w:tc>
          <w:tcPr>
            <w:tcW w:w="1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20,083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Gordon C. Smith(11)</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39,877</w:t>
            </w:r>
          </w:p>
        </w:tc>
        <w:tc>
          <w:tcPr>
            <w:tcW w:w="22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41,000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80,877</w:t>
            </w: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Wilbur G. Stover, Jr.(12)</w:t>
            </w:r>
          </w:p>
        </w:tc>
        <w:tc>
          <w:tcPr>
            <w:tcW w:w="1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216,980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1,357,000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1,573,980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Robert E. Switz</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16,958</w:t>
            </w:r>
          </w:p>
        </w:tc>
        <w:tc>
          <w:tcPr>
            <w:tcW w:w="220" w:type="dxa"/>
            <w:vAlign w:val="bottom"/>
          </w:tcPr>
          <w:p>
            <w:pPr>
              <w:spacing w:after="0"/>
              <w:rPr>
                <w:sz w:val="18"/>
                <w:szCs w:val="18"/>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4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 Weber(13)</w:t>
            </w:r>
          </w:p>
        </w:tc>
        <w:tc>
          <w:tcPr>
            <w:tcW w:w="1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96,431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 persons)</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3,768,498</w:t>
            </w:r>
          </w:p>
        </w:tc>
        <w:tc>
          <w:tcPr>
            <w:tcW w:w="220" w:type="dxa"/>
            <w:vAlign w:val="bottom"/>
          </w:tcPr>
          <w:p>
            <w:pPr>
              <w:spacing w:after="0"/>
              <w:rPr>
                <w:sz w:val="20"/>
                <w:szCs w:val="20"/>
                <w:color w:val="auto"/>
              </w:rPr>
            </w:pPr>
          </w:p>
        </w:tc>
        <w:tc>
          <w:tcPr>
            <w:tcW w:w="13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13,292,781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17,061,279</w:t>
            </w:r>
          </w:p>
        </w:tc>
        <w:tc>
          <w:tcPr>
            <w:tcW w:w="2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Represents less than 1% of shares outstanding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100" w:hanging="257"/>
        <w:spacing w:after="0" w:line="261"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the exercise of outstanding stock options. For the Company’s officers and directors, includes shares of restricted stock subject to time-based and/or performance-based restrictions. For information on the restricted stock held by the Named Executive Officers, see the Summary Compensation Table on page 10. For information on the restricted stock held by the Company’s non-employee directors, see the table on page 14.</w:t>
      </w:r>
    </w:p>
    <w:p>
      <w:pPr>
        <w:spacing w:after="0" w:line="71" w:lineRule="exact"/>
        <w:rPr>
          <w:rFonts w:ascii="Times New Roman" w:cs="Times New Roman" w:eastAsia="Times New Roman" w:hAnsi="Times New Roman"/>
          <w:sz w:val="18"/>
          <w:szCs w:val="18"/>
          <w:color w:val="auto"/>
        </w:rPr>
      </w:pPr>
    </w:p>
    <w:p>
      <w:pPr>
        <w:ind w:left="360" w:hanging="257"/>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that an individual has a right to acquire within 60 days of October 11, 2006.</w:t>
      </w:r>
    </w:p>
    <w:p>
      <w:pPr>
        <w:spacing w:after="0" w:line="117" w:lineRule="exact"/>
        <w:rPr>
          <w:rFonts w:ascii="Times New Roman" w:cs="Times New Roman" w:eastAsia="Times New Roman" w:hAnsi="Times New Roman"/>
          <w:sz w:val="18"/>
          <w:szCs w:val="18"/>
          <w:color w:val="auto"/>
        </w:rPr>
      </w:pPr>
    </w:p>
    <w:p>
      <w:pPr>
        <w:ind w:left="360" w:right="20" w:hanging="257"/>
        <w:spacing w:after="0" w:line="266"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68" w:lineRule="exact"/>
        <w:rPr>
          <w:rFonts w:ascii="Times New Roman" w:cs="Times New Roman" w:eastAsia="Times New Roman" w:hAnsi="Times New Roman"/>
          <w:sz w:val="18"/>
          <w:szCs w:val="18"/>
          <w:color w:val="auto"/>
        </w:rPr>
      </w:pPr>
    </w:p>
    <w:p>
      <w:pPr>
        <w:ind w:left="360" w:right="500" w:hanging="257"/>
        <w:spacing w:after="0" w:line="282"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Brandes Investment Partners have shared voting power as to 60,974,655 shares. They have shared dispositive power as to 72,947,753 shares. This information is taken from a Schedule 13G dated February 14, 2006.</w:t>
      </w:r>
    </w:p>
    <w:p>
      <w:pPr>
        <w:spacing w:after="0" w:line="53" w:lineRule="exact"/>
        <w:rPr>
          <w:rFonts w:ascii="Times New Roman" w:cs="Times New Roman" w:eastAsia="Times New Roman" w:hAnsi="Times New Roman"/>
          <w:sz w:val="18"/>
          <w:szCs w:val="18"/>
          <w:color w:val="auto"/>
        </w:rPr>
      </w:pPr>
    </w:p>
    <w:p>
      <w:pPr>
        <w:ind w:left="360" w:right="120" w:hanging="257"/>
        <w:spacing w:after="0" w:line="256"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by CAM North America LLC and its affiliates, Salomon Brothers Asset Management Inc., Smith Barney Fund Management LLC and TIMCO Asset Management Inc. CAM North America, LLC has shared voting power as to 23,845,680 shares and shared dispositive power as to 29,305,242 shares. Salomon Brothers Asset Management has shared voting power as to 274,202 shares and shared dispositive power as to 274,202 shares. Smith Barney Fund Management LLC has shared voting power as to 16,665,618 shares and shared dispositive power as to 16,665,618 shares. TIMCO Asset Management Inc. has shared voting power as to 350,910 shares and shared dispositive power as to 350,910 shares. This information was taken from a Schedule 13G dated February 14, 2006.</w:t>
      </w:r>
    </w:p>
    <w:p>
      <w:pPr>
        <w:spacing w:after="0" w:line="79" w:lineRule="exact"/>
        <w:rPr>
          <w:rFonts w:ascii="Times New Roman" w:cs="Times New Roman" w:eastAsia="Times New Roman" w:hAnsi="Times New Roman"/>
          <w:sz w:val="18"/>
          <w:szCs w:val="18"/>
          <w:color w:val="auto"/>
        </w:rPr>
      </w:pPr>
    </w:p>
    <w:p>
      <w:pPr>
        <w:ind w:left="360" w:right="300" w:hanging="257"/>
        <w:spacing w:after="0" w:line="282"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Research Management has sole voting power as to 23,590,000 shares and sole dispositive power as to 38,619,120 shares. This information is taken from a Schedule 13G dated February 6, 2006.</w:t>
      </w:r>
    </w:p>
    <w:p>
      <w:pPr>
        <w:spacing w:after="0" w:line="53" w:lineRule="exact"/>
        <w:rPr>
          <w:rFonts w:ascii="Times New Roman" w:cs="Times New Roman" w:eastAsia="Times New Roman" w:hAnsi="Times New Roman"/>
          <w:sz w:val="18"/>
          <w:szCs w:val="18"/>
          <w:color w:val="auto"/>
        </w:rPr>
      </w:pPr>
    </w:p>
    <w:p>
      <w:pPr>
        <w:ind w:left="360" w:hanging="257"/>
        <w:spacing w:after="0" w:line="282"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PrimeCap Management Company has sole voting power as to 7,494,696 shares and sole dispositive power as to 56,664,206 shares. This information was taken from a Schedule 13G dated February 8, 2006.</w:t>
      </w:r>
    </w:p>
    <w:p>
      <w:pPr>
        <w:spacing w:after="0" w:line="53" w:lineRule="exact"/>
        <w:rPr>
          <w:rFonts w:ascii="Times New Roman" w:cs="Times New Roman" w:eastAsia="Times New Roman" w:hAnsi="Times New Roman"/>
          <w:sz w:val="18"/>
          <w:szCs w:val="18"/>
          <w:color w:val="auto"/>
        </w:rPr>
      </w:pPr>
    </w:p>
    <w:p>
      <w:pPr>
        <w:ind w:left="360" w:hanging="257"/>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beneficially owned by Mesa L.P.</w:t>
      </w:r>
    </w:p>
    <w:p>
      <w:pPr>
        <w:spacing w:after="0" w:line="117" w:lineRule="exact"/>
        <w:rPr>
          <w:rFonts w:ascii="Times New Roman" w:cs="Times New Roman" w:eastAsia="Times New Roman" w:hAnsi="Times New Roman"/>
          <w:sz w:val="18"/>
          <w:szCs w:val="18"/>
          <w:color w:val="auto"/>
        </w:rPr>
      </w:pPr>
    </w:p>
    <w:p>
      <w:pPr>
        <w:ind w:left="360" w:hanging="257"/>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84,507 shares held by C &amp; E Partners L.P. and 3,101 shares beneficially owned by Mr. Durcan’s spouse.</w:t>
      </w:r>
    </w:p>
    <w:p>
      <w:pPr>
        <w:sectPr>
          <w:pgSz w:w="11900" w:h="16838" w:orient="portrait"/>
          <w:cols w:equalWidth="0" w:num="1">
            <w:col w:w="11380"/>
          </w:cols>
          <w:pgMar w:left="240" w:top="117" w:right="279" w:bottom="104" w:gutter="0" w:footer="0" w:header="0"/>
        </w:sectPr>
      </w:pPr>
    </w:p>
    <w:bookmarkStart w:id="4" w:name="page5"/>
    <w:bookmarkEnd w:id="4"/>
    <w:p>
      <w:pPr>
        <w:spacing w:after="0" w:line="88" w:lineRule="exact"/>
        <w:rPr>
          <w:sz w:val="20"/>
          <w:szCs w:val="20"/>
          <w:color w:val="auto"/>
        </w:rPr>
      </w:pPr>
    </w:p>
    <w:p>
      <w:pPr>
        <w:ind w:left="360" w:right="240" w:hanging="352"/>
        <w:spacing w:after="0" w:line="313" w:lineRule="auto"/>
        <w:tabs>
          <w:tab w:leader="none" w:pos="3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82,464 shares beneficially owned in joint tenancy with Mr. Lothrop’s spouse and 848 shares beneficially owned by Mr. Lothrop’s spouse. Mr. Lothrop has announced his retirement from the Company’s Board of Directors effective at the close of the 2006 Annual Meeting of Shareholders.</w:t>
      </w:r>
    </w:p>
    <w:p>
      <w:pPr>
        <w:spacing w:after="0" w:line="30"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26,338 shares beneficially owned by G.C. Smith LLC.</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3,900 shares beneficially owned by Mr. Stover’s minor children.</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Weber has announced his retirement from the Company’s Board of Directors effective at the close of the 2006 Annual Meeting of Shareholders.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 TO BE TRANSACTED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The Company’s Bylaws currently authorize a Board of Directors comprised of nine members. A board of seven directors is to be elected at the Annual Meeting, all of whom have been recommended for nomination by a majority of the independent directors of the Board of Directors and all of whom are currently serving as directors of the Company. Robert A. Lothrop and William P. Weber are not standing for reelection as they have announced that they are retiring from the Company’s Board of Directors effective at the close of the 2006 Annual Meeting. Immediately following the Annual Meeting, the Company’s Bylaws will be amended to provide for a Board of Directors comprised of seven members. Unless otherwise instructed, the proxy holders will vote the proxies received by them for management’s seven nominees named below, all of whom are presently directors of the Company.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chosen and qualified, except in the case of earlier resignation or removal. The names of the seven nominees and certain information about them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Served as a</w:t>
            </w: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Board Committees*</w:t>
            </w:r>
          </w:p>
        </w:tc>
        <w:tc>
          <w:tcPr>
            <w:tcW w:w="0" w:type="dxa"/>
            <w:vAlign w:val="bottom"/>
          </w:tcPr>
          <w:p>
            <w:pPr>
              <w:spacing w:after="0"/>
              <w:rPr>
                <w:sz w:val="1"/>
                <w:szCs w:val="1"/>
                <w:color w:val="auto"/>
              </w:rPr>
            </w:pPr>
          </w:p>
        </w:tc>
      </w:tr>
      <w:tr>
        <w:trPr>
          <w:trHeight w:val="25"/>
        </w:trPr>
        <w:tc>
          <w:tcPr>
            <w:tcW w:w="3400" w:type="dxa"/>
            <w:vAlign w:val="bottom"/>
            <w:gridSpan w:val="4"/>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2"/>
                <w:szCs w:val="2"/>
                <w:color w:val="auto"/>
              </w:rPr>
            </w:pPr>
          </w:p>
        </w:tc>
        <w:tc>
          <w:tcPr>
            <w:tcW w:w="36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4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00" w:type="dxa"/>
            <w:vAlign w:val="bottom"/>
            <w:gridSpan w:val="4"/>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4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w:t>
            </w:r>
          </w:p>
        </w:tc>
        <w:tc>
          <w:tcPr>
            <w:tcW w:w="5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C</w:t>
            </w:r>
          </w:p>
        </w:tc>
        <w:tc>
          <w:tcPr>
            <w:tcW w:w="46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20" w:type="dxa"/>
            <w:vAlign w:val="bottom"/>
          </w:tcPr>
          <w:p>
            <w:pPr>
              <w:spacing w:after="0"/>
              <w:rPr>
                <w:sz w:val="22"/>
                <w:szCs w:val="22"/>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Teruaki Aoki</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3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Sony University and Managing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4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Sony Foundation for Education</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1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Steven R. Appleton</w:t>
            </w:r>
          </w:p>
        </w:tc>
        <w:tc>
          <w:tcPr>
            <w:tcW w:w="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46</w:t>
            </w:r>
          </w:p>
        </w:tc>
        <w:tc>
          <w:tcPr>
            <w:tcW w:w="378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Chairman, Chief Executive Officer and</w:t>
            </w: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of the Company</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 Bagley</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Chairman of Lam Research</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Corporation</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0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Mercedes Johnson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3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00" w:type="dxa"/>
            <w:vAlign w:val="bottom"/>
          </w:tcPr>
          <w:p>
            <w:pPr>
              <w:spacing w:after="0"/>
              <w:rPr>
                <w:sz w:val="23"/>
                <w:szCs w:val="23"/>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Officer of Avago Technologies Limited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N. Mondry</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3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4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CompUSA, Inc.</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0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Gordon C. Smith</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3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and Chief Executive Officer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1990</w:t>
            </w:r>
          </w:p>
        </w:tc>
        <w:tc>
          <w:tcPr>
            <w:tcW w:w="100" w:type="dxa"/>
            <w:vAlign w:val="bottom"/>
          </w:tcPr>
          <w:p>
            <w:pPr>
              <w:spacing w:after="0"/>
              <w:rPr>
                <w:sz w:val="23"/>
                <w:szCs w:val="23"/>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SFG LLC</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Switz</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of</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ADC Telecommunications, Inc.</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Audit Committee, C = Compensation Committee, G = Governance Committee</w:t>
      </w:r>
    </w:p>
    <w:p>
      <w:pPr>
        <w:spacing w:after="0" w:line="117" w:lineRule="exact"/>
        <w:rPr>
          <w:rFonts w:ascii="Times New Roman" w:cs="Times New Roman" w:eastAsia="Times New Roman" w:hAnsi="Times New Roman"/>
          <w:sz w:val="18"/>
          <w:szCs w:val="18"/>
          <w:color w:val="auto"/>
        </w:rPr>
      </w:pPr>
    </w:p>
    <w:p>
      <w:pPr>
        <w:ind w:left="360" w:righ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Weber is currently a member of the Compensation Committee. Mr. Weber has announced his retirement from the Company’s Board of Directors effective at the close of the 2006 Annual Meeting of Shareholders. Following Mr. Weber’s retirement, another director will be appointed to the Compensation Committee.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 forth below are the principal occupations of the nominees for at least the past five years:</w:t>
      </w:r>
    </w:p>
    <w:p>
      <w:pPr>
        <w:spacing w:after="0" w:line="115"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Teruaki Aoki </w:t>
      </w:r>
      <w:r>
        <w:rPr>
          <w:rFonts w:ascii="Times New Roman" w:cs="Times New Roman" w:eastAsia="Times New Roman" w:hAnsi="Times New Roman"/>
          <w:sz w:val="18"/>
          <w:szCs w:val="18"/>
          <w:color w:val="auto"/>
        </w:rPr>
        <w:t>is President of Sony University and Managing Director of Sony Foundation for Education. Dr. Aoki has been associated with Sony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1970 and has held various executive 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w:t>
      </w:r>
    </w:p>
    <w:p>
      <w:pPr>
        <w:spacing w:after="0" w:line="72"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Steven R. Appleton </w:t>
      </w:r>
      <w:r>
        <w:rPr>
          <w:rFonts w:ascii="Times New Roman" w:cs="Times New Roman" w:eastAsia="Times New Roman" w:hAnsi="Times New Roman"/>
          <w:sz w:val="18"/>
          <w:szCs w:val="18"/>
          <w:color w:val="auto"/>
        </w:rPr>
        <w:t>joined the Company in February 1983 and has served in various capacities with the Company and its subsidiaries. Mr. Appleton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72" w:lineRule="exact"/>
        <w:rPr>
          <w:sz w:val="20"/>
          <w:szCs w:val="20"/>
          <w:color w:val="auto"/>
        </w:rPr>
      </w:pPr>
    </w:p>
    <w:p>
      <w:pPr>
        <w:ind w:right="26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James W. Bagley </w:t>
      </w:r>
      <w:r>
        <w:rPr>
          <w:rFonts w:ascii="Times New Roman" w:cs="Times New Roman" w:eastAsia="Times New Roman" w:hAnsi="Times New Roman"/>
          <w:sz w:val="18"/>
          <w:szCs w:val="18"/>
          <w:color w:val="auto"/>
        </w:rPr>
        <w:t>became the Executive Chairman of Lam Research Corporation (“Lam”), a supplier of semiconductor manufacturing equipment,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2005. From August 1997 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ectPr>
          <w:pgSz w:w="11900" w:h="16927" w:orient="portrait"/>
          <w:cols w:equalWidth="0" w:num="1">
            <w:col w:w="11400"/>
          </w:cols>
          <w:pgMar w:left="240" w:top="121" w:right="259" w:bottom="0" w:gutter="0" w:footer="0" w:header="0"/>
        </w:sectPr>
      </w:pPr>
    </w:p>
    <w:bookmarkStart w:id="5" w:name="page6"/>
    <w:bookmarkEnd w:id="5"/>
    <w:p>
      <w:pPr>
        <w:ind w:right="2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Mercedes Johnson </w:t>
      </w:r>
      <w:r>
        <w:rPr>
          <w:rFonts w:ascii="Times New Roman" w:cs="Times New Roman" w:eastAsia="Times New Roman" w:hAnsi="Times New Roman"/>
          <w:sz w:val="18"/>
          <w:szCs w:val="18"/>
          <w:color w:val="auto"/>
        </w:rPr>
        <w:t>has served as the Senior Vice President and Chief Financial Officer of Avago Technologies Limited, a semiconductor company,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2005.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 Ms. Johnson is the Chairman of the Board’s Audit Committee.</w:t>
      </w:r>
    </w:p>
    <w:p>
      <w:pPr>
        <w:spacing w:after="0" w:line="72"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Lawrence N. Mondry </w:t>
      </w:r>
      <w:r>
        <w:rPr>
          <w:rFonts w:ascii="Times New Roman" w:cs="Times New Roman" w:eastAsia="Times New Roman" w:hAnsi="Times New Roman"/>
          <w:sz w:val="18"/>
          <w:szCs w:val="18"/>
          <w:color w:val="auto"/>
        </w:rPr>
        <w:t>served as the Chief Executive Officer of CompUSA Inc. from November 2003 to May 2006. Mr. Mondry joined CompUSA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1990 as Senior Vice President and General Merchandise Manager. He was promoted to Executive Vice President-Merchandising in 1993, and President and Chief Operating Officer of CompUSA Stores in 2000. Mr. Mondry currently serves on the Board of Directors for Golfsmith, Inc. Mr. Mondry is the Chairman of the Board’s Compensation Committee.</w:t>
      </w:r>
    </w:p>
    <w:p>
      <w:pPr>
        <w:spacing w:after="0" w:line="72"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Gordon C. Smith </w:t>
      </w:r>
      <w:r>
        <w:rPr>
          <w:rFonts w:ascii="Times New Roman" w:cs="Times New Roman" w:eastAsia="Times New Roman" w:hAnsi="Times New Roman"/>
          <w:sz w:val="18"/>
          <w:szCs w:val="18"/>
          <w:color w:val="auto"/>
        </w:rPr>
        <w:t>has served as the Chairman and Chief Executive Officer of SFG LLC, a holding company for agriculture operations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since January 2005. Mr. Smith has also served as Chairman and Chief Executive Officer of G.C. Smith LLC since May 2000. From July 1980 to March 1994, Mr. Smith served in various management positions with J.R.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w:t>
      </w:r>
    </w:p>
    <w:p>
      <w:pPr>
        <w:spacing w:after="0" w:line="72" w:lineRule="exact"/>
        <w:rPr>
          <w:sz w:val="20"/>
          <w:szCs w:val="20"/>
          <w:color w:val="auto"/>
        </w:rPr>
      </w:pPr>
    </w:p>
    <w:p>
      <w:pPr>
        <w:ind w:right="8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Robert E. Switz </w:t>
      </w:r>
      <w:r>
        <w:rPr>
          <w:rFonts w:ascii="Times New Roman" w:cs="Times New Roman" w:eastAsia="Times New Roman" w:hAnsi="Times New Roman"/>
          <w:sz w:val="18"/>
          <w:szCs w:val="18"/>
          <w:color w:val="auto"/>
        </w:rPr>
        <w:t>is currently President and CEO of ADC Telecommunications, Inc., a supplier of network infrastructure products and services. Mr. Switz</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with ADC since 1994 and prior to his current position, served ADC as Executive Vice President and Chief Financial Officer. Mr. Switz holds an MBA from the University of Bridgeport as well as a degree in marketing/economics from Quinnipiac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 Mr. Switz also serves on the Board of Directors for Broadcom Corporation. Mr. Switz is the Chairman of the Board’s Governance Committee.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is no family relationship between any director or executive officer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Section 16(a) of the Securities and Exchange Act of 1934 (the “Exchange Act”) requires the Company’s directors and executive officers, and persons who own beneficially more than 10% of the Common Stock of the Company, to file reports of ownership and changes of ownership with the Securities and Exchange Commission and the New York Stock Exchange (“NYSE”). Copies of all filed reports are required to be furnished to the Company pursuant to Section 16(a) of the Exchange Act. Based solely on the reports received by the Company and on written representations from reporting persons, the Company believes that the directors, executive officers, and greater than 10% beneficial owners complied with all applicable filing requirements during the fiscal year ended August 31,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jc w:val="both"/>
        <w:ind w:right="240" w:firstLine="360"/>
        <w:spacing w:after="0" w:line="266" w:lineRule="auto"/>
        <w:rPr>
          <w:sz w:val="20"/>
          <w:szCs w:val="20"/>
          <w:color w:val="auto"/>
        </w:rPr>
      </w:pPr>
      <w:r>
        <w:rPr>
          <w:rFonts w:ascii="Times New Roman" w:cs="Times New Roman" w:eastAsia="Times New Roman" w:hAnsi="Times New Roman"/>
          <w:sz w:val="18"/>
          <w:szCs w:val="18"/>
          <w:color w:val="auto"/>
        </w:rPr>
        <w:t>During fiscal 2006, the Company paid $89.2 million to Lam Research Corporation (“Lam”) for semiconductor manufacturing equipment and related services. The Company also received approximately $174,000 from Lam for the sale of used equipment in fiscal 2006. Mr. Bagley is the current Executive Chairman of Lam.</w:t>
      </w:r>
    </w:p>
    <w:p>
      <w:pPr>
        <w:spacing w:after="0" w:line="68"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During fiscal 2006, the Grove Hotel and Qwest Arena in Boise, Idaho, received approximately $284,000 for business conducted with the Company. The Company uses the Grove Hotel for business visitors and conferences, and leases a suite for events at the Qwest Arena. Mr. Appleton has an interest in a limited liability company that is a minority owner of the Grove Hotel and Qwest Arena.</w:t>
      </w:r>
    </w:p>
    <w:p>
      <w:pPr>
        <w:spacing w:after="0" w:line="68"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From the beginning of fiscal 2006 until February 15, 2006, Intel Corporation (“Intel”) held stock rights exchangeable into at least 5% of the Company’s outstanding Common Stock. During the period in which Intel held at least 5% of the Company’s Common Stock, the Company received $110.7 million from Intel Corporation for purchases of the Company’s semiconductor memory products. In fiscal 2006, the Company also made payments of approximately $112,000 to Intel for purchases of products.</w:t>
      </w:r>
    </w:p>
    <w:p>
      <w:pPr>
        <w:spacing w:after="0" w:line="72"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In January 2006, IM Flash Technologies (“IMFT”), a joint venture between the Company and Intel, began operations. IMFT manufactures NAND Flash memory products for the exclusive benefit of its partners. In connection with the formation of IMFT, the Company contributed land and facilities in Lehi, Utah, a fully paid lease of a portion of the Company’s manufacturing facility in Manassas, Virginia, a wafer supply agreement to be supported by the Company’s operations located in Boise, Idaho, and $250 million in cash. The aggregate fair value of these contributions was $1.245 billion. Intel contributed $1.196 billion in cash and notes to IMFT. As a result of these contributions, the Company owns 51% and Intel owns 49% of IMFT. The results of IMFT are included in the consolidated financial statements of the Company.</w:t>
      </w:r>
    </w:p>
    <w:p>
      <w:pPr>
        <w:spacing w:after="0" w:line="80"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18"/>
          <w:szCs w:val="18"/>
          <w:color w:val="auto"/>
        </w:rPr>
        <w:t>IMFT manufactures NAND Flash memory products based on NAND Flash designs developed by the Company and Intel and licensed to the Company. In the second quarter of 2006, the Company received net proceeds of $230 million from Intel for the sale of the Company’s existing NAND Flash memory designs and certain related technology and the Company’s acquisition of a perpetual, paid-up license to use and modify such designs.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21" w:lineRule="exact"/>
        <w:rPr>
          <w:sz w:val="20"/>
          <w:szCs w:val="20"/>
          <w:color w:val="auto"/>
        </w:rPr>
      </w:pPr>
    </w:p>
    <w:p>
      <w:pPr>
        <w:ind w:right="120"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held seven meetings during fiscal 2006. In fiscal 2006, the Board of Directors had a standing Audit Committee and a standing Governance and Compensation Committee. During fiscal 2006, the Audit Committee met eleven times and the Governance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Compensation Committee met three times. All incumbent directors attended 75% or more of the aggregate of (i) the total number of meetings of the Board of Directors and (ii) the total number of meetings of all committees of the Board on which they served, during fiscal 2006. All incumbent directors except Dr. Aoki and Mr. Switz attended the Company’s Annual Meeting of Shareholders in 2005. Dr. Aoki and Mr. Switz did not become directors until after the 2005 Annual Meeting.</w:t>
      </w:r>
    </w:p>
    <w:p>
      <w:pPr>
        <w:sectPr>
          <w:pgSz w:w="11900" w:h="16838" w:orient="portrait"/>
          <w:cols w:equalWidth="0" w:num="1">
            <w:col w:w="11400"/>
          </w:cols>
          <w:pgMar w:left="240" w:top="119" w:right="259" w:bottom="45" w:gutter="0" w:footer="0" w:header="0"/>
        </w:sectPr>
      </w:pPr>
    </w:p>
    <w:bookmarkStart w:id="6" w:name="page7"/>
    <w:bookmarkEnd w:id="6"/>
    <w:p>
      <w:pPr>
        <w:ind w:firstLine="360"/>
        <w:spacing w:after="0" w:line="256" w:lineRule="auto"/>
        <w:rPr>
          <w:sz w:val="20"/>
          <w:szCs w:val="20"/>
          <w:color w:val="auto"/>
        </w:rPr>
      </w:pPr>
      <w:r>
        <w:rPr>
          <w:rFonts w:ascii="Times New Roman" w:cs="Times New Roman" w:eastAsia="Times New Roman" w:hAnsi="Times New Roman"/>
          <w:sz w:val="18"/>
          <w:szCs w:val="18"/>
          <w:color w:val="auto"/>
        </w:rPr>
        <w:t>In September 2006, the Board of Directors separated the Governance and Compensation Committee into two distinct committees, a Governance Committee and a Compensation Committee. The Audit Committee, the Governance Committee and the Compensation Committee each have written charters that comply with federal and NYSE rules relating to corporate governance matters. Copies of the committee charters as well as the Company’s Corporate Governance Guidelines are available on the Company’s website at www.micron.com. The Board has determined that all the members of the Audit Committee, the Governance Committee, and the Compensation Committee satisfy the independence requirements of applicable federal laws and the listing standards of the NYSE for such committees.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Ms. Johnson and Messrs. Smith and Switz currently serve on the Audit Committee. Throughout fiscal 2006, Mr. Lothrop also served on the Audit Committee. Ms. Johnson is the Chairman of the Audit Committee. The Board has determined that Ms. Johnson and Messrs. Smith and Switz each qualifies as an “audit committee financial expert” for purposes of the rules and regulations of the Securities and Exchange Commission. Each member of the Audit Committee is independent within the meaning of the NYSE listing requirements applicable to members of a listed company’s audit committee. The purpose of the Audit Committee is to assist the Board in overseeing and monitoring (i) the integrity of the Company’s financial statements, (ii) 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the Audit Committee report that is included in the Company’s annual Proxy Statement. See “Report of the Audit Committee of the Board of Directors.” The complete duties and responsibilities of the Audit Committee are set forth in its written charter, which is available at www.micron.com, and is also attached as Appendix A to this Proxy Statement.</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121"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color w:val="auto"/>
        </w:rPr>
        <w:t>Dr. Aoki, Ms. Johnson and Messrs. Mondry, Smith, Switz and Weber currently serve on the Governance Committee. Mr. Switz is the Chairman of the Governance Committee. Each member of the Committee is independent within the meaning of the NYSE listing requirements applicable to members of a listed company’s nominating/corporate governance committee. The responsibilities of the Governance Committee include assisting the Board in discharging its duties with respect to (i) the identification and selection of nominees to the Company’s Board of Directors and (ii) the development of Corporate Governance Guidelines for the Company. The complete duties and responsibilities of the Governance Committee are set forth in its written charter, which is available at www.micron.com.</w:t>
      </w:r>
    </w:p>
    <w:p>
      <w:pPr>
        <w:spacing w:after="0" w:line="80"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The Governance Committee is responsible for identifying nominees for the Company’s Board of Directors. There are no minimum qualifications that nominees must possess but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the Company and its operations; familiarity with accounting rules and practices; and “independence” as defined and required by NYSE Listing Application Standards and relevant rules and regulations of the SEC. In fiscal 2006, the Board of Directors determined that it would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 advisable to add additional members to the Board. To that end, the Governance Committee works with a third party executive search firm to assist them in the identification and evaluation of potential candidates to the Company’s Board of Directors. As a result of the Governance Committee’s efforts and the executive search firm’s efforts, Dr. Aoki and Mr. Switz were added to the Company’s Board of Directors in 2006. It is currently anticipated that additional candidates will join the Company’s Board of Directors in fiscal 2007.</w:t>
      </w:r>
    </w:p>
    <w:p>
      <w:pPr>
        <w:spacing w:after="0" w:line="72"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The Governance Committee will consider director nominee recommendations from shareholders. Shareholder recommendations are subject to the same criteria used to evaluate other candidates. Shareholders wishing to recommend a prospective nominee should submit the candidate’s name and qualifications to the Company’s Corporate Secretary at corporatesecretary@micron.com. The Company’s Bylaws contain the provisions that address the process by which a shareholder may actually nominate an individual to stand for election to the Company’s Board of Directors. A copy of the Company’s Bylaws can be found on the Corporate Governance page of its website at www.micron.com. During fiscal 2006, the Company received no director nominations from shareholders.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Dr. Aoki and Messrs. Mondry and Weber currently serve on the Compensation Committee of the Board of Directors. Mr. Mondry is the Chairman of the Compensation Committee. Mr. Weber has announced his retirement from the Company’s Board of Directors effective at the close of the 2006 Annual Meeting. Following Mr. Weber’s retirement, another director will be appointed to the Compensation Committee. Each member of the Committee is independent within the meaning of the NYSE listing requirements applicable to the listed company’s compensation committee. The Compensation Committee is responsible for reviewing and approving the compensation of the Company’s officers. See “Report of the Compensation Committee of the Board of Directors Regarding Executive Compensation.” The complete duties of the Compensation Committee are set forth in its written charter, which is available at www.micron.com.</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 and Communications with Board</w:t>
      </w:r>
    </w:p>
    <w:p>
      <w:pPr>
        <w:spacing w:after="0" w:line="121"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meets regularly in executive sessions in which only non-employee directors are present. On September 26, 2006, Mr. Weber was appointed to preside at these executive sessions for fiscal 2007. Shareholders wishing to communicate with the Company’s Board of Directors may contact Mr. Weber at presidingdirector@micron.com. A new presiding director will be appointed after Mr. Weber’s retirement from the Board of Directors. Information on how to contact Mr. Weber’s successor will be available on the Corporate Governance page of the Company’s website at www.micron.com.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that is applicable to all directors, officers and employees of the Company. A copy of the Micron Code of Business Conduct and Ethics is available on the Company’s website at www.micron.com/code. Any amendments or waivers of the Code of Business Conduct and Ethics will also be posted on the Company’s website within four business days of the amendment or waiver as required by applicable rules and regulations of the SEC and NYSE listing requirements.</w:t>
      </w:r>
    </w:p>
    <w:p>
      <w:pPr>
        <w:sectPr>
          <w:pgSz w:w="11900" w:h="16838" w:orient="portrait"/>
          <w:cols w:equalWidth="0" w:num="1">
            <w:col w:w="11420"/>
          </w:cols>
          <w:pgMar w:left="240" w:top="121" w:right="239"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81" w:lineRule="exact"/>
        <w:rPr>
          <w:sz w:val="20"/>
          <w:szCs w:val="20"/>
          <w:color w:val="auto"/>
        </w:rPr>
      </w:pPr>
    </w:p>
    <w:p>
      <w:pPr>
        <w:jc w:val="both"/>
        <w:ind w:right="8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compensation earned by the Company’s Chief Executive Officer and the Company’s other four most highly compensated executive officers during fiscal 2006 (collectively, the “Named Executive Officers”) for all services rendered to the Company and its subsidiaries for each of the last three completed fiscal years: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00" w:type="dxa"/>
            <w:vAlign w:val="bottom"/>
          </w:tcPr>
          <w:p>
            <w:pPr>
              <w:spacing w:after="0"/>
              <w:rPr>
                <w:sz w:val="15"/>
                <w:szCs w:val="15"/>
                <w:color w:val="auto"/>
              </w:rPr>
            </w:pPr>
          </w:p>
        </w:tc>
        <w:tc>
          <w:tcPr>
            <w:tcW w:w="27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Long-Term Compensation</w:t>
            </w: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top w:val="single" w:sz="8" w:color="auto"/>
            </w:tcBorders>
            <w:gridSpan w:val="2"/>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rPr>
              <w:t>Restricted</w:t>
            </w:r>
          </w:p>
        </w:tc>
        <w:tc>
          <w:tcPr>
            <w:tcW w:w="740" w:type="dxa"/>
            <w:vAlign w:val="bottom"/>
            <w:tcBorders>
              <w:top w:val="single" w:sz="8" w:color="auto"/>
            </w:tcBorders>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760" w:type="dxa"/>
            <w:vAlign w:val="bottom"/>
            <w:gridSpan w:val="3"/>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Salary(1)</w:t>
            </w:r>
          </w:p>
        </w:tc>
        <w:tc>
          <w:tcPr>
            <w:tcW w:w="100" w:type="dxa"/>
            <w:vAlign w:val="bottom"/>
          </w:tcPr>
          <w:p>
            <w:pPr>
              <w:spacing w:after="0"/>
              <w:rPr>
                <w:sz w:val="11"/>
                <w:szCs w:val="11"/>
                <w:color w:val="auto"/>
              </w:rPr>
            </w:pP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47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Award(2)</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Appleton(5)</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$ 903,754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$ 1,010,746</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$ 3,778,900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  65,871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CEO &amp; President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845,962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78,471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260,870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6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D. Mark Durcan(6)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435,212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314,971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1,978,050</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7,289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211,813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425,950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347,386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515,178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128,645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4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Gove(7)</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1,036,150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43,128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of Imaging Group</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6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Roderic W. Lewis(8)</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264,219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1,158,050</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26,157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Vice President of Legal Affairs,</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348,789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251,465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304,250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Counsel &amp; Corporate Secretary</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509,972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140,199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4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Wilbur G. Stover, Jr.(9)</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437,304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314,101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1,158,050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35,529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of Finance &amp;</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CFO</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171,026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deferred by the named executive under the Company’s 401(k) retirement plan.</w:t>
      </w:r>
    </w:p>
    <w:p>
      <w:pPr>
        <w:spacing w:after="0" w:line="63" w:lineRule="exact"/>
        <w:rPr>
          <w:rFonts w:ascii="Times New Roman" w:cs="Times New Roman" w:eastAsia="Times New Roman" w:hAnsi="Times New Roman"/>
          <w:sz w:val="18"/>
          <w:szCs w:val="18"/>
          <w:color w:val="auto"/>
        </w:rPr>
      </w:pPr>
    </w:p>
    <w:p>
      <w:pPr>
        <w:ind w:left="360" w:right="60" w:hanging="352"/>
        <w:spacing w:after="0" w:line="257"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was awarded on September 30, 2005, to Messrs. Appleton, Durcan, Gove, Lewis and Stover in the amounts of 310,000, 95,000, 85,000, 95,000 and 95,000 shares, respectively. In addition, Mr. Durcan was awarded 50,000 shares of restricted stock on February 13, 2006. Restricted stock was awarded on November 19, 2004, to Messrs. Appleton, Durcan, Gove, Lewis and Stover in the amounts of 70,000, 35,000, 20,000, 25,000 and</w:t>
      </w:r>
    </w:p>
    <w:p>
      <w:pPr>
        <w:spacing w:after="0" w:line="1" w:lineRule="exact"/>
        <w:rPr>
          <w:rFonts w:ascii="Times New Roman" w:cs="Times New Roman" w:eastAsia="Times New Roman" w:hAnsi="Times New Roman"/>
          <w:sz w:val="18"/>
          <w:szCs w:val="18"/>
          <w:color w:val="auto"/>
        </w:rPr>
      </w:pPr>
    </w:p>
    <w:p>
      <w:pPr>
        <w:ind w:left="3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respectively. All restricted stock was awarded under the Company’s 2004 Equity Incentive Plan (“the 2004 Plan.”). The value of the restricted stock reported in this column was determined by using the fair market value of the Company’s Common Stock on the date of grant, as defined under the 2004 Plan. Under the 2004 Plan, “fair market value” equals the average closing price of the Company’s Common Stock on the last trading day prior to the date of grant. The aggregate value (based on $17.28 per share, the average closing price of the Company’s Common Stock on August 31, 2006) of the restricted shares held by the Named Executive Officers as of August 31, 2006 was as follows: Mr Appleton, $6,163,189; Mr Durcan, $2,908,794; Mr. Gove, $1,699,194; Mr. Lewis, $1,929,588; and Mr. Stover, $1,871,994. The restrictions associated with the shares granted to the Named Executive Officers include both time-based restrictions and performance-based restrictions. Time-based restrictions lapse in three equal installments over a three-year period from the date of the award. Any dividends payable with respect to the Company’s Common Stock will be payable with respect to all awards of restricted stock reported in this column.</w:t>
      </w:r>
    </w:p>
    <w:p>
      <w:pPr>
        <w:spacing w:after="0" w:line="45" w:lineRule="exact"/>
        <w:rPr>
          <w:rFonts w:ascii="Times New Roman" w:cs="Times New Roman" w:eastAsia="Times New Roman" w:hAnsi="Times New Roman"/>
          <w:sz w:val="18"/>
          <w:szCs w:val="18"/>
          <w:color w:val="auto"/>
        </w:rPr>
      </w:pPr>
    </w:p>
    <w:p>
      <w:pPr>
        <w:ind w:left="360" w:hanging="352"/>
        <w:spacing w:after="0" w:line="313" w:lineRule="auto"/>
        <w:tabs>
          <w:tab w:leader="none" w:pos="34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options to purchase shares of the Company’s Common Stock that were granted under the Company’s 2001 Stock Option Plan (the “2001 Plan”). Options granted under the 2001 Plan generally vest over four years and have a term ranging from six to ten years. Options granted under the 2001</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120"/>
        <w:spacing w:after="0" w:line="281" w:lineRule="auto"/>
        <w:rPr>
          <w:sz w:val="20"/>
          <w:szCs w:val="20"/>
          <w:color w:val="auto"/>
        </w:rPr>
      </w:pPr>
      <w:r>
        <w:rPr>
          <w:rFonts w:ascii="Times New Roman" w:cs="Times New Roman" w:eastAsia="Times New Roman" w:hAnsi="Times New Roman"/>
          <w:sz w:val="18"/>
          <w:szCs w:val="18"/>
          <w:color w:val="auto"/>
        </w:rPr>
        <w:t>Plan have an exercise price equal to the fair market value on the date of grant. Under the 2001 Plan “fair market value” equals the average closing price of the Company’s Common Stock on the last trading day prior to the date of grant.</w:t>
      </w:r>
    </w:p>
    <w:p>
      <w:pPr>
        <w:spacing w:after="0" w:line="1" w:lineRule="exact"/>
        <w:rPr>
          <w:sz w:val="20"/>
          <w:szCs w:val="20"/>
          <w:color w:val="auto"/>
        </w:rPr>
      </w:pPr>
    </w:p>
    <w:p>
      <w:pPr>
        <w:ind w:left="360" w:right="60" w:hanging="352"/>
        <w:spacing w:after="0" w:line="266"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2006 and 2005 for all Named Executive Officers include Company contributions in the amounts of $7,289 and $6,909, respectively, under the Company’s 401(k) retirement plan. Amounts for 2004 for all Named Executive Officers, except Mr. Appleton, include Company contributions in the amount of $1,500 under the Company’s 401(k) retirement plan.</w:t>
      </w:r>
    </w:p>
    <w:p>
      <w:pPr>
        <w:spacing w:after="0" w:line="14" w:lineRule="exact"/>
        <w:rPr>
          <w:rFonts w:ascii="Times New Roman" w:cs="Times New Roman" w:eastAsia="Times New Roman" w:hAnsi="Times New Roman"/>
          <w:sz w:val="18"/>
          <w:szCs w:val="18"/>
          <w:color w:val="auto"/>
        </w:rPr>
      </w:pPr>
    </w:p>
    <w:p>
      <w:pPr>
        <w:ind w:left="360" w:right="40" w:hanging="352"/>
        <w:spacing w:after="0" w:line="255"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amounts for Mr. Appleton for 2004 reflect the fact that from October 28, 2001 through December 4, 2003, he elected not to receive a salary. Bonuses for 2006 and 2005 include awards under the Executive Officer Performance Incentive Plan in the amounts of $979,110 and $517,688, respectively, and profit distribution of $31,636 and $24,992, respectively. Bonus amounts for 2004 reflect an executive officer bonus award of $671,458 and profit distribution of $14,853. All Other Compensation for 2006 and 2005 includes payments under the Company’s time-off plan for time accrued in excess of 999 hours totaling $58,582 and $71,563, respectively. All Other Compensation for 2004 includes executive bonuses previously earned but unpaid with respect to fiscal 1997 performance of $211,908, payments under the Company’s time-off plan for time accrued in excess of 999 hours totaling $45,962 and Company contributions in the amount of $3,000 under the Company’s 401(k) retirement plan.</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Durcan’s bonus for 2006 and 2005 includes awards under the Executive Officer Performance Incentive Plan in the amounts of $299,182 and</w:t>
      </w:r>
    </w:p>
    <w:p>
      <w:pPr>
        <w:spacing w:after="0" w:line="27" w:lineRule="exact"/>
        <w:rPr>
          <w:rFonts w:ascii="Times New Roman" w:cs="Times New Roman" w:eastAsia="Times New Roman" w:hAnsi="Times New Roman"/>
          <w:sz w:val="18"/>
          <w:szCs w:val="18"/>
          <w:color w:val="auto"/>
        </w:rPr>
      </w:pPr>
    </w:p>
    <w:p>
      <w:pPr>
        <w:ind w:left="3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$197,667, respectively, and profit distribution of $15,789 and $11,562 respectively. Bonus amounts for 2004 reflect an executive officer bonus award of $503,593, profit distribution of $6,835 and patent bonuses totaling $4,750. All Other Compensation for 2004 includes executive bonuses previously earned but unpaid with respect to fiscal 1997 performance of $127,145.</w:t>
      </w:r>
    </w:p>
    <w:p>
      <w:pPr>
        <w:spacing w:after="0" w:line="24" w:lineRule="exact"/>
        <w:rPr>
          <w:rFonts w:ascii="Times New Roman" w:cs="Times New Roman" w:eastAsia="Times New Roman" w:hAnsi="Times New Roman"/>
          <w:sz w:val="18"/>
          <w:szCs w:val="18"/>
          <w:color w:val="auto"/>
        </w:rPr>
      </w:pPr>
    </w:p>
    <w:p>
      <w:pPr>
        <w:ind w:left="360" w:right="20" w:hanging="352"/>
        <w:spacing w:after="0" w:line="258"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Gove’s bonus for 2006 and 2005 includes awards under the Executive Officer Performance Incentive Plan in the amounts of $279,196 and $281,337, respectively, and profit distribution of $11,825 and $9,396, respectively. Mr. Gove also received performance bonuses in 2006, 2005 and 2004 in the amounts of $200,000, $50,000 and $80,000, respectively. Bonus amounts for 2004 reflect an executive officer bonus award of $369,302, profit distribution of $5,468 and a patent bonus of $333. All Other Compensation for 2006 includes payments under the Company’s time-off plan for time accrued in excess of 999 hours totaling $35,839.</w:t>
      </w:r>
    </w:p>
    <w:p>
      <w:pPr>
        <w:spacing w:after="0" w:line="21" w:lineRule="exact"/>
        <w:rPr>
          <w:rFonts w:ascii="Times New Roman" w:cs="Times New Roman" w:eastAsia="Times New Roman" w:hAnsi="Times New Roman"/>
          <w:sz w:val="18"/>
          <w:szCs w:val="18"/>
          <w:color w:val="auto"/>
        </w:rPr>
      </w:pPr>
    </w:p>
    <w:p>
      <w:pPr>
        <w:jc w:val="both"/>
        <w:ind w:left="360" w:right="20" w:hanging="352"/>
        <w:spacing w:after="0" w:line="281" w:lineRule="auto"/>
        <w:tabs>
          <w:tab w:leader="none" w:pos="34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Lewis’ bonus for 2006 and 2005 includes awards under the Executive Officer Performance Incentive Plan in the amounts of $251,027 and $240,913, respectively, and profit distribution of $13,192 and $10,552, respectively. Bonus amounts for 2004 reflect an executive officer bonus award of $503,593 and profit distribution of $6,379. All Other Compensation for 2006 and 2005 includes payments under the Company’s time-off plan for time accrued in excess of 999 hours totaling $18,868 and $11,736, respectively. All Other Compensation for 2004 includes executive bonuses previously earned but</w:t>
      </w:r>
    </w:p>
    <w:p>
      <w:pPr>
        <w:sectPr>
          <w:pgSz w:w="11900" w:h="16917" w:orient="portrait"/>
          <w:cols w:equalWidth="0" w:num="1">
            <w:col w:w="11400"/>
          </w:cols>
          <w:pgMar w:left="240" w:top="482" w:right="259" w:bottom="0" w:gutter="0" w:footer="0" w:header="0"/>
        </w:sectPr>
      </w:pPr>
    </w:p>
    <w:bookmarkStart w:id="8" w:name="page9"/>
    <w:bookmarkEnd w:id="8"/>
    <w:p>
      <w:pPr>
        <w:ind w:left="360" w:right="180"/>
        <w:spacing w:after="0" w:line="281" w:lineRule="auto"/>
        <w:rPr>
          <w:sz w:val="20"/>
          <w:szCs w:val="20"/>
          <w:color w:val="auto"/>
        </w:rPr>
      </w:pPr>
      <w:r>
        <w:rPr>
          <w:rFonts w:ascii="Times New Roman" w:cs="Times New Roman" w:eastAsia="Times New Roman" w:hAnsi="Times New Roman"/>
          <w:sz w:val="18"/>
          <w:szCs w:val="18"/>
          <w:color w:val="auto"/>
        </w:rPr>
        <w:t>unpaid with respect to fiscal 1997 performance of $127,145, and payments under the Company’s time-off plan for time accrued in excess of 999 hours totaling $11,554.</w:t>
      </w:r>
    </w:p>
    <w:p>
      <w:pPr>
        <w:spacing w:after="0" w:line="2"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Stover’s bonus for 2006 and 2005 includes awards under the Executive Officer Performance Incentive Plan in the amounts of $298,518 and</w:t>
      </w:r>
    </w:p>
    <w:p>
      <w:pPr>
        <w:spacing w:after="0" w:line="27" w:lineRule="exact"/>
        <w:rPr>
          <w:rFonts w:ascii="Times New Roman" w:cs="Times New Roman" w:eastAsia="Times New Roman" w:hAnsi="Times New Roman"/>
          <w:sz w:val="18"/>
          <w:szCs w:val="18"/>
          <w:color w:val="auto"/>
        </w:rPr>
      </w:pPr>
    </w:p>
    <w:p>
      <w:pPr>
        <w:ind w:left="360" w:right="1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$285,654, respectively, and profit distribution of $15,583 and $12,429, respectively. Bonus amounts for 2004 reflect executive officer bonus award of $470,000 and profit distribution of $7,563. All Other Compensation for 2006 and 2005 includes payments under the Company’s time-off plan for time accrued in excess of 999 hours totaling $28,240 and $6,385, respectively. All Other Compensation for 2004 includes executive bonuses previously earned but unpaid with respect to fiscal 1997 performance of $169,526.</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Options were not granted to the Named Executive Officers in fiscal 2006.</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AGGREGATED OPTION EXERCISES IN LAST FISCAL YEAR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FISCAL YEAR-END OPTION VALUES</w:t>
      </w:r>
    </w:p>
    <w:p>
      <w:pPr>
        <w:spacing w:after="0" w:line="72" w:lineRule="exact"/>
        <w:rPr>
          <w:sz w:val="20"/>
          <w:szCs w:val="20"/>
          <w:color w:val="auto"/>
        </w:rPr>
      </w:pPr>
    </w:p>
    <w:p>
      <w:pPr>
        <w:ind w:right="3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option exercises in fiscal 2006 by the Named Executive Officers and the value of such officers’ unexercised options at August 31, 2006:</w:t>
      </w:r>
    </w:p>
    <w:p>
      <w:pPr>
        <w:spacing w:after="0" w:line="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Unexercised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In-The-Money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5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Options at Fiscal</w:t>
            </w:r>
          </w:p>
        </w:tc>
        <w:tc>
          <w:tcPr>
            <w:tcW w:w="15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at Fiscal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Year-End(2)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vMerge w:val="restart"/>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80" w:type="dxa"/>
            <w:vAlign w:val="bottom"/>
          </w:tcPr>
          <w:p>
            <w:pPr>
              <w:spacing w:after="0"/>
              <w:rPr>
                <w:sz w:val="2"/>
                <w:szCs w:val="2"/>
                <w:color w:val="auto"/>
              </w:rPr>
            </w:pPr>
          </w:p>
        </w:tc>
        <w:tc>
          <w:tcPr>
            <w:tcW w:w="920" w:type="dxa"/>
            <w:vAlign w:val="bottom"/>
            <w:gridSpan w:val="2"/>
            <w:vMerge w:val="restart"/>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Exercisable (E)</w:t>
            </w:r>
          </w:p>
        </w:tc>
        <w:tc>
          <w:tcPr>
            <w:tcW w:w="320" w:type="dxa"/>
            <w:vAlign w:val="bottom"/>
            <w:vMerge w:val="continue"/>
          </w:tcPr>
          <w:p>
            <w:pPr>
              <w:spacing w:after="0"/>
              <w:rPr>
                <w:sz w:val="8"/>
                <w:szCs w:val="8"/>
                <w:color w:val="auto"/>
              </w:rPr>
            </w:pPr>
          </w:p>
        </w:tc>
        <w:tc>
          <w:tcPr>
            <w:tcW w:w="14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Exercisable (E)</w:t>
            </w: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60" w:type="dxa"/>
            <w:vAlign w:val="bottom"/>
            <w:gridSpan w:val="3"/>
            <w:vMerge w:val="continue"/>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Realized(1)</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Unexercisable (U)</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 (U)</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Appleton</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2,780,000(E)</w:t>
            </w: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$ 4,634,500(E)</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20,000(U)</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162,400(U)</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 Mark Durcan</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1,590,000(E)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2,050,670(E)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10,000(U)</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81,200(U)</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Gove</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195,650</w:t>
            </w:r>
          </w:p>
        </w:tc>
        <w:tc>
          <w:tcPr>
            <w:tcW w:w="2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809,500(E)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963,400(E)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7,500(U)</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60,900(U)</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 W. Lewis</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1,590,000(E)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2,050,670(E)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10,000(U)</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81,200(U)</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Wilbur G. Stover, Jr.</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697,090</w:t>
            </w:r>
          </w:p>
        </w:tc>
        <w:tc>
          <w:tcPr>
            <w:tcW w:w="2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1,357,000(E)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962,853(E)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10,000(U)</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81,200(U)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3"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equal to the excess of the fair market value of the shares at the time of exercise over the exercise price of the options.</w:t>
      </w:r>
    </w:p>
    <w:p>
      <w:pPr>
        <w:spacing w:after="0" w:line="90" w:lineRule="exact"/>
        <w:rPr>
          <w:rFonts w:ascii="Times New Roman" w:cs="Times New Roman" w:eastAsia="Times New Roman" w:hAnsi="Times New Roman"/>
          <w:sz w:val="18"/>
          <w:szCs w:val="18"/>
          <w:color w:val="auto"/>
        </w:rPr>
      </w:pPr>
    </w:p>
    <w:p>
      <w:pPr>
        <w:ind w:left="360" w:hanging="352"/>
        <w:spacing w:after="0" w:line="282"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exercise price of the options and $17.28, the closing price reported by Bloomberg L.P. of the Company’s Common Stock on August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71755</wp:posOffset>
            </wp:positionV>
            <wp:extent cx="9461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88"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August 31, 2006, regarding Common Stock that may be issued pursuant to the Company’s equity compensation plans: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216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216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16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1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1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 Column</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620" w:type="dxa"/>
            <w:vAlign w:val="bottom"/>
          </w:tcPr>
          <w:p>
            <w:pPr>
              <w:spacing w:after="0"/>
              <w:rPr>
                <w:sz w:val="14"/>
                <w:szCs w:val="14"/>
                <w:color w:val="auto"/>
              </w:rPr>
            </w:pPr>
          </w:p>
        </w:tc>
        <w:tc>
          <w:tcPr>
            <w:tcW w:w="15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78"/>
        </w:trPr>
        <w:tc>
          <w:tcPr>
            <w:tcW w:w="1480" w:type="dxa"/>
            <w:vAlign w:val="bottom"/>
          </w:tcPr>
          <w:p>
            <w:pPr>
              <w:spacing w:after="0"/>
              <w:rPr>
                <w:sz w:val="15"/>
                <w:szCs w:val="15"/>
                <w:color w:val="auto"/>
              </w:rPr>
            </w:pPr>
          </w:p>
        </w:tc>
        <w:tc>
          <w:tcPr>
            <w:tcW w:w="236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Equity Compensation Plans</w:t>
            </w:r>
          </w:p>
        </w:tc>
        <w:tc>
          <w:tcPr>
            <w:tcW w:w="4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Approved by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87,578,321</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$ 20.72</w:t>
            </w:r>
          </w:p>
        </w:tc>
        <w:tc>
          <w:tcPr>
            <w:tcW w:w="180" w:type="dxa"/>
            <w:vAlign w:val="bottom"/>
            <w:shd w:val="clear" w:color="auto" w:fill="CCEEFF"/>
          </w:tcPr>
          <w:p>
            <w:pPr>
              <w:spacing w:after="0"/>
              <w:rPr>
                <w:sz w:val="20"/>
                <w:szCs w:val="20"/>
                <w:color w:val="auto"/>
              </w:rPr>
            </w:pPr>
          </w:p>
        </w:tc>
        <w:tc>
          <w:tcPr>
            <w:tcW w:w="212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27,962,925(2)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8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 Approved</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2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by Shareholders(3)(4)</w:t>
            </w: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36,384,882</w:t>
            </w:r>
          </w:p>
        </w:tc>
        <w:tc>
          <w:tcPr>
            <w:tcW w:w="4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ind w:right="541"/>
              <w:spacing w:after="0"/>
              <w:rPr>
                <w:sz w:val="20"/>
                <w:szCs w:val="20"/>
                <w:color w:val="auto"/>
              </w:rPr>
            </w:pPr>
            <w:r>
              <w:rPr>
                <w:rFonts w:ascii="Times New Roman" w:cs="Times New Roman" w:eastAsia="Times New Roman" w:hAnsi="Times New Roman"/>
                <w:sz w:val="18"/>
                <w:szCs w:val="18"/>
                <w:color w:val="auto"/>
              </w:rPr>
              <w:t>18.29</w:t>
            </w: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13,930,847</w:t>
            </w:r>
          </w:p>
        </w:tc>
        <w:tc>
          <w:tcPr>
            <w:tcW w:w="6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480" w:type="dxa"/>
            <w:vAlign w:val="bottom"/>
          </w:tcPr>
          <w:p>
            <w:pPr>
              <w:spacing w:after="0"/>
              <w:rPr>
                <w:sz w:val="24"/>
                <w:szCs w:val="24"/>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123,963,203</w:t>
            </w: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41,893,772</w:t>
            </w: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280" w:hanging="352"/>
        <w:spacing w:after="0" w:line="282"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issuable upon settlement or exercise of restricted stock units and options granted pursuant to the Company’s 1994 Stock Option Plan, 2001 Stock Option Plan, 2004 Equity Incentive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340"/>
        <w:spacing w:after="0" w:line="282" w:lineRule="auto"/>
        <w:rPr>
          <w:sz w:val="20"/>
          <w:szCs w:val="20"/>
          <w:color w:val="auto"/>
        </w:rPr>
      </w:pPr>
      <w:r>
        <w:rPr>
          <w:rFonts w:ascii="Times New Roman" w:cs="Times New Roman" w:eastAsia="Times New Roman" w:hAnsi="Times New Roman"/>
          <w:sz w:val="18"/>
          <w:szCs w:val="18"/>
          <w:color w:val="auto"/>
        </w:rPr>
        <w:t>Plan, 1996 Lexar Plan and 2000 Lexar Equity Incentive Plan and rights under the 1998 Director’s Stock Incentive Plan. Plans associated with Lexar were assumed by the Company in connection with its acquisition of Lexar Media, Inc. in June 2006.</w:t>
      </w:r>
    </w:p>
    <w:p>
      <w:pPr>
        <w:spacing w:after="0" w:line="27" w:lineRule="exact"/>
        <w:rPr>
          <w:sz w:val="20"/>
          <w:szCs w:val="20"/>
          <w:color w:val="auto"/>
        </w:rPr>
      </w:pPr>
    </w:p>
    <w:p>
      <w:pPr>
        <w:ind w:left="360" w:right="220" w:hanging="352"/>
        <w:spacing w:after="0" w:line="282" w:lineRule="auto"/>
        <w:tabs>
          <w:tab w:leader="none" w:pos="3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the 2004 Equity Incentive Plan include restricted stock and restricted stock units. Includes 2,743,690 shares reserved for issuance under the Company’s Employee Stock Purchase Plan.</w:t>
      </w:r>
    </w:p>
    <w:p>
      <w:pPr>
        <w:spacing w:after="0" w:line="53" w:lineRule="exact"/>
        <w:rPr>
          <w:rFonts w:ascii="Times New Roman" w:cs="Times New Roman" w:eastAsia="Times New Roman" w:hAnsi="Times New Roman"/>
          <w:sz w:val="18"/>
          <w:szCs w:val="18"/>
          <w:color w:val="auto"/>
        </w:rPr>
      </w:pPr>
    </w:p>
    <w:p>
      <w:pPr>
        <w:ind w:left="360" w:right="140" w:hanging="352"/>
        <w:spacing w:after="0" w:line="313" w:lineRule="auto"/>
        <w:tabs>
          <w:tab w:leader="none" w:pos="34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issuable upon exercise of options granted pursuant to the Company’s Nonstatutory Stock Option Plan, 1998 Nonstatutory Stock Option Plan, 1997 Nonstatutory Stock Option Plan and the 2002 Employee Inducement Stock Option Plan. Options granted under the aforementioned plans</w:t>
      </w:r>
    </w:p>
    <w:p>
      <w:pPr>
        <w:sectPr>
          <w:pgSz w:w="11900" w:h="16838" w:orient="portrait"/>
          <w:cols w:equalWidth="0" w:num="1">
            <w:col w:w="11380"/>
          </w:cols>
          <w:pgMar w:left="240" w:top="121" w:right="279" w:bottom="0" w:gutter="0" w:footer="0" w:header="0"/>
        </w:sectPr>
      </w:pPr>
    </w:p>
    <w:bookmarkStart w:id="9" w:name="page10"/>
    <w:bookmarkEnd w:id="9"/>
    <w:p>
      <w:pPr>
        <w:ind w:left="360" w:right="60"/>
        <w:spacing w:after="0" w:line="266" w:lineRule="auto"/>
        <w:rPr>
          <w:sz w:val="20"/>
          <w:szCs w:val="20"/>
          <w:color w:val="auto"/>
        </w:rPr>
      </w:pPr>
      <w:r>
        <w:rPr>
          <w:rFonts w:ascii="Times New Roman" w:cs="Times New Roman" w:eastAsia="Times New Roman" w:hAnsi="Times New Roman"/>
          <w:sz w:val="18"/>
          <w:szCs w:val="18"/>
          <w:color w:val="auto"/>
        </w:rPr>
        <w:t>have terms ranging from six to ten years. The exercise price and the vesting schedule of the options granted under the Nonstatutory Plans are determined by the administrators of the plans or the Company’s Board of Directors. Directors do not participate in the aforementioned plans and executive officers do not participate once they become executive officers.</w:t>
      </w:r>
    </w:p>
    <w:p>
      <w:pPr>
        <w:spacing w:after="0" w:line="41" w:lineRule="exact"/>
        <w:rPr>
          <w:sz w:val="20"/>
          <w:szCs w:val="20"/>
          <w:color w:val="auto"/>
        </w:rPr>
      </w:pPr>
    </w:p>
    <w:p>
      <w:pPr>
        <w:ind w:left="360" w:right="40" w:hanging="352"/>
        <w:spacing w:after="0" w:line="258" w:lineRule="auto"/>
        <w:tabs>
          <w:tab w:leader="none" w:pos="3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16,761 shares issuable upon exercise of options with a weighted-average exercise price of $6.05 outstanding under the Rendition 1994 Equity Incentive Plan. This plan was assumed by the Company in connection with its acquisition of Rendition, Inc. in September 1998. Does not include 43,302 shares issuable upon exercise of options with a weighted-average exercise price of $0.87 outstanding under the Micron Quantum Devices (“MQD”) 1996 Stock Option Plan. This plan was assumed by the Company in connection with the merger of MQD (a former subsidiary of the Company) into the Company in February 1998.</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94"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During the period from October 1, 2005 to October 1, 2006, Ms. Johnson and Mr. Smith received 3,637 and 1,093 shares, respectively, of Common Stock under the DSIP. During the same period, Mr. Bagley deferred rights to receive 3,330 shares of Common Stock under the DSIP. The Company also reimburses directors for travel and lodging expenses, if any, incurred in connection with attendance at Board of Directors’ meetings. The chairman of the Audit Committee receives $15,000 per year for service as committee chair. The chairman of the Governance Committee and Compensation Committee each receive $10,000 per year for their services as committee chair. Except for the foregoing, directors do not receive any additional or special remuneration for their service on any of the committees established by the Board of Directors.</w:t>
      </w:r>
    </w:p>
    <w:p>
      <w:pPr>
        <w:spacing w:after="0" w:line="54" w:lineRule="exact"/>
        <w:rPr>
          <w:sz w:val="20"/>
          <w:szCs w:val="20"/>
          <w:color w:val="auto"/>
        </w:rPr>
      </w:pPr>
    </w:p>
    <w:p>
      <w:pPr>
        <w:ind w:right="280" w:firstLine="360"/>
        <w:spacing w:after="0" w:line="258" w:lineRule="auto"/>
        <w:rPr>
          <w:sz w:val="20"/>
          <w:szCs w:val="20"/>
          <w:color w:val="auto"/>
        </w:rPr>
      </w:pPr>
      <w:r>
        <w:rPr>
          <w:rFonts w:ascii="Times New Roman" w:cs="Times New Roman" w:eastAsia="Times New Roman" w:hAnsi="Times New Roman"/>
          <w:sz w:val="18"/>
          <w:szCs w:val="18"/>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death. All amounts deferred are recorded as a liability in the records of the Company. Such amounts accrue interest monthly at a rate equal to the Company’s average investment portfolio yield for such month.</w:t>
      </w:r>
    </w:p>
    <w:p>
      <w:pPr>
        <w:spacing w:after="0" w:line="49" w:lineRule="exact"/>
        <w:rPr>
          <w:sz w:val="20"/>
          <w:szCs w:val="20"/>
          <w:color w:val="auto"/>
        </w:rPr>
      </w:pPr>
    </w:p>
    <w:p>
      <w:pPr>
        <w:ind w:right="360" w:firstLine="360"/>
        <w:spacing w:after="0" w:line="258" w:lineRule="auto"/>
        <w:rPr>
          <w:sz w:val="20"/>
          <w:szCs w:val="20"/>
          <w:color w:val="auto"/>
        </w:rPr>
      </w:pPr>
      <w:r>
        <w:rPr>
          <w:rFonts w:ascii="Times New Roman" w:cs="Times New Roman" w:eastAsia="Times New Roman" w:hAnsi="Times New Roman"/>
          <w:sz w:val="18"/>
          <w:szCs w:val="18"/>
          <w:color w:val="auto"/>
        </w:rPr>
        <w:t>Non-employee members of the Board of Directors receive an annual equity award from the Company. Prior to fiscal 2005, these equity awards were comprised exclusively of options to purchase the Company’s Common Stock. In fiscal 2005, the composition of the annual equity award was changed to include both stock options and shares of restricted stock, with non-employee directors receiving options to purchase 7,500 shares of Common Stock and 2,500 shares of restricted stock. In fiscal 2006, the restricted stock component of the annual equity award was increased to 7,500 shares; the option component remained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unchanged. Stock options awarded to the non-employee directors are fully vested and have an exercise price equal to the fair market value, as defined by the applicable option plan, of the Company’s Common Stock. For purposes of the Company’s option plans, “Fair Market Value” equals the average closing price of the Company’s Common Stock on the last trading day prior to the date of grant. The restrictions associated with the restricted stock awarded prior to fiscal 2007 to non-employee directors lapse over one or two years and upon retirement from the Company’s Board of Directors.</w:t>
      </w:r>
    </w:p>
    <w:p>
      <w:pPr>
        <w:spacing w:after="0" w:line="72"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In fiscal 2007, the directors established a “targeted value” for annual non-employee director compensation, as opposed to a set number of shares of equity. Following a discussion of relevant data with outside professional consultants, the Board determined that such targeted value should be $225,000. Based on this amount, for fiscal 2007, the Board approved an award of 12,583 shares of restricted Common Stock to each of the directors, derived by dividing the targeted value of $225,000 by the Fair Market Value (as defined above) per share of restricted Common Stock. The restrictions on the shares awarded for fiscal 2007 will lapse as to 50% of such shares on the first anniversary of the date of grant and the remaining 50% as of the second anniversary of the date of grant (the “Vesting Period”). Notwithstanding the foregoing, the restrictions as to the fiscal 2007 shares will lapse as to 100% of such shares in the event a director either reaches the mandatory retirement age during the Vesting Period or retires from the Board during the Vesting Period having achieved a minimum of three years of service with the Board of Directors prior to the effective date of his or her retirement.</w:t>
      </w:r>
    </w:p>
    <w:p>
      <w:pPr>
        <w:spacing w:after="0" w:line="77"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Upon their appointment to the Company’s Board of Directors, Dr. Aoki and Mr. Switz received equity awards prorated to reflect their anticipated service for the remainder of the year. As a result of these initial awards, Dr. Aoki received restricted stock units for 4,375 shares and options to purchase 4,375 shares of Common Stock and Mr. Switz received 4,375 shares of restricted stock and options to purchase 4,375 shares of Common Stock.</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all outstanding equity awards to non-employee directors as of October 11, 2006:</w:t>
      </w:r>
    </w:p>
    <w:p>
      <w:pPr>
        <w:spacing w:after="0" w:line="205" w:lineRule="exact"/>
        <w:rPr>
          <w:sz w:val="20"/>
          <w:szCs w:val="20"/>
          <w:color w:val="auto"/>
        </w:rPr>
      </w:pPr>
    </w:p>
    <w:tbl>
      <w:tblPr>
        <w:tblLayout w:type="fixed"/>
        <w:tblInd w:w="18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5"/>
                <w:szCs w:val="15"/>
                <w:color w:val="auto"/>
              </w:rPr>
            </w:pPr>
          </w:p>
        </w:tc>
        <w:tc>
          <w:tcPr>
            <w:tcW w:w="17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1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220" w:type="dxa"/>
            <w:vAlign w:val="bottom"/>
          </w:tcPr>
          <w:p>
            <w:pPr>
              <w:spacing w:after="0"/>
              <w:rPr>
                <w:sz w:val="8"/>
                <w:szCs w:val="8"/>
                <w:color w:val="auto"/>
              </w:rPr>
            </w:pPr>
          </w:p>
        </w:tc>
        <w:tc>
          <w:tcPr>
            <w:tcW w:w="9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Teruaki Aoki(2)</w:t>
            </w:r>
          </w:p>
        </w:tc>
        <w:tc>
          <w:tcPr>
            <w:tcW w:w="7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$ 16.36</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16,958</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$ 257,253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James W. Bagley</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72,000</w:t>
            </w:r>
          </w:p>
        </w:tc>
        <w:tc>
          <w:tcPr>
            <w:tcW w:w="220" w:type="dxa"/>
            <w:vAlign w:val="bottom"/>
          </w:tcPr>
          <w:p>
            <w:pPr>
              <w:spacing w:after="0"/>
              <w:rPr>
                <w:sz w:val="18"/>
                <w:szCs w:val="18"/>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26.24</w:t>
            </w:r>
          </w:p>
        </w:tc>
        <w:tc>
          <w:tcPr>
            <w:tcW w:w="2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17,583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Mercedes Johnson</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17,583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Robert A. Lothrop</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72,000</w:t>
            </w:r>
          </w:p>
        </w:tc>
        <w:tc>
          <w:tcPr>
            <w:tcW w:w="220" w:type="dxa"/>
            <w:vAlign w:val="bottom"/>
          </w:tcPr>
          <w:p>
            <w:pPr>
              <w:spacing w:after="0"/>
              <w:rPr>
                <w:sz w:val="18"/>
                <w:szCs w:val="18"/>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26.24</w:t>
            </w:r>
          </w:p>
        </w:tc>
        <w:tc>
          <w:tcPr>
            <w:tcW w:w="2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17,583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N. Mondry</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17,583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Gordon C. Smith</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41,000</w:t>
            </w:r>
          </w:p>
        </w:tc>
        <w:tc>
          <w:tcPr>
            <w:tcW w:w="220" w:type="dxa"/>
            <w:vAlign w:val="bottom"/>
          </w:tcPr>
          <w:p>
            <w:pPr>
              <w:spacing w:after="0"/>
              <w:rPr>
                <w:sz w:val="18"/>
                <w:szCs w:val="18"/>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33.63</w:t>
            </w:r>
          </w:p>
        </w:tc>
        <w:tc>
          <w:tcPr>
            <w:tcW w:w="22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17,583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Switz</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16.36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16,958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William P. Weber</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20"/>
                <w:szCs w:val="20"/>
                <w:color w:val="auto"/>
              </w:rPr>
            </w:pP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26.09</w:t>
            </w:r>
          </w:p>
        </w:tc>
        <w:tc>
          <w:tcPr>
            <w:tcW w:w="22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17,583</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893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3"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stock price of $15.17 per share, the average closing price of the Company’s Common Stock on October 11, 2006.</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Aoki received restricted stock units in place of restricted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Employment Agreements and Change in Control Arrangement</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Severance Agreements</w:t>
      </w:r>
    </w:p>
    <w:p>
      <w:pPr>
        <w:spacing w:after="0" w:line="121"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Severance Agreements with each of the Company’s Named Executive Officers relating to termination of employment or status as an officer of the Company and compensation upon such termination. The Severance Agreements cover termination of the officer’s employment with the Company or the officer’s status as an officer of the Company, for any reason (including death), voluntary</w:t>
      </w:r>
    </w:p>
    <w:p>
      <w:pPr>
        <w:sectPr>
          <w:pgSz w:w="11900" w:h="16838" w:orient="portrait"/>
          <w:cols w:equalWidth="0" w:num="1">
            <w:col w:w="11420"/>
          </w:cols>
          <w:pgMar w:left="240" w:top="121" w:right="239" w:bottom="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 involuntary, with or without cause. The Severance Agreements generally provide for a “Transition Period” which begins upon termination of the officer’s employment with the Company or status as an officer of the Company and ends after a period of 184 days plus any unused time the officer had remaining under the Company’s time-off plan, even if the officer dies during the Transition Period. Provided the officer complies with noncompetition obligations following employment and the terms of the Severance Agreement, the officer is entitled to receive compensation during the Transition Period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(cash or equity), any new grants of stock options, or the payment of any compensation that would be deferred past the Transition Period due to payment criteria of an incentive program, as those criteria exist as of the Termination Date.</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Arrangement</w:t>
      </w:r>
    </w:p>
    <w:p>
      <w:pPr>
        <w:spacing w:after="0" w:line="121" w:lineRule="exact"/>
        <w:rPr>
          <w:sz w:val="20"/>
          <w:szCs w:val="20"/>
          <w:color w:val="auto"/>
        </w:rPr>
      </w:pPr>
    </w:p>
    <w:p>
      <w:pPr>
        <w:ind w:right="60" w:firstLine="360"/>
        <w:spacing w:after="0" w:line="313" w:lineRule="auto"/>
        <w:rPr>
          <w:sz w:val="20"/>
          <w:szCs w:val="20"/>
          <w:color w:val="auto"/>
        </w:rPr>
      </w:pPr>
      <w:r>
        <w:rPr>
          <w:rFonts w:ascii="Times New Roman" w:cs="Times New Roman" w:eastAsia="Times New Roman" w:hAnsi="Times New Roman"/>
          <w:sz w:val="17"/>
          <w:szCs w:val="17"/>
          <w:color w:val="auto"/>
        </w:rPr>
        <w:t>The Company does not have any change in control arrangements in place with its executive officers or directors. Pursuant to the terms of the Company’s equity compensation plans, equity awards may be substituted, assumed or accelerated upon a change in control, depending upon the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Reports</w:t>
      </w:r>
    </w:p>
    <w:p>
      <w:pPr>
        <w:spacing w:after="0" w:line="121" w:lineRule="exact"/>
        <w:rPr>
          <w:sz w:val="20"/>
          <w:szCs w:val="20"/>
          <w:color w:val="auto"/>
        </w:rPr>
      </w:pPr>
    </w:p>
    <w:p>
      <w:pPr>
        <w:ind w:right="200"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the Company’s previous filings under the Securities Act of 1933, as amended, or the Exchange Act, as amended, that might incorporate future filings, including this Proxy Statement, in whole or in part, the following reports by the Audit and the Compensation Committees of the Board of Directors and the performance graph set forth herein shall not be incorporated by reference into any such filings.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right="60" w:firstLine="360"/>
        <w:spacing w:after="0" w:line="277" w:lineRule="auto"/>
        <w:rPr>
          <w:sz w:val="20"/>
          <w:szCs w:val="20"/>
          <w:color w:val="auto"/>
        </w:rPr>
      </w:pPr>
      <w:r>
        <w:rPr>
          <w:rFonts w:ascii="Times New Roman" w:cs="Times New Roman" w:eastAsia="Times New Roman" w:hAnsi="Times New Roman"/>
          <w:sz w:val="17"/>
          <w:szCs w:val="17"/>
          <w:color w:val="auto"/>
        </w:rPr>
        <w:t>This report has been prepared by the Audit Committee of the Board of Directors. Ms. Johnson and Messrs. Smith and Switz currently serve on the Audit Committee. Ms. Johnson currently serves as Chairman of the Audit Committee. Throughout fiscal 2006, Mr. Smith served as the Chairman of the Audit Committee and Mr. Lothrop served on the Audit Committee. The Board of Directors determined that Messrs. Switz, Smith and Ms. Johnson each qualify as an “audit committee financial expert” for purposes of the rules and regulations of the Securities and Exchange Commission. The Board of Directors has determined that the members of the Audit Committee satisfy the independence requirements of applicable federal laws and the listing standards of the NYSE.</w:t>
      </w:r>
    </w:p>
    <w:p>
      <w:pPr>
        <w:spacing w:after="0" w:line="6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Audit Committee is to assist the Board of Directors in overseeing and monitoring (i) the integrity of the Company’s financial statements, (ii) 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this report for inclusion in the Proxy Statement. The charter of the Audit Committee is attached as Appendix A to this Proxy Statement.</w:t>
      </w:r>
    </w:p>
    <w:p>
      <w:pPr>
        <w:spacing w:after="0" w:line="76"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the Company’s management, which has primary responsibility for such financial statements. PricewaterhouseCoopers LLP (“PwC”), the Company’s Independent Registered Public Accounting Firm for fiscal 2006, has expressed in the Company’s Annual Report on Form 10-K its opinion as to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conformity of the Company’s consolidated financial statements with accounting principles generally accepted in the United States. The Audit Committee has discussed with PwC the matters that are required to be discussed by Statement on Auditing Standards No. 61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 PwC has provided to the Audit Committee the written disclosures and the letter required by Independence Standards Board Standard No. 1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Discussions with Audit Committees</w:t>
      </w:r>
      <w:r>
        <w:rPr>
          <w:rFonts w:ascii="Times New Roman" w:cs="Times New Roman" w:eastAsia="Times New Roman" w:hAnsi="Times New Roman"/>
          <w:sz w:val="18"/>
          <w:szCs w:val="18"/>
          <w:color w:val="auto"/>
        </w:rPr>
        <w:t>), and the Audit Committee discussed with PwC its independence. The Audit Committee also concluded that PwC’s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non-audit services to the Company, as described below, is compatible with PwC’s independence.</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Fees charged to the Company for services performed by PwC for fiscal 2006 and 2005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480" w:type="dxa"/>
            <w:vAlign w:val="bottom"/>
            <w:gridSpan w:val="5"/>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(amounts in millions)</w:t>
            </w:r>
          </w:p>
        </w:tc>
        <w:tc>
          <w:tcPr>
            <w:tcW w:w="60" w:type="dxa"/>
            <w:vAlign w:val="bottom"/>
          </w:tcPr>
          <w:p>
            <w:pPr>
              <w:spacing w:after="0"/>
              <w:rPr>
                <w:sz w:val="11"/>
                <w:szCs w:val="11"/>
                <w:color w:val="auto"/>
              </w:rPr>
            </w:pPr>
          </w:p>
        </w:tc>
      </w:tr>
      <w:tr>
        <w:trPr>
          <w:trHeight w:val="216"/>
        </w:trPr>
        <w:tc>
          <w:tcPr>
            <w:tcW w:w="188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$ 5.3</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90" w:lineRule="exact"/>
        <w:rPr>
          <w:sz w:val="20"/>
          <w:szCs w:val="20"/>
          <w:color w:val="auto"/>
        </w:rPr>
      </w:pPr>
    </w:p>
    <w:p>
      <w:pPr>
        <w:ind w:left="360" w:right="20" w:hanging="352"/>
        <w:spacing w:after="0" w:line="282" w:lineRule="auto"/>
        <w:tabs>
          <w:tab w:leader="none" w:pos="3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related to the audit of the Company’s financial statements, fees for services provided in connection with statutory and regulatory filings and fees for attestation services related to the Company’s internal control over financial reporting as required by the Sarbanes-Oxley Act of 2002.</w:t>
      </w:r>
    </w:p>
    <w:p>
      <w:pPr>
        <w:spacing w:after="0" w:line="5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reflects due diligence related to the Company’s acquisition of Lexar Media, Inc.</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reflects fees for expatriate tax services.</w:t>
      </w:r>
    </w:p>
    <w:p>
      <w:pPr>
        <w:spacing w:after="0" w:line="11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non-audit services performed by PwC are approved by the Audit Committee in advance of services being provided.</w:t>
      </w:r>
    </w:p>
    <w:p>
      <w:pPr>
        <w:spacing w:after="0" w:line="117"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On the basis of the reviews and discussions referred to above, the Audit Committee recommended to the Board of Directors that they approve the inclusion of the Company’s audited consolidated financial statements in the Company’s Annual Report on Form 10-K for fiscal 2006; appointed PwC as the Independent Registered Public Accounting Firm of the Company for the Company’s fiscal year ending August 30, 2007, and approved and authorized PwC to carry out and perform certain specified non-audit services for the Company in fiscal 2007.</w:t>
      </w:r>
    </w:p>
    <w:p>
      <w:pPr>
        <w:spacing w:after="0" w:line="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the Audit Committee has performed the above functions, management, and not the Audit Committee, has the primary responsibility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preparing the Company’s consolidated financial statements and for the reporting process in general, and (ii) establishing and maintaining internal controls.</w:t>
      </w:r>
    </w:p>
    <w:p>
      <w:pPr>
        <w:sectPr>
          <w:pgSz w:w="11900" w:h="16838" w:orient="portrait"/>
          <w:cols w:equalWidth="0" w:num="1">
            <w:col w:w="11420"/>
          </w:cols>
          <w:pgMar w:left="240" w:top="121" w:right="239" w:bottom="0" w:gutter="0" w:footer="0" w:header="0"/>
        </w:sectPr>
      </w:pPr>
    </w:p>
    <w:bookmarkStart w:id="11" w:name="page12"/>
    <w:bookmarkEnd w:id="11"/>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Similarly, it is the responsibility of the Independent Registered Public Accounting Firm, and not the Audit Committee, to conduct the audit of the Company’s consolidated financial statements and express an opinion as to the conformity of the financial statements with accounting principles generally accepted in the United States.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Audit Committee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Mercedes Johnson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Gordon C. Smith</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Robert E. Switz</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OF THE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BOARD OF DIRECTORS REGARDING EXECUTIVE COMPENSATION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260" w:firstLine="360"/>
        <w:spacing w:after="0" w:line="256" w:lineRule="auto"/>
        <w:rPr>
          <w:sz w:val="20"/>
          <w:szCs w:val="20"/>
          <w:color w:val="auto"/>
        </w:rPr>
      </w:pPr>
      <w:r>
        <w:rPr>
          <w:rFonts w:ascii="Times New Roman" w:cs="Times New Roman" w:eastAsia="Times New Roman" w:hAnsi="Times New Roman"/>
          <w:sz w:val="18"/>
          <w:szCs w:val="18"/>
          <w:color w:val="auto"/>
        </w:rPr>
        <w:t>This report has been prepared by the Compensation Committee of the Board of Directors of the Company. Messrs. Mondry, Weber and Dr. Aoki currently serve as members of the Compensation Committee. Mr. Lothrop also served on the Compensation Committee in fiscal 2006. During fiscal 2006, Mr. Weber served as the Chairman of the Compensation Committee. Effective September 26, 2006, Mr. Mondry was elected as the Chairman of the Compensation Committee. Also effective as of that same date, the Board of Directors separated the Governance and Compensation Committee into two distinct committees, a Governance Committee and a Compensation Committee. For purposes of this report, references to the Compensation Committee include its predecessor, the Governance and Compensation Committee, where appropriate.</w:t>
      </w:r>
    </w:p>
    <w:p>
      <w:pPr>
        <w:spacing w:after="0" w:line="80" w:lineRule="exact"/>
        <w:rPr>
          <w:sz w:val="20"/>
          <w:szCs w:val="20"/>
          <w:color w:val="auto"/>
        </w:rPr>
      </w:pPr>
    </w:p>
    <w:p>
      <w:pPr>
        <w:ind w:right="240" w:firstLine="360"/>
        <w:spacing w:after="0" w:line="258" w:lineRule="auto"/>
        <w:rPr>
          <w:sz w:val="20"/>
          <w:szCs w:val="20"/>
          <w:color w:val="auto"/>
        </w:rPr>
      </w:pPr>
      <w:r>
        <w:rPr>
          <w:rFonts w:ascii="Times New Roman" w:cs="Times New Roman" w:eastAsia="Times New Roman" w:hAnsi="Times New Roman"/>
          <w:sz w:val="18"/>
          <w:szCs w:val="18"/>
          <w:color w:val="auto"/>
        </w:rPr>
        <w:t>Each of the members of the Compensation Committee are independent, as such term is defined under existing NYSE listing standards. The Compensation Committee meets at least annually or more frequently as the Company’s Board of Directors may request. During fiscal 2006, the Compensation Committee met three times. In fiscal 2006, the Compensation Committee’s responsibilities included, among others, the review of executive officer compensation. Compensation for the Company’s executive officers for fiscal 2006, including base salary, performance bonuses, equity awards, and other compensation, were determined by the Compensation Committee and reviewed by the Company’s Board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21"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The executive officer compensation programs utilized by the Company in fiscal 2006 are described below for the purpose of providing a general understanding of the various components of executive officer compensation.</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jc w:val="both"/>
        <w:ind w:right="660" w:firstLine="360"/>
        <w:spacing w:after="0" w:line="282" w:lineRule="auto"/>
        <w:rPr>
          <w:sz w:val="20"/>
          <w:szCs w:val="20"/>
          <w:color w:val="auto"/>
        </w:rPr>
      </w:pPr>
      <w:r>
        <w:rPr>
          <w:rFonts w:ascii="Times New Roman" w:cs="Times New Roman" w:eastAsia="Times New Roman" w:hAnsi="Times New Roman"/>
          <w:sz w:val="18"/>
          <w:szCs w:val="18"/>
          <w:color w:val="auto"/>
        </w:rPr>
        <w:t>Executive officer compensation programs of the Company are designed to attract, retain and reward highly qualified executive officers who are important to the Company’s success and to provide incentives for outstanding performance at the individual, business-unit and Company-wide level.</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1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salaries for executive officers are established primarily upon an evaluation of a number of factors, including, without limitation,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 competitive market compensation levels with respect to peer companies and within the high tech industry as a whole as identified by professional compensation advisors, (ii) position and level of responsibility, both in absolute terms and relative to other officers within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contribution to the Company, (iv) technical expertise, (v) Company performance (vi) applicable business unit performance, and (vii) length of service.</w:t>
      </w:r>
    </w:p>
    <w:p>
      <w:pPr>
        <w:spacing w:after="0" w:line="9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Executive Officer Performance Incentive Plan. </w:t>
      </w:r>
      <w:r>
        <w:rPr>
          <w:rFonts w:ascii="Times New Roman" w:cs="Times New Roman" w:eastAsia="Times New Roman" w:hAnsi="Times New Roman"/>
          <w:sz w:val="18"/>
          <w:szCs w:val="18"/>
          <w:color w:val="auto"/>
        </w:rPr>
        <w:t>In November 2004, the Company’s shareholders approved the Executive Officer Performance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(“EIP”). The purpose of the EIP is to attract, retain and reward qualified executives who are important to the Company’s success by providing them with cash awards, measured as a percentage of base salary, for successful achievement of one or more pre-determined financial and/or non-financial individual, business-unit and/or Company-wide goals.</w:t>
      </w:r>
    </w:p>
    <w:p>
      <w:pPr>
        <w:spacing w:after="0" w:line="7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 September 2005, in accordance with the provisions of the EIP, the Compensation Committee established for fiscal 2006 a target bonus percentage for each of the Company’s executive officers at that time as well as specific metrics to be used to measure each officer’s performance. These metrics included the financial performance of the Company and/or a particular business unit and the achievement of</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specified individual milestones. Bonus opportunities under the EIP for the executive officers, assuming successful completion of the predetermined financial and non-financial goals, were established using the same criteria as used for base salaries. In October 2006, the Compensation Committee reviewed and certified the fiscal 2006 results achieved by the participants pursuant to the EIP. Bonuses totaling $3,171,666 were paid to the Company’s executive officers on October 13, 2006, under the EIP. Two of the Company’s current executive officers were not executive officers in September 2005 and as a result did not participate in the EIP for fiscal 2006. These executive officers received incentive cash bonuses in October 2006 pursuant to the terms of the bonus plans in which they participated as non-officer employees.</w:t>
      </w:r>
    </w:p>
    <w:p>
      <w:pPr>
        <w:spacing w:after="0" w:line="78"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Profit Sharing. </w:t>
      </w:r>
      <w:r>
        <w:rPr>
          <w:rFonts w:ascii="Times New Roman" w:cs="Times New Roman" w:eastAsia="Times New Roman" w:hAnsi="Times New Roman"/>
          <w:sz w:val="18"/>
          <w:szCs w:val="18"/>
          <w:color w:val="auto"/>
        </w:rPr>
        <w:t>In fiscal 2006, the Company distributed 10% of the Company’s quarterly consolidated net after-tax profits to the Company’s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pursuant to a profit sharing program. In their capacity as employees of the Company, executive officers participate in such profit sharing program. The amount that each executive officer receives is determined by a formula, primarily based on the executive officer’s base salary relative to total base salaries for all U.S. employees. Beginning in fiscal 2007, the Company eliminated its profit sharing program for employees, including officers, and implemented a performance management program that rewards non-officer employees for meeting pre-established goals, regardless of the Company’s profitability.</w:t>
      </w:r>
    </w:p>
    <w:p>
      <w:pPr>
        <w:sectPr>
          <w:pgSz w:w="11900" w:h="16838" w:orient="portrait"/>
          <w:cols w:equalWidth="0" w:num="1">
            <w:col w:w="11380"/>
          </w:cols>
          <w:pgMar w:left="240" w:top="121" w:right="279" w:bottom="0" w:gutter="0" w:footer="0" w:header="0"/>
        </w:sectPr>
      </w:pPr>
    </w:p>
    <w:bookmarkStart w:id="12" w:name="page13"/>
    <w:bookmarkEnd w:id="12"/>
    <w:p>
      <w:pPr>
        <w:spacing w:after="0" w:line="81" w:lineRule="exact"/>
        <w:rPr>
          <w:sz w:val="20"/>
          <w:szCs w:val="20"/>
          <w:color w:val="auto"/>
        </w:rPr>
      </w:pPr>
    </w:p>
    <w:p>
      <w:pPr>
        <w:ind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Bonuses. </w:t>
      </w:r>
      <w:r>
        <w:rPr>
          <w:rFonts w:ascii="Times New Roman" w:cs="Times New Roman" w:eastAsia="Times New Roman" w:hAnsi="Times New Roman"/>
          <w:sz w:val="18"/>
          <w:szCs w:val="18"/>
          <w:color w:val="auto"/>
        </w:rPr>
        <w:t>From time to time, incentive cash bonuses are approved for payment to employees, including executive officers, for the achievement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milestones or the completion of projects identified as contributing substantially to the Company’s success and the attainment of technological advances.</w:t>
      </w:r>
    </w:p>
    <w:p>
      <w:pPr>
        <w:spacing w:after="0" w:line="50"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Considerations. </w:t>
      </w:r>
      <w:r>
        <w:rPr>
          <w:rFonts w:ascii="Times New Roman" w:cs="Times New Roman" w:eastAsia="Times New Roman" w:hAnsi="Times New Roman"/>
          <w:sz w:val="18"/>
          <w:szCs w:val="18"/>
          <w:color w:val="auto"/>
        </w:rPr>
        <w:t>Section 162(m) of the Internal Revenue Code, as amended, generally disallows a tax deduction to public companies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over $1 million paid to the chief executive officer and the four other most highly compensated executive officers of a company, as reported in that company’s proxy statement. Qualifying performance-based compensation is not subject to the deduction limit if certain requirements are met. Historically, the Company has structured the key component of its long-term incentives in the form of stock option grants or performance-based restricted stock awards that comply with the statute. Awards under the Company’s Executive Officer Performance Incentive Plan are also generally designed to comply with the statute. The Committee believes it is important to preserve the deductibility of compensation under Section 162(m) whenever practicable, but reserves the right to grant or approve awards or compensation that is non-deductible when it believes such compensation or awards are in the best interest of the Company and its shareholders.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color w:val="auto"/>
        </w:rPr>
        <w:t>In order to incentivize the executive officers of the Company with respect to long-term growth in the value of the Company’s Common Stock, the Company issues equity awards to such persons under the Company’s (i) 2004 Equity Incentive Plan, and (ii) 2001 Stock Option Plan (collectively, the “Stock Plans”). In fiscal 2006, given the level of stock options previously awarded to and held by executive officers, the Compensation Committee determined that it would be more appropriate to make awards in the form of restricted stock. In connection therewith, for fiscal 2006 the Compensation Committee determined to approve restricted stock awards to executive officers, with approximately one-half of the awards being subject to time-based restrictions and the other approximately one-half being subject to performance-based restrictions. With respect to time-based restricted stock awards, the restrictions lapse as to one-third of the shares on the anniversary date of grant. With respect to performance-based restricted stock awards, the restrictions lapse, if ever, upon the Company’s attainment or achievement of certain specified financial metrics relating to return on invested capital between the date of grant and the end of fiscal 2008. The determination of who received restricted stock awards under the Stock Plans for fiscal 2006 and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award to each such recipient were based upon the same criteria utilized to determine base salaries.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21"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Payment/Exercise Restrictions</w:t>
      </w:r>
    </w:p>
    <w:p>
      <w:pPr>
        <w:spacing w:after="0" w:line="121"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18"/>
          <w:szCs w:val="18"/>
          <w:color w:val="auto"/>
        </w:rPr>
        <w:t>In an effort to encourage executive officers to remain employed by the Company and to promote Company performance, many compensation programs for executive officers contain provisions which subject the payment or realization of benefits under such programs to certain conditions. Examples of these conditions include: (i) the individual is employed by the Company or a subsidiary of the Company at the time of payment; and (ii) certification by the Compensation Committee for executive officer bonuses that relevant goals were achieved. Likewise, as mentioned previously, the restrictions associated with awards of restricted stock generally lapse in equal installments over a three year period or pursuant to pre-established performance criteria. Stock options granted to executive officers typically have a term of six to ten years and vest 25% each year for a period of four years from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Compensation</w:t>
      </w:r>
    </w:p>
    <w:p>
      <w:pPr>
        <w:spacing w:after="0" w:line="12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Steven R. Appleton’s annual base salary is based primarily on his overall and anticipated performance, the Company’s performance and the Compensation Committee’s assessment of the compensation practices of other peer companies, as identified by professional compensation advisors, including without limitation, certain semiconductor manufacturing companies. In September 2005, based on the recommendations of professional compensation advisors, and taking into account the factors listed above under the heading “Base Salary,” the Compensation Committee increased Mr. Appleton’s base salary for fiscal 2006 from $850,000 to $910,000. On October 13, 2006, Mr. Appleton received a cash bonus of $979,110 for his performance in fiscal 2006 pursuant to the Executive Officer Performance Incentive Plan. See the discussion under “Executive Officer Performance Incentive Plan” above.</w:t>
      </w:r>
    </w:p>
    <w:p>
      <w:pPr>
        <w:spacing w:after="0" w:line="80" w:lineRule="exact"/>
        <w:rPr>
          <w:sz w:val="20"/>
          <w:szCs w:val="20"/>
          <w:color w:val="auto"/>
        </w:rPr>
      </w:pPr>
    </w:p>
    <w:p>
      <w:pPr>
        <w:ind w:right="300" w:firstLine="360"/>
        <w:spacing w:after="0" w:line="261" w:lineRule="auto"/>
        <w:rPr>
          <w:sz w:val="20"/>
          <w:szCs w:val="20"/>
          <w:color w:val="auto"/>
        </w:rPr>
      </w:pPr>
      <w:r>
        <w:rPr>
          <w:rFonts w:ascii="Times New Roman" w:cs="Times New Roman" w:eastAsia="Times New Roman" w:hAnsi="Times New Roman"/>
          <w:sz w:val="18"/>
          <w:szCs w:val="18"/>
          <w:color w:val="auto"/>
        </w:rPr>
        <w:t>In fiscal 2006, Mr. Appleton was awarded 310,000 shares of restricted stock. The Company awarded restricted stock to other executive officers at the same time. The Compensation Committee did not utilize a plan pursuant to which a predetermined number of restricted shares were allocated to</w:t>
      </w:r>
    </w:p>
    <w:p>
      <w:pPr>
        <w:ind w:right="160"/>
        <w:spacing w:after="0" w:line="277" w:lineRule="auto"/>
        <w:rPr>
          <w:sz w:val="20"/>
          <w:szCs w:val="20"/>
          <w:color w:val="auto"/>
        </w:rPr>
      </w:pPr>
      <w:r>
        <w:rPr>
          <w:rFonts w:ascii="Times New Roman" w:cs="Times New Roman" w:eastAsia="Times New Roman" w:hAnsi="Times New Roman"/>
          <w:sz w:val="17"/>
          <w:szCs w:val="17"/>
          <w:color w:val="auto"/>
        </w:rPr>
        <w:t>Mr. Appleton. The amount of Mr. Appleton’s equity award was based upon subjective and objective factors, such as his individual performance, his position in the Company, the Company’s overall performance, his length of service with the Company, his past contributions to the success of the Company, his expected contributions to the future success of the Company and competitive market practices as identified by professional compensation advisors.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Compensation Committee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Teruaki Aoki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Lawrence N. Mondry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William P. Weber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During fiscal 2006, no members of the Compensation Committee (Dr. Aoki and Messrs. Lothrop, Mondry and Weber) were officers or employees of the Company or any of its subsidiaries. During fiscal 2006, no executive officer of the Company served on the Compensation Committee (or equivalent), or the board of directors of another entity whose executive officer(s) served on the Company’s Compensation Committee.</w:t>
      </w:r>
    </w:p>
    <w:p>
      <w:pPr>
        <w:sectPr>
          <w:pgSz w:w="11900" w:h="16919" w:orient="portrait"/>
          <w:cols w:equalWidth="0" w:num="1">
            <w:col w:w="11420"/>
          </w:cols>
          <w:pgMar w:left="240" w:top="119" w:right="239" w:bottom="0" w:gutter="0" w:footer="0" w:header="0"/>
        </w:sectPr>
      </w:pPr>
    </w:p>
    <w:bookmarkStart w:id="13" w:name="page14"/>
    <w:bookmarkEnd w:id="13"/>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08"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a five-year comparison of cumulative total returns for the Company’s Common Stock, the S&amp;P 500 Composite Index and the Philadelphia Semiconductor Index (SOX) from August 31, 2001, through August 31, 2006.</w:t>
      </w:r>
    </w:p>
    <w:p>
      <w:pPr>
        <w:spacing w:after="0" w:line="50"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104140</wp:posOffset>
            </wp:positionV>
            <wp:extent cx="5205730" cy="268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0573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The Company operates on a 52/53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year-end. The performance graph assumes $100 invested on August 31, 2001,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101"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22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40" w:type="dxa"/>
            <w:vAlign w:val="bottom"/>
          </w:tcPr>
          <w:p>
            <w:pPr>
              <w:spacing w:after="0"/>
              <w:rPr>
                <w:sz w:val="15"/>
                <w:szCs w:val="15"/>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Micron Technology, Inc.</w:t>
            </w:r>
          </w:p>
        </w:tc>
        <w:tc>
          <w:tcPr>
            <w:tcW w:w="1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S&amp;P 500 Composite Index</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Philadelphia Semiconductor Index (SOX)</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CEEFF"/>
          </w:tcPr>
          <w:p>
            <w:pPr>
              <w:spacing w:after="0"/>
              <w:rPr>
                <w:sz w:val="18"/>
                <w:szCs w:val="18"/>
                <w:color w:val="auto"/>
              </w:rPr>
            </w:pPr>
          </w:p>
        </w:tc>
      </w:tr>
      <w:tr>
        <w:trPr>
          <w:trHeight w:val="662"/>
        </w:trPr>
        <w:tc>
          <w:tcPr>
            <w:tcW w:w="3600" w:type="dxa"/>
            <w:vAlign w:val="bottom"/>
          </w:tcPr>
          <w:p>
            <w:pPr>
              <w:spacing w:after="0"/>
              <w:rPr>
                <w:sz w:val="24"/>
                <w:szCs w:val="24"/>
                <w:color w:val="auto"/>
              </w:rPr>
            </w:pPr>
          </w:p>
        </w:tc>
        <w:tc>
          <w:tcPr>
            <w:tcW w:w="188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PROPOSAL 2. APPROVAL OF AN AMENDMENT TO THE COMPANY’S 2004 EQUITY INCENTIVE PLAN INCREASING THE NUMBER OF SHARES RESERVED FOR ISSUANCE THEREUNDER BY 30,000,000.</w:t>
      </w:r>
    </w:p>
    <w:p>
      <w:pPr>
        <w:spacing w:after="0" w:line="51" w:lineRule="exact"/>
        <w:rPr>
          <w:sz w:val="20"/>
          <w:szCs w:val="20"/>
          <w:color w:val="auto"/>
        </w:rPr>
      </w:pPr>
    </w:p>
    <w:p>
      <w:pPr>
        <w:ind w:right="460" w:firstLine="360"/>
        <w:spacing w:after="0" w:line="258" w:lineRule="auto"/>
        <w:rPr>
          <w:sz w:val="20"/>
          <w:szCs w:val="20"/>
          <w:color w:val="auto"/>
        </w:rPr>
      </w:pPr>
      <w:r>
        <w:rPr>
          <w:rFonts w:ascii="Times New Roman" w:cs="Times New Roman" w:eastAsia="Times New Roman" w:hAnsi="Times New Roman"/>
          <w:sz w:val="18"/>
          <w:szCs w:val="18"/>
          <w:color w:val="auto"/>
        </w:rPr>
        <w:t>The 2004 Equity Incentive Plan was adopted by the Board of Directors on October 13, 2004, and approved by shareholders in November 2004. On September 26, 2006, the Board of Directors recommended that the 2004 Equity Incentive Plan be amended, subject to the approval of the Company’s shareholders, to increase the shares reserved for issuance thereunder from 26,000,000 to 56,000,000. As of October 11, 2006, 17,685,626 shares were available for issuance under the 2004 Equity Incentive Plan. As of October 11, 2006, there were approximately 20,000 employees (including all current executive officers) eligible to participate in the 2004 Equity Incentive Plan.</w:t>
      </w:r>
    </w:p>
    <w:p>
      <w:pPr>
        <w:spacing w:after="0" w:line="76"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A summary of the plan is set forth below. This summary is qualified in its entirety by the full text of the plan, which is attached to this Proxy Statement as Appendix 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plan is to promote the Company’s success by linking the personal interests of its employees, officers, directors and consultants to those of the Company’s shareholders, and by providing participants with an incentive for outstanding performance.</w:t>
      </w:r>
    </w:p>
    <w:p>
      <w:pPr>
        <w:spacing w:after="0" w:line="52" w:lineRule="exact"/>
        <w:rPr>
          <w:sz w:val="20"/>
          <w:szCs w:val="20"/>
          <w:color w:val="auto"/>
        </w:rPr>
      </w:pPr>
    </w:p>
    <w:p>
      <w:pPr>
        <w:ind w:left="360"/>
        <w:spacing w:after="0"/>
        <w:tabs>
          <w:tab w:leader="none" w:pos="1960" w:val="left"/>
        </w:tabs>
        <w:rPr>
          <w:sz w:val="20"/>
          <w:szCs w:val="20"/>
          <w:color w:val="auto"/>
        </w:rPr>
      </w:pPr>
      <w:r>
        <w:rPr>
          <w:rFonts w:ascii="Times New Roman" w:cs="Times New Roman" w:eastAsia="Times New Roman" w:hAnsi="Times New Roman"/>
          <w:sz w:val="18"/>
          <w:szCs w:val="18"/>
          <w:i w:val="1"/>
          <w:iCs w:val="1"/>
          <w:color w:val="auto"/>
        </w:rPr>
        <w:t>Permissible Awards.</w:t>
      </w:r>
      <w:r>
        <w:rPr>
          <w:sz w:val="20"/>
          <w:szCs w:val="20"/>
          <w:color w:val="auto"/>
        </w:rPr>
        <w:tab/>
      </w:r>
      <w:r>
        <w:rPr>
          <w:rFonts w:ascii="Times New Roman" w:cs="Times New Roman" w:eastAsia="Times New Roman" w:hAnsi="Times New Roman"/>
          <w:sz w:val="18"/>
          <w:szCs w:val="18"/>
          <w:color w:val="auto"/>
        </w:rPr>
        <w:t>The plan authorizes the grant of awards in any of the following forms:</w:t>
      </w:r>
    </w:p>
    <w:p>
      <w:pPr>
        <w:spacing w:after="0" w:line="119" w:lineRule="exact"/>
        <w:rPr>
          <w:sz w:val="20"/>
          <w:szCs w:val="20"/>
          <w:color w:val="auto"/>
        </w:rPr>
      </w:pPr>
    </w:p>
    <w:p>
      <w:pPr>
        <w:ind w:left="540" w:hanging="17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shares of Common Stock, which may be nonstatutory stock options or incentive stock options under the U.S. Internal Revenue Code (the “Code”). The exercise price of an option granted under the plan may not be less than the fair market value of the Company's Common Stock on the date of grant.</w:t>
      </w:r>
    </w:p>
    <w:p>
      <w:pPr>
        <w:spacing w:after="0" w:line="68" w:lineRule="exact"/>
        <w:rPr>
          <w:rFonts w:ascii="Times New Roman" w:cs="Times New Roman" w:eastAsia="Times New Roman" w:hAnsi="Times New Roman"/>
          <w:sz w:val="18"/>
          <w:szCs w:val="18"/>
          <w:color w:val="auto"/>
        </w:rPr>
      </w:pPr>
    </w:p>
    <w:p>
      <w:pPr>
        <w:ind w:left="540" w:right="22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which give the holder the right to receive the excess, if any, of the fair market value of one share of Common Stock on the date of exercise, over the base price of the stock appreciation right.</w:t>
      </w:r>
    </w:p>
    <w:p>
      <w:pPr>
        <w:spacing w:after="0" w:line="53" w:lineRule="exact"/>
        <w:rPr>
          <w:rFonts w:ascii="Times New Roman" w:cs="Times New Roman" w:eastAsia="Times New Roman" w:hAnsi="Times New Roman"/>
          <w:sz w:val="18"/>
          <w:szCs w:val="18"/>
          <w:color w:val="auto"/>
        </w:rPr>
      </w:pPr>
    </w:p>
    <w:p>
      <w:pPr>
        <w:ind w:left="540" w:right="12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which is subject to restrictions on transferability and subject to forfeiture on terms set by the Committee.</w:t>
      </w:r>
    </w:p>
    <w:p>
      <w:pPr>
        <w:spacing w:after="0" w:line="117" w:lineRule="exact"/>
        <w:rPr>
          <w:rFonts w:ascii="Times New Roman" w:cs="Times New Roman" w:eastAsia="Times New Roman" w:hAnsi="Times New Roman"/>
          <w:sz w:val="18"/>
          <w:szCs w:val="18"/>
          <w:color w:val="auto"/>
        </w:rPr>
      </w:pPr>
    </w:p>
    <w:p>
      <w:pPr>
        <w:ind w:left="540" w:right="32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53" w:lineRule="exact"/>
        <w:rPr>
          <w:rFonts w:ascii="Times New Roman" w:cs="Times New Roman" w:eastAsia="Times New Roman" w:hAnsi="Times New Roman"/>
          <w:sz w:val="18"/>
          <w:szCs w:val="18"/>
          <w:color w:val="auto"/>
        </w:rPr>
      </w:pPr>
    </w:p>
    <w:p>
      <w:pPr>
        <w:ind w:left="540" w:right="420" w:hanging="17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 units, which represent the right to receive shares of Common Stock (or an equivalent value in cash or other property) in the future, generally without any vesting or performance restrictions.</w:t>
      </w:r>
    </w:p>
    <w:p>
      <w:pPr>
        <w:sectPr>
          <w:pgSz w:w="11900" w:h="16920" w:orient="portrait"/>
          <w:cols w:equalWidth="0" w:num="1">
            <w:col w:w="11420"/>
          </w:cols>
          <w:pgMar w:left="240" w:top="117" w:right="239" w:bottom="0" w:gutter="0" w:footer="0" w:header="0"/>
        </w:sectPr>
      </w:pPr>
    </w:p>
    <w:bookmarkStart w:id="14" w:name="page15"/>
    <w:bookmarkEnd w:id="14"/>
    <w:p>
      <w:pPr>
        <w:ind w:left="540" w:right="40" w:hanging="17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rights, which entitle the participant to payments in cash or property calculated by reference to the amount of dividends paid on the shares of stock underlying an award.</w:t>
      </w:r>
    </w:p>
    <w:p>
      <w:pPr>
        <w:spacing w:after="0" w:line="53" w:lineRule="exact"/>
        <w:rPr>
          <w:rFonts w:ascii="Times New Roman" w:cs="Times New Roman" w:eastAsia="Times New Roman" w:hAnsi="Times New Roman"/>
          <w:sz w:val="18"/>
          <w:szCs w:val="18"/>
          <w:color w:val="auto"/>
        </w:rPr>
      </w:pPr>
    </w:p>
    <w:p>
      <w:pPr>
        <w:ind w:left="500" w:hanging="13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in the discretion of the Committee, including unrestricted stock grants.</w:t>
      </w:r>
    </w:p>
    <w:p>
      <w:pPr>
        <w:spacing w:after="0" w:line="117" w:lineRule="exact"/>
        <w:rPr>
          <w:sz w:val="20"/>
          <w:szCs w:val="20"/>
          <w:color w:val="auto"/>
        </w:rPr>
      </w:pPr>
    </w:p>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All awards will be evidenced by a written award certificate between the Company and the participant, which will include such provisions as may be specified by the Committee.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Available for Awards</w:t>
      </w:r>
    </w:p>
    <w:p>
      <w:pPr>
        <w:spacing w:after="0" w:line="121"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18"/>
          <w:szCs w:val="18"/>
          <w:color w:val="auto"/>
        </w:rPr>
        <w:t xml:space="preserve">Subject to adjustment as provided in the plan, the aggregate number of shares of Common Stock reserved and available for issuance pursuant to awards granted under the plan is 56,000,000. The maximum number of shares that may be issued to one person upon exercise of incentive stock options granted under the plan is 2,000,000. Except for shares surrendered to satisfy tax withholding obligations, only shares actually issued under the plan count against the total number of shares available under the plan. </w:t>
      </w:r>
      <w:r>
        <w:rPr>
          <w:rFonts w:ascii="Times New Roman" w:cs="Times New Roman" w:eastAsia="Times New Roman" w:hAnsi="Times New Roman"/>
          <w:sz w:val="18"/>
          <w:szCs w:val="18"/>
          <w:i w:val="1"/>
          <w:iCs w:val="1"/>
          <w:color w:val="auto"/>
        </w:rPr>
        <w:t>Each share issued pursuant to “full value” awards, such as restricted stock, unrestricted stock,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units, deferred stock units, performance shares, or other stock-based awards payable in stock, reduces the number of shares available for grant by two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Awards</w:t>
      </w:r>
    </w:p>
    <w:p>
      <w:pPr>
        <w:spacing w:after="0" w:line="121"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The maximum number of shares of Common Stock that may be covered by options and stock appreciation rights granted under the plan to any one person during any one calendar year is 2,000,000. The maximum number of shares of Common Stock that may be granted under the plan in the form of restricted stock, restricted stock units, deferred stock units, performance shares or other stock-based awards under the plan to any one person during any one calendar year is 2,000,000.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jc w:val="both"/>
        <w:ind w:right="20" w:firstLine="360"/>
        <w:spacing w:after="0" w:line="261" w:lineRule="auto"/>
        <w:rPr>
          <w:sz w:val="20"/>
          <w:szCs w:val="20"/>
          <w:color w:val="auto"/>
        </w:rPr>
      </w:pPr>
      <w:r>
        <w:rPr>
          <w:rFonts w:ascii="Times New Roman" w:cs="Times New Roman" w:eastAsia="Times New Roman" w:hAnsi="Times New Roman"/>
          <w:sz w:val="18"/>
          <w:szCs w:val="18"/>
          <w:color w:val="auto"/>
        </w:rPr>
        <w:t>The plan will be administered by the Committee. The Committee will have the authority to designate participants; determine the type or types of awards to be granted to each participant and the number, terms and conditions thereof; establish, adopt or revise any rules and regulations as it may deem advisable to administer the plan; and make all other decisions and determinations that may be required under the plan. The Board of Directors may at any time administer the plan. If it does so, it will have all the powers of the Committee under the plan.</w:t>
      </w:r>
    </w:p>
    <w:p>
      <w:pPr>
        <w:spacing w:after="0" w:line="72" w:lineRule="exact"/>
        <w:rPr>
          <w:sz w:val="20"/>
          <w:szCs w:val="20"/>
          <w:color w:val="auto"/>
        </w:rPr>
      </w:pPr>
    </w:p>
    <w:p>
      <w:pPr>
        <w:jc w:val="both"/>
        <w:ind w:right="540" w:firstLine="360"/>
        <w:spacing w:after="0" w:line="266" w:lineRule="auto"/>
        <w:rPr>
          <w:sz w:val="20"/>
          <w:szCs w:val="20"/>
          <w:color w:val="auto"/>
        </w:rPr>
      </w:pPr>
      <w:r>
        <w:rPr>
          <w:rFonts w:ascii="Times New Roman" w:cs="Times New Roman" w:eastAsia="Times New Roman" w:hAnsi="Times New Roman"/>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Deductibility under Section 162(m)</w:t>
      </w:r>
    </w:p>
    <w:p>
      <w:pPr>
        <w:spacing w:after="0" w:line="121"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18"/>
          <w:szCs w:val="18"/>
          <w:color w:val="auto"/>
        </w:rPr>
        <w:t>Pursuant to Section 162(m) of the Code, the Company may not deduct compensation in excess of $1,000,000 paid to its Chief Executive Officer and the four next most highly compensated executive officers unless such compensation is qualified performance-based compensation. The 2004 Equity Incentive Plan is designed to comply with Code Section 162(m) so that grants of market-priced options and stock appreciation rights under the plan, and other awards that are conditioned on performance goals as described below, will be excluded from the calculation of annual compensation for purposes of Code Section 162(m) and will be fully deductible. While the Committee believes it is important to preserve the deductibility of compensation under Code Section 162(m) generally, the Board and the Committee reserve the right to grant or approve awards or compensation that is non-deductible.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121" w:lineRule="exact"/>
        <w:rPr>
          <w:sz w:val="20"/>
          <w:szCs w:val="20"/>
          <w:color w:val="auto"/>
        </w:rPr>
      </w:pPr>
    </w:p>
    <w:p>
      <w:pPr>
        <w:ind w:right="200" w:firstLine="360"/>
        <w:spacing w:after="0" w:line="281" w:lineRule="auto"/>
        <w:rPr>
          <w:sz w:val="20"/>
          <w:szCs w:val="20"/>
          <w:color w:val="auto"/>
        </w:rPr>
      </w:pPr>
      <w:r>
        <w:rPr>
          <w:rFonts w:ascii="Times New Roman" w:cs="Times New Roman" w:eastAsia="Times New Roman" w:hAnsi="Times New Roman"/>
          <w:sz w:val="17"/>
          <w:szCs w:val="17"/>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 performance goals for the award. Performance goals are based on one or more financial, strategic and operational business criteria specified in the 2004 Equity Incentive Plan. Financial business criteria include, but are not limited to, net income as a percentage of net revenue, gross margin, return on invested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capital, and R&amp;D expense. Strategic and operational criteria include, but are not limited to, manufacturing efficiency (including yield enhancement and cycle time reduction), product life cycle management and sales price optimization. The business criteria that may be used for performance goals are specified in section 14.11(b) of the 2004 Equity Incentive Plan.</w:t>
      </w:r>
    </w:p>
    <w:p>
      <w:pPr>
        <w:spacing w:after="0" w:line="68"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certain qualified terminations of employment, waive the achievement of any specified goal. Mid-term adjustments of a performance target are permitted only in the case of a corporate transaction or other event of the type that trigger an adjustment in stock based awards (as discussed below under “Adjustments”).</w:t>
      </w:r>
    </w:p>
    <w:p>
      <w:pPr>
        <w:spacing w:after="0" w:line="76"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When determining actual results, the Committee may include or exclude unusual and non-recurring financial events such as asset write-downs or impairment charges; litigation settlements or other outcomes; the effect of changes in tax laws or accounting principles affecting reported results; accruals for reorganization and restructuring programs; extraordinary nonrecurring items meriting special accounting treatment, as determined under generally accepted accounting principles; acquisitions or divestitures; and foreign exchange gains and losses. However, in order to meet the requirements of Section 162(m), in the event the Committee determines to include or exclude such unusual and nonrecurring events when measuring actual results achieved, it must do so within the first 90 days after the beginning of the period for which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ectPr>
          <w:pgSz w:w="11900" w:h="16838" w:orient="portrait"/>
          <w:cols w:equalWidth="0" w:num="1">
            <w:col w:w="11420"/>
          </w:cols>
          <w:pgMar w:left="240" w:top="121" w:right="2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Limitations on Transfer; Beneficiaries</w:t>
      </w:r>
    </w:p>
    <w:p>
      <w:pPr>
        <w:spacing w:after="0" w:line="121"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Acceleration Upon Certain Events</w:t>
      </w:r>
    </w:p>
    <w:p>
      <w:pPr>
        <w:spacing w:after="0" w:line="12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Unless otherwise provided in an award certificate or other governing document, upon the occurrence of a “change in control” of the company (as defined in the 2004 Equity Incentive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76"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 In addition, the Committee may in its discretion accelerate awards for any other reason in its discretion. The Committee may discriminate among participants or among awards in exercising such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In the event of a stock split, a dividend payable in shares of Common Stock, or a combination or consolidation of the Common Stock into a lesser number of shares, the share authorization limits under the plan will automatically be adjusted proportionately, and the shares then subject to each award will automatically be adjusted proportionately without any change in the aggregate purchase price for such award. If the Company is involved in another corporate transaction or event that affects the Common Stock, such as an extraordinary cash dividend, recapitalization, reorganization, merger, consolidation, split-up, spin-off, combination or exchange of shares, the share authorization limits under the plan (including the number of shares reserved for issuance and the annual grant limits) will be adjusted proportionately, and the Committee may adjust outstanding awards to preserve the benefits or potential benefits of the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Amendment</w:t>
      </w:r>
    </w:p>
    <w:p>
      <w:pPr>
        <w:spacing w:after="0" w:line="121"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The 2004 Equity Incentive Plan was approved by the Company’s shareholders at the 2004 Annual Meeting and will terminate on November 18, 2014, unless earlier terminated by the Board or the Committee. The Board or the Committee may, at any time and from time to time, terminate or amend the plan, but if an amendment to the plan would materially increase the number of shares of stock issuable under the plan, expand the types of awards provided under the plan, materially expand the class of participants eligible to participate in the plan, materially extend the term of the plan or otherwise constitute a material amendment requiring shareholder approval under applicable listing requirements, laws, policies or regulations, then such amendment will be subject to shareholder approval. No termination or amendment of the plan may adversely affect any award previously granted under the plan without the written consent of the participant.</w:t>
      </w:r>
    </w:p>
    <w:p>
      <w:pPr>
        <w:spacing w:after="0" w:line="81" w:lineRule="exact"/>
        <w:rPr>
          <w:sz w:val="20"/>
          <w:szCs w:val="20"/>
          <w:color w:val="auto"/>
        </w:rPr>
      </w:pPr>
    </w:p>
    <w:p>
      <w:pPr>
        <w:jc w:val="both"/>
        <w:ind w:right="660" w:firstLine="360"/>
        <w:spacing w:after="0" w:line="266" w:lineRule="auto"/>
        <w:rPr>
          <w:sz w:val="20"/>
          <w:szCs w:val="20"/>
          <w:color w:val="auto"/>
        </w:rPr>
      </w:pPr>
      <w:r>
        <w:rPr>
          <w:rFonts w:ascii="Times New Roman" w:cs="Times New Roman" w:eastAsia="Times New Roman" w:hAnsi="Times New Roman"/>
          <w:sz w:val="18"/>
          <w:szCs w:val="18"/>
          <w:color w:val="auto"/>
        </w:rPr>
        <w:t>The Committee may amend or terminate outstanding awards. However, such amendments may require the consent of the participant and, unless approved by the shareholders or otherwise permitted by the antidilution provisions of the plan, the exercise price of an outstanding option may not be reduced, directly or indirectly, and the original term of an option may not be extended.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Repricing</w:t>
      </w:r>
    </w:p>
    <w:p>
      <w:pPr>
        <w:spacing w:after="0" w:line="121" w:lineRule="exact"/>
        <w:rPr>
          <w:sz w:val="20"/>
          <w:szCs w:val="20"/>
          <w:color w:val="auto"/>
        </w:rPr>
      </w:pPr>
    </w:p>
    <w:p>
      <w:pPr>
        <w:jc w:val="both"/>
        <w:ind w:right="120" w:firstLine="360"/>
        <w:spacing w:after="0" w:line="289" w:lineRule="auto"/>
        <w:rPr>
          <w:sz w:val="20"/>
          <w:szCs w:val="20"/>
          <w:color w:val="auto"/>
        </w:rPr>
      </w:pPr>
      <w:r>
        <w:rPr>
          <w:rFonts w:ascii="Times New Roman" w:cs="Times New Roman" w:eastAsia="Times New Roman" w:hAnsi="Times New Roman"/>
          <w:sz w:val="17"/>
          <w:szCs w:val="17"/>
          <w:color w:val="auto"/>
        </w:rPr>
        <w:t>As indicated above under “Termination and Amendment,” outstanding stock options cannot be repriced, directly or indirectly, without the prior consent of the Company’s shareholders. The exchange of an “underwater” option (i.e., an option having an exercise price in excess of the current market value of the underling stock) for another award would be considered an indirect repricing and would, therefore, require the prior consent of the Company’s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Tax Effects</w:t>
      </w:r>
    </w:p>
    <w:p>
      <w:pPr>
        <w:spacing w:after="0" w:line="121"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following discussion is limited to a summary of the U.S. federal income tax provisions relating to the grant, exercise and vesting of awards under the plan and the subsequent sale of Common Stock acquired under the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change frequently. Participants should rely upon their own tax advisors for advice concerning the specific tax consequences applicable to them, including the applicability and effect of state, local, and foreign tax laws.</w:t>
      </w:r>
    </w:p>
    <w:p>
      <w:pPr>
        <w:spacing w:after="0" w:line="52" w:lineRule="exact"/>
        <w:rPr>
          <w:sz w:val="20"/>
          <w:szCs w:val="20"/>
          <w:color w:val="auto"/>
        </w:rPr>
      </w:pPr>
    </w:p>
    <w:p>
      <w:pPr>
        <w:ind w:right="120"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There will be no federal income tax consequences to the optionee or to the Company upon the grant of a nonstatutory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option under the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w:t>
      </w:r>
    </w:p>
    <w:p>
      <w:pPr>
        <w:sectPr>
          <w:pgSz w:w="11900" w:h="16838" w:orient="portrait"/>
          <w:cols w:equalWidth="0" w:num="1">
            <w:col w:w="11420"/>
          </w:cols>
          <w:pgMar w:left="240" w:top="117" w:right="239" w:bottom="0" w:gutter="0" w:footer="0" w:header="0"/>
        </w:sectPr>
      </w:pPr>
    </w:p>
    <w:bookmarkStart w:id="16" w:name="page17"/>
    <w:bookmarkEnd w:id="16"/>
    <w:p>
      <w:pPr>
        <w:ind w:right="40"/>
        <w:spacing w:after="0" w:line="282" w:lineRule="auto"/>
        <w:rPr>
          <w:sz w:val="20"/>
          <w:szCs w:val="20"/>
          <w:color w:val="auto"/>
        </w:rPr>
      </w:pPr>
      <w:r>
        <w:rPr>
          <w:rFonts w:ascii="Times New Roman" w:cs="Times New Roman" w:eastAsia="Times New Roman" w:hAnsi="Times New Roman"/>
          <w:sz w:val="18"/>
          <w:szCs w:val="18"/>
          <w:color w:val="auto"/>
        </w:rPr>
        <w:t>will be allowed a corresponding deduction. Any gain that the optionee realizes when he or she later sells or disposes of the option shares will be short-term or long-term capital gain, depending on how long the shares were held.</w:t>
      </w:r>
    </w:p>
    <w:p>
      <w:pPr>
        <w:spacing w:after="0" w:line="52"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There typically will be no federal income tax consequences to the optionee or to the Company upon the grant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81"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A participant receiving a stock appreciation right will not recognize income, and the Company will not be allowed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 subject to any applicable limitations under Code Section 162(m).</w:t>
      </w:r>
    </w:p>
    <w:p>
      <w:pPr>
        <w:spacing w:after="0" w:line="72"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Unless a participant makes an election to accelerate recognition of the income to the date of grant as described below,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78" w:lineRule="exact"/>
        <w:rPr>
          <w:sz w:val="20"/>
          <w:szCs w:val="20"/>
          <w:color w:val="auto"/>
        </w:rPr>
      </w:pPr>
    </w:p>
    <w:p>
      <w:pPr>
        <w:jc w:val="both"/>
        <w:ind w:right="2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participant will not recognize income, and the Company will not be allowed a tax deduction, at the time a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granted. Upon issuance of shares of Common Stock in settlement of a restricted stock unit award, a participant will recognize ordinary income equal to the fair market value of the Common Stock as of that date (less any amount he or she paid for the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will be allowed a corresponding federal income tax deduction at that time, subject to any applicable limitations under Code Section 162(m).</w:t>
      </w:r>
    </w:p>
    <w:p>
      <w:pPr>
        <w:spacing w:after="0" w:line="115"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Stock Units. </w:t>
      </w:r>
      <w:r>
        <w:rPr>
          <w:rFonts w:ascii="Times New Roman" w:cs="Times New Roman" w:eastAsia="Times New Roman" w:hAnsi="Times New Roman"/>
          <w:sz w:val="18"/>
          <w:szCs w:val="18"/>
          <w:color w:val="auto"/>
        </w:rPr>
        <w:t>A participant will not recognize income, and the Company will not be allowed a tax deduction, at the time a deferred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granted. Upon issuance of shares of Common Stock in settlement of a deferred stock unit award, a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w:t>
      </w:r>
    </w:p>
    <w:p>
      <w:pPr>
        <w:spacing w:after="0" w:line="72"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Shares. </w:t>
      </w:r>
      <w:r>
        <w:rPr>
          <w:rFonts w:ascii="Times New Roman" w:cs="Times New Roman" w:eastAsia="Times New Roman" w:hAnsi="Times New Roman"/>
          <w:sz w:val="18"/>
          <w:szCs w:val="18"/>
          <w:color w:val="auto"/>
        </w:rPr>
        <w:t>A participant generally will not recognize income, and the Company will not be allowed a tax deduction, at the time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to Named Executive Officers and Others</w:t>
      </w:r>
    </w:p>
    <w:p>
      <w:pPr>
        <w:spacing w:after="0" w:line="121"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auto"/>
        </w:rPr>
        <w:t>All awards under the 2004 Equity Incentive Plan will be made at the discretion of the Committee. Therefore, it is not presently possible to determine the benefits or amounts that will be received by any individuals or groups pursuant to the Plan in the future. The following table shows the benefits or awards outstanding under the 2004 Equity Incentive Plan as of October 11, 2006:</w:t>
      </w:r>
    </w:p>
    <w:p>
      <w:pPr>
        <w:spacing w:after="0" w:line="142"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Value(1)</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5160" w:type="dxa"/>
            <w:vAlign w:val="bottom"/>
            <w:gridSpan w:val="3"/>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Appleton</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9,821,543</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647,432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Mark Durcan</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4,841,232</w:t>
            </w:r>
          </w:p>
        </w:tc>
        <w:tc>
          <w:tcPr>
            <w:tcW w:w="22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319,132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Gove</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2,271,950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149,766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Roderic W. Lewis</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2,547,013</w:t>
            </w:r>
          </w:p>
        </w:tc>
        <w:tc>
          <w:tcPr>
            <w:tcW w:w="22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167,898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Wilbur G. Stover, Jr.</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2,373,073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156,432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Officers (12 persons)(2)</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34,483,291</w:t>
            </w:r>
          </w:p>
        </w:tc>
        <w:tc>
          <w:tcPr>
            <w:tcW w:w="22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2,273,124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Directors</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2,114,910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139,414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6,790,046</w:t>
            </w:r>
          </w:p>
        </w:tc>
        <w:tc>
          <w:tcPr>
            <w:tcW w:w="22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447,597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13893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3"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stock price of $15.17 per share, the average closing price of the Company’s Common Stock on October 11, 2006.</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issued to Messrs. Appleton, Durcan, Gove, Lewis and Stover.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7"/>
          <w:szCs w:val="17"/>
          <w:b w:val="1"/>
          <w:bCs w:val="1"/>
          <w:color w:val="auto"/>
        </w:rPr>
        <w:t>RATIFICATION OF APPOINTMENT OF INDEPENDENT REGISTERED PUBLIC ACCOUNTING FIRM</w:t>
      </w:r>
    </w:p>
    <w:p>
      <w:pPr>
        <w:spacing w:after="0" w:line="121" w:lineRule="exact"/>
        <w:rPr>
          <w:sz w:val="20"/>
          <w:szCs w:val="20"/>
          <w:color w:val="auto"/>
        </w:rPr>
      </w:pPr>
    </w:p>
    <w:p>
      <w:pPr>
        <w:ind w:right="260" w:firstLine="360"/>
        <w:spacing w:after="0" w:line="313" w:lineRule="auto"/>
        <w:rPr>
          <w:sz w:val="20"/>
          <w:szCs w:val="20"/>
          <w:color w:val="auto"/>
        </w:rPr>
      </w:pPr>
      <w:r>
        <w:rPr>
          <w:rFonts w:ascii="Times New Roman" w:cs="Times New Roman" w:eastAsia="Times New Roman" w:hAnsi="Times New Roman"/>
          <w:sz w:val="17"/>
          <w:szCs w:val="17"/>
          <w:color w:val="auto"/>
        </w:rPr>
        <w:t>The Audit Committee of the Board has retained PricewaterhouseCoopers LLP (“PwC”) as the Company’s Independent Registered Public Accounting Firm to audit the consolidated financial statements of the Company for the fiscal year ending August 30, 2007, PwC and its predecessor, Coopers and</w:t>
      </w:r>
    </w:p>
    <w:p>
      <w:pPr>
        <w:sectPr>
          <w:pgSz w:w="11900" w:h="16838" w:orient="portrait"/>
          <w:cols w:equalWidth="0" w:num="1">
            <w:col w:w="11400"/>
          </w:cols>
          <w:pgMar w:left="240" w:top="121" w:right="259" w:bottom="0" w:gutter="0" w:footer="0" w:header="0"/>
        </w:sectPr>
      </w:pPr>
    </w:p>
    <w:bookmarkStart w:id="17" w:name="page18"/>
    <w:bookmarkEnd w:id="17"/>
    <w:p>
      <w:pPr>
        <w:ind w:right="80"/>
        <w:spacing w:after="0" w:line="261" w:lineRule="auto"/>
        <w:rPr>
          <w:sz w:val="20"/>
          <w:szCs w:val="20"/>
          <w:color w:val="auto"/>
        </w:rPr>
      </w:pPr>
      <w:r>
        <w:rPr>
          <w:rFonts w:ascii="Times New Roman" w:cs="Times New Roman" w:eastAsia="Times New Roman" w:hAnsi="Times New Roman"/>
          <w:sz w:val="18"/>
          <w:szCs w:val="18"/>
          <w:color w:val="auto"/>
        </w:rPr>
        <w:t>Lybrand LLP, have been the Company’s Independent Registered Public Accounting Firm since fiscal 1985. If the ratification of PwC’s appointment is not approved by a majority of the shares voting thereon, the Audit Committee may reconsider its decision to appoint PwC as the Company’s Independent Registered Public Accounting Firm. Representatives of PwC are expected to be present at the Annual Meeting, will have the opportunity to make a statement if they so desire, and are expected to be available to respond to appropriate questions.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PROPOSAL 4.</w:t>
      </w:r>
      <w:r>
        <w:rPr>
          <w:sz w:val="20"/>
          <w:szCs w:val="20"/>
          <w:color w:val="auto"/>
        </w:rPr>
        <w:tab/>
      </w:r>
      <w:r>
        <w:rPr>
          <w:rFonts w:ascii="Times New Roman" w:cs="Times New Roman" w:eastAsia="Times New Roman" w:hAnsi="Times New Roman"/>
          <w:sz w:val="17"/>
          <w:szCs w:val="17"/>
          <w:b w:val="1"/>
          <w:bCs w:val="1"/>
          <w:color w:val="auto"/>
        </w:rPr>
        <w:t>SHAREHOLDER PROPOSAL</w:t>
      </w:r>
    </w:p>
    <w:p>
      <w:pPr>
        <w:spacing w:after="0" w:line="121" w:lineRule="exact"/>
        <w:rPr>
          <w:sz w:val="20"/>
          <w:szCs w:val="20"/>
          <w:color w:val="auto"/>
        </w:rPr>
      </w:pPr>
    </w:p>
    <w:p>
      <w:pPr>
        <w:ind w:right="280" w:firstLine="360"/>
        <w:spacing w:after="0" w:line="282" w:lineRule="auto"/>
        <w:rPr>
          <w:sz w:val="20"/>
          <w:szCs w:val="20"/>
          <w:color w:val="auto"/>
        </w:rPr>
      </w:pPr>
      <w:r>
        <w:rPr>
          <w:rFonts w:ascii="Times New Roman" w:cs="Times New Roman" w:eastAsia="Times New Roman" w:hAnsi="Times New Roman"/>
          <w:sz w:val="18"/>
          <w:szCs w:val="18"/>
          <w:color w:val="auto"/>
        </w:rPr>
        <w:t>The Office of the Comptroller of New York City as custodian and trustee of the New York City Employees’ Retirement System, which owns 706,519 shares of the Company’s Common Stock, has given notice that it intends to present for action at the Annual Meeting the following resolutions: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SEXUAL ORIENTATION/QUALITY PRINCIPLES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WHEREAS, corporations with non-discrimination policies relating to sexual orientation have a competitive advantage to recruit and retain employees from the widest talent pool;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discrimination on the basis of sexual orientation diminishes employee morale and productivity;</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an interest in preventing discrimination and resolving complaints internally so as to avoid costly litigation and damage its reputation as an equal opportunity employer;</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Minneapolis, Seattle and Los Angeles, and San Francisco have adopted legislation restricting business with companies that do not guaranteed equal treatment for lesbian and gay employees and similar legislation is pending in other jurisdictions;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operations in and makes sales to institutions in states and cities which prohibit discrimination on the basis of sexual orientation;</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recent National Gay and Lesbian Taskforce study has found that 16%-44% of gay men and lesbians in twenty cities nationwide experienced workplace harassment or discrimination based on their sexual orientation;</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National public opinion polls consistently find more than three-quarters of the American people support equal rights in the workplace for gay men, lesbians, and bisexuals;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Fortune 500 corporations have implemented non-discrimination policies encompassing the following principles:</w:t>
      </w:r>
    </w:p>
    <w:p>
      <w:pPr>
        <w:spacing w:after="0" w:line="117" w:lineRule="exact"/>
        <w:rPr>
          <w:sz w:val="20"/>
          <w:szCs w:val="20"/>
          <w:color w:val="auto"/>
        </w:rPr>
      </w:pPr>
    </w:p>
    <w:p>
      <w:pPr>
        <w:ind w:left="700" w:hanging="332"/>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Discrimination based on sexual orientation and gender identity will be prohibited in the company’s employment policy statement.</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non-discrimination policy will be distributed to all employees.</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discrimination based on any employee’s actual or perceived health condition, status, or disability.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discrimination in the allocation of employee benefits on the basis of sexual orientation or gender identity.</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orientation and gender identity issues will be included in corporate employee diversity and sensitivity programs.</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discrimination in the recognition of employee groups based on sexual orientation or gender identity.</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advertising policy will avoid the use of negative stereotypes based on sexual orientation or gender identity.</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discrimination in corporate advertising and marketing policy based on sexual orientation or gender identity.</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discrimination in the sale of goods and services based on sexual orientation or gender identity, and</w:t>
      </w:r>
    </w:p>
    <w:p>
      <w:pPr>
        <w:spacing w:after="0" w:line="117" w:lineRule="exact"/>
        <w:rPr>
          <w:rFonts w:ascii="Times New Roman" w:cs="Times New Roman" w:eastAsia="Times New Roman" w:hAnsi="Times New Roman"/>
          <w:sz w:val="18"/>
          <w:szCs w:val="18"/>
          <w:color w:val="auto"/>
        </w:rPr>
      </w:pPr>
    </w:p>
    <w:p>
      <w:pPr>
        <w:ind w:left="700" w:hanging="332"/>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policy barring on corporate charitable contributions to groups and organizations based on sexual orientation.</w:t>
      </w:r>
    </w:p>
    <w:p>
      <w:pPr>
        <w:spacing w:after="0" w:line="1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RESOLVED: The Shareholders request that management implement equal employment opportunity policies based on the aforementioned principles prohibiting discrimination based on sexual orientation and gender identity.</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STATEMENT: By implementing policies prohibiting discrimination based on sexual orientation and gender identity, the Company will ensure a respectful and supportive atmosphere for all employees and enhance its competitive edge by joining the growing ranks of companies guaranteeing equal opportunity for all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“AGAINST” the adoption of this proposal for the following reasons:</w:t>
      </w:r>
    </w:p>
    <w:p>
      <w:pPr>
        <w:spacing w:after="0" w:line="121"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18"/>
          <w:szCs w:val="18"/>
          <w:color w:val="auto"/>
        </w:rPr>
        <w:t>The Board believes the Company’s current policies and practices achieve the objectives of this proposal and that this proposal is unnecessary. The directors and officers of the Company have long held the belief that the Company’s objectives can best be achieved by providing equal employment opportunities for all. The Company’s policy is to prohibit discrimination in employment. The Company takes appropriate action to assure that discrimination does not occur on the basis of race, color, sex, religion, national origin, physical or mental disability, veteran’s status, or other classifications protected under applicable law. Employment decisions are made so as to further the principle of equal employment opportunity.</w:t>
      </w:r>
    </w:p>
    <w:p>
      <w:pPr>
        <w:spacing w:after="0" w:line="76"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17"/>
          <w:szCs w:val="17"/>
          <w:color w:val="auto"/>
        </w:rPr>
        <w:t>The Company strives to recruit, hire, train, and promote team members without regard to race, color, sex, religion, national origin, disability, veteran’s status, or other classifications protected under applicable law. Employment decisions, such as compensation, benefits, transfers, employment terminations, training, Company-sponsored education, tuition assistance, social, and recreational programs are administered without discrimination. Only valid job requirements are imposed for promotional opportunities, so that promotion decisions are in accordance with the principles of equal employment opportunity.</w:t>
      </w:r>
    </w:p>
    <w:p>
      <w:pPr>
        <w:spacing w:after="0" w:line="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The Company also absolutely forbids harassment of team members based on race, color, sex, religion, national origin, disability, veteran’s status, or other classifications protected under applicable law. Team members are encouraged to report any incidents of harassment in accordance with Company policy. A violation of the Company’s harassment policy will result in disciplinary action or termination.</w:t>
      </w:r>
    </w:p>
    <w:p>
      <w:pPr>
        <w:spacing w:after="0" w:line="68" w:lineRule="exact"/>
        <w:rPr>
          <w:sz w:val="20"/>
          <w:szCs w:val="20"/>
          <w:color w:val="auto"/>
        </w:rPr>
      </w:pPr>
    </w:p>
    <w:p>
      <w:pPr>
        <w:ind w:right="1060" w:firstLine="360"/>
        <w:spacing w:after="0" w:line="282" w:lineRule="auto"/>
        <w:rPr>
          <w:sz w:val="20"/>
          <w:szCs w:val="20"/>
          <w:color w:val="auto"/>
        </w:rPr>
      </w:pPr>
      <w:r>
        <w:rPr>
          <w:rFonts w:ascii="Times New Roman" w:cs="Times New Roman" w:eastAsia="Times New Roman" w:hAnsi="Times New Roman"/>
          <w:sz w:val="18"/>
          <w:szCs w:val="18"/>
          <w:color w:val="auto"/>
        </w:rPr>
        <w:t>The Board believes that the Company’s written equal employment opportunity and harassment policies should only enumerate the types of discrimination that are prohibited by current law in order to</w:t>
      </w:r>
    </w:p>
    <w:p>
      <w:pPr>
        <w:sectPr>
          <w:pgSz w:w="11900" w:h="16838" w:orient="portrait"/>
          <w:cols w:equalWidth="0" w:num="1">
            <w:col w:w="11420"/>
          </w:cols>
          <w:pgMar w:left="240" w:top="121" w:right="239"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0" w:gutter="0" w:footer="0" w:header="0"/>
          <w:type w:val="continuous"/>
        </w:sectPr>
      </w:pPr>
    </w:p>
    <w:bookmarkStart w:id="18" w:name="page19"/>
    <w:bookmarkEnd w:id="1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highlight that these particular types of discrimination are illegal under federal law. This does not mean that the Company does not share the proponents’ interest in preventing discrimination based on sexual orientation. The Company shares their concern and takes appropriate measures to prevent discrimination in accordance with the principles of equal employment opportunity.</w:t>
      </w:r>
    </w:p>
    <w:p>
      <w:pPr>
        <w:spacing w:after="0" w:line="68" w:lineRule="exact"/>
        <w:rPr>
          <w:sz w:val="20"/>
          <w:szCs w:val="20"/>
          <w:color w:val="auto"/>
        </w:rPr>
      </w:pPr>
    </w:p>
    <w:p>
      <w:pPr>
        <w:ind w:right="660" w:firstLine="360"/>
        <w:spacing w:after="0" w:line="282" w:lineRule="auto"/>
        <w:rPr>
          <w:sz w:val="20"/>
          <w:szCs w:val="20"/>
          <w:color w:val="auto"/>
        </w:rPr>
      </w:pPr>
      <w:r>
        <w:rPr>
          <w:rFonts w:ascii="Times New Roman" w:cs="Times New Roman" w:eastAsia="Times New Roman" w:hAnsi="Times New Roman"/>
          <w:sz w:val="18"/>
          <w:szCs w:val="18"/>
          <w:color w:val="auto"/>
        </w:rPr>
        <w:t>The Board believes that adding to the Company’s written policies additional special categories which are not presently prohibited by federal law undercuts our objective of highlighting federally prohibited activities. The Company is against all forms of illegal discriminatory behavior.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all of the above reasons, the Board of Directors recommends voting “AGAINST” the shareholder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right="360" w:firstLine="360"/>
        <w:spacing w:after="0" w:line="313" w:lineRule="auto"/>
        <w:rPr>
          <w:sz w:val="20"/>
          <w:szCs w:val="20"/>
          <w:color w:val="auto"/>
        </w:rPr>
      </w:pPr>
      <w:r>
        <w:rPr>
          <w:rFonts w:ascii="Times New Roman" w:cs="Times New Roman" w:eastAsia="Times New Roman" w:hAnsi="Times New Roman"/>
          <w:sz w:val="17"/>
          <w:szCs w:val="17"/>
          <w:color w:val="auto"/>
        </w:rPr>
        <w:t>The Company knows of no other matters to be submitted at the Annual Meeting. If any other matters properly come before the meeting, the persons named in the accompanying form of proxy will vote, in their discretion, the shares they represent in accordance with their own judgment on such matters.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DEADLINE FOR RECEIPT OF SHAREHOLDER PROPOSALS FOR 2007 ANNUAL MEETING</w:t>
      </w:r>
    </w:p>
    <w:p>
      <w:pPr>
        <w:spacing w:after="0" w:line="121"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Proposals of shareholders of the Company which are intended to be presented at the Company’s 2007 Annual Meeting of Shareholders must be received by the Company at its principal executive offices located at 8000 South Federal Way, Boise, Idaho 83716-9632, no later than June 24, 2007, and must also be in compliance with the Company’s Restated Certificate of Incorporation and its Bylaws and with applicable laws and regulations in order to be included in the Proxy Statement and form of proxy relating to that meeting. Proposals which are received after June 24, 2007, will be untimely and will not be considered at the meeting.</w:t>
      </w:r>
    </w:p>
    <w:p>
      <w:pPr>
        <w:spacing w:after="0" w:line="184"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18"/>
          <w:szCs w:val="18"/>
          <w:color w:val="auto"/>
        </w:rPr>
        <w:t>November 8, 2006</w:t>
      </w:r>
      <w:r>
        <w:rPr>
          <w:sz w:val="20"/>
          <w:szCs w:val="20"/>
          <w:color w:val="auto"/>
        </w:rPr>
        <w:tab/>
      </w:r>
      <w:r>
        <w:rPr>
          <w:rFonts w:ascii="Times New Roman" w:cs="Times New Roman" w:eastAsia="Times New Roman" w:hAnsi="Times New Roman"/>
          <w:sz w:val="17"/>
          <w:szCs w:val="17"/>
          <w:color w:val="auto"/>
        </w:rPr>
        <w:t>THE BOARD OF DIRECTORS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400"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comprises Mercedes Johnson, Gordon Smith and Robert Switz. Ms. Johnson is the Chairman of the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 for the Audit Committee of the Board of Directors of Micron Technology,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purpose of the Audit Committee of the Board of Directors (the “Board”) of Micron Technology, Inc. (the “Company”) shall be to:</w:t>
      </w:r>
    </w:p>
    <w:p>
      <w:pPr>
        <w:spacing w:after="0" w:line="113" w:lineRule="exact"/>
        <w:rPr>
          <w:sz w:val="20"/>
          <w:szCs w:val="20"/>
          <w:color w:val="auto"/>
        </w:rPr>
      </w:pPr>
    </w:p>
    <w:p>
      <w:pPr>
        <w:ind w:right="20" w:firstLine="360"/>
        <w:spacing w:after="0" w:line="26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Oversight and Monitoring</w:t>
      </w:r>
      <w:r>
        <w:rPr>
          <w:rFonts w:ascii="Times New Roman" w:cs="Times New Roman" w:eastAsia="Times New Roman" w:hAnsi="Times New Roman"/>
          <w:sz w:val="18"/>
          <w:szCs w:val="18"/>
          <w:color w:val="auto"/>
        </w:rPr>
        <w:t>. Assist the Board in overseeing and monitoring (a) the integrity of the Company’s financial statements, (b) the Company’s compliance with legal and regulatory requirements, (c) the independent auditor’s qualifications and independence, and (iv) the performance of the Company’s internal audit function and of its independent auditors; and</w:t>
      </w:r>
    </w:p>
    <w:p>
      <w:pPr>
        <w:spacing w:after="0" w:line="63" w:lineRule="exact"/>
        <w:rPr>
          <w:sz w:val="20"/>
          <w:szCs w:val="20"/>
          <w:color w:val="auto"/>
        </w:rPr>
      </w:pPr>
    </w:p>
    <w:p>
      <w:pPr>
        <w:ind w:right="60" w:firstLine="360"/>
        <w:spacing w:after="0" w:line="28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Prepare the report required by the Securities and Exchange Commission (the “SEC”) to be included in the Company’s annual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MEMBERSHIP, QUALIFICATIONS AND COMPENSATION</w:t>
      </w:r>
    </w:p>
    <w:p>
      <w:pPr>
        <w:spacing w:after="0" w:line="117" w:lineRule="exact"/>
        <w:rPr>
          <w:sz w:val="20"/>
          <w:szCs w:val="20"/>
          <w:color w:val="auto"/>
        </w:rPr>
      </w:pPr>
    </w:p>
    <w:p>
      <w:pPr>
        <w:ind w:right="100" w:firstLine="360"/>
        <w:spacing w:after="0" w:line="268"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Appointment</w:t>
      </w:r>
      <w:r>
        <w:rPr>
          <w:rFonts w:ascii="Times New Roman" w:cs="Times New Roman" w:eastAsia="Times New Roman" w:hAnsi="Times New Roman"/>
          <w:sz w:val="18"/>
          <w:szCs w:val="18"/>
          <w:color w:val="auto"/>
        </w:rPr>
        <w:t>. Audit Committee members shall be appointed by and serve at the discretion of the Board. The Audit Committee shall consist of at least three members of the Board. Members of the Audit Committee shall meet the criteria of this Section 2 (as well as any other criteria required by the SEC or New York Stock Exchange (“NYSE”);</w:t>
      </w:r>
    </w:p>
    <w:p>
      <w:pPr>
        <w:spacing w:after="0" w:line="63" w:lineRule="exact"/>
        <w:rPr>
          <w:sz w:val="20"/>
          <w:szCs w:val="20"/>
          <w:color w:val="auto"/>
        </w:rPr>
      </w:pPr>
    </w:p>
    <w:p>
      <w:pPr>
        <w:ind w:right="280" w:firstLine="360"/>
        <w:spacing w:after="0" w:line="28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Independence</w:t>
      </w:r>
      <w:r>
        <w:rPr>
          <w:rFonts w:ascii="Times New Roman" w:cs="Times New Roman" w:eastAsia="Times New Roman" w:hAnsi="Times New Roman"/>
          <w:sz w:val="18"/>
          <w:szCs w:val="18"/>
          <w:color w:val="auto"/>
        </w:rPr>
        <w:t>. Each member shall be “independent” as defined in the listing standards of the NYSE and the corporate governance rules and regulations of the SEC, in effect from time to time and in accordance with the time frames specified therein;</w:t>
      </w:r>
    </w:p>
    <w:p>
      <w:pPr>
        <w:spacing w:after="0" w:line="47" w:lineRule="exact"/>
        <w:rPr>
          <w:sz w:val="20"/>
          <w:szCs w:val="20"/>
          <w:color w:val="auto"/>
        </w:rPr>
      </w:pPr>
    </w:p>
    <w:p>
      <w:pPr>
        <w:ind w:right="600" w:firstLine="360"/>
        <w:spacing w:after="0" w:line="286"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Financial Literacy</w:t>
      </w:r>
      <w:r>
        <w:rPr>
          <w:rFonts w:ascii="Times New Roman" w:cs="Times New Roman" w:eastAsia="Times New Roman" w:hAnsi="Times New Roman"/>
          <w:sz w:val="18"/>
          <w:szCs w:val="18"/>
          <w:color w:val="auto"/>
        </w:rPr>
        <w:t>. Each member shall be financially literate at the time of his or her appointment, as determined by the Board, or shall become financially literate within a reasonable period of time after his or her appointment to the Audit Committee;</w:t>
      </w:r>
    </w:p>
    <w:p>
      <w:pPr>
        <w:spacing w:after="0" w:line="47"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b w:val="1"/>
          <w:bCs w:val="1"/>
          <w:color w:val="auto"/>
        </w:rPr>
        <w:t>Financial Expert</w:t>
      </w:r>
      <w:r>
        <w:rPr>
          <w:rFonts w:ascii="Times New Roman" w:cs="Times New Roman" w:eastAsia="Times New Roman" w:hAnsi="Times New Roman"/>
          <w:sz w:val="18"/>
          <w:szCs w:val="18"/>
          <w:color w:val="auto"/>
        </w:rPr>
        <w:t>. At least one member of the Audit Committee shall be a “financial expert” as defined by the corporate governance rules and regulations of the SEC, in effect from time to time and in accordance with the time frames specified therein, as determined by the Board;</w:t>
      </w:r>
    </w:p>
    <w:p>
      <w:pPr>
        <w:spacing w:after="0" w:line="47" w:lineRule="exact"/>
        <w:rPr>
          <w:sz w:val="20"/>
          <w:szCs w:val="20"/>
          <w:color w:val="auto"/>
        </w:rPr>
      </w:pPr>
    </w:p>
    <w:p>
      <w:pPr>
        <w:ind w:right="80" w:firstLine="360"/>
        <w:spacing w:after="0" w:line="262"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b w:val="1"/>
          <w:bCs w:val="1"/>
          <w:color w:val="auto"/>
        </w:rPr>
        <w:t>Service on More Than Three Audit Committees</w:t>
      </w:r>
      <w:r>
        <w:rPr>
          <w:rFonts w:ascii="Times New Roman" w:cs="Times New Roman" w:eastAsia="Times New Roman" w:hAnsi="Times New Roman"/>
          <w:sz w:val="18"/>
          <w:szCs w:val="18"/>
          <w:color w:val="auto"/>
        </w:rPr>
        <w:t>. A Board member who simultaneously serves on the audit committees of more than three public companies shall not be eligible to serve on the Company’s Audit Committee, unless the Board affirmatively determines that such simultaneous service does not impair the ability of such member to effectively serve on the Company’s Audit Committee and the Company discloses such determination in the Company’s annual proxy statement; and</w:t>
      </w:r>
    </w:p>
    <w:p>
      <w:pPr>
        <w:spacing w:after="0" w:line="69"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b w:val="1"/>
          <w:bCs w:val="1"/>
          <w:color w:val="auto"/>
        </w:rPr>
        <w:t>Committee Compensation</w:t>
      </w:r>
      <w:r>
        <w:rPr>
          <w:rFonts w:ascii="Times New Roman" w:cs="Times New Roman" w:eastAsia="Times New Roman" w:hAnsi="Times New Roman"/>
          <w:sz w:val="18"/>
          <w:szCs w:val="18"/>
          <w:color w:val="auto"/>
        </w:rPr>
        <w:t>.  The fees paid to members of the Audit Committee shall be determined by the Board in its sole discretion.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CHAIRMANSHIP</w:t>
      </w:r>
    </w:p>
    <w:p>
      <w:pPr>
        <w:spacing w:after="0" w:line="117" w:lineRule="exact"/>
        <w:rPr>
          <w:sz w:val="20"/>
          <w:szCs w:val="20"/>
          <w:color w:val="auto"/>
        </w:rPr>
      </w:pPr>
    </w:p>
    <w:p>
      <w:pPr>
        <w:ind w:right="280" w:firstLine="360"/>
        <w:spacing w:after="0" w:line="286"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 Unless the Board elects the Audit Committee Chairman, the members of the Audit Committee shall designate a Chairman by the majority vote of the full Audit Committee membership.</w:t>
      </w:r>
    </w:p>
    <w:p>
      <w:pPr>
        <w:sectPr>
          <w:pgSz w:w="11900" w:h="16838" w:orient="portrait"/>
          <w:cols w:equalWidth="0" w:num="1">
            <w:col w:w="11420"/>
          </w:cols>
          <w:pgMar w:left="240" w:top="864" w:right="239" w:bottom="142"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64" w:right="239" w:bottom="142"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4.  DUTIES AND RESPONSIBILITIES</w:t>
      </w:r>
    </w:p>
    <w:p>
      <w:pPr>
        <w:spacing w:after="0" w:line="121" w:lineRule="exact"/>
        <w:rPr>
          <w:sz w:val="20"/>
          <w:szCs w:val="20"/>
          <w:color w:val="auto"/>
        </w:rPr>
      </w:pPr>
    </w:p>
    <w:p>
      <w:pPr>
        <w:ind w:right="200" w:firstLine="360"/>
        <w:spacing w:after="0" w:line="282" w:lineRule="auto"/>
        <w:rPr>
          <w:sz w:val="20"/>
          <w:szCs w:val="20"/>
          <w:color w:val="auto"/>
        </w:rPr>
      </w:pPr>
      <w:r>
        <w:rPr>
          <w:rFonts w:ascii="Times New Roman" w:cs="Times New Roman" w:eastAsia="Times New Roman" w:hAnsi="Times New Roman"/>
          <w:sz w:val="18"/>
          <w:szCs w:val="18"/>
          <w:color w:val="auto"/>
        </w:rPr>
        <w:t>In order to carry out the purpose described above, the Audit Committee shall undertake those specific duties and responsibilities listed below and such other duties as the Board may from time to time prescribe.</w:t>
      </w:r>
    </w:p>
    <w:p>
      <w:pPr>
        <w:spacing w:after="0" w:line="50"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b w:val="1"/>
          <w:bCs w:val="1"/>
          <w:color w:val="auto"/>
        </w:rPr>
        <w:t>Authority to Engage Advisors and Funding</w:t>
      </w:r>
      <w:r>
        <w:rPr>
          <w:rFonts w:ascii="Times New Roman" w:cs="Times New Roman" w:eastAsia="Times New Roman" w:hAnsi="Times New Roman"/>
          <w:sz w:val="18"/>
          <w:szCs w:val="18"/>
          <w:color w:val="auto"/>
        </w:rPr>
        <w:t>. The Audit Committee shall have the authority to engage independent counsel and other advisors, as it deems necessary to carry out its duties. The Company shall provide for appropriate funding, as determined by the Audit Committee, in its capacity as a committee of the Board, for payment of: (a) compensation to any registered public accounting firm engaged for the purposes of preparing or issuing an audit report or performing other audit, review or attest services; (b) compensation to any advisors employed by the Audit Committee pursuant to this Section 4.01, and (c) ordinary administrative expenses of the Audit Committee that are necessary or appropriate in carrying out its duties.</w:t>
      </w:r>
    </w:p>
    <w:p>
      <w:pPr>
        <w:spacing w:after="0" w:line="72" w:lineRule="exact"/>
        <w:rPr>
          <w:sz w:val="20"/>
          <w:szCs w:val="20"/>
          <w:color w:val="auto"/>
        </w:rPr>
      </w:pPr>
    </w:p>
    <w:p>
      <w:pPr>
        <w:jc w:val="both"/>
        <w:ind w:right="140" w:firstLine="360"/>
        <w:spacing w:after="0" w:line="268"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b w:val="1"/>
          <w:bCs w:val="1"/>
          <w:color w:val="auto"/>
        </w:rPr>
        <w:t>Access</w:t>
      </w:r>
      <w:r>
        <w:rPr>
          <w:rFonts w:ascii="Times New Roman" w:cs="Times New Roman" w:eastAsia="Times New Roman" w:hAnsi="Times New Roman"/>
          <w:sz w:val="18"/>
          <w:szCs w:val="18"/>
          <w:color w:val="auto"/>
        </w:rPr>
        <w:t>. The Audit Committee shall enjoy full access to the Company’s officers, employees and independent advisors as may be appropriate or necessary to carry out its responsibilities, subject to reasonable advance notice to the Company and reasonable efforts to avoid disruption to the Company’s management, business and operations. To avoid disruption, such requests for access shall be coordinated through the Chairman of the Audit Committee.</w:t>
      </w:r>
    </w:p>
    <w:p>
      <w:pPr>
        <w:spacing w:after="0" w:line="171"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color w:val="auto"/>
        </w:rPr>
        <w:t>4.03</w:t>
      </w:r>
      <w:r>
        <w:rPr>
          <w:sz w:val="20"/>
          <w:szCs w:val="20"/>
          <w:color w:val="auto"/>
        </w:rPr>
        <w:tab/>
      </w:r>
      <w:r>
        <w:rPr>
          <w:rFonts w:ascii="Times New Roman" w:cs="Times New Roman" w:eastAsia="Times New Roman" w:hAnsi="Times New Roman"/>
          <w:sz w:val="17"/>
          <w:szCs w:val="17"/>
          <w:b w:val="1"/>
          <w:bCs w:val="1"/>
          <w:color w:val="auto"/>
        </w:rPr>
        <w:t>Financial Reporting—Discussions and Reviews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360" w:firstLine="540"/>
        <w:spacing w:after="0" w:line="266" w:lineRule="auto"/>
        <w:rPr>
          <w:sz w:val="20"/>
          <w:szCs w:val="20"/>
          <w:color w:val="auto"/>
        </w:rPr>
      </w:pPr>
      <w:r>
        <w:rPr>
          <w:rFonts w:ascii="Times New Roman" w:cs="Times New Roman" w:eastAsia="Times New Roman" w:hAnsi="Times New Roman"/>
          <w:sz w:val="18"/>
          <w:szCs w:val="18"/>
          <w:color w:val="auto"/>
        </w:rPr>
        <w:t>4.03.01 The Audit Committee shall discuss with management and the independent auditors the annual audited financial statements and quarterly unaudited financial statements, including the Company’s disclosures under “Management’s Discussion and Analysis of Financial Condition and Results of Operations,” prior to filing with the SEC the Company’s Annual Report on Form 10-K and Quarterly Reports on Form 10-Q, respectively.</w:t>
      </w:r>
    </w:p>
    <w:p>
      <w:pPr>
        <w:spacing w:after="0" w:line="68" w:lineRule="exact"/>
        <w:rPr>
          <w:sz w:val="20"/>
          <w:szCs w:val="20"/>
          <w:color w:val="auto"/>
        </w:rPr>
      </w:pPr>
    </w:p>
    <w:p>
      <w:pPr>
        <w:ind w:left="360" w:firstLine="540"/>
        <w:spacing w:after="0" w:line="261" w:lineRule="auto"/>
        <w:rPr>
          <w:sz w:val="20"/>
          <w:szCs w:val="20"/>
          <w:color w:val="auto"/>
        </w:rPr>
      </w:pPr>
      <w:r>
        <w:rPr>
          <w:rFonts w:ascii="Times New Roman" w:cs="Times New Roman" w:eastAsia="Times New Roman" w:hAnsi="Times New Roman"/>
          <w:sz w:val="18"/>
          <w:szCs w:val="18"/>
          <w:color w:val="auto"/>
        </w:rPr>
        <w:t>4.03.02 The Audit Committee shall discuss with management and the independent auditor significant financial reporting issues and judgments made in connection with the preparation of the Company’s annual and quarterly financial statements, including any (a) significant changes in the Company’s selection or application of accounting principles, (b) major issues as to the adequacy of the Company’s internal controls, and (c) special steps adopted by the Company in light of identified material control deficiencies.</w:t>
      </w:r>
    </w:p>
    <w:p>
      <w:pPr>
        <w:spacing w:after="0" w:line="72" w:lineRule="exact"/>
        <w:rPr>
          <w:sz w:val="20"/>
          <w:szCs w:val="20"/>
          <w:color w:val="auto"/>
        </w:rPr>
      </w:pPr>
    </w:p>
    <w:p>
      <w:pPr>
        <w:ind w:left="360" w:right="280" w:firstLine="540"/>
        <w:spacing w:after="0" w:line="261" w:lineRule="auto"/>
        <w:rPr>
          <w:sz w:val="20"/>
          <w:szCs w:val="20"/>
          <w:color w:val="auto"/>
        </w:rPr>
      </w:pPr>
      <w:r>
        <w:rPr>
          <w:rFonts w:ascii="Times New Roman" w:cs="Times New Roman" w:eastAsia="Times New Roman" w:hAnsi="Times New Roman"/>
          <w:sz w:val="18"/>
          <w:szCs w:val="18"/>
          <w:color w:val="auto"/>
        </w:rPr>
        <w:t>4.03.03 The Audit Committee shall discuss with management the Company’s earnings press releases, including the use of “pro forma” or “adjusted” non-GAAP information, as well as financial information and earnings guidance provided to analysts and rating agencies. Such discussion may be done generally (consisting of discussing the types of information to be disclosed and the types of presentations to be made) and need not take place in advance of each earnings release.</w:t>
      </w:r>
    </w:p>
    <w:p>
      <w:pPr>
        <w:spacing w:after="0" w:line="72" w:lineRule="exact"/>
        <w:rPr>
          <w:sz w:val="20"/>
          <w:szCs w:val="20"/>
          <w:color w:val="auto"/>
        </w:rPr>
      </w:pPr>
    </w:p>
    <w:p>
      <w:pPr>
        <w:ind w:left="360" w:right="40" w:firstLine="540"/>
        <w:spacing w:after="0" w:line="256" w:lineRule="auto"/>
        <w:rPr>
          <w:sz w:val="20"/>
          <w:szCs w:val="20"/>
          <w:color w:val="auto"/>
        </w:rPr>
      </w:pPr>
      <w:r>
        <w:rPr>
          <w:rFonts w:ascii="Times New Roman" w:cs="Times New Roman" w:eastAsia="Times New Roman" w:hAnsi="Times New Roman"/>
          <w:sz w:val="18"/>
          <w:szCs w:val="18"/>
          <w:color w:val="auto"/>
        </w:rPr>
        <w:t>4.03.04 The Audit Committee shall review annually, prior to the completion of the independent auditor’s annual audit of the Company’s year-end financial statements (the “Annual Audit”), the independent auditor’s report that describes (a) the critical accounting policies and practices to be used in the Annual Audit, (b) all alternative treatments of financial information within generally accepted accounting principles that have been discussed with management, ramifications of the use of such alternative disclosures and treatments on the Company’s financial statements, and the treatment preferred by the independent auditor, and (c) other material written communications between the independent auditor and management, such as any management letter or schedule of unadjusted differences. Review annually any reports on such topics or similar topics prepared by management.</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4.03.05  The Audit Committee shall discuss with the independent auditor any material issues raised in the report referred to in Section 4.03.04.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360" w:firstLine="540"/>
        <w:spacing w:after="0" w:line="282" w:lineRule="auto"/>
        <w:rPr>
          <w:sz w:val="20"/>
          <w:szCs w:val="20"/>
          <w:color w:val="auto"/>
        </w:rPr>
      </w:pPr>
      <w:r>
        <w:rPr>
          <w:rFonts w:ascii="Times New Roman" w:cs="Times New Roman" w:eastAsia="Times New Roman" w:hAnsi="Times New Roman"/>
          <w:sz w:val="18"/>
          <w:szCs w:val="18"/>
          <w:color w:val="auto"/>
        </w:rPr>
        <w:t>4.03.06 The Audit Committee shall review quarterly any reports addressed to management prepared by the independent auditors or internal auditors and any responses thereto.</w:t>
      </w:r>
    </w:p>
    <w:p>
      <w:pPr>
        <w:spacing w:after="0" w:line="50"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color w:val="auto"/>
        </w:rPr>
        <w:t>4.04</w:t>
      </w:r>
      <w:r>
        <w:rPr>
          <w:sz w:val="20"/>
          <w:szCs w:val="20"/>
          <w:color w:val="auto"/>
        </w:rPr>
        <w:tab/>
      </w:r>
      <w:r>
        <w:rPr>
          <w:rFonts w:ascii="Times New Roman" w:cs="Times New Roman" w:eastAsia="Times New Roman" w:hAnsi="Times New Roman"/>
          <w:sz w:val="17"/>
          <w:szCs w:val="17"/>
          <w:b w:val="1"/>
          <w:bCs w:val="1"/>
          <w:color w:val="auto"/>
        </w:rPr>
        <w:t>Management of the Independent Auditor Relationship</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360" w:right="40" w:firstLine="540"/>
        <w:spacing w:after="0" w:line="261" w:lineRule="auto"/>
        <w:rPr>
          <w:sz w:val="20"/>
          <w:szCs w:val="20"/>
          <w:color w:val="auto"/>
        </w:rPr>
      </w:pPr>
      <w:r>
        <w:rPr>
          <w:rFonts w:ascii="Times New Roman" w:cs="Times New Roman" w:eastAsia="Times New Roman" w:hAnsi="Times New Roman"/>
          <w:sz w:val="18"/>
          <w:szCs w:val="18"/>
          <w:color w:val="auto"/>
        </w:rPr>
        <w:t>4.04.01 The Audit Committee, in its capacity as a committee of the Board, shall be directly responsible for the appointment, compensation, retention and oversight of the work of any registered public accounting firm employed by the Company (including resolutions of disagreements between management and the auditor regarding financial reporting) for the purpose of preparing or issuing an audit report or performing other audit, permissible non-audit, review or attest services for the Company and each such registered public accounting firm shall report directly to the Audit Committee.</w:t>
      </w:r>
    </w:p>
    <w:p>
      <w:pPr>
        <w:spacing w:after="0" w:line="72" w:lineRule="exact"/>
        <w:rPr>
          <w:sz w:val="20"/>
          <w:szCs w:val="20"/>
          <w:color w:val="auto"/>
        </w:rPr>
      </w:pPr>
    </w:p>
    <w:p>
      <w:pPr>
        <w:ind w:left="360" w:firstLine="540"/>
        <w:spacing w:after="0" w:line="261" w:lineRule="auto"/>
        <w:rPr>
          <w:sz w:val="20"/>
          <w:szCs w:val="20"/>
          <w:color w:val="auto"/>
        </w:rPr>
      </w:pPr>
      <w:r>
        <w:rPr>
          <w:rFonts w:ascii="Times New Roman" w:cs="Times New Roman" w:eastAsia="Times New Roman" w:hAnsi="Times New Roman"/>
          <w:sz w:val="18"/>
          <w:szCs w:val="18"/>
          <w:color w:val="auto"/>
        </w:rPr>
        <w:t>4.04.02 The Audit Committee shall pre-approve all audit and non-audit services provided to the Company by the independent auditors, except for such deminimus non-audit services for which the pre-approved requirements are waived in accordance with the rules and regulations of the SEC. The Audit Committee may delegate to one or more of its members the authority to grant such pre-approvals, provided that any such decision of such member or members must be presented to the full Audit Committee at its next scheduled meeting.</w:t>
      </w:r>
    </w:p>
    <w:p>
      <w:pPr>
        <w:spacing w:after="0" w:line="72" w:lineRule="exact"/>
        <w:rPr>
          <w:sz w:val="20"/>
          <w:szCs w:val="20"/>
          <w:color w:val="auto"/>
        </w:rPr>
      </w:pPr>
    </w:p>
    <w:p>
      <w:pPr>
        <w:ind w:left="360" w:right="400" w:firstLine="540"/>
        <w:spacing w:after="0" w:line="282" w:lineRule="auto"/>
        <w:rPr>
          <w:sz w:val="20"/>
          <w:szCs w:val="20"/>
          <w:color w:val="auto"/>
        </w:rPr>
      </w:pPr>
      <w:r>
        <w:rPr>
          <w:rFonts w:ascii="Times New Roman" w:cs="Times New Roman" w:eastAsia="Times New Roman" w:hAnsi="Times New Roman"/>
          <w:sz w:val="18"/>
          <w:szCs w:val="18"/>
          <w:color w:val="auto"/>
        </w:rPr>
        <w:t>4.04.03 The Audit Committee shall review at least annually the rotation of the lead independent audit partner, concurring partner and other independent auditor personnel to ensure rotations comply with applicable law.</w:t>
      </w:r>
    </w:p>
    <w:p>
      <w:pPr>
        <w:spacing w:after="0" w:line="54" w:lineRule="exact"/>
        <w:rPr>
          <w:sz w:val="20"/>
          <w:szCs w:val="20"/>
          <w:color w:val="auto"/>
        </w:rPr>
      </w:pPr>
    </w:p>
    <w:p>
      <w:pPr>
        <w:ind w:left="360" w:right="100" w:firstLine="540"/>
        <w:spacing w:after="0" w:line="282" w:lineRule="auto"/>
        <w:rPr>
          <w:sz w:val="20"/>
          <w:szCs w:val="20"/>
          <w:color w:val="auto"/>
        </w:rPr>
      </w:pPr>
      <w:r>
        <w:rPr>
          <w:rFonts w:ascii="Times New Roman" w:cs="Times New Roman" w:eastAsia="Times New Roman" w:hAnsi="Times New Roman"/>
          <w:sz w:val="18"/>
          <w:szCs w:val="18"/>
          <w:color w:val="auto"/>
        </w:rPr>
        <w:t>4.04.04 The Audit Committee shall review quarterly with the independent auditors, internal audit and management the status of any previously approved changes or improvements in financial or accounting practices and internal controls.</w:t>
      </w:r>
    </w:p>
    <w:p>
      <w:pPr>
        <w:spacing w:after="0" w:line="54" w:lineRule="exact"/>
        <w:rPr>
          <w:sz w:val="20"/>
          <w:szCs w:val="20"/>
          <w:color w:val="auto"/>
        </w:rPr>
      </w:pPr>
    </w:p>
    <w:p>
      <w:pPr>
        <w:ind w:left="360" w:right="360" w:firstLine="540"/>
        <w:spacing w:after="0" w:line="282" w:lineRule="auto"/>
        <w:rPr>
          <w:sz w:val="20"/>
          <w:szCs w:val="20"/>
          <w:color w:val="auto"/>
        </w:rPr>
      </w:pPr>
      <w:r>
        <w:rPr>
          <w:rFonts w:ascii="Times New Roman" w:cs="Times New Roman" w:eastAsia="Times New Roman" w:hAnsi="Times New Roman"/>
          <w:sz w:val="18"/>
          <w:szCs w:val="18"/>
          <w:color w:val="auto"/>
        </w:rPr>
        <w:t>4.04.05 The Audit Committee shall review at least annually the effects on the Company’s financial statements of regulatory and accounting initiatives, if any, as well as any off-balance sheet structures.</w:t>
      </w:r>
    </w:p>
    <w:p>
      <w:pPr>
        <w:spacing w:after="0" w:line="50"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color w:val="auto"/>
        </w:rPr>
        <w:t>4.05</w:t>
      </w:r>
      <w:r>
        <w:rPr>
          <w:sz w:val="20"/>
          <w:szCs w:val="20"/>
          <w:color w:val="auto"/>
        </w:rPr>
        <w:tab/>
      </w:r>
      <w:r>
        <w:rPr>
          <w:rFonts w:ascii="Times New Roman" w:cs="Times New Roman" w:eastAsia="Times New Roman" w:hAnsi="Times New Roman"/>
          <w:sz w:val="18"/>
          <w:szCs w:val="18"/>
          <w:b w:val="1"/>
          <w:bCs w:val="1"/>
          <w:color w:val="auto"/>
        </w:rPr>
        <w:t>Financial Reporting Process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4.05.01  Annually.</w:t>
      </w:r>
    </w:p>
    <w:p>
      <w:pPr>
        <w:spacing w:after="0" w:line="117" w:lineRule="exact"/>
        <w:rPr>
          <w:sz w:val="20"/>
          <w:szCs w:val="20"/>
          <w:color w:val="auto"/>
        </w:rPr>
      </w:pPr>
    </w:p>
    <w:p>
      <w:pPr>
        <w:ind w:left="1260" w:right="220" w:firstLine="360"/>
        <w:spacing w:after="0" w:line="266" w:lineRule="auto"/>
        <w:rPr>
          <w:sz w:val="20"/>
          <w:szCs w:val="20"/>
          <w:color w:val="auto"/>
        </w:rPr>
      </w:pPr>
      <w:r>
        <w:rPr>
          <w:rFonts w:ascii="Times New Roman" w:cs="Times New Roman" w:eastAsia="Times New Roman" w:hAnsi="Times New Roman"/>
          <w:sz w:val="18"/>
          <w:szCs w:val="18"/>
          <w:color w:val="auto"/>
        </w:rPr>
        <w:t>4.05.01.01 The Audit Committee shall annually, obtain and review the independent auditor’s report regarding: (a) the audit firm’s internal quality-control procedures; (b) any material issues raised by the most recent internal quality-control review, or peer review, of the audit firm; and (c) all relationships between the independent auditor and the Company.</w:t>
      </w:r>
    </w:p>
    <w:p>
      <w:pPr>
        <w:spacing w:after="0" w:line="68" w:lineRule="exact"/>
        <w:rPr>
          <w:sz w:val="20"/>
          <w:szCs w:val="20"/>
          <w:color w:val="auto"/>
        </w:rPr>
      </w:pPr>
    </w:p>
    <w:p>
      <w:pPr>
        <w:ind w:left="1260" w:right="160" w:firstLine="360"/>
        <w:spacing w:after="0" w:line="258" w:lineRule="auto"/>
        <w:rPr>
          <w:sz w:val="20"/>
          <w:szCs w:val="20"/>
          <w:color w:val="auto"/>
        </w:rPr>
      </w:pPr>
      <w:r>
        <w:rPr>
          <w:rFonts w:ascii="Times New Roman" w:cs="Times New Roman" w:eastAsia="Times New Roman" w:hAnsi="Times New Roman"/>
          <w:sz w:val="18"/>
          <w:szCs w:val="18"/>
          <w:color w:val="auto"/>
        </w:rPr>
        <w:t>4.05.01.02 The Audit Committee shall at least annually, assess the qualifications, performance and independence of the independent auditor, including the lead partner, based on the report referred to immediately above and the opinions of management and of the internal auditors. The Audit Committee shall take appropriate action to satisfy itself of the independence of the auditor, including whether the provision of non-audit services by the independent auditor is compatible with the auditor’s independence. The Audit Committee shall present its conclusion regarding the independence of the outside auditor to the Board at least annually.</w:t>
      </w:r>
    </w:p>
    <w:p>
      <w:pPr>
        <w:sectPr>
          <w:pgSz w:w="11900" w:h="16838" w:orient="portrait"/>
          <w:cols w:equalWidth="0" w:num="1">
            <w:col w:w="11400"/>
          </w:cols>
          <w:pgMar w:left="240" w:top="360" w:right="259" w:bottom="8" w:gutter="0" w:footer="0" w:header="0"/>
        </w:sectPr>
      </w:pPr>
    </w:p>
    <w:bookmarkStart w:id="20" w:name="page21"/>
    <w:bookmarkEnd w:id="20"/>
    <w:p>
      <w:pPr>
        <w:spacing w:after="0" w:line="44" w:lineRule="exact"/>
        <w:rPr>
          <w:sz w:val="20"/>
          <w:szCs w:val="20"/>
          <w:color w:val="auto"/>
        </w:rPr>
      </w:pPr>
    </w:p>
    <w:p>
      <w:pPr>
        <w:ind w:left="1260" w:right="420" w:firstLine="360"/>
        <w:spacing w:after="0" w:line="282" w:lineRule="auto"/>
        <w:rPr>
          <w:sz w:val="20"/>
          <w:szCs w:val="20"/>
          <w:color w:val="auto"/>
        </w:rPr>
      </w:pPr>
      <w:r>
        <w:rPr>
          <w:rFonts w:ascii="Times New Roman" w:cs="Times New Roman" w:eastAsia="Times New Roman" w:hAnsi="Times New Roman"/>
          <w:sz w:val="18"/>
          <w:szCs w:val="18"/>
          <w:color w:val="auto"/>
        </w:rPr>
        <w:t>4.05.01.03 The Audit Committee shall obtain assurance from the independent auditors that the Annual Audit was conducted in a manner consistent with Section 10A of the Securities Exchange Act of 1934.</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right="80" w:firstLine="360"/>
        <w:spacing w:after="0" w:line="261" w:lineRule="auto"/>
        <w:rPr>
          <w:sz w:val="20"/>
          <w:szCs w:val="20"/>
          <w:color w:val="auto"/>
        </w:rPr>
      </w:pPr>
      <w:r>
        <w:rPr>
          <w:rFonts w:ascii="Times New Roman" w:cs="Times New Roman" w:eastAsia="Times New Roman" w:hAnsi="Times New Roman"/>
          <w:sz w:val="18"/>
          <w:szCs w:val="18"/>
          <w:color w:val="auto"/>
        </w:rPr>
        <w:t>4.05.01.04 The Audit Committee shall review with the independent auditors any audit problems or difficulties encountered in the course of the audit work, including any restrictions placed on the scope of the independent auditors activities or on access to information or personnel, and the adequacy of management’s response. This review shall also include a discussion of the responsibilities, budget and staffing pertaining to the Company’s internal controls, including its Internal Audit Department.</w:t>
      </w:r>
    </w:p>
    <w:p>
      <w:pPr>
        <w:spacing w:after="0" w:line="72" w:lineRule="exact"/>
        <w:rPr>
          <w:sz w:val="20"/>
          <w:szCs w:val="20"/>
          <w:color w:val="auto"/>
        </w:rPr>
      </w:pPr>
    </w:p>
    <w:p>
      <w:pPr>
        <w:ind w:left="1260" w:right="440" w:firstLine="360"/>
        <w:spacing w:after="0" w:line="282" w:lineRule="auto"/>
        <w:rPr>
          <w:sz w:val="20"/>
          <w:szCs w:val="20"/>
          <w:color w:val="auto"/>
        </w:rPr>
      </w:pPr>
      <w:r>
        <w:rPr>
          <w:rFonts w:ascii="Times New Roman" w:cs="Times New Roman" w:eastAsia="Times New Roman" w:hAnsi="Times New Roman"/>
          <w:sz w:val="18"/>
          <w:szCs w:val="18"/>
          <w:color w:val="auto"/>
        </w:rPr>
        <w:t>4.05.01.05 The Audit Committee shall discuss with the Company’s independent auditors the matters required to be discussed by Statement on Accounting Standard No. 61, as it may be modified or supplemented.</w:t>
      </w:r>
    </w:p>
    <w:p>
      <w:pPr>
        <w:spacing w:after="0" w:line="54" w:lineRule="exact"/>
        <w:rPr>
          <w:sz w:val="20"/>
          <w:szCs w:val="20"/>
          <w:color w:val="auto"/>
        </w:rPr>
      </w:pPr>
    </w:p>
    <w:p>
      <w:pPr>
        <w:ind w:left="1260" w:right="500" w:firstLine="360"/>
        <w:spacing w:after="0" w:line="282" w:lineRule="auto"/>
        <w:rPr>
          <w:sz w:val="20"/>
          <w:szCs w:val="20"/>
          <w:color w:val="auto"/>
        </w:rPr>
      </w:pPr>
      <w:r>
        <w:rPr>
          <w:rFonts w:ascii="Times New Roman" w:cs="Times New Roman" w:eastAsia="Times New Roman" w:hAnsi="Times New Roman"/>
          <w:sz w:val="18"/>
          <w:szCs w:val="18"/>
          <w:color w:val="auto"/>
        </w:rPr>
        <w:t>4.05.01.06 The Audit Committee shall review with management the Company’s disclosure controls, procedures and checklists, including compliance therewith, used in the preparation of the Company’s report of financial results and operations.</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4.05.02  Quarterly.</w:t>
      </w:r>
    </w:p>
    <w:p>
      <w:pPr>
        <w:spacing w:after="0" w:line="117" w:lineRule="exact"/>
        <w:rPr>
          <w:sz w:val="20"/>
          <w:szCs w:val="20"/>
          <w:color w:val="auto"/>
        </w:rPr>
      </w:pPr>
    </w:p>
    <w:p>
      <w:pPr>
        <w:ind w:left="1260" w:right="360" w:firstLine="360"/>
        <w:spacing w:after="0" w:line="266" w:lineRule="auto"/>
        <w:rPr>
          <w:sz w:val="20"/>
          <w:szCs w:val="20"/>
          <w:color w:val="auto"/>
        </w:rPr>
      </w:pPr>
      <w:r>
        <w:rPr>
          <w:rFonts w:ascii="Times New Roman" w:cs="Times New Roman" w:eastAsia="Times New Roman" w:hAnsi="Times New Roman"/>
          <w:sz w:val="18"/>
          <w:szCs w:val="18"/>
          <w:color w:val="auto"/>
        </w:rPr>
        <w:t>4.05.02.01 The Audit Committee shall direct the Company’s independent auditors to review, before being filed with the SEC, the Company’s interim financial statements included in Quarterly Reports on Form 10-Q, using professional standards and procedures for conducting such reviews.</w:t>
      </w:r>
    </w:p>
    <w:p>
      <w:pPr>
        <w:spacing w:after="0" w:line="68" w:lineRule="exact"/>
        <w:rPr>
          <w:sz w:val="20"/>
          <w:szCs w:val="20"/>
          <w:color w:val="auto"/>
        </w:rPr>
      </w:pPr>
    </w:p>
    <w:p>
      <w:pPr>
        <w:ind w:left="1260" w:right="500" w:firstLine="360"/>
        <w:spacing w:after="0" w:line="282" w:lineRule="auto"/>
        <w:rPr>
          <w:sz w:val="20"/>
          <w:szCs w:val="20"/>
          <w:color w:val="auto"/>
        </w:rPr>
      </w:pPr>
      <w:r>
        <w:rPr>
          <w:rFonts w:ascii="Times New Roman" w:cs="Times New Roman" w:eastAsia="Times New Roman" w:hAnsi="Times New Roman"/>
          <w:sz w:val="18"/>
          <w:szCs w:val="18"/>
          <w:color w:val="auto"/>
        </w:rPr>
        <w:t>4.05.02.02 The Audit Committee shall review with management the Company’s disclosure controls, procedures and checklists, including compliance therewith, used in the preparation of the Company’s report of financial results and operations.</w:t>
      </w:r>
    </w:p>
    <w:p>
      <w:pPr>
        <w:spacing w:after="0" w:line="50"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color w:val="auto"/>
        </w:rPr>
        <w:t>4.06</w:t>
      </w:r>
      <w:r>
        <w:rPr>
          <w:sz w:val="20"/>
          <w:szCs w:val="20"/>
          <w:color w:val="auto"/>
        </w:rPr>
        <w:tab/>
      </w:r>
      <w:r>
        <w:rPr>
          <w:rFonts w:ascii="Times New Roman" w:cs="Times New Roman" w:eastAsia="Times New Roman" w:hAnsi="Times New Roman"/>
          <w:sz w:val="18"/>
          <w:szCs w:val="18"/>
          <w:b w:val="1"/>
          <w:bCs w:val="1"/>
          <w:color w:val="auto"/>
        </w:rPr>
        <w:t>Compliance/General.</w:t>
      </w:r>
    </w:p>
    <w:p>
      <w:pPr>
        <w:spacing w:after="0" w:line="121" w:lineRule="exact"/>
        <w:rPr>
          <w:sz w:val="20"/>
          <w:szCs w:val="20"/>
          <w:color w:val="auto"/>
        </w:rPr>
      </w:pPr>
    </w:p>
    <w:p>
      <w:pPr>
        <w:ind w:left="360" w:right="380" w:firstLine="540"/>
        <w:spacing w:after="0" w:line="266" w:lineRule="auto"/>
        <w:rPr>
          <w:sz w:val="20"/>
          <w:szCs w:val="20"/>
          <w:color w:val="auto"/>
        </w:rPr>
      </w:pPr>
      <w:r>
        <w:rPr>
          <w:rFonts w:ascii="Times New Roman" w:cs="Times New Roman" w:eastAsia="Times New Roman" w:hAnsi="Times New Roman"/>
          <w:sz w:val="18"/>
          <w:szCs w:val="18"/>
          <w:color w:val="auto"/>
        </w:rPr>
        <w:t>4.06.01 The Audit Committee shall review at least quarterly the adequacy of the Company’s system of internal controls, including meeting periodically with the Company’s management, internal auditors (or the personnel responsible for the internal audit function) and the independent auditors.</w:t>
      </w:r>
    </w:p>
    <w:p>
      <w:pPr>
        <w:spacing w:after="0" w:line="68" w:lineRule="exact"/>
        <w:rPr>
          <w:sz w:val="20"/>
          <w:szCs w:val="20"/>
          <w:color w:val="auto"/>
        </w:rPr>
      </w:pPr>
    </w:p>
    <w:p>
      <w:pPr>
        <w:jc w:val="both"/>
        <w:ind w:left="360" w:right="80" w:firstLine="540"/>
        <w:spacing w:after="0" w:line="266" w:lineRule="auto"/>
        <w:rPr>
          <w:sz w:val="20"/>
          <w:szCs w:val="20"/>
          <w:color w:val="auto"/>
        </w:rPr>
      </w:pPr>
      <w:r>
        <w:rPr>
          <w:rFonts w:ascii="Times New Roman" w:cs="Times New Roman" w:eastAsia="Times New Roman" w:hAnsi="Times New Roman"/>
          <w:sz w:val="18"/>
          <w:szCs w:val="18"/>
          <w:color w:val="auto"/>
        </w:rPr>
        <w:t>4.06.02 The Audit Committee shall review periodically, with the Company’s General Counsel or his designee, the Company’s compliance with legal and regulatory requirements. The Audit Committee may also discuss periodically with the General Counsel or his delegate legal matters that may have a significant impact on the Company’s financial statements.</w:t>
      </w:r>
    </w:p>
    <w:p>
      <w:pPr>
        <w:spacing w:after="0" w:line="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4.06.03  The Audit Committee shall meet separately, periodically, with management, internal audit and the independent auditor.</w:t>
      </w:r>
    </w:p>
    <w:p>
      <w:pPr>
        <w:spacing w:after="0" w:line="117" w:lineRule="exact"/>
        <w:rPr>
          <w:sz w:val="20"/>
          <w:szCs w:val="20"/>
          <w:color w:val="auto"/>
        </w:rPr>
      </w:pPr>
    </w:p>
    <w:p>
      <w:pPr>
        <w:ind w:left="360" w:right="40" w:firstLine="540"/>
        <w:spacing w:after="0" w:line="261" w:lineRule="auto"/>
        <w:rPr>
          <w:sz w:val="20"/>
          <w:szCs w:val="20"/>
          <w:color w:val="auto"/>
        </w:rPr>
      </w:pPr>
      <w:r>
        <w:rPr>
          <w:rFonts w:ascii="Times New Roman" w:cs="Times New Roman" w:eastAsia="Times New Roman" w:hAnsi="Times New Roman"/>
          <w:sz w:val="18"/>
          <w:szCs w:val="18"/>
          <w:color w:val="auto"/>
        </w:rPr>
        <w:t>4.06.04 The Audit Committee shall discuss guidelines and policies with respect to risk assessment and risk management and the steps management has taken to monitor and control such exposures, including exposure to major financial risk, it being understood that it is the job of management to assess and manage the Company’s exposure to risk and that the Audit Committee’s responsibility is to discuss guidelines and policies by which risk assessment and management is undertaken.</w:t>
      </w:r>
    </w:p>
    <w:p>
      <w:pPr>
        <w:spacing w:after="0" w:line="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4.06.05  The Audit Committee shall set clear hiring policies with respect to employees or former employees of the independent auditors.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4.06.06  The Audit Committee shall at least annually conduct a performance evaluation of the Audit Committee.</w:t>
      </w:r>
    </w:p>
    <w:p>
      <w:pPr>
        <w:spacing w:after="0" w:line="117" w:lineRule="exact"/>
        <w:rPr>
          <w:sz w:val="20"/>
          <w:szCs w:val="20"/>
          <w:color w:val="auto"/>
        </w:rPr>
      </w:pPr>
    </w:p>
    <w:p>
      <w:pPr>
        <w:ind w:left="360" w:right="240" w:firstLine="540"/>
        <w:spacing w:after="0" w:line="282" w:lineRule="auto"/>
        <w:rPr>
          <w:sz w:val="20"/>
          <w:szCs w:val="20"/>
          <w:color w:val="auto"/>
        </w:rPr>
      </w:pPr>
      <w:r>
        <w:rPr>
          <w:rFonts w:ascii="Times New Roman" w:cs="Times New Roman" w:eastAsia="Times New Roman" w:hAnsi="Times New Roman"/>
          <w:sz w:val="18"/>
          <w:szCs w:val="18"/>
          <w:color w:val="auto"/>
        </w:rPr>
        <w:t>4.06.07 The Audit Committee shall establish procedures for: (a) the receipt, retention, and treatment of complaints received by the Company regarding accounting, internal accounting controls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60"/>
        <w:spacing w:after="0" w:line="282" w:lineRule="auto"/>
        <w:rPr>
          <w:sz w:val="20"/>
          <w:szCs w:val="20"/>
          <w:color w:val="auto"/>
        </w:rPr>
      </w:pPr>
      <w:r>
        <w:rPr>
          <w:rFonts w:ascii="Times New Roman" w:cs="Times New Roman" w:eastAsia="Times New Roman" w:hAnsi="Times New Roman"/>
          <w:sz w:val="18"/>
          <w:szCs w:val="18"/>
          <w:color w:val="auto"/>
        </w:rPr>
        <w:t>or auditing matters; and (b) the confidential, anonymous submission by employees of the Company of concerns regarding questionable accounting or auditing matters.</w:t>
      </w:r>
    </w:p>
    <w:p>
      <w:pPr>
        <w:spacing w:after="0" w:line="54" w:lineRule="exact"/>
        <w:rPr>
          <w:sz w:val="20"/>
          <w:szCs w:val="20"/>
          <w:color w:val="auto"/>
        </w:rPr>
      </w:pPr>
    </w:p>
    <w:p>
      <w:pPr>
        <w:ind w:left="360" w:right="120" w:firstLine="540"/>
        <w:spacing w:after="0" w:line="282" w:lineRule="auto"/>
        <w:rPr>
          <w:sz w:val="20"/>
          <w:szCs w:val="20"/>
          <w:color w:val="auto"/>
        </w:rPr>
      </w:pPr>
      <w:r>
        <w:rPr>
          <w:rFonts w:ascii="Times New Roman" w:cs="Times New Roman" w:eastAsia="Times New Roman" w:hAnsi="Times New Roman"/>
          <w:sz w:val="18"/>
          <w:szCs w:val="18"/>
          <w:color w:val="auto"/>
        </w:rPr>
        <w:t>4.06.08 The Audit Committee shall oversee compliance with the SEC requirements for disclosure of auditor’s services, fees, Audit Committee member qualifications and activities.</w:t>
      </w:r>
    </w:p>
    <w:p>
      <w:pPr>
        <w:spacing w:after="0" w:line="50"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color w:val="auto"/>
        </w:rPr>
        <w:t>4.07</w:t>
      </w:r>
      <w:r>
        <w:rPr>
          <w:sz w:val="20"/>
          <w:szCs w:val="20"/>
          <w:color w:val="auto"/>
        </w:rPr>
        <w:tab/>
      </w: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360" w:right="1260" w:firstLine="540"/>
        <w:spacing w:after="0" w:line="282" w:lineRule="auto"/>
        <w:rPr>
          <w:sz w:val="20"/>
          <w:szCs w:val="20"/>
          <w:color w:val="auto"/>
        </w:rPr>
      </w:pPr>
      <w:r>
        <w:rPr>
          <w:rFonts w:ascii="Times New Roman" w:cs="Times New Roman" w:eastAsia="Times New Roman" w:hAnsi="Times New Roman"/>
          <w:sz w:val="18"/>
          <w:szCs w:val="18"/>
          <w:color w:val="auto"/>
        </w:rPr>
        <w:t>4.07.01 The Audit Committee shall report regularly to the Board regarding the Audit Committee’s activities, examinations and recommendations, as may be appropriate and as are consistent with this Charter.</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4.07.02  The Audit Committee shall report at least annually to the Board the Audit Committee’s conclusions as to the independent auditors.</w:t>
      </w:r>
    </w:p>
    <w:p>
      <w:pPr>
        <w:spacing w:after="0" w:line="117" w:lineRule="exact"/>
        <w:rPr>
          <w:sz w:val="20"/>
          <w:szCs w:val="20"/>
          <w:color w:val="auto"/>
        </w:rPr>
      </w:pPr>
    </w:p>
    <w:p>
      <w:pPr>
        <w:ind w:left="360" w:right="120" w:firstLine="540"/>
        <w:spacing w:after="0" w:line="266" w:lineRule="auto"/>
        <w:rPr>
          <w:sz w:val="20"/>
          <w:szCs w:val="20"/>
          <w:color w:val="auto"/>
        </w:rPr>
      </w:pPr>
      <w:r>
        <w:rPr>
          <w:rFonts w:ascii="Times New Roman" w:cs="Times New Roman" w:eastAsia="Times New Roman" w:hAnsi="Times New Roman"/>
          <w:sz w:val="18"/>
          <w:szCs w:val="18"/>
          <w:color w:val="auto"/>
        </w:rPr>
        <w:t>4.07.03 The Audit Committee shall report annually to the Company’s shareholders by way of a report in the proxy statement prepared in accordance with the requirements of the rules and regulations of the SEC, including, but not limited to, Item 306 of Regulation S-K and Item 7(d)(3) of Schedule 14A.</w:t>
      </w:r>
    </w:p>
    <w:p>
      <w:pPr>
        <w:spacing w:after="0" w:line="64" w:lineRule="exact"/>
        <w:rPr>
          <w:sz w:val="20"/>
          <w:szCs w:val="20"/>
          <w:color w:val="auto"/>
        </w:rPr>
      </w:pPr>
    </w:p>
    <w:p>
      <w:pPr>
        <w:ind w:firstLine="360"/>
        <w:spacing w:after="0" w:line="286" w:lineRule="auto"/>
        <w:rPr>
          <w:sz w:val="20"/>
          <w:szCs w:val="20"/>
          <w:color w:val="auto"/>
        </w:rPr>
      </w:pPr>
      <w:r>
        <w:rPr>
          <w:rFonts w:ascii="Times New Roman" w:cs="Times New Roman" w:eastAsia="Times New Roman" w:hAnsi="Times New Roman"/>
          <w:sz w:val="18"/>
          <w:szCs w:val="18"/>
          <w:color w:val="auto"/>
        </w:rPr>
        <w:t xml:space="preserve">4.08 </w:t>
      </w:r>
      <w:r>
        <w:rPr>
          <w:rFonts w:ascii="Times New Roman" w:cs="Times New Roman" w:eastAsia="Times New Roman" w:hAnsi="Times New Roman"/>
          <w:sz w:val="18"/>
          <w:szCs w:val="18"/>
          <w:b w:val="1"/>
          <w:bCs w:val="1"/>
          <w:color w:val="auto"/>
        </w:rPr>
        <w:t>Authority to Delegate to Subcommittee</w:t>
      </w:r>
      <w:r>
        <w:rPr>
          <w:rFonts w:ascii="Times New Roman" w:cs="Times New Roman" w:eastAsia="Times New Roman" w:hAnsi="Times New Roman"/>
          <w:sz w:val="18"/>
          <w:szCs w:val="18"/>
          <w:color w:val="auto"/>
        </w:rPr>
        <w:t>. The Audit Committee shall have authority to delegate any of its responsibilities to a subcommittee or subcommittees as it may deem appropriate in its judgment. The subcommittee(s) shall be subject to this Charter.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MEETINGS</w:t>
      </w:r>
    </w:p>
    <w:p>
      <w:pPr>
        <w:spacing w:after="0" w:line="117" w:lineRule="exact"/>
        <w:rPr>
          <w:sz w:val="20"/>
          <w:szCs w:val="20"/>
          <w:color w:val="auto"/>
        </w:rPr>
      </w:pPr>
    </w:p>
    <w:p>
      <w:pPr>
        <w:jc w:val="both"/>
        <w:ind w:right="60" w:firstLine="360"/>
        <w:spacing w:after="0" w:line="262"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Audit Committee shall meet with such frequency and at such intervals as it shall determine necessary to carry out its duties and responsibilities, but in any case, not less than four times per year (generally once each quarter). The Audit Committee may establish its own schedule, which it will provide annually to the Board in advance. The Chairman of the Audit Committee or a majority of the Audit Committee members may call meetings of the Audit Committee. Meetings of the Audit Committee may be held telephonically.</w:t>
      </w:r>
    </w:p>
    <w:p>
      <w:pPr>
        <w:spacing w:after="0" w:line="69" w:lineRule="exact"/>
        <w:rPr>
          <w:sz w:val="20"/>
          <w:szCs w:val="20"/>
          <w:color w:val="auto"/>
        </w:rPr>
      </w:pPr>
    </w:p>
    <w:p>
      <w:pPr>
        <w:ind w:firstLine="360"/>
        <w:spacing w:after="0" w:line="286"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b w:val="1"/>
          <w:bCs w:val="1"/>
          <w:color w:val="auto"/>
        </w:rPr>
        <w:t>Meeting Attendance and Invitees</w:t>
      </w:r>
      <w:r>
        <w:rPr>
          <w:rFonts w:ascii="Times New Roman" w:cs="Times New Roman" w:eastAsia="Times New Roman" w:hAnsi="Times New Roman"/>
          <w:sz w:val="18"/>
          <w:szCs w:val="18"/>
          <w:color w:val="auto"/>
        </w:rPr>
        <w:t>. All non-management directors that are not members of the Audit Committee may attend meetings of the Audit Committee but may not vote. Additionally, the Audit Committee may invite to its meetings any director, officer of the Company and such other persons</w:t>
      </w:r>
    </w:p>
    <w:p>
      <w:pPr>
        <w:sectPr>
          <w:pgSz w:w="11900" w:h="16882" w:orient="portrait"/>
          <w:cols w:equalWidth="0" w:num="1">
            <w:col w:w="11380"/>
          </w:cols>
          <w:pgMar w:left="240" w:top="121" w:right="279" w:bottom="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as it deems appropriate in order to carry out its responsibilities. The Audit Committee may also exclude from its meetings any persons, other than committee members, it deems appropriate in order to carry out its responsibilities.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MINUTES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Audit Committee will maintain written minutes of its meetings, which minutes shall be filed with the minutes of the meetings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VOTING</w:t>
      </w:r>
    </w:p>
    <w:p>
      <w:pPr>
        <w:spacing w:after="0" w:line="121" w:lineRule="exact"/>
        <w:rPr>
          <w:sz w:val="20"/>
          <w:szCs w:val="20"/>
          <w:color w:val="auto"/>
        </w:rPr>
      </w:pPr>
    </w:p>
    <w:p>
      <w:pPr>
        <w:ind w:right="220" w:firstLine="360"/>
        <w:spacing w:after="0" w:line="261" w:lineRule="auto"/>
        <w:rPr>
          <w:sz w:val="20"/>
          <w:szCs w:val="20"/>
          <w:color w:val="auto"/>
        </w:rPr>
      </w:pPr>
      <w:r>
        <w:rPr>
          <w:rFonts w:ascii="Times New Roman" w:cs="Times New Roman" w:eastAsia="Times New Roman" w:hAnsi="Times New Roman"/>
          <w:sz w:val="18"/>
          <w:szCs w:val="18"/>
          <w:color w:val="auto"/>
        </w:rPr>
        <w:t>Each member of the Audit Committee shall have one vote on any matter requiring action by the Audit Committee. One-third of the members, but no fewer than two members, shall constitute a quorum. The Audit Committee shall be authorized to take any permitted action only by the affirmative vote of a majority of the Audit Committee members present at any meeting at which a quorum is present, or by the unanimous written consent of all of the Audit Committee members. The Chairman shall be entitled to cast a vote to resolve any 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2004 EQUITY INCENTIVE PLAN</w:t>
      </w:r>
    </w:p>
    <w:p>
      <w:pPr>
        <w:spacing w:after="0" w:line="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7"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7" w:lineRule="exact"/>
        <w:rPr>
          <w:sz w:val="20"/>
          <w:szCs w:val="20"/>
          <w:color w:val="auto"/>
        </w:rPr>
      </w:pPr>
    </w:p>
    <w:p>
      <w:pPr>
        <w:ind w:right="100" w:firstLine="360"/>
        <w:spacing w:after="0" w:line="26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67" w:lineRule="exact"/>
        <w:rPr>
          <w:sz w:val="20"/>
          <w:szCs w:val="20"/>
          <w:color w:val="auto"/>
        </w:rPr>
      </w:pPr>
    </w:p>
    <w:p>
      <w:pPr>
        <w:ind w:left="360" w:right="160" w:firstLine="548"/>
        <w:spacing w:after="0" w:line="282"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53" w:lineRule="exact"/>
        <w:rPr>
          <w:rFonts w:ascii="Times New Roman" w:cs="Times New Roman" w:eastAsia="Times New Roman" w:hAnsi="Times New Roman"/>
          <w:sz w:val="18"/>
          <w:szCs w:val="18"/>
          <w:color w:val="auto"/>
        </w:rPr>
      </w:pPr>
    </w:p>
    <w:p>
      <w:pPr>
        <w:ind w:left="360" w:right="520" w:firstLine="548"/>
        <w:spacing w:after="0" w:line="282" w:lineRule="auto"/>
        <w:tabs>
          <w:tab w:leader="none" w:pos="14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53" w:lineRule="exact"/>
        <w:rPr>
          <w:rFonts w:ascii="Times New Roman" w:cs="Times New Roman" w:eastAsia="Times New Roman" w:hAnsi="Times New Roman"/>
          <w:sz w:val="18"/>
          <w:szCs w:val="18"/>
          <w:color w:val="auto"/>
        </w:rPr>
      </w:pPr>
    </w:p>
    <w:p>
      <w:pPr>
        <w:ind w:left="360" w:right="200" w:firstLine="548"/>
        <w:spacing w:after="0" w:line="266" w:lineRule="auto"/>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68"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17" w:lineRule="exact"/>
        <w:rPr>
          <w:rFonts w:ascii="Times New Roman" w:cs="Times New Roman" w:eastAsia="Times New Roman" w:hAnsi="Times New Roman"/>
          <w:sz w:val="18"/>
          <w:szCs w:val="18"/>
          <w:color w:val="auto"/>
        </w:rPr>
      </w:pPr>
    </w:p>
    <w:p>
      <w:pPr>
        <w:ind w:left="1460" w:hanging="552"/>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and includes the occurrence of any one of the following events:</w:t>
      </w:r>
    </w:p>
    <w:p>
      <w:pPr>
        <w:spacing w:after="0" w:line="117" w:lineRule="exact"/>
        <w:rPr>
          <w:rFonts w:ascii="Times New Roman" w:cs="Times New Roman" w:eastAsia="Times New Roman" w:hAnsi="Times New Roman"/>
          <w:sz w:val="18"/>
          <w:szCs w:val="18"/>
          <w:color w:val="auto"/>
        </w:rPr>
      </w:pPr>
    </w:p>
    <w:p>
      <w:pPr>
        <w:ind w:left="900" w:right="180" w:firstLine="548"/>
        <w:spacing w:after="0" w:line="255" w:lineRule="auto"/>
        <w:tabs>
          <w:tab w:leader="none" w:pos="20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80" w:hanging="532"/>
        <w:spacing w:after="0"/>
        <w:tabs>
          <w:tab w:leader="none" w:pos="1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a “beneficial owner” (as defined in Rule 13d-3 under the 1934 Act), directly or indirectly, of either</w:t>
      </w:r>
    </w:p>
    <w:p>
      <w:pPr>
        <w:spacing w:after="0" w:line="27" w:lineRule="exact"/>
        <w:rPr>
          <w:rFonts w:ascii="Times New Roman" w:cs="Times New Roman" w:eastAsia="Times New Roman" w:hAnsi="Times New Roman"/>
          <w:sz w:val="18"/>
          <w:szCs w:val="18"/>
          <w:color w:val="auto"/>
        </w:rPr>
      </w:pPr>
    </w:p>
    <w:p>
      <w:pPr>
        <w:ind w:left="900" w:right="120" w:firstLine="8"/>
        <w:spacing w:after="0" w:line="252" w:lineRule="auto"/>
        <w:tabs>
          <w:tab w:leader="none" w:pos="11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68" w:lineRule="exact"/>
        <w:rPr>
          <w:rFonts w:ascii="Times New Roman" w:cs="Times New Roman" w:eastAsia="Times New Roman" w:hAnsi="Times New Roman"/>
          <w:sz w:val="18"/>
          <w:szCs w:val="18"/>
          <w:color w:val="auto"/>
        </w:rPr>
      </w:pPr>
    </w:p>
    <w:p>
      <w:pPr>
        <w:ind w:left="900" w:right="40" w:firstLine="548"/>
        <w:spacing w:after="0" w:line="281" w:lineRule="auto"/>
        <w:tabs>
          <w:tab w:leader="none" w:pos="19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w:t>
      </w:r>
    </w:p>
    <w:p>
      <w:pPr>
        <w:sectPr>
          <w:pgSz w:w="11900" w:h="16838" w:orient="portrait"/>
          <w:cols w:equalWidth="0" w:num="1">
            <w:col w:w="11420"/>
          </w:cols>
          <w:pgMar w:left="240" w:top="121" w:right="239" w:bottom="0" w:gutter="0" w:footer="0" w:header="0"/>
        </w:sectPr>
      </w:pPr>
    </w:p>
    <w:bookmarkStart w:id="22" w:name="page23"/>
    <w:bookmarkEnd w:id="22"/>
    <w:p>
      <w:pPr>
        <w:ind w:left="540"/>
        <w:spacing w:after="0" w:line="253" w:lineRule="auto"/>
        <w:rPr>
          <w:sz w:val="20"/>
          <w:szCs w:val="20"/>
          <w:color w:val="auto"/>
        </w:rPr>
      </w:pPr>
      <w:r>
        <w:rPr>
          <w:rFonts w:ascii="Times New Roman" w:cs="Times New Roman" w:eastAsia="Times New Roman" w:hAnsi="Times New Roman"/>
          <w:sz w:val="18"/>
          <w:szCs w:val="18"/>
          <w:color w:val="auto"/>
        </w:rPr>
        <w:t>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67" w:lineRule="exact"/>
        <w:rPr>
          <w:sz w:val="20"/>
          <w:szCs w:val="20"/>
          <w:color w:val="auto"/>
        </w:rPr>
      </w:pPr>
    </w:p>
    <w:p>
      <w:pPr>
        <w:ind w:left="1660" w:hanging="572"/>
        <w:spacing w:after="0"/>
        <w:tabs>
          <w:tab w:leader="none" w:pos="1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117" w:lineRule="exact"/>
        <w:rPr>
          <w:rFonts w:ascii="Times New Roman" w:cs="Times New Roman" w:eastAsia="Times New Roman" w:hAnsi="Times New Roman"/>
          <w:sz w:val="18"/>
          <w:szCs w:val="18"/>
          <w:color w:val="auto"/>
        </w:rPr>
      </w:pPr>
    </w:p>
    <w:p>
      <w:pPr>
        <w:ind w:left="1140" w:hanging="59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and includes a reference to the underlying final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w:t>
      </w:r>
    </w:p>
    <w:p>
      <w:pPr>
        <w:spacing w:after="0" w:line="85" w:lineRule="exact"/>
        <w:rPr>
          <w:rFonts w:ascii="Times New Roman" w:cs="Times New Roman" w:eastAsia="Times New Roman" w:hAnsi="Times New Roman"/>
          <w:sz w:val="18"/>
          <w:szCs w:val="18"/>
          <w:color w:val="auto"/>
        </w:rPr>
      </w:pPr>
    </w:p>
    <w:p>
      <w:pPr>
        <w:ind w:left="1120" w:hanging="572"/>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committee of the Board described in Article 4.</w:t>
      </w:r>
    </w:p>
    <w:p>
      <w:pPr>
        <w:spacing w:after="0" w:line="103" w:lineRule="exact"/>
        <w:rPr>
          <w:rFonts w:ascii="Times New Roman" w:cs="Times New Roman" w:eastAsia="Times New Roman" w:hAnsi="Times New Roman"/>
          <w:sz w:val="18"/>
          <w:szCs w:val="18"/>
          <w:color w:val="auto"/>
        </w:rPr>
      </w:pPr>
    </w:p>
    <w:p>
      <w:pPr>
        <w:ind w:left="1120" w:hanging="572"/>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Micron Technology, Inc., a Delaware corporation, or any successor corporation.</w:t>
      </w:r>
    </w:p>
    <w:p>
      <w:pPr>
        <w:spacing w:after="0" w:line="117" w:lineRule="exact"/>
        <w:rPr>
          <w:rFonts w:ascii="Times New Roman" w:cs="Times New Roman" w:eastAsia="Times New Roman" w:hAnsi="Times New Roman"/>
          <w:sz w:val="18"/>
          <w:szCs w:val="18"/>
          <w:color w:val="auto"/>
        </w:rPr>
      </w:pPr>
    </w:p>
    <w:p>
      <w:pPr>
        <w:ind w:right="180" w:firstLine="548"/>
        <w:spacing w:after="0" w:line="282" w:lineRule="auto"/>
        <w:tabs>
          <w:tab w:leader="none" w:pos="1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Status as a Participant” means the absence of any interruption or termination of service as an employee, officer, consultant or director of the Company or any Affiliate,</w:t>
      </w:r>
    </w:p>
    <w:p>
      <w:pPr>
        <w:spacing w:after="0" w:line="3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238125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 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68" w:lineRule="exact"/>
        <w:rPr>
          <w:sz w:val="20"/>
          <w:szCs w:val="20"/>
          <w:color w:val="auto"/>
        </w:rPr>
      </w:pPr>
    </w:p>
    <w:p>
      <w:pPr>
        <w:ind w:left="1120" w:hanging="572"/>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Employee” means a covered employee as defined in Code Section 162(m)(3).</w:t>
      </w:r>
    </w:p>
    <w:p>
      <w:pPr>
        <w:spacing w:after="0" w:line="103" w:lineRule="exact"/>
        <w:rPr>
          <w:rFonts w:ascii="Times New Roman" w:cs="Times New Roman" w:eastAsia="Times New Roman" w:hAnsi="Times New Roman"/>
          <w:sz w:val="18"/>
          <w:szCs w:val="18"/>
          <w:color w:val="auto"/>
        </w:rPr>
      </w:pPr>
    </w:p>
    <w:p>
      <w:pPr>
        <w:ind w:right="40" w:firstLine="548"/>
        <w:spacing w:after="0" w:line="274" w:lineRule="auto"/>
        <w:tabs>
          <w:tab w:leader="none" w:pos="111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65" w:lineRule="exact"/>
        <w:rPr>
          <w:rFonts w:ascii="Times New Roman" w:cs="Times New Roman" w:eastAsia="Times New Roman" w:hAnsi="Times New Roman"/>
          <w:sz w:val="17"/>
          <w:szCs w:val="17"/>
          <w:color w:val="auto"/>
        </w:rPr>
      </w:pPr>
    </w:p>
    <w:p>
      <w:pPr>
        <w:ind w:left="1120" w:hanging="572"/>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 Unit” means a right granted to a Participant under Article 11.</w:t>
      </w:r>
    </w:p>
    <w:p>
      <w:pPr>
        <w:spacing w:after="0" w:line="1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means a right granted to a Participant under Article 12.</w:t>
      </w:r>
    </w:p>
    <w:p>
      <w:pPr>
        <w:spacing w:after="0" w:line="103" w:lineRule="exact"/>
        <w:rPr>
          <w:rFonts w:ascii="Times New Roman" w:cs="Times New Roman" w:eastAsia="Times New Roman" w:hAnsi="Times New Roman"/>
          <w:sz w:val="18"/>
          <w:szCs w:val="18"/>
          <w:color w:val="auto"/>
        </w:rPr>
      </w:pPr>
    </w:p>
    <w:p>
      <w:pPr>
        <w:ind w:left="1120" w:hanging="572"/>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has the meaning assigned such term in Section 3.1.</w:t>
      </w:r>
    </w:p>
    <w:p>
      <w:pPr>
        <w:spacing w:after="0" w:line="117" w:lineRule="exact"/>
        <w:rPr>
          <w:rFonts w:ascii="Times New Roman" w:cs="Times New Roman" w:eastAsia="Times New Roman" w:hAnsi="Times New Roman"/>
          <w:sz w:val="18"/>
          <w:szCs w:val="18"/>
          <w:color w:val="auto"/>
        </w:rPr>
      </w:pPr>
    </w:p>
    <w:p>
      <w:pPr>
        <w:ind w:left="1120" w:hanging="572"/>
        <w:spacing w:after="0"/>
        <w:tabs>
          <w:tab w:leader="none" w:pos="11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Participant” means an employee, officer, consultant or director of the Company or any Affiliate.</w:t>
      </w:r>
    </w:p>
    <w:p>
      <w:pPr>
        <w:spacing w:after="0" w:line="103" w:lineRule="exact"/>
        <w:rPr>
          <w:rFonts w:ascii="Times New Roman" w:cs="Times New Roman" w:eastAsia="Times New Roman" w:hAnsi="Times New Roman"/>
          <w:sz w:val="18"/>
          <w:szCs w:val="18"/>
          <w:color w:val="auto"/>
        </w:rPr>
      </w:pPr>
    </w:p>
    <w:p>
      <w:pPr>
        <w:ind w:right="440" w:firstLine="548"/>
        <w:spacing w:after="0" w:line="282" w:lineRule="auto"/>
        <w:tabs>
          <w:tab w:leader="none" w:pos="11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means the New York Stock Exchange or any other national securities exchange or national market system on which the Stock may from time to time be listed or traded.</w:t>
      </w:r>
    </w:p>
    <w:p>
      <w:pPr>
        <w:spacing w:after="0" w:line="40" w:lineRule="exact"/>
        <w:rPr>
          <w:rFonts w:ascii="Times New Roman" w:cs="Times New Roman" w:eastAsia="Times New Roman" w:hAnsi="Times New Roman"/>
          <w:sz w:val="18"/>
          <w:szCs w:val="18"/>
          <w:color w:val="auto"/>
        </w:rPr>
      </w:pPr>
    </w:p>
    <w:p>
      <w:pPr>
        <w:ind w:right="100" w:firstLine="548"/>
        <w:spacing w:after="0" w:line="257" w:lineRule="auto"/>
        <w:tabs>
          <w:tab w:leader="none" w:pos="11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Times New Roman" w:cs="Times New Roman" w:eastAsia="Times New Roman" w:hAnsi="Times New Roman"/>
          <w:sz w:val="18"/>
          <w:szCs w:val="18"/>
          <w:i w:val="1"/>
          <w:iCs w:val="1"/>
          <w:color w:val="auto"/>
        </w:rPr>
        <w:t>Bloomberg L.P.</w:t>
      </w:r>
      <w:r>
        <w:rPr>
          <w:rFonts w:ascii="Times New Roman" w:cs="Times New Roman" w:eastAsia="Times New Roman" w:hAnsi="Times New Roman"/>
          <w:sz w:val="18"/>
          <w:szCs w:val="18"/>
          <w:color w:val="auto"/>
        </w:rPr>
        <w:t xml:space="preserve"> or such other source as the Committee deems reliable;</w:t>
      </w:r>
    </w:p>
    <w:p>
      <w:pPr>
        <w:spacing w:after="0" w:line="1" w:lineRule="exact"/>
        <w:rPr>
          <w:rFonts w:ascii="Times New Roman" w:cs="Times New Roman" w:eastAsia="Times New Roman" w:hAnsi="Times New Roman"/>
          <w:sz w:val="18"/>
          <w:szCs w:val="18"/>
          <w:color w:val="auto"/>
        </w:rPr>
      </w:pPr>
    </w:p>
    <w:p>
      <w:pPr>
        <w:ind w:right="20" w:firstLine="8"/>
        <w:spacing w:after="0" w:line="254"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Times New Roman" w:cs="Times New Roman" w:eastAsia="Times New Roman" w:hAnsi="Times New Roman"/>
          <w:sz w:val="18"/>
          <w:szCs w:val="18"/>
          <w:i w:val="1"/>
          <w:iCs w:val="1"/>
          <w:color w:val="auto"/>
        </w:rPr>
        <w:t>Bloomberg L.P.</w:t>
      </w:r>
      <w:r>
        <w:rPr>
          <w:rFonts w:ascii="Times New Roman" w:cs="Times New Roman" w:eastAsia="Times New Roman" w:hAnsi="Times New Roman"/>
          <w:sz w:val="18"/>
          <w:szCs w:val="18"/>
          <w:color w:val="auto"/>
        </w:rPr>
        <w:t xml:space="preserve"> or such other source as the Committee deems reliable, or (iii) in the absence of an established market for the Stock, the Fair Market Value shall be determined in good faith by the Committee.</w:t>
      </w:r>
    </w:p>
    <w:p>
      <w:pPr>
        <w:spacing w:after="0" w:line="7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Value Award” means an Award other than in the form of an Option or SAR, and which is settled by the issuance of Stock.</w:t>
      </w:r>
    </w:p>
    <w:p>
      <w:pPr>
        <w:spacing w:after="0" w:line="103" w:lineRule="exact"/>
        <w:rPr>
          <w:rFonts w:ascii="Times New Roman" w:cs="Times New Roman" w:eastAsia="Times New Roman" w:hAnsi="Times New Roman"/>
          <w:sz w:val="18"/>
          <w:szCs w:val="18"/>
          <w:color w:val="auto"/>
        </w:rPr>
      </w:pPr>
    </w:p>
    <w:p>
      <w:pPr>
        <w:ind w:right="160" w:firstLine="548"/>
        <w:spacing w:after="0" w:line="282" w:lineRule="auto"/>
        <w:tabs>
          <w:tab w:leader="none" w:pos="10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of an Award means the first date on which all necessary corporate action has been taken to approve the grant of the Award as provided in the Plan, or such later date as is</w:t>
      </w:r>
    </w:p>
    <w:p>
      <w:pPr>
        <w:spacing w:after="0" w:line="3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238125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determined and specified as part of that authorization process. Notice of the grant shall be provided to the grantee within a reasonable time after the Grant Date.</w:t>
      </w:r>
    </w:p>
    <w:p>
      <w:pPr>
        <w:spacing w:after="0" w:line="40" w:lineRule="exact"/>
        <w:rPr>
          <w:sz w:val="20"/>
          <w:szCs w:val="20"/>
          <w:color w:val="auto"/>
        </w:rPr>
      </w:pPr>
    </w:p>
    <w:p>
      <w:pPr>
        <w:ind w:right="140" w:firstLine="548"/>
        <w:spacing w:after="0" w:line="282" w:lineRule="auto"/>
        <w:tabs>
          <w:tab w:leader="none" w:pos="1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that is intended to be an incentive stock option and meets the requirements of Section 422 of the Code or any successor provision thereto.</w:t>
      </w:r>
    </w:p>
    <w:p>
      <w:pPr>
        <w:sectPr>
          <w:pgSz w:w="11900" w:h="16839" w:orient="portrait"/>
          <w:cols w:equalWidth="0" w:num="1">
            <w:col w:w="11060"/>
          </w:cols>
          <w:pgMar w:left="600" w:top="121" w:right="239" w:bottom="0" w:gutter="0" w:footer="0" w:header="0"/>
        </w:sectPr>
      </w:pPr>
    </w:p>
    <w:bookmarkStart w:id="23" w:name="page24"/>
    <w:bookmarkEnd w:id="23"/>
    <w:p>
      <w:pPr>
        <w:spacing w:after="0" w:line="29" w:lineRule="exact"/>
        <w:rPr>
          <w:sz w:val="20"/>
          <w:szCs w:val="20"/>
          <w:color w:val="auto"/>
        </w:rPr>
      </w:pPr>
    </w:p>
    <w:p>
      <w:pPr>
        <w:ind w:left="1480" w:hanging="572"/>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 director of the Company who is not a common law employee of the Company or an Affiliate.</w:t>
      </w:r>
    </w:p>
    <w:p>
      <w:pPr>
        <w:spacing w:after="0" w:line="103"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 means an Option that is not an Incentive Stock Option.</w:t>
      </w:r>
    </w:p>
    <w:p>
      <w:pPr>
        <w:spacing w:after="0" w:line="117" w:lineRule="exact"/>
        <w:rPr>
          <w:rFonts w:ascii="Times New Roman" w:cs="Times New Roman" w:eastAsia="Times New Roman" w:hAnsi="Times New Roman"/>
          <w:sz w:val="18"/>
          <w:szCs w:val="18"/>
          <w:color w:val="auto"/>
        </w:rPr>
      </w:pPr>
    </w:p>
    <w:p>
      <w:pPr>
        <w:ind w:left="360" w:right="280" w:firstLine="548"/>
        <w:spacing w:after="0" w:line="282" w:lineRule="auto"/>
        <w:tabs>
          <w:tab w:leader="none" w:pos="14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40" w:lineRule="exact"/>
        <w:rPr>
          <w:rFonts w:ascii="Times New Roman" w:cs="Times New Roman" w:eastAsia="Times New Roman" w:hAnsi="Times New Roman"/>
          <w:sz w:val="18"/>
          <w:szCs w:val="18"/>
          <w:color w:val="auto"/>
        </w:rPr>
      </w:pPr>
    </w:p>
    <w:p>
      <w:pPr>
        <w:ind w:left="360" w:right="200" w:firstLine="548"/>
        <w:spacing w:after="0" w:line="282" w:lineRule="auto"/>
        <w:tabs>
          <w:tab w:leader="none" w:pos="14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 right, granted to a Participant under Article 13 that relates to or is valued by reference to Stock or other Awards relating to Stock.</w:t>
      </w:r>
    </w:p>
    <w:p>
      <w:pPr>
        <w:spacing w:after="0" w:line="40" w:lineRule="exact"/>
        <w:rPr>
          <w:rFonts w:ascii="Times New Roman" w:cs="Times New Roman" w:eastAsia="Times New Roman" w:hAnsi="Times New Roman"/>
          <w:sz w:val="18"/>
          <w:szCs w:val="18"/>
          <w:color w:val="auto"/>
        </w:rPr>
      </w:pPr>
    </w:p>
    <w:p>
      <w:pPr>
        <w:ind w:left="360" w:right="180" w:firstLine="548"/>
        <w:spacing w:after="0" w:line="266" w:lineRule="auto"/>
        <w:tabs>
          <w:tab w:leader="none" w:pos="14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68" w:lineRule="exact"/>
        <w:rPr>
          <w:rFonts w:ascii="Times New Roman" w:cs="Times New Roman" w:eastAsia="Times New Roman" w:hAnsi="Times New Roman"/>
          <w:sz w:val="18"/>
          <w:szCs w:val="18"/>
          <w:color w:val="auto"/>
        </w:rPr>
      </w:pPr>
    </w:p>
    <w:p>
      <w:pPr>
        <w:ind w:left="360" w:right="180" w:firstLine="548"/>
        <w:spacing w:after="0" w:line="261" w:lineRule="auto"/>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58" w:lineRule="exact"/>
        <w:rPr>
          <w:sz w:val="20"/>
          <w:szCs w:val="20"/>
          <w:color w:val="auto"/>
        </w:rPr>
      </w:pPr>
    </w:p>
    <w:p>
      <w:pPr>
        <w:ind w:left="360" w:right="140" w:firstLine="548"/>
        <w:spacing w:after="0" w:line="282" w:lineRule="auto"/>
        <w:tabs>
          <w:tab w:leader="none" w:pos="14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40" w:lineRule="exact"/>
        <w:rPr>
          <w:rFonts w:ascii="Times New Roman" w:cs="Times New Roman" w:eastAsia="Times New Roman" w:hAnsi="Times New Roman"/>
          <w:sz w:val="18"/>
          <w:szCs w:val="18"/>
          <w:color w:val="auto"/>
        </w:rPr>
      </w:pPr>
    </w:p>
    <w:p>
      <w:pPr>
        <w:ind w:left="360" w:right="120" w:firstLine="548"/>
        <w:spacing w:after="0" w:line="282" w:lineRule="auto"/>
        <w:tabs>
          <w:tab w:leader="none" w:pos="14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any individual, entity or group, within the meaning of Section 3(a)(9) of the 1934 Act and as used in Section 13(d)(3) or 14(d)(2) of the 1934 Act.</w:t>
      </w:r>
    </w:p>
    <w:p>
      <w:pPr>
        <w:spacing w:after="0" w:line="53" w:lineRule="exact"/>
        <w:rPr>
          <w:rFonts w:ascii="Times New Roman" w:cs="Times New Roman" w:eastAsia="Times New Roman" w:hAnsi="Times New Roman"/>
          <w:sz w:val="18"/>
          <w:szCs w:val="18"/>
          <w:color w:val="auto"/>
        </w:rPr>
      </w:pPr>
    </w:p>
    <w:p>
      <w:pPr>
        <w:ind w:left="1460" w:hanging="552"/>
        <w:spacing w:after="0"/>
        <w:tabs>
          <w:tab w:leader="none" w:pos="1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the Micron Technology, Inc. 2004 Equity Incentive Plan, as amended from time to time.</w:t>
      </w:r>
    </w:p>
    <w:p>
      <w:pPr>
        <w:spacing w:after="0" w:line="103" w:lineRule="exact"/>
        <w:rPr>
          <w:rFonts w:ascii="Times New Roman" w:cs="Times New Roman" w:eastAsia="Times New Roman" w:hAnsi="Times New Roman"/>
          <w:sz w:val="18"/>
          <w:szCs w:val="18"/>
          <w:color w:val="auto"/>
        </w:rPr>
      </w:pPr>
    </w:p>
    <w:p>
      <w:pPr>
        <w:ind w:left="360" w:right="220" w:firstLine="548"/>
        <w:spacing w:after="0" w:line="282" w:lineRule="auto"/>
        <w:tabs>
          <w:tab w:leader="none" w:pos="14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40" w:lineRule="exact"/>
        <w:rPr>
          <w:rFonts w:ascii="Times New Roman" w:cs="Times New Roman" w:eastAsia="Times New Roman" w:hAnsi="Times New Roman"/>
          <w:sz w:val="18"/>
          <w:szCs w:val="18"/>
          <w:color w:val="auto"/>
        </w:rPr>
      </w:pPr>
    </w:p>
    <w:p>
      <w:pPr>
        <w:ind w:left="360" w:right="340" w:firstLine="548"/>
        <w:spacing w:after="0" w:line="282" w:lineRule="auto"/>
        <w:tabs>
          <w:tab w:leader="none" w:pos="14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53" w:lineRule="exact"/>
        <w:rPr>
          <w:rFonts w:ascii="Times New Roman" w:cs="Times New Roman" w:eastAsia="Times New Roman" w:hAnsi="Times New Roman"/>
          <w:sz w:val="18"/>
          <w:szCs w:val="18"/>
          <w:color w:val="auto"/>
        </w:rPr>
      </w:pPr>
    </w:p>
    <w:p>
      <w:pPr>
        <w:ind w:left="360" w:right="280" w:firstLine="548"/>
        <w:spacing w:after="0" w:line="282" w:lineRule="auto"/>
        <w:tabs>
          <w:tab w:leader="none" w:pos="14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40"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means Stock granted to a Participant under Article 10 that is subject to certain restrictions and to risk of</w:t>
      </w:r>
    </w:p>
    <w:p>
      <w:pPr>
        <w:spacing w:after="0" w:line="27"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w:t>
      </w:r>
    </w:p>
    <w:p>
      <w:pPr>
        <w:spacing w:after="0" w:line="85" w:lineRule="exact"/>
        <w:rPr>
          <w:rFonts w:ascii="Times New Roman" w:cs="Times New Roman" w:eastAsia="Times New Roman" w:hAnsi="Times New Roman"/>
          <w:sz w:val="18"/>
          <w:szCs w:val="18"/>
          <w:color w:val="auto"/>
        </w:rPr>
      </w:pPr>
    </w:p>
    <w:p>
      <w:pPr>
        <w:ind w:left="360" w:firstLine="548"/>
        <w:spacing w:after="0" w:line="282" w:lineRule="auto"/>
        <w:tabs>
          <w:tab w:leader="none" w:pos="14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40" w:firstLine="548"/>
        <w:spacing w:after="0" w:line="282" w:lineRule="auto"/>
        <w:tabs>
          <w:tab w:leader="none" w:pos="1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53" w:lineRule="exact"/>
        <w:rPr>
          <w:rFonts w:ascii="Times New Roman" w:cs="Times New Roman" w:eastAsia="Times New Roman" w:hAnsi="Times New Roman"/>
          <w:sz w:val="18"/>
          <w:szCs w:val="18"/>
          <w:color w:val="auto"/>
        </w:rPr>
      </w:pPr>
    </w:p>
    <w:p>
      <w:pPr>
        <w:ind w:left="360" w:right="600" w:firstLine="548"/>
        <w:spacing w:after="0" w:line="266" w:lineRule="auto"/>
        <w:tabs>
          <w:tab w:leader="none" w:pos="1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54" w:lineRule="exact"/>
        <w:rPr>
          <w:rFonts w:ascii="Times New Roman" w:cs="Times New Roman" w:eastAsia="Times New Roman" w:hAnsi="Times New Roman"/>
          <w:sz w:val="18"/>
          <w:szCs w:val="18"/>
          <w:color w:val="auto"/>
        </w:rPr>
      </w:pPr>
    </w:p>
    <w:p>
      <w:pPr>
        <w:ind w:left="360" w:right="380" w:firstLine="548"/>
        <w:spacing w:after="0" w:line="282" w:lineRule="auto"/>
        <w:tabs>
          <w:tab w:leader="none" w:pos="14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$.10 par value common stock of the Company and such other securities of the Company as may be substituted for Stock pursuant to Article 15.</w:t>
      </w:r>
    </w:p>
    <w:p>
      <w:pPr>
        <w:spacing w:after="0" w:line="40" w:lineRule="exact"/>
        <w:rPr>
          <w:rFonts w:ascii="Times New Roman" w:cs="Times New Roman" w:eastAsia="Times New Roman" w:hAnsi="Times New Roman"/>
          <w:sz w:val="18"/>
          <w:szCs w:val="18"/>
          <w:color w:val="auto"/>
        </w:rPr>
      </w:pPr>
    </w:p>
    <w:p>
      <w:pPr>
        <w:jc w:val="both"/>
        <w:ind w:left="360" w:right="140" w:firstLine="548"/>
        <w:spacing w:after="0" w:line="282" w:lineRule="auto"/>
        <w:tabs>
          <w:tab w:leader="none" w:pos="1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53" w:lineRule="exact"/>
        <w:rPr>
          <w:rFonts w:ascii="Times New Roman" w:cs="Times New Roman" w:eastAsia="Times New Roman" w:hAnsi="Times New Roman"/>
          <w:sz w:val="18"/>
          <w:szCs w:val="18"/>
          <w:color w:val="auto"/>
        </w:rPr>
      </w:pPr>
    </w:p>
    <w:p>
      <w:pPr>
        <w:ind w:left="360" w:right="180" w:firstLine="548"/>
        <w:spacing w:after="0" w:line="266" w:lineRule="auto"/>
        <w:tabs>
          <w:tab w:leader="none" w:pos="1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54" w:lineRule="exact"/>
        <w:rPr>
          <w:rFonts w:ascii="Times New Roman" w:cs="Times New Roman" w:eastAsia="Times New Roman" w:hAnsi="Times New Roman"/>
          <w:sz w:val="18"/>
          <w:szCs w:val="18"/>
          <w:color w:val="auto"/>
        </w:rPr>
      </w:pPr>
    </w:p>
    <w:p>
      <w:pPr>
        <w:ind w:left="1440" w:hanging="532"/>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Act” means the Securities Act of 1933, as amended from time to time.</w:t>
      </w:r>
    </w:p>
    <w:p>
      <w:pPr>
        <w:spacing w:after="0" w:line="103" w:lineRule="exact"/>
        <w:rPr>
          <w:rFonts w:ascii="Times New Roman" w:cs="Times New Roman" w:eastAsia="Times New Roman" w:hAnsi="Times New Roman"/>
          <w:sz w:val="18"/>
          <w:szCs w:val="18"/>
          <w:color w:val="auto"/>
        </w:rPr>
      </w:pPr>
    </w:p>
    <w:p>
      <w:pPr>
        <w:ind w:left="1440" w:hanging="532"/>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Act” means the Securities Exchange Act of 1934, as amended from time to time.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TERM OF PLAN</w:t>
      </w:r>
    </w:p>
    <w:p>
      <w:pPr>
        <w:spacing w:after="0" w:line="83" w:lineRule="exact"/>
        <w:rPr>
          <w:sz w:val="20"/>
          <w:szCs w:val="20"/>
          <w:color w:val="auto"/>
        </w:rPr>
      </w:pPr>
    </w:p>
    <w:p>
      <w:pPr>
        <w:ind w:right="500" w:firstLine="360"/>
        <w:spacing w:after="0" w:line="28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Plan shall be effective as of the date it is approved by both the Board and the stockholders of the Company (the “Effective Date”).</w:t>
      </w:r>
    </w:p>
    <w:p>
      <w:pPr>
        <w:spacing w:after="0" w:line="37" w:lineRule="exact"/>
        <w:rPr>
          <w:sz w:val="20"/>
          <w:szCs w:val="20"/>
          <w:color w:val="auto"/>
        </w:rPr>
      </w:pPr>
    </w:p>
    <w:p>
      <w:pPr>
        <w:ind w:left="360"/>
        <w:spacing w:after="0"/>
        <w:tabs>
          <w:tab w:leader="none" w:pos="940" w:val="left"/>
          <w:tab w:leader="none" w:pos="3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i w:val="1"/>
          <w:iCs w:val="1"/>
          <w:color w:val="auto"/>
        </w:rPr>
        <w:t>TERMINATION OF PLAN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Plan shall terminate on the tenth anniversary of the Effective Date unless earlier terminated as provided herein.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termination of the Plan on such date shall not affect the validity of any Award outstanding on the date of termination.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83"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w:t>
      </w:r>
    </w:p>
    <w:p>
      <w:pPr>
        <w:sectPr>
          <w:pgSz w:w="11900" w:h="16867" w:orient="portrait"/>
          <w:cols w:equalWidth="0" w:num="1">
            <w:col w:w="11400"/>
          </w:cols>
          <w:pgMar w:left="240" w:top="121" w:right="259" w:bottom="0" w:gutter="0" w:footer="0" w:header="0"/>
        </w:sectPr>
      </w:pPr>
    </w:p>
    <w:bookmarkStart w:id="24" w:name="page25"/>
    <w:bookmarkEnd w:id="24"/>
    <w:p>
      <w:pPr>
        <w:ind w:right="140"/>
        <w:spacing w:after="0" w:line="261" w:lineRule="auto"/>
        <w:rPr>
          <w:sz w:val="20"/>
          <w:szCs w:val="20"/>
          <w:color w:val="auto"/>
        </w:rPr>
      </w:pPr>
      <w:r>
        <w:rPr>
          <w:rFonts w:ascii="Times New Roman" w:cs="Times New Roman" w:eastAsia="Times New Roman" w:hAnsi="Times New Roman"/>
          <w:sz w:val="18"/>
          <w:szCs w:val="18"/>
          <w:color w:val="auto"/>
        </w:rPr>
        <w:t>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than in this Section 4.1) shall include the Board. To the extent any action of the Board under the Plan conflicts with actions taken by the Committee, the actions of the Board shall control.</w:t>
      </w:r>
    </w:p>
    <w:p>
      <w:pPr>
        <w:spacing w:after="0" w:line="38" w:lineRule="exact"/>
        <w:rPr>
          <w:sz w:val="20"/>
          <w:szCs w:val="20"/>
          <w:color w:val="auto"/>
        </w:rPr>
      </w:pPr>
    </w:p>
    <w:p>
      <w:pPr>
        <w:ind w:right="280" w:firstLine="36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ACTION AND INTERPRETATIONS BY THE COMMITTEE</w:t>
      </w:r>
      <w:r>
        <w:rPr>
          <w:rFonts w:ascii="Times New Roman" w:cs="Times New Roman" w:eastAsia="Times New Roman" w:hAnsi="Times New Roman"/>
          <w:sz w:val="18"/>
          <w:szCs w:val="18"/>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48" w:lineRule="exact"/>
        <w:rPr>
          <w:sz w:val="20"/>
          <w:szCs w:val="20"/>
          <w:color w:val="auto"/>
        </w:rPr>
      </w:pPr>
    </w:p>
    <w:p>
      <w:pPr>
        <w:ind w:left="360"/>
        <w:spacing w:after="0"/>
        <w:tabs>
          <w:tab w:leader="none" w:pos="940" w:val="left"/>
          <w:tab w:leader="none" w:pos="34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i w:val="1"/>
          <w:iCs w:val="1"/>
          <w:color w:val="auto"/>
        </w:rPr>
        <w:t>AUTHORITY OF COMMITTEE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Except as provided below, the Committee has the exclusive power, authority and discretion to:</w:t>
      </w:r>
    </w:p>
    <w:p>
      <w:pPr>
        <w:spacing w:after="0" w:line="106" w:lineRule="exact"/>
        <w:rPr>
          <w:sz w:val="20"/>
          <w:szCs w:val="20"/>
          <w:color w:val="auto"/>
        </w:rPr>
      </w:pPr>
    </w:p>
    <w:p>
      <w:pPr>
        <w:ind w:left="1460" w:hanging="552"/>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w:t>
      </w:r>
    </w:p>
    <w:p>
      <w:pPr>
        <w:spacing w:after="0" w:line="103"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w:t>
      </w:r>
    </w:p>
    <w:p>
      <w:pPr>
        <w:spacing w:after="0" w:line="90" w:lineRule="exact"/>
        <w:rPr>
          <w:rFonts w:ascii="Times New Roman" w:cs="Times New Roman" w:eastAsia="Times New Roman" w:hAnsi="Times New Roman"/>
          <w:sz w:val="18"/>
          <w:szCs w:val="18"/>
          <w:color w:val="auto"/>
        </w:rPr>
      </w:pPr>
    </w:p>
    <w:p>
      <w:pPr>
        <w:ind w:left="1460" w:hanging="552"/>
        <w:spacing w:after="0"/>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103"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or dollar amount to which an Award will relate;</w:t>
      </w:r>
    </w:p>
    <w:p>
      <w:pPr>
        <w:spacing w:after="0" w:line="103" w:lineRule="exact"/>
        <w:rPr>
          <w:rFonts w:ascii="Times New Roman" w:cs="Times New Roman" w:eastAsia="Times New Roman" w:hAnsi="Times New Roman"/>
          <w:sz w:val="18"/>
          <w:szCs w:val="18"/>
          <w:color w:val="auto"/>
        </w:rPr>
      </w:pPr>
    </w:p>
    <w:p>
      <w:pPr>
        <w:ind w:left="360" w:right="180" w:firstLine="548"/>
        <w:spacing w:after="0" w:line="266" w:lineRule="auto"/>
        <w:tabs>
          <w:tab w:leader="none" w:pos="1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41" w:lineRule="exact"/>
        <w:rPr>
          <w:rFonts w:ascii="Times New Roman" w:cs="Times New Roman" w:eastAsia="Times New Roman" w:hAnsi="Times New Roman"/>
          <w:sz w:val="18"/>
          <w:szCs w:val="18"/>
          <w:color w:val="auto"/>
        </w:rPr>
      </w:pPr>
    </w:p>
    <w:p>
      <w:pPr>
        <w:ind w:left="360" w:right="20" w:firstLine="548"/>
        <w:spacing w:after="0" w:line="282" w:lineRule="auto"/>
        <w:tabs>
          <w:tab w:leader="none" w:pos="14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40" w:lineRule="exact"/>
        <w:rPr>
          <w:rFonts w:ascii="Times New Roman" w:cs="Times New Roman" w:eastAsia="Times New Roman" w:hAnsi="Times New Roman"/>
          <w:sz w:val="18"/>
          <w:szCs w:val="18"/>
          <w:color w:val="auto"/>
        </w:rPr>
      </w:pPr>
    </w:p>
    <w:p>
      <w:pPr>
        <w:ind w:left="360" w:right="80" w:firstLine="548"/>
        <w:spacing w:after="0" w:line="282" w:lineRule="auto"/>
        <w:tabs>
          <w:tab w:leader="none" w:pos="14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40"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Certificate, which need not be identical for each Participant;</w:t>
      </w:r>
    </w:p>
    <w:p>
      <w:pPr>
        <w:spacing w:after="0" w:line="90"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103"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regulations, guidelines or procedures as it may deem necessary or advisable to administer the Plan;</w:t>
      </w:r>
    </w:p>
    <w:p>
      <w:pPr>
        <w:spacing w:after="0" w:line="103" w:lineRule="exact"/>
        <w:rPr>
          <w:rFonts w:ascii="Times New Roman" w:cs="Times New Roman" w:eastAsia="Times New Roman" w:hAnsi="Times New Roman"/>
          <w:sz w:val="18"/>
          <w:szCs w:val="18"/>
          <w:color w:val="auto"/>
        </w:rPr>
      </w:pPr>
    </w:p>
    <w:p>
      <w:pPr>
        <w:ind w:left="360" w:right="220" w:firstLine="548"/>
        <w:spacing w:after="0" w:line="282" w:lineRule="auto"/>
        <w:tabs>
          <w:tab w:leader="none" w:pos="14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under the Plan or as the Committee deems necessary or advisable to administer the Plan;</w:t>
      </w:r>
    </w:p>
    <w:p>
      <w:pPr>
        <w:spacing w:after="0" w:line="26"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Plan or any Award Certificate as provided herein; and</w:t>
      </w:r>
    </w:p>
    <w:p>
      <w:pPr>
        <w:spacing w:after="0" w:line="103" w:lineRule="exact"/>
        <w:rPr>
          <w:rFonts w:ascii="Times New Roman" w:cs="Times New Roman" w:eastAsia="Times New Roman" w:hAnsi="Times New Roman"/>
          <w:sz w:val="18"/>
          <w:szCs w:val="18"/>
          <w:color w:val="auto"/>
        </w:rPr>
      </w:pPr>
    </w:p>
    <w:p>
      <w:pPr>
        <w:ind w:left="360" w:right="20" w:firstLine="548"/>
        <w:spacing w:after="0" w:line="266" w:lineRule="auto"/>
        <w:tabs>
          <w:tab w:leader="none" w:pos="14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55"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75" w:lineRule="exact"/>
        <w:rPr>
          <w:sz w:val="20"/>
          <w:szCs w:val="20"/>
          <w:color w:val="auto"/>
        </w:rPr>
      </w:pPr>
    </w:p>
    <w:p>
      <w:pPr>
        <w:ind w:right="180" w:firstLine="360"/>
        <w:spacing w:after="0" w:line="28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AWARD CERTIFICATES</w:t>
      </w:r>
      <w:r>
        <w:rPr>
          <w:rFonts w:ascii="Times New Roman" w:cs="Times New Roman" w:eastAsia="Times New Roman" w:hAnsi="Times New Roman"/>
          <w:sz w:val="18"/>
          <w:szCs w:val="18"/>
          <w:color w:val="auto"/>
        </w:rPr>
        <w:t>. Each Award shall be evidenced by an Award Certificate. Each Award Certificate shall include such provisions, not inconsistent with the Plan, as may be specified by the Committee.</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83"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Subject to adjustment as provided in Sections 5.2 and 15.1, the aggregate number of Shares reserved and available for issuance pursuant to Awards granted under the Plan shall be 56,000,000;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72" w:lineRule="exact"/>
        <w:rPr>
          <w:sz w:val="20"/>
          <w:szCs w:val="20"/>
          <w:color w:val="auto"/>
        </w:rPr>
      </w:pPr>
    </w:p>
    <w:p>
      <w:pPr>
        <w:ind w:left="360"/>
        <w:spacing w:after="0"/>
        <w:tabs>
          <w:tab w:leader="none" w:pos="9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i w:val="1"/>
          <w:iCs w:val="1"/>
          <w:color w:val="auto"/>
        </w:rPr>
        <w:t>SHARE COUNTING</w:t>
      </w:r>
      <w:r>
        <w:rPr>
          <w:rFonts w:ascii="Times New Roman" w:cs="Times New Roman" w:eastAsia="Times New Roman" w:hAnsi="Times New Roman"/>
          <w:sz w:val="17"/>
          <w:szCs w:val="17"/>
          <w:color w:val="auto"/>
        </w:rPr>
        <w:t>.</w:t>
      </w:r>
    </w:p>
    <w:p>
      <w:pPr>
        <w:sectPr>
          <w:pgSz w:w="11900" w:h="16838" w:orient="portrait"/>
          <w:cols w:equalWidth="0" w:num="1">
            <w:col w:w="11360"/>
          </w:cols>
          <w:pgMar w:left="240" w:top="121" w:right="299" w:bottom="0" w:gutter="0" w:footer="0" w:header="0"/>
        </w:sectPr>
      </w:pPr>
    </w:p>
    <w:bookmarkStart w:id="25" w:name="page26"/>
    <w:bookmarkEnd w:id="25"/>
    <w:p>
      <w:pPr>
        <w:ind w:left="360" w:right="480" w:firstLine="548"/>
        <w:spacing w:after="0" w:line="282" w:lineRule="auto"/>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is canceled, terminates, expires, is forfeited or lapses for any reason, any unissued Shares subject to the Award will again be available for issuance pursuant to Awards granted under the Plan.</w:t>
      </w:r>
    </w:p>
    <w:p>
      <w:pPr>
        <w:spacing w:after="0" w:line="26"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settled in cash will again be available for issuance pursuant to Awards granted under the Plan.</w:t>
      </w:r>
    </w:p>
    <w:p>
      <w:pPr>
        <w:spacing w:after="0" w:line="90" w:lineRule="exact"/>
        <w:rPr>
          <w:rFonts w:ascii="Times New Roman" w:cs="Times New Roman" w:eastAsia="Times New Roman" w:hAnsi="Times New Roman"/>
          <w:sz w:val="18"/>
          <w:szCs w:val="18"/>
          <w:color w:val="auto"/>
        </w:rPr>
      </w:pPr>
    </w:p>
    <w:p>
      <w:pPr>
        <w:ind w:left="360" w:right="60" w:firstLine="548"/>
        <w:spacing w:after="0" w:line="261" w:lineRule="auto"/>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44" w:lineRule="exact"/>
        <w:rPr>
          <w:rFonts w:ascii="Times New Roman" w:cs="Times New Roman" w:eastAsia="Times New Roman" w:hAnsi="Times New Roman"/>
          <w:sz w:val="18"/>
          <w:szCs w:val="18"/>
          <w:color w:val="auto"/>
        </w:rPr>
      </w:pPr>
    </w:p>
    <w:p>
      <w:pPr>
        <w:ind w:left="360" w:right="180" w:firstLine="548"/>
        <w:spacing w:after="0" w:line="261" w:lineRule="auto"/>
        <w:tabs>
          <w:tab w:leader="none" w:pos="14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520" w:firstLine="360"/>
        <w:spacing w:after="0" w:line="28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STOCK DISTRIBUTED</w:t>
      </w:r>
      <w:r>
        <w:rPr>
          <w:rFonts w:ascii="Times New Roman" w:cs="Times New Roman" w:eastAsia="Times New Roman" w:hAnsi="Times New Roman"/>
          <w:sz w:val="18"/>
          <w:szCs w:val="18"/>
          <w:color w:val="auto"/>
        </w:rPr>
        <w:t>. Any Stock distributed pursuant to an Award may consist, in whole or in part, of authorized and unissued Stock, treasury Stock or Stock purchased on the open market.</w:t>
      </w:r>
    </w:p>
    <w:p>
      <w:pPr>
        <w:spacing w:after="0" w:line="50"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LIMITATION ON AWARDS</w:t>
      </w:r>
      <w:r>
        <w:rPr>
          <w:rFonts w:ascii="Times New Roman" w:cs="Times New Roman" w:eastAsia="Times New Roman" w:hAnsi="Times New Roman"/>
          <w:sz w:val="18"/>
          <w:szCs w:val="18"/>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97" w:lineRule="exact"/>
        <w:rPr>
          <w:sz w:val="20"/>
          <w:szCs w:val="20"/>
          <w:color w:val="auto"/>
        </w:rPr>
      </w:pPr>
    </w:p>
    <w:p>
      <w:pPr>
        <w:ind w:right="560" w:firstLine="360"/>
        <w:spacing w:after="0" w:line="28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97" w:lineRule="exact"/>
        <w:rPr>
          <w:sz w:val="20"/>
          <w:szCs w:val="20"/>
          <w:color w:val="auto"/>
        </w:rPr>
      </w:pPr>
    </w:p>
    <w:p>
      <w:pPr>
        <w:ind w:left="360"/>
        <w:spacing w:after="0"/>
        <w:tabs>
          <w:tab w:leader="none" w:pos="940" w:val="left"/>
          <w:tab w:leader="none" w:pos="19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Committee is authorized to grant Options to Participants on the following terms and conditions:</w:t>
      </w:r>
    </w:p>
    <w:p>
      <w:pPr>
        <w:spacing w:after="0" w:line="117" w:lineRule="exact"/>
        <w:rPr>
          <w:sz w:val="20"/>
          <w:szCs w:val="20"/>
          <w:color w:val="auto"/>
        </w:rPr>
      </w:pPr>
    </w:p>
    <w:p>
      <w:pPr>
        <w:ind w:left="360" w:right="380" w:firstLine="548"/>
        <w:spacing w:after="0" w:line="284"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Share under an Option shall be determined by the Committee; provided that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any Option shall not be less than the Fair Market Value as of the Grant Date.</w:t>
      </w:r>
    </w:p>
    <w:p>
      <w:pPr>
        <w:spacing w:after="0" w:line="50" w:lineRule="exact"/>
        <w:rPr>
          <w:rFonts w:ascii="Times New Roman" w:cs="Times New Roman" w:eastAsia="Times New Roman" w:hAnsi="Times New Roman"/>
          <w:sz w:val="18"/>
          <w:szCs w:val="18"/>
          <w:color w:val="auto"/>
        </w:rPr>
      </w:pPr>
    </w:p>
    <w:p>
      <w:pPr>
        <w:ind w:left="360" w:right="100" w:firstLine="548"/>
        <w:spacing w:after="0" w:line="259" w:lineRule="auto"/>
        <w:tabs>
          <w:tab w:leader="none" w:pos="14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AND CONDITIONS OF EXERCISE</w:t>
      </w:r>
      <w:r>
        <w:rPr>
          <w:rFonts w:ascii="Times New Roman" w:cs="Times New Roman" w:eastAsia="Times New Roman" w:hAnsi="Times New Roman"/>
          <w:sz w:val="18"/>
          <w:szCs w:val="18"/>
          <w:color w:val="auto"/>
        </w:rPr>
        <w:t>. The Committee shall determine the time or times at which an Option may be exercised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71" w:lineRule="exact"/>
        <w:rPr>
          <w:rFonts w:ascii="Times New Roman" w:cs="Times New Roman" w:eastAsia="Times New Roman" w:hAnsi="Times New Roman"/>
          <w:sz w:val="18"/>
          <w:szCs w:val="18"/>
          <w:color w:val="auto"/>
        </w:rPr>
      </w:pPr>
    </w:p>
    <w:p>
      <w:pPr>
        <w:ind w:left="360" w:right="160" w:firstLine="548"/>
        <w:spacing w:after="0" w:line="259"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The Committee shall determine the methods by which the exercise price of an Option may be paid, the form of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71"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TERM</w:t>
      </w:r>
      <w:r>
        <w:rPr>
          <w:rFonts w:ascii="Times New Roman" w:cs="Times New Roman" w:eastAsia="Times New Roman" w:hAnsi="Times New Roman"/>
          <w:sz w:val="18"/>
          <w:szCs w:val="18"/>
          <w:color w:val="auto"/>
        </w:rPr>
        <w:t>.  In no event may any Option be exercisable for more than ten years from the Grant Date.</w:t>
      </w:r>
    </w:p>
    <w:p>
      <w:pPr>
        <w:spacing w:after="0" w:line="117" w:lineRule="exact"/>
        <w:rPr>
          <w:rFonts w:ascii="Times New Roman" w:cs="Times New Roman" w:eastAsia="Times New Roman" w:hAnsi="Times New Roman"/>
          <w:sz w:val="18"/>
          <w:szCs w:val="18"/>
          <w:color w:val="auto"/>
        </w:rPr>
      </w:pPr>
    </w:p>
    <w:p>
      <w:pPr>
        <w:jc w:val="both"/>
        <w:ind w:left="360" w:right="200" w:firstLine="548"/>
        <w:spacing w:after="0" w:line="261" w:lineRule="auto"/>
        <w:tabs>
          <w:tab w:leader="none" w:pos="1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SUSPENSION. </w:t>
      </w:r>
      <w:r>
        <w:rPr>
          <w:rFonts w:ascii="Times New Roman" w:cs="Times New Roman" w:eastAsia="Times New Roman" w:hAnsi="Times New Roman"/>
          <w:sz w:val="18"/>
          <w:szCs w:val="18"/>
          <w:color w:val="auto"/>
        </w:rPr>
        <w:t>Any Participant who is also a participant in the Retirement at Micron (“RAM”) Section 401(k) Plan and who requests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80" w:firstLine="360"/>
        <w:spacing w:after="0" w:line="28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The terms of any Incentive Stock Options granted under the Plan must comply with the following additional rules:</w:t>
      </w:r>
    </w:p>
    <w:p>
      <w:pPr>
        <w:spacing w:after="0" w:line="50" w:lineRule="exact"/>
        <w:rPr>
          <w:sz w:val="20"/>
          <w:szCs w:val="20"/>
          <w:color w:val="auto"/>
        </w:rPr>
      </w:pPr>
    </w:p>
    <w:p>
      <w:pPr>
        <w:ind w:left="1460" w:hanging="552"/>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of an Incentive Stock Option shall not be less than the Fair Market Value as of the Grant Date.</w:t>
      </w:r>
    </w:p>
    <w:p>
      <w:pPr>
        <w:spacing w:after="0" w:line="117" w:lineRule="exact"/>
        <w:rPr>
          <w:rFonts w:ascii="Times New Roman" w:cs="Times New Roman" w:eastAsia="Times New Roman" w:hAnsi="Times New Roman"/>
          <w:sz w:val="18"/>
          <w:szCs w:val="18"/>
          <w:color w:val="auto"/>
        </w:rPr>
      </w:pPr>
    </w:p>
    <w:p>
      <w:pPr>
        <w:ind w:left="360" w:right="40" w:firstLine="548"/>
        <w:spacing w:after="0" w:line="261" w:lineRule="auto"/>
        <w:tabs>
          <w:tab w:leader="none" w:pos="14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LAPSE OF OPTION</w:t>
      </w:r>
      <w:r>
        <w:rPr>
          <w:rFonts w:ascii="Times New Roman" w:cs="Times New Roman" w:eastAsia="Times New Roman" w:hAnsi="Times New Roman"/>
          <w:sz w:val="18"/>
          <w:szCs w:val="18"/>
          <w:color w:val="auto"/>
        </w:rPr>
        <w:t>. Subject to any earlier termination provision contained in the Award Certificate, an Incentive Stock Option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73" w:lineRule="exact"/>
        <w:rPr>
          <w:rFonts w:ascii="Times New Roman" w:cs="Times New Roman" w:eastAsia="Times New Roman" w:hAnsi="Times New Roman"/>
          <w:sz w:val="18"/>
          <w:szCs w:val="18"/>
          <w:color w:val="auto"/>
        </w:rPr>
      </w:pPr>
    </w:p>
    <w:p>
      <w:pPr>
        <w:ind w:left="2020" w:hanging="572"/>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set forth in the Award Certificate.</w:t>
      </w:r>
    </w:p>
    <w:p>
      <w:pPr>
        <w:spacing w:after="0" w:line="117" w:lineRule="exact"/>
        <w:rPr>
          <w:rFonts w:ascii="Times New Roman" w:cs="Times New Roman" w:eastAsia="Times New Roman" w:hAnsi="Times New Roman"/>
          <w:sz w:val="18"/>
          <w:szCs w:val="18"/>
          <w:color w:val="auto"/>
        </w:rPr>
      </w:pPr>
    </w:p>
    <w:p>
      <w:pPr>
        <w:ind w:left="2020" w:hanging="572"/>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anniversary of the Grant Date.</w:t>
      </w:r>
    </w:p>
    <w:p>
      <w:pPr>
        <w:spacing w:after="0" w:line="117" w:lineRule="exact"/>
        <w:rPr>
          <w:rFonts w:ascii="Times New Roman" w:cs="Times New Roman" w:eastAsia="Times New Roman" w:hAnsi="Times New Roman"/>
          <w:sz w:val="18"/>
          <w:szCs w:val="18"/>
          <w:color w:val="auto"/>
        </w:rPr>
      </w:pPr>
    </w:p>
    <w:p>
      <w:pPr>
        <w:ind w:left="900" w:right="180" w:firstLine="548"/>
        <w:spacing w:after="0" w:line="282" w:lineRule="auto"/>
        <w:tabs>
          <w:tab w:leader="none" w:pos="20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after termination of the Participant’s Continuous Status as a Participant for any reason other than the Participant’s Disability or death.</w:t>
      </w:r>
    </w:p>
    <w:p>
      <w:pPr>
        <w:spacing w:after="0" w:line="53" w:lineRule="exact"/>
        <w:rPr>
          <w:rFonts w:ascii="Times New Roman" w:cs="Times New Roman" w:eastAsia="Times New Roman" w:hAnsi="Times New Roman"/>
          <w:sz w:val="18"/>
          <w:szCs w:val="18"/>
          <w:color w:val="auto"/>
        </w:rPr>
      </w:pPr>
    </w:p>
    <w:p>
      <w:pPr>
        <w:ind w:left="2020" w:hanging="572"/>
        <w:spacing w:after="0"/>
        <w:tabs>
          <w:tab w:leader="none" w:pos="2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Participant’s Continuous Status as a Participant by reason of the Participant’s Disability.</w:t>
      </w:r>
    </w:p>
    <w:p>
      <w:pPr>
        <w:sectPr>
          <w:pgSz w:w="11900" w:h="16838" w:orient="portrait"/>
          <w:cols w:equalWidth="0" w:num="1">
            <w:col w:w="11400"/>
          </w:cols>
          <w:pgMar w:left="240" w:top="121" w:right="259" w:bottom="0" w:gutter="0" w:footer="0" w:header="0"/>
        </w:sectPr>
      </w:pPr>
    </w:p>
    <w:bookmarkStart w:id="26" w:name="page27"/>
    <w:bookmarkEnd w:id="26"/>
    <w:p>
      <w:pPr>
        <w:ind w:left="900" w:right="160" w:firstLine="548"/>
        <w:spacing w:after="0" w:line="282" w:lineRule="auto"/>
        <w:tabs>
          <w:tab w:leader="none" w:pos="20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54" w:lineRule="exact"/>
        <w:rPr>
          <w:sz w:val="20"/>
          <w:szCs w:val="20"/>
          <w:color w:val="auto"/>
        </w:rPr>
      </w:pPr>
    </w:p>
    <w:p>
      <w:pPr>
        <w:ind w:left="360" w:right="200" w:firstLine="540"/>
        <w:spacing w:after="0" w:line="261" w:lineRule="auto"/>
        <w:rPr>
          <w:sz w:val="20"/>
          <w:szCs w:val="20"/>
          <w:color w:val="auto"/>
        </w:rPr>
      </w:pPr>
      <w:r>
        <w:rPr>
          <w:rFonts w:ascii="Times New Roman" w:cs="Times New Roman" w:eastAsia="Times New Roman" w:hAnsi="Times New Roman"/>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70" w:lineRule="exact"/>
        <w:rPr>
          <w:sz w:val="20"/>
          <w:szCs w:val="20"/>
          <w:color w:val="auto"/>
        </w:rPr>
      </w:pPr>
    </w:p>
    <w:p>
      <w:pPr>
        <w:ind w:left="360" w:right="120" w:firstLine="548"/>
        <w:spacing w:after="0" w:line="284"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DOLLAR LIMITATION</w:t>
      </w:r>
      <w:r>
        <w:rPr>
          <w:rFonts w:ascii="Times New Roman" w:cs="Times New Roman" w:eastAsia="Times New Roman" w:hAnsi="Times New Roman"/>
          <w:sz w:val="18"/>
          <w:szCs w:val="18"/>
          <w:color w:val="auto"/>
        </w:rPr>
        <w:t>. The aggregate Fair Market Value (determined as of the Grant Date) of all Shares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Incentive Stock Options are first exercisable by a Participant in any calendar year may not exceed $100,000.00.</w:t>
      </w:r>
    </w:p>
    <w:p>
      <w:pPr>
        <w:spacing w:after="0" w:line="50" w:lineRule="exact"/>
        <w:rPr>
          <w:rFonts w:ascii="Times New Roman" w:cs="Times New Roman" w:eastAsia="Times New Roman" w:hAnsi="Times New Roman"/>
          <w:sz w:val="18"/>
          <w:szCs w:val="18"/>
          <w:color w:val="auto"/>
        </w:rPr>
      </w:pPr>
    </w:p>
    <w:p>
      <w:pPr>
        <w:jc w:val="both"/>
        <w:ind w:left="360" w:right="40" w:firstLine="548"/>
        <w:spacing w:after="0" w:line="261" w:lineRule="auto"/>
        <w:tabs>
          <w:tab w:leader="none" w:pos="14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 PERCENT OWNERS</w:t>
      </w:r>
      <w:r>
        <w:rPr>
          <w:rFonts w:ascii="Times New Roman" w:cs="Times New Roman" w:eastAsia="Times New Roman" w:hAnsi="Times New Roman"/>
          <w:sz w:val="18"/>
          <w:szCs w:val="18"/>
          <w:color w:val="auto"/>
        </w:rPr>
        <w:t>. No Incentive Stock Option shall be granted to any individual who, at the Grant Date, owns stock possessing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71" w:lineRule="exact"/>
        <w:rPr>
          <w:rFonts w:ascii="Times New Roman" w:cs="Times New Roman" w:eastAsia="Times New Roman" w:hAnsi="Times New Roman"/>
          <w:sz w:val="18"/>
          <w:szCs w:val="18"/>
          <w:color w:val="auto"/>
        </w:rPr>
      </w:pPr>
    </w:p>
    <w:p>
      <w:pPr>
        <w:ind w:left="360" w:right="20" w:firstLine="548"/>
        <w:spacing w:after="0" w:line="284" w:lineRule="auto"/>
        <w:tabs>
          <w:tab w:leader="none" w:pos="1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EXPIRATION OF AUTHORITY TO GRANT INCENTIVE STOCK OPTIONS</w:t>
      </w:r>
      <w:r>
        <w:rPr>
          <w:rFonts w:ascii="Times New Roman" w:cs="Times New Roman" w:eastAsia="Times New Roman" w:hAnsi="Times New Roman"/>
          <w:sz w:val="18"/>
          <w:szCs w:val="18"/>
          <w:color w:val="auto"/>
        </w:rPr>
        <w:t>. No Incentive Stock Option may be granted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after the day immediately prior to the tenth anniversary of the date the Plan was adopted by the Board, or the termination of the Plan, if earlier.</w:t>
      </w:r>
    </w:p>
    <w:p>
      <w:pPr>
        <w:spacing w:after="0" w:line="50" w:lineRule="exact"/>
        <w:rPr>
          <w:rFonts w:ascii="Times New Roman" w:cs="Times New Roman" w:eastAsia="Times New Roman" w:hAnsi="Times New Roman"/>
          <w:sz w:val="18"/>
          <w:szCs w:val="18"/>
          <w:color w:val="auto"/>
        </w:rPr>
      </w:pPr>
    </w:p>
    <w:p>
      <w:pPr>
        <w:ind w:left="360" w:right="260" w:firstLine="548"/>
        <w:spacing w:after="0" w:line="284" w:lineRule="auto"/>
        <w:tabs>
          <w:tab w:leader="none" w:pos="14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EXERCISE</w:t>
      </w:r>
      <w:r>
        <w:rPr>
          <w:rFonts w:ascii="Times New Roman" w:cs="Times New Roman" w:eastAsia="Times New Roman" w:hAnsi="Times New Roman"/>
          <w:sz w:val="18"/>
          <w:szCs w:val="18"/>
          <w:color w:val="auto"/>
        </w:rPr>
        <w:t>. During a Participant’s lifetime, an Incentive Stock Option may be exercised only by the Participant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the Participant’s Disability, by the Participant’s guardian or legal representative.</w:t>
      </w:r>
    </w:p>
    <w:p>
      <w:pPr>
        <w:spacing w:after="0" w:line="50" w:lineRule="exact"/>
        <w:rPr>
          <w:rFonts w:ascii="Times New Roman" w:cs="Times New Roman" w:eastAsia="Times New Roman" w:hAnsi="Times New Roman"/>
          <w:sz w:val="18"/>
          <w:szCs w:val="18"/>
          <w:color w:val="auto"/>
        </w:rPr>
      </w:pPr>
    </w:p>
    <w:p>
      <w:pPr>
        <w:ind w:left="360" w:right="80" w:firstLine="548"/>
        <w:spacing w:after="0" w:line="284" w:lineRule="auto"/>
        <w:tabs>
          <w:tab w:leader="none" w:pos="14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ELIGIBLE GRANTEES</w:t>
      </w:r>
      <w:r>
        <w:rPr>
          <w:rFonts w:ascii="Times New Roman" w:cs="Times New Roman" w:eastAsia="Times New Roman" w:hAnsi="Times New Roman"/>
          <w:sz w:val="18"/>
          <w:szCs w:val="18"/>
          <w:color w:val="auto"/>
        </w:rPr>
        <w:t>. The Committee may not grant an Incentive Stock Option to a person who is not at the Grant Date an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a Parent or Subsidiary.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97" w:lineRule="exact"/>
        <w:rPr>
          <w:sz w:val="20"/>
          <w:szCs w:val="20"/>
          <w:color w:val="auto"/>
        </w:rPr>
      </w:pPr>
    </w:p>
    <w:p>
      <w:pPr>
        <w:ind w:right="660" w:firstLine="360"/>
        <w:spacing w:after="0" w:line="28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 OF STOCK APPRECIATION RIGHTS</w:t>
      </w:r>
      <w:r>
        <w:rPr>
          <w:rFonts w:ascii="Times New Roman" w:cs="Times New Roman" w:eastAsia="Times New Roman" w:hAnsi="Times New Roman"/>
          <w:sz w:val="18"/>
          <w:szCs w:val="18"/>
          <w:color w:val="auto"/>
        </w:rPr>
        <w:t>. The Committee is authorized to grant Stock Appreciation Rights to Participants on the following terms and conditions:</w:t>
      </w:r>
    </w:p>
    <w:p>
      <w:pPr>
        <w:spacing w:after="0" w:line="50" w:lineRule="exact"/>
        <w:rPr>
          <w:sz w:val="20"/>
          <w:szCs w:val="20"/>
          <w:color w:val="auto"/>
        </w:rPr>
      </w:pPr>
    </w:p>
    <w:p>
      <w:pPr>
        <w:ind w:left="360" w:firstLine="548"/>
        <w:spacing w:after="0" w:line="284" w:lineRule="auto"/>
        <w:tabs>
          <w:tab w:leader="none" w:pos="1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PAYMENT</w:t>
      </w:r>
      <w:r>
        <w:rPr>
          <w:rFonts w:ascii="Times New Roman" w:cs="Times New Roman" w:eastAsia="Times New Roman" w:hAnsi="Times New Roman"/>
          <w:sz w:val="18"/>
          <w:szCs w:val="18"/>
          <w:color w:val="auto"/>
        </w:rPr>
        <w:t>. Upon the exercise of a Stock Appreciation Right, the Participant to whom it is granted has the right to receive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if any, of:</w:t>
      </w:r>
    </w:p>
    <w:p>
      <w:pPr>
        <w:spacing w:after="0" w:line="52" w:lineRule="exact"/>
        <w:rPr>
          <w:rFonts w:ascii="Times New Roman" w:cs="Times New Roman" w:eastAsia="Times New Roman" w:hAnsi="Times New Roman"/>
          <w:sz w:val="18"/>
          <w:szCs w:val="18"/>
          <w:color w:val="auto"/>
        </w:rPr>
      </w:pPr>
    </w:p>
    <w:p>
      <w:pPr>
        <w:ind w:left="2020" w:hanging="572"/>
        <w:spacing w:after="0"/>
        <w:tabs>
          <w:tab w:leader="none" w:pos="2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one Share on the date of exercise; over</w:t>
      </w:r>
    </w:p>
    <w:p>
      <w:pPr>
        <w:spacing w:after="0" w:line="117" w:lineRule="exact"/>
        <w:rPr>
          <w:rFonts w:ascii="Times New Roman" w:cs="Times New Roman" w:eastAsia="Times New Roman" w:hAnsi="Times New Roman"/>
          <w:sz w:val="18"/>
          <w:szCs w:val="18"/>
          <w:color w:val="auto"/>
        </w:rPr>
      </w:pPr>
    </w:p>
    <w:p>
      <w:pPr>
        <w:ind w:left="900" w:right="380" w:firstLine="548"/>
        <w:spacing w:after="0" w:line="282" w:lineRule="auto"/>
        <w:tabs>
          <w:tab w:leader="none" w:pos="20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price of the Stock Appreciation Right as determined by the Committee, which shall not be less than the Fair Market Value of one Share on the Grant Date.</w:t>
      </w:r>
    </w:p>
    <w:p>
      <w:pPr>
        <w:spacing w:after="0" w:line="51" w:lineRule="exact"/>
        <w:rPr>
          <w:rFonts w:ascii="Times New Roman" w:cs="Times New Roman" w:eastAsia="Times New Roman" w:hAnsi="Times New Roman"/>
          <w:sz w:val="18"/>
          <w:szCs w:val="18"/>
          <w:color w:val="auto"/>
        </w:rPr>
      </w:pPr>
    </w:p>
    <w:p>
      <w:pPr>
        <w:ind w:left="360" w:right="120" w:firstLine="548"/>
        <w:spacing w:after="0" w:line="267" w:lineRule="auto"/>
        <w:tabs>
          <w:tab w:leader="none" w:pos="14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TERMS</w:t>
      </w:r>
      <w:r>
        <w:rPr>
          <w:rFonts w:ascii="Times New Roman" w:cs="Times New Roman" w:eastAsia="Times New Roman" w:hAnsi="Times New Roman"/>
          <w:sz w:val="18"/>
          <w:szCs w:val="18"/>
          <w:color w:val="auto"/>
        </w:rPr>
        <w:t>. All awards of Stock Appreciation Rights shall be evidenced by an Award Certificate. The terms, methods of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97"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GRANT OF PERFORMANCE SHARES</w:t>
      </w:r>
      <w:r>
        <w:rPr>
          <w:rFonts w:ascii="Times New Roman" w:cs="Times New Roman" w:eastAsia="Times New Roman" w:hAnsi="Times New Roman"/>
          <w:sz w:val="18"/>
          <w:szCs w:val="18"/>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72"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3" w:lineRule="exact"/>
        <w:rPr>
          <w:sz w:val="20"/>
          <w:szCs w:val="20"/>
          <w:color w:val="auto"/>
        </w:rPr>
      </w:pPr>
    </w:p>
    <w:p>
      <w:pPr>
        <w:ind w:right="80" w:firstLine="8"/>
        <w:spacing w:after="0" w:line="261"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70"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i w:val="1"/>
          <w:iCs w:val="1"/>
          <w:color w:val="auto"/>
        </w:rPr>
        <w:t>RIGHT TO PAYMENT</w:t>
      </w:r>
      <w:r>
        <w:rPr>
          <w:rFonts w:ascii="Times New Roman" w:cs="Times New Roman" w:eastAsia="Times New Roman" w:hAnsi="Times New Roman"/>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firstLine="360"/>
        <w:spacing w:after="0" w:line="284"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i w:val="1"/>
          <w:iCs w:val="1"/>
          <w:color w:val="auto"/>
        </w:rPr>
        <w:t>OTHER TERMS</w:t>
      </w:r>
      <w:r>
        <w:rPr>
          <w:rFonts w:ascii="Times New Roman" w:cs="Times New Roman" w:eastAsia="Times New Roman" w:hAnsi="Times New Roman"/>
          <w:sz w:val="18"/>
          <w:szCs w:val="18"/>
          <w:color w:val="auto"/>
        </w:rPr>
        <w:t>. Performance Shares may be payable in cash, Stock, or other property, and have such other terms and conditions as determined by the Committee and reflected in the Award Certificate.</w:t>
      </w:r>
    </w:p>
    <w:p>
      <w:pPr>
        <w:sectPr>
          <w:pgSz w:w="11900" w:h="16838" w:orient="portrait"/>
          <w:cols w:equalWidth="0" w:num="1">
            <w:col w:w="11420"/>
          </w:cols>
          <w:pgMar w:left="240" w:top="121" w:right="239" w:bottom="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 AWARDS</w:t>
      </w:r>
    </w:p>
    <w:p>
      <w:pPr>
        <w:spacing w:after="0" w:line="97"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GRANT OF RESTRICTED STOCK AND RESTRICTED STOCK UNITS</w:t>
      </w:r>
      <w:r>
        <w:rPr>
          <w:rFonts w:ascii="Times New Roman" w:cs="Times New Roman" w:eastAsia="Times New Roman" w:hAnsi="Times New Roman"/>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72"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ISSUANCE AND RESTRICTIONS</w:t>
      </w:r>
      <w:r>
        <w:rPr>
          <w:rFonts w:ascii="Times New Roman" w:cs="Times New Roman" w:eastAsia="Times New Roman" w:hAnsi="Times New Roman"/>
          <w:sz w:val="18"/>
          <w:szCs w:val="18"/>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88" w:lineRule="exact"/>
        <w:rPr>
          <w:sz w:val="20"/>
          <w:szCs w:val="20"/>
          <w:color w:val="auto"/>
        </w:rPr>
      </w:pPr>
    </w:p>
    <w:p>
      <w:pPr>
        <w:ind w:right="280" w:firstLine="360"/>
        <w:spacing w:after="0" w:line="25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FORFEITURE</w:t>
      </w:r>
      <w:r>
        <w:rPr>
          <w:rFonts w:ascii="Times New Roman" w:cs="Times New Roman" w:eastAsia="Times New Roman" w:hAnsi="Times New Roman"/>
          <w:sz w:val="18"/>
          <w:szCs w:val="18"/>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75" w:lineRule="exact"/>
        <w:rPr>
          <w:sz w:val="20"/>
          <w:szCs w:val="20"/>
          <w:color w:val="auto"/>
        </w:rPr>
      </w:pPr>
    </w:p>
    <w:p>
      <w:pPr>
        <w:ind w:right="120" w:firstLine="360"/>
        <w:spacing w:after="0" w:line="26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i w:val="1"/>
          <w:iCs w:val="1"/>
          <w:color w:val="auto"/>
        </w:rPr>
        <w:t>DELIVERY OF RESTRICTED STOCK</w:t>
      </w:r>
      <w:r>
        <w:rPr>
          <w:rFonts w:ascii="Times New Roman" w:cs="Times New Roman" w:eastAsia="Times New Roman" w:hAnsi="Times New Roman"/>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DEFERRED STOCK UNITS</w:t>
      </w:r>
    </w:p>
    <w:p>
      <w:pPr>
        <w:spacing w:after="0" w:line="97"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i w:val="1"/>
          <w:iCs w:val="1"/>
          <w:color w:val="auto"/>
        </w:rPr>
        <w:t>GRANT OF DEFERRED STOCK UNITS</w:t>
      </w:r>
      <w:r>
        <w:rPr>
          <w:rFonts w:ascii="Times New Roman" w:cs="Times New Roman" w:eastAsia="Times New Roman" w:hAnsi="Times New Roman"/>
          <w:sz w:val="18"/>
          <w:szCs w:val="18"/>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97" w:lineRule="exact"/>
        <w:rPr>
          <w:sz w:val="20"/>
          <w:szCs w:val="20"/>
          <w:color w:val="auto"/>
        </w:rPr>
      </w:pPr>
    </w:p>
    <w:p>
      <w:pPr>
        <w:jc w:val="both"/>
        <w:ind w:right="40"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i w:val="1"/>
          <w:iCs w:val="1"/>
          <w:color w:val="auto"/>
        </w:rPr>
        <w:t>GRANT OF DIVIDEND EQUIVALENTS</w:t>
      </w:r>
      <w:r>
        <w:rPr>
          <w:rFonts w:ascii="Times New Roman" w:cs="Times New Roman" w:eastAsia="Times New Roman" w:hAnsi="Times New Roman"/>
          <w:sz w:val="18"/>
          <w:szCs w:val="18"/>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OR OTHER STOCK-BASED AWARDS</w:t>
      </w:r>
    </w:p>
    <w:p>
      <w:pPr>
        <w:spacing w:after="0" w:line="97"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i w:val="1"/>
          <w:iCs w:val="1"/>
          <w:color w:val="auto"/>
        </w:rPr>
        <w:t>GRANT OF STOCK OR OTHER STOCK-BASED AWARDS</w:t>
      </w:r>
      <w:r>
        <w:rPr>
          <w:rFonts w:ascii="Times New Roman" w:cs="Times New Roman" w:eastAsia="Times New Roman" w:hAnsi="Times New Roman"/>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97" w:lineRule="exact"/>
        <w:rPr>
          <w:sz w:val="20"/>
          <w:szCs w:val="20"/>
          <w:color w:val="auto"/>
        </w:rPr>
      </w:pPr>
    </w:p>
    <w:p>
      <w:pPr>
        <w:ind w:right="60" w:firstLine="360"/>
        <w:spacing w:after="0" w:line="26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i w:val="1"/>
          <w:iCs w:val="1"/>
          <w:color w:val="auto"/>
        </w:rPr>
        <w:t>STAND-ALONE AND TANDEM AWARDS</w:t>
      </w:r>
      <w:r>
        <w:rPr>
          <w:rFonts w:ascii="Times New Roman" w:cs="Times New Roman" w:eastAsia="Times New Roman" w:hAnsi="Times New Roman"/>
          <w:sz w:val="18"/>
          <w:szCs w:val="18"/>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65" w:lineRule="exact"/>
        <w:rPr>
          <w:sz w:val="20"/>
          <w:szCs w:val="20"/>
          <w:color w:val="auto"/>
        </w:rPr>
      </w:pPr>
    </w:p>
    <w:p>
      <w:pPr>
        <w:ind w:right="4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i w:val="1"/>
          <w:iCs w:val="1"/>
          <w:color w:val="auto"/>
        </w:rPr>
        <w:t>TERM OF AWARD</w:t>
      </w:r>
      <w:r>
        <w:rPr>
          <w:rFonts w:ascii="Times New Roman" w:cs="Times New Roman" w:eastAsia="Times New Roman" w:hAnsi="Times New Roman"/>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ectPr>
          <w:pgSz w:w="11900" w:h="16838" w:orient="portrait"/>
          <w:cols w:equalWidth="0" w:num="1">
            <w:col w:w="11420"/>
          </w:cols>
          <w:pgMar w:left="240" w:top="117" w:right="2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(or, if Section 7.2(d) applies, five years from its Grant Date).</w:t>
      </w:r>
    </w:p>
    <w:p>
      <w:pPr>
        <w:spacing w:after="0" w:line="115" w:lineRule="exact"/>
        <w:rPr>
          <w:sz w:val="20"/>
          <w:szCs w:val="20"/>
          <w:color w:val="auto"/>
        </w:rPr>
      </w:pPr>
    </w:p>
    <w:p>
      <w:pPr>
        <w:ind w:right="10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i w:val="1"/>
          <w:iCs w:val="1"/>
          <w:color w:val="auto"/>
        </w:rPr>
        <w:t>FORM OF PAYMENT FOR AWARDS</w:t>
      </w:r>
      <w:r>
        <w:rPr>
          <w:rFonts w:ascii="Times New Roman" w:cs="Times New Roman" w:eastAsia="Times New Roman" w:hAnsi="Times New Roman"/>
          <w:sz w:val="18"/>
          <w:szCs w:val="18"/>
          <w:color w:val="auto"/>
        </w:rPr>
        <w:t>. Subject to the terms of the Plan and any applicable law or Award Certificate, payments or transfers to be made by the Company or an Affiliate on the grant or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66"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i w:val="1"/>
          <w:iCs w:val="1"/>
          <w:color w:val="auto"/>
        </w:rPr>
        <w:t>LIMITS ON TRANSFER</w:t>
      </w:r>
      <w:r>
        <w:rPr>
          <w:rFonts w:ascii="Times New Roman" w:cs="Times New Roman" w:eastAsia="Times New Roman" w:hAnsi="Times New Roman"/>
          <w:sz w:val="18"/>
          <w:szCs w:val="18"/>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77"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i w:val="1"/>
          <w:iCs w:val="1"/>
          <w:color w:val="auto"/>
        </w:rPr>
        <w:t>BENEFICIARIES</w:t>
      </w:r>
      <w:r>
        <w:rPr>
          <w:rFonts w:ascii="Times New Roman" w:cs="Times New Roman" w:eastAsia="Times New Roman" w:hAnsi="Times New Roman"/>
          <w:sz w:val="18"/>
          <w:szCs w:val="18"/>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75"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i w:val="1"/>
          <w:iCs w:val="1"/>
          <w:color w:val="auto"/>
        </w:rPr>
        <w:t>STOCK CERTIFICATES</w:t>
      </w:r>
      <w:r>
        <w:rPr>
          <w:rFonts w:ascii="Times New Roman" w:cs="Times New Roman" w:eastAsia="Times New Roman" w:hAnsi="Times New Roman"/>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72"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i w:val="1"/>
          <w:iCs w:val="1"/>
          <w:color w:val="auto"/>
        </w:rPr>
        <w:t>ACCELERATION UPON A CHANGE IN CONTROL</w:t>
      </w:r>
      <w:r>
        <w:rPr>
          <w:rFonts w:ascii="Times New Roman" w:cs="Times New Roman" w:eastAsia="Times New Roman" w:hAnsi="Times New Roman"/>
          <w:sz w:val="18"/>
          <w:szCs w:val="18"/>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75"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i w:val="1"/>
          <w:iCs w:val="1"/>
          <w:color w:val="auto"/>
        </w:rPr>
        <w:t>ACCELERATION UPON DEATH OR DISABILITY</w:t>
      </w:r>
      <w:r>
        <w:rPr>
          <w:rFonts w:ascii="Times New Roman" w:cs="Times New Roman" w:eastAsia="Times New Roman" w:hAnsi="Times New Roman"/>
          <w:sz w:val="18"/>
          <w:szCs w:val="18"/>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8"/>
        <w:spacing w:after="0" w:line="256"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78"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i w:val="1"/>
          <w:iCs w:val="1"/>
          <w:color w:val="auto"/>
        </w:rPr>
        <w:t>ACCELERATION FOR ANY OTHER REASON</w:t>
      </w:r>
      <w:r>
        <w:rPr>
          <w:rFonts w:ascii="Times New Roman" w:cs="Times New Roman" w:eastAsia="Times New Roman" w:hAnsi="Times New Roman"/>
          <w:sz w:val="18"/>
          <w:szCs w:val="18"/>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81" w:lineRule="exact"/>
        <w:rPr>
          <w:sz w:val="20"/>
          <w:szCs w:val="20"/>
          <w:color w:val="auto"/>
        </w:rPr>
      </w:pPr>
    </w:p>
    <w:p>
      <w:pPr>
        <w:ind w:right="40" w:firstLine="360"/>
        <w:spacing w:after="0" w:line="277" w:lineRule="auto"/>
        <w:rPr>
          <w:sz w:val="20"/>
          <w:szCs w:val="20"/>
          <w:color w:val="auto"/>
        </w:rPr>
      </w:pPr>
      <w:r>
        <w:rPr>
          <w:rFonts w:ascii="Times New Roman" w:cs="Times New Roman" w:eastAsia="Times New Roman" w:hAnsi="Times New Roman"/>
          <w:sz w:val="17"/>
          <w:szCs w:val="17"/>
          <w:color w:val="auto"/>
        </w:rPr>
        <w:t xml:space="preserve">14.10. </w:t>
      </w:r>
      <w:r>
        <w:rPr>
          <w:rFonts w:ascii="Times New Roman" w:cs="Times New Roman" w:eastAsia="Times New Roman" w:hAnsi="Times New Roman"/>
          <w:sz w:val="17"/>
          <w:szCs w:val="17"/>
          <w:i w:val="1"/>
          <w:iCs w:val="1"/>
          <w:color w:val="auto"/>
        </w:rPr>
        <w:t>EFFECT OF ACCELERATION</w:t>
      </w:r>
      <w:r>
        <w:rPr>
          <w:rFonts w:ascii="Times New Roman" w:cs="Times New Roman" w:eastAsia="Times New Roman" w:hAnsi="Times New Roman"/>
          <w:sz w:val="17"/>
          <w:szCs w:val="17"/>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w:t>
      </w:r>
    </w:p>
    <w:p>
      <w:pPr>
        <w:sectPr>
          <w:pgSz w:w="11900" w:h="16838" w:orient="portrait"/>
          <w:cols w:equalWidth="0" w:num="1">
            <w:col w:w="11420"/>
          </w:cols>
          <w:pgMar w:left="240" w:top="121" w:right="239" w:bottom="0" w:gutter="0" w:footer="0" w:header="0"/>
        </w:sectPr>
      </w:pPr>
    </w:p>
    <w:bookmarkStart w:id="29" w:name="page30"/>
    <w:bookmarkEnd w:id="29"/>
    <w:p>
      <w:pPr>
        <w:spacing w:after="0" w:line="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i w:val="1"/>
          <w:iCs w:val="1"/>
          <w:color w:val="auto"/>
        </w:rPr>
        <w:t>QUALIFIED PERFORMANCE-BASED AWARDS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360" w:right="120" w:firstLine="548"/>
        <w:spacing w:after="0" w:line="266" w:lineRule="auto"/>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68" w:lineRule="exact"/>
        <w:rPr>
          <w:rFonts w:ascii="Times New Roman" w:cs="Times New Roman" w:eastAsia="Times New Roman" w:hAnsi="Times New Roman"/>
          <w:sz w:val="18"/>
          <w:szCs w:val="18"/>
          <w:color w:val="auto"/>
        </w:rPr>
      </w:pPr>
    </w:p>
    <w:p>
      <w:pPr>
        <w:ind w:left="360" w:right="20" w:firstLine="548"/>
        <w:spacing w:after="0" w:line="256" w:lineRule="auto"/>
        <w:tabs>
          <w:tab w:leader="none" w:pos="14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79"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and/or net revenue (including whether in the aggregate or attributable to specific products)</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and Gross Margin</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including Research &amp; Development and Selling, General &amp; Administrative</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(gross, operating, net, etc.)</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including before interest, taxes, depreciation and amortization (whether in the aggregate or on a per share basis</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and share price</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capital, equity</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efficiency (including yield enhancement and cycle time reductions), quality improvements and customer satisfaction</w:t>
      </w:r>
    </w:p>
    <w:p>
      <w:pPr>
        <w:spacing w:after="0" w:line="117" w:lineRule="exact"/>
        <w:rPr>
          <w:rFonts w:ascii="Times New Roman" w:cs="Times New Roman" w:eastAsia="Times New Roman" w:hAnsi="Times New Roman"/>
          <w:sz w:val="18"/>
          <w:szCs w:val="18"/>
          <w:color w:val="auto"/>
        </w:rPr>
      </w:pPr>
    </w:p>
    <w:p>
      <w:pPr>
        <w:ind w:left="1080" w:right="200" w:hanging="172"/>
        <w:spacing w:after="0" w:line="282" w:lineRule="auto"/>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life cycle management (including product and technology design, development, transfer, manufacturing introduction, and sales price optimization and management)</w:t>
      </w:r>
    </w:p>
    <w:p>
      <w:pPr>
        <w:spacing w:after="0" w:line="53"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profit or loss</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117" w:lineRule="exact"/>
        <w:rPr>
          <w:rFonts w:ascii="Times New Roman" w:cs="Times New Roman" w:eastAsia="Times New Roman" w:hAnsi="Times New Roman"/>
          <w:sz w:val="18"/>
          <w:szCs w:val="18"/>
          <w:color w:val="auto"/>
        </w:rPr>
      </w:pPr>
    </w:p>
    <w:p>
      <w:pPr>
        <w:ind w:left="1040" w:hanging="132"/>
        <w:spacing w:after="0"/>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compensation, training and development, including succession planning</w:t>
      </w:r>
    </w:p>
    <w:p>
      <w:pPr>
        <w:spacing w:after="0" w:line="117" w:lineRule="exact"/>
        <w:rPr>
          <w:rFonts w:ascii="Times New Roman" w:cs="Times New Roman" w:eastAsia="Times New Roman" w:hAnsi="Times New Roman"/>
          <w:sz w:val="18"/>
          <w:szCs w:val="18"/>
          <w:color w:val="auto"/>
        </w:rPr>
      </w:pPr>
    </w:p>
    <w:p>
      <w:pPr>
        <w:ind w:left="1080" w:right="260" w:hanging="172"/>
        <w:spacing w:after="0" w:line="282" w:lineRule="auto"/>
        <w:tabs>
          <w:tab w:leader="none" w:pos="1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54" w:lineRule="exact"/>
        <w:rPr>
          <w:sz w:val="20"/>
          <w:szCs w:val="20"/>
          <w:color w:val="auto"/>
        </w:rPr>
      </w:pPr>
    </w:p>
    <w:p>
      <w:pPr>
        <w:ind w:left="360" w:firstLine="540"/>
        <w:spacing w:after="0" w:line="258" w:lineRule="auto"/>
        <w:rPr>
          <w:sz w:val="20"/>
          <w:szCs w:val="20"/>
          <w:color w:val="auto"/>
        </w:rPr>
      </w:pPr>
      <w:r>
        <w:rPr>
          <w:rFonts w:ascii="Times New Roman" w:cs="Times New Roman" w:eastAsia="Times New Roman" w:hAnsi="Times New Roman"/>
          <w:sz w:val="18"/>
          <w:szCs w:val="18"/>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40"/>
        <w:spacing w:after="0" w:line="282" w:lineRule="auto"/>
        <w:rPr>
          <w:sz w:val="20"/>
          <w:szCs w:val="20"/>
          <w:color w:val="auto"/>
        </w:rPr>
      </w:pPr>
      <w:r>
        <w:rPr>
          <w:rFonts w:ascii="Times New Roman" w:cs="Times New Roman" w:eastAsia="Times New Roman" w:hAnsi="Times New Roman"/>
          <w:sz w:val="18"/>
          <w:szCs w:val="18"/>
          <w:color w:val="auto"/>
        </w:rPr>
        <w:t>and could include, for example, the maintenance of the status quo or the limitation of economic losses (measured, in each case, by reference to a specific business criterion).</w:t>
      </w:r>
    </w:p>
    <w:p>
      <w:pPr>
        <w:spacing w:after="0" w:line="54" w:lineRule="exact"/>
        <w:rPr>
          <w:sz w:val="20"/>
          <w:szCs w:val="20"/>
          <w:color w:val="auto"/>
        </w:rPr>
      </w:pPr>
    </w:p>
    <w:p>
      <w:pPr>
        <w:ind w:left="360" w:right="20" w:firstLine="548"/>
        <w:spacing w:after="0" w:line="255"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81" w:lineRule="exact"/>
        <w:rPr>
          <w:rFonts w:ascii="Times New Roman" w:cs="Times New Roman" w:eastAsia="Times New Roman" w:hAnsi="Times New Roman"/>
          <w:sz w:val="18"/>
          <w:szCs w:val="18"/>
          <w:color w:val="auto"/>
        </w:rPr>
      </w:pPr>
    </w:p>
    <w:p>
      <w:pPr>
        <w:ind w:left="360" w:right="60" w:firstLine="548"/>
        <w:spacing w:after="0" w:line="255" w:lineRule="auto"/>
        <w:tabs>
          <w:tab w:leader="none" w:pos="14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81" w:lineRule="exact"/>
        <w:rPr>
          <w:rFonts w:ascii="Times New Roman" w:cs="Times New Roman" w:eastAsia="Times New Roman" w:hAnsi="Times New Roman"/>
          <w:sz w:val="18"/>
          <w:szCs w:val="18"/>
          <w:color w:val="auto"/>
        </w:rPr>
      </w:pPr>
    </w:p>
    <w:p>
      <w:pPr>
        <w:ind w:left="360" w:right="100" w:firstLine="548"/>
        <w:spacing w:after="0" w:line="258" w:lineRule="auto"/>
        <w:tabs>
          <w:tab w:leader="none" w:pos="1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w:t>
      </w:r>
    </w:p>
    <w:p>
      <w:pPr>
        <w:sectPr>
          <w:pgSz w:w="11900" w:h="16857" w:orient="portrait"/>
          <w:cols w:equalWidth="0" w:num="1">
            <w:col w:w="11400"/>
          </w:cols>
          <w:pgMar w:left="240" w:top="121" w:right="259" w:bottom="0" w:gutter="0" w:footer="0" w:header="0"/>
        </w:sectPr>
      </w:pPr>
    </w:p>
    <w:bookmarkStart w:id="30" w:name="page31"/>
    <w:bookmarkEnd w:id="30"/>
    <w:p>
      <w:pPr>
        <w:spacing w:after="0" w:line="4"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auto"/>
        </w:rPr>
        <w:t>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80" w:lineRule="exact"/>
        <w:rPr>
          <w:sz w:val="20"/>
          <w:szCs w:val="20"/>
          <w:color w:val="auto"/>
        </w:rPr>
      </w:pPr>
    </w:p>
    <w:p>
      <w:pPr>
        <w:ind w:left="360" w:right="500" w:firstLine="548"/>
        <w:spacing w:after="0" w:line="282" w:lineRule="auto"/>
        <w:tabs>
          <w:tab w:leader="none" w:pos="14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5.4 sets forth the maximum number of Shares or dollar value that may be granted in any one-year period to a Participant in designated forms of Qualified Performance-Based Awards.</w:t>
      </w:r>
    </w:p>
    <w:p>
      <w:pPr>
        <w:spacing w:after="0" w:line="53" w:lineRule="exact"/>
        <w:rPr>
          <w:rFonts w:ascii="Times New Roman" w:cs="Times New Roman" w:eastAsia="Times New Roman" w:hAnsi="Times New Roman"/>
          <w:sz w:val="18"/>
          <w:szCs w:val="18"/>
          <w:color w:val="auto"/>
        </w:rPr>
      </w:pPr>
    </w:p>
    <w:p>
      <w:pPr>
        <w:ind w:left="360" w:right="100" w:firstLine="548"/>
        <w:spacing w:after="0" w:line="261" w:lineRule="auto"/>
        <w:tabs>
          <w:tab w:leader="none" w:pos="14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“Certification Date”). For purposes of the Plan, with respect to any given performance or measurement period, an officer of the Company who</w:t>
      </w:r>
    </w:p>
    <w:p>
      <w:pPr>
        <w:spacing w:after="0" w:line="27" w:lineRule="exact"/>
        <w:rPr>
          <w:sz w:val="20"/>
          <w:szCs w:val="20"/>
          <w:color w:val="auto"/>
        </w:rPr>
      </w:pPr>
    </w:p>
    <w:p>
      <w:pPr>
        <w:ind w:left="360" w:right="360" w:firstLine="8"/>
        <w:spacing w:after="0" w:line="254" w:lineRule="auto"/>
        <w:tabs>
          <w:tab w:leader="none" w:pos="5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7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77"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i w:val="1"/>
          <w:iCs w:val="1"/>
          <w:color w:val="auto"/>
        </w:rPr>
        <w:t>DEFERRAL</w:t>
      </w:r>
      <w:r>
        <w:rPr>
          <w:rFonts w:ascii="Times New Roman" w:cs="Times New Roman" w:eastAsia="Times New Roman" w:hAnsi="Times New Roman"/>
          <w:sz w:val="18"/>
          <w:szCs w:val="18"/>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w:t>
      </w:r>
    </w:p>
    <w:p>
      <w:pPr>
        <w:spacing w:after="0" w:line="72"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i w:val="1"/>
          <w:iCs w:val="1"/>
          <w:color w:val="auto"/>
        </w:rPr>
        <w:t>FORFEITURE EVENTS</w:t>
      </w:r>
      <w:r>
        <w:rPr>
          <w:rFonts w:ascii="Times New Roman" w:cs="Times New Roman" w:eastAsia="Times New Roman" w:hAnsi="Times New Roman"/>
          <w:sz w:val="18"/>
          <w:szCs w:val="18"/>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72"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9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authorization limits under Section 5.1 and 5.4 shall be adjusted proportionately, and the Committee may adjust the Plan and Awards to preserve the benefits or potential benefits of the Awards. Action by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Committee may include: (i) adjustment of the number and kind of shares which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In addition, the Committee may, in its sole discretion, provide (i) that Awards will be settled in cash or other property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ectPr>
          <w:pgSz w:w="11900" w:h="16843" w:orient="portrait"/>
          <w:cols w:equalWidth="0" w:num="1">
            <w:col w:w="11420"/>
          </w:cols>
          <w:pgMar w:left="240" w:top="121" w:right="239" w:bottom="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9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i w:val="1"/>
          <w:iCs w:val="1"/>
          <w:color w:val="auto"/>
        </w:rPr>
        <w:t>AMENDMENT, MODIFICATION AND TERMINATION</w:t>
      </w:r>
      <w:r>
        <w:rPr>
          <w:rFonts w:ascii="Times New Roman" w:cs="Times New Roman" w:eastAsia="Times New Roman" w:hAnsi="Times New Roman"/>
          <w:sz w:val="18"/>
          <w:szCs w:val="18"/>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81" w:lineRule="exact"/>
        <w:rPr>
          <w:sz w:val="20"/>
          <w:szCs w:val="20"/>
          <w:color w:val="auto"/>
        </w:rPr>
      </w:pPr>
    </w:p>
    <w:p>
      <w:pPr>
        <w:ind w:left="360"/>
        <w:spacing w:after="0"/>
        <w:tabs>
          <w:tab w:leader="none" w:pos="880" w:val="left"/>
          <w:tab w:leader="none" w:pos="370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i w:val="1"/>
          <w:iCs w:val="1"/>
          <w:color w:val="auto"/>
        </w:rPr>
        <w:t>AWARDS PREVIOUSLY GRANTED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At any time and from time to time, the Committee may amend, modify or terminate any outstanding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without approval of the Participant; provided, however:</w:t>
      </w:r>
    </w:p>
    <w:p>
      <w:pPr>
        <w:spacing w:after="0" w:line="99" w:lineRule="exact"/>
        <w:rPr>
          <w:sz w:val="20"/>
          <w:szCs w:val="20"/>
          <w:color w:val="auto"/>
        </w:rPr>
      </w:pPr>
    </w:p>
    <w:p>
      <w:pPr>
        <w:jc w:val="both"/>
        <w:ind w:left="360" w:right="20" w:firstLine="548"/>
        <w:spacing w:after="0" w:line="261" w:lineRule="auto"/>
        <w:tabs>
          <w:tab w:leader="none" w:pos="1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71" w:lineRule="exact"/>
        <w:rPr>
          <w:rFonts w:ascii="Times New Roman" w:cs="Times New Roman" w:eastAsia="Times New Roman" w:hAnsi="Times New Roman"/>
          <w:sz w:val="18"/>
          <w:szCs w:val="18"/>
          <w:color w:val="auto"/>
        </w:rPr>
      </w:pPr>
    </w:p>
    <w:p>
      <w:pPr>
        <w:ind w:left="1480" w:hanging="572"/>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term of an Option may not be extended without the prior approval of the stockholders of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20" w:firstLine="548"/>
        <w:spacing w:after="0" w:line="282" w:lineRule="auto"/>
        <w:tabs>
          <w:tab w:leader="none" w:pos="1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Article 15, the exercise price of an Option may not be reduced, directly or indirectly, without the prior approval of the stockholders of the Company; and</w:t>
      </w:r>
    </w:p>
    <w:p>
      <w:pPr>
        <w:spacing w:after="0" w:line="53" w:lineRule="exact"/>
        <w:rPr>
          <w:rFonts w:ascii="Times New Roman" w:cs="Times New Roman" w:eastAsia="Times New Roman" w:hAnsi="Times New Roman"/>
          <w:sz w:val="18"/>
          <w:szCs w:val="18"/>
          <w:color w:val="auto"/>
        </w:rPr>
      </w:pPr>
    </w:p>
    <w:p>
      <w:pPr>
        <w:ind w:left="360" w:firstLine="548"/>
        <w:spacing w:after="0" w:line="258" w:lineRule="auto"/>
        <w:tabs>
          <w:tab w:leader="none" w:pos="14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7"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i w:val="1"/>
          <w:iCs w:val="1"/>
          <w:color w:val="auto"/>
        </w:rPr>
        <w:t>NO RIGHTS TO AWARDS; NON-UNIFORM DETERMINATIONS</w:t>
      </w:r>
      <w:r>
        <w:rPr>
          <w:rFonts w:ascii="Times New Roman" w:cs="Times New Roman" w:eastAsia="Times New Roman" w:hAnsi="Times New Roman"/>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72" w:lineRule="exact"/>
        <w:rPr>
          <w:sz w:val="20"/>
          <w:szCs w:val="20"/>
          <w:color w:val="auto"/>
        </w:rPr>
      </w:pPr>
    </w:p>
    <w:p>
      <w:pPr>
        <w:ind w:right="18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i w:val="1"/>
          <w:iCs w:val="1"/>
          <w:color w:val="auto"/>
        </w:rPr>
        <w:t>NO STOCKHOLDER RIGHTS</w:t>
      </w:r>
      <w:r>
        <w:rPr>
          <w:rFonts w:ascii="Times New Roman" w:cs="Times New Roman" w:eastAsia="Times New Roman" w:hAnsi="Times New Roman"/>
          <w:sz w:val="18"/>
          <w:szCs w:val="18"/>
          <w:color w:val="auto"/>
        </w:rPr>
        <w:t>. No Award gives a Participant any of the rights of a stockholder of the Company unless and until Shares are in fact issued to such person in connection with such Award.</w:t>
      </w:r>
    </w:p>
    <w:p>
      <w:pPr>
        <w:spacing w:after="0" w:line="50"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85"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i w:val="1"/>
          <w:iCs w:val="1"/>
          <w:color w:val="auto"/>
        </w:rPr>
        <w:t>NO RIGHT TO CONTINUED SERVICE</w:t>
      </w:r>
      <w:r>
        <w:rPr>
          <w:rFonts w:ascii="Times New Roman" w:cs="Times New Roman" w:eastAsia="Times New Roman" w:hAnsi="Times New Roman"/>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72" w:lineRule="exact"/>
        <w:rPr>
          <w:sz w:val="20"/>
          <w:szCs w:val="20"/>
          <w:color w:val="auto"/>
        </w:rPr>
      </w:pPr>
    </w:p>
    <w:p>
      <w:pPr>
        <w:ind w:right="80" w:firstLine="360"/>
        <w:spacing w:after="0" w:line="315"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i w:val="1"/>
          <w:iCs w:val="1"/>
          <w:color w:val="auto"/>
        </w:rPr>
        <w:t>UNFUNDED STATUS OF AWARDS</w:t>
      </w:r>
      <w:r>
        <w:rPr>
          <w:rFonts w:ascii="Times New Roman" w:cs="Times New Roman" w:eastAsia="Times New Roman" w:hAnsi="Times New Roman"/>
          <w:sz w:val="17"/>
          <w:szCs w:val="17"/>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are greater than those of a general creditor of the Company or any Affiliate. This Plan is not intended to be subject to ERISA.</w:t>
      </w:r>
    </w:p>
    <w:p>
      <w:pPr>
        <w:spacing w:after="0" w:line="117"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18"/>
          <w:szCs w:val="18"/>
          <w:color w:val="auto"/>
        </w:rPr>
        <w:t>17.6. RELATIONSHIP TO OTHER BENEFITS.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66" w:lineRule="exact"/>
        <w:rPr>
          <w:sz w:val="20"/>
          <w:szCs w:val="20"/>
          <w:color w:val="auto"/>
        </w:rPr>
      </w:pPr>
    </w:p>
    <w:p>
      <w:pPr>
        <w:ind w:left="360"/>
        <w:spacing w:after="0"/>
        <w:tabs>
          <w:tab w:leader="none" w:pos="880" w:val="left"/>
          <w:tab w:leader="none" w:pos="192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expenses of administering the Plan shall be borne by the Company and its Affiliates.</w:t>
      </w:r>
    </w:p>
    <w:p>
      <w:pPr>
        <w:sectPr>
          <w:pgSz w:w="11900" w:h="16838" w:orient="portrait"/>
          <w:cols w:equalWidth="0" w:num="1">
            <w:col w:w="11380"/>
          </w:cols>
          <w:pgMar w:left="240" w:top="117" w:right="279" w:bottom="0" w:gutter="0" w:footer="0" w:header="0"/>
        </w:sectPr>
      </w:pPr>
    </w:p>
    <w:bookmarkStart w:id="32" w:name="page33"/>
    <w:bookmarkEnd w:id="32"/>
    <w:p>
      <w:pPr>
        <w:ind w:right="38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i w:val="1"/>
          <w:iCs w:val="1"/>
          <w:color w:val="auto"/>
        </w:rPr>
        <w:t>TITLES AND HEADINGS</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50" w:lineRule="exact"/>
        <w:rPr>
          <w:sz w:val="20"/>
          <w:szCs w:val="20"/>
          <w:color w:val="auto"/>
        </w:rPr>
      </w:pPr>
    </w:p>
    <w:p>
      <w:pPr>
        <w:ind w:right="2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shall include the feminine; the plural shall include the singular and the singular shall include the plural.</w:t>
      </w:r>
    </w:p>
    <w:p>
      <w:pPr>
        <w:spacing w:after="0" w:line="50" w:lineRule="exact"/>
        <w:rPr>
          <w:sz w:val="20"/>
          <w:szCs w:val="20"/>
          <w:color w:val="auto"/>
        </w:rPr>
      </w:pPr>
    </w:p>
    <w:p>
      <w:pPr>
        <w:ind w:right="16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i w:val="1"/>
          <w:iCs w:val="1"/>
          <w:color w:val="auto"/>
        </w:rPr>
        <w:t>GOVERNMENT AND OTHER REGULATIONS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360" w:firstLine="548"/>
        <w:spacing w:after="0" w:line="258" w:lineRule="auto"/>
        <w:tabs>
          <w:tab w:leader="none" w:pos="1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75" w:lineRule="exact"/>
        <w:rPr>
          <w:rFonts w:ascii="Times New Roman" w:cs="Times New Roman" w:eastAsia="Times New Roman" w:hAnsi="Times New Roman"/>
          <w:sz w:val="18"/>
          <w:szCs w:val="18"/>
          <w:color w:val="auto"/>
        </w:rPr>
      </w:pPr>
    </w:p>
    <w:p>
      <w:pPr>
        <w:ind w:left="360" w:right="40" w:firstLine="548"/>
        <w:spacing w:after="0" w:line="254" w:lineRule="auto"/>
        <w:tabs>
          <w:tab w:leader="none" w:pos="14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76" w:lineRule="exact"/>
        <w:rPr>
          <w:sz w:val="20"/>
          <w:szCs w:val="20"/>
          <w:color w:val="auto"/>
        </w:rPr>
      </w:pPr>
    </w:p>
    <w:p>
      <w:pPr>
        <w:ind w:right="280" w:firstLine="360"/>
        <w:spacing w:after="0" w:line="284" w:lineRule="auto"/>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To the extent not governed by federal law, the Plan and all Award Certificates shall be construed in accordance with and governed by the laws of the State of Delaware.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0" w:right="280" w:firstLine="540"/>
        <w:spacing w:after="0" w:line="284" w:lineRule="auto"/>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i w:val="1"/>
          <w:iCs w:val="1"/>
          <w:color w:val="auto"/>
        </w:rPr>
        <w:t>ADDITIONAL PROVISIONS</w:t>
      </w:r>
      <w:r>
        <w:rPr>
          <w:rFonts w:ascii="Times New Roman" w:cs="Times New Roman" w:eastAsia="Times New Roman" w:hAnsi="Times New Roman"/>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50" w:lineRule="exact"/>
        <w:rPr>
          <w:sz w:val="20"/>
          <w:szCs w:val="20"/>
          <w:color w:val="auto"/>
        </w:rPr>
      </w:pPr>
    </w:p>
    <w:p>
      <w:pPr>
        <w:ind w:left="360" w:right="80" w:firstLine="540"/>
        <w:spacing w:after="0" w:line="257" w:lineRule="auto"/>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i w:val="1"/>
          <w:iCs w:val="1"/>
          <w:color w:val="auto"/>
        </w:rPr>
        <w:t>NO LIMITATIONS ON RIGHTS OF COMPANY</w:t>
      </w:r>
      <w:r>
        <w:rPr>
          <w:rFonts w:ascii="Times New Roman" w:cs="Times New Roman" w:eastAsia="Times New Roman" w:hAnsi="Times New Roman"/>
          <w:sz w:val="18"/>
          <w:szCs w:val="18"/>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75" w:lineRule="exact"/>
        <w:rPr>
          <w:sz w:val="20"/>
          <w:szCs w:val="20"/>
          <w:color w:val="auto"/>
        </w:rPr>
      </w:pPr>
    </w:p>
    <w:p>
      <w:pPr>
        <w:ind w:left="360" w:right="60" w:firstLine="540"/>
        <w:spacing w:after="0" w:line="254" w:lineRule="auto"/>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Directions to the</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2006 Annual Meeting of Shareholders</w:t>
      </w:r>
    </w:p>
    <w:p>
      <w:pPr>
        <w:sectPr>
          <w:pgSz w:w="11900" w:h="16838" w:orient="portrait"/>
          <w:cols w:equalWidth="0" w:num="1">
            <w:col w:w="11420"/>
          </w:cols>
          <w:pgMar w:left="240" w:top="119" w:right="239" w:bottom="1440" w:gutter="0" w:footer="0" w:header="0"/>
          <w:type w:val="continuous"/>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1332230</wp:posOffset>
            </wp:positionH>
            <wp:positionV relativeFrom="page">
              <wp:posOffset>88900</wp:posOffset>
            </wp:positionV>
            <wp:extent cx="4905375" cy="4073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490537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To be held at</w:t>
      </w:r>
    </w:p>
    <w:p>
      <w:pPr>
        <w:spacing w:after="0" w:line="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Micron’s Headquarters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8000 S. Federal Way, Boise, ID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Tuesday, December 5, 2006,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2540</wp:posOffset>
            </wp:positionV>
            <wp:extent cx="814705"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4705" cy="240030"/>
                    </a:xfrm>
                    <a:prstGeom prst="rect">
                      <a:avLst/>
                    </a:prstGeom>
                    <a:noFill/>
                  </pic:spPr>
                </pic:pic>
              </a:graphicData>
            </a:graphic>
          </wp:anchor>
        </w:drawing>
      </w: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2006 ANNUAL MEETING OF SHAREHOLDERS</w:t>
      </w: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DECEMBER 5, 2006</w:t>
      </w:r>
    </w:p>
    <w:p>
      <w:pPr>
        <w:spacing w:after="0" w:line="3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3"/>
          <w:szCs w:val="13"/>
          <w:color w:val="auto"/>
        </w:rPr>
        <w:t xml:space="preserve">The undersigned shareholder(s) of Micron Technology, Inc., a Delaware corporation, hereby acknowledge(s) receipt of the Notice of 2006 Annual Meeting of Shareholders and Proxy Statement, each dated November 8, 2006, and hereby appoints Steven R. Appleton and W. G. Stover, Jr., and each of them, proxies and attorneys-in-fact, with full power to each of substitution, on behalf and in the name of the undersigned, to represent the undersigned at the 2006 Annual Meeting of Shareholders of Micron Technology, Inc., to be held December 5, 2006, at 9:00 a.m., Mountain Standard Time, at the </w:t>
      </w:r>
      <w:r>
        <w:rPr>
          <w:rFonts w:ascii="Times New Roman" w:cs="Times New Roman" w:eastAsia="Times New Roman" w:hAnsi="Times New Roman"/>
          <w:sz w:val="13"/>
          <w:szCs w:val="13"/>
          <w:b w:val="1"/>
          <w:bCs w:val="1"/>
          <w:color w:val="auto"/>
        </w:rPr>
        <w:t>Company’s headquarters located at 8000 South Federal Way, Boise,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Idaho 83716-9632</w:t>
      </w:r>
      <w:r>
        <w:rPr>
          <w:rFonts w:ascii="Times New Roman" w:cs="Times New Roman" w:eastAsia="Times New Roman" w:hAnsi="Times New Roman"/>
          <w:sz w:val="13"/>
          <w:szCs w:val="13"/>
          <w:color w:val="auto"/>
        </w:rPr>
        <w:t>, and at any adjournment or adjournments thereof, and to vote (including cumulatively, if required) all shares of Common Stock which the undersigned would be entitled to vote if then and there personally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present, on the matters set forth below: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81"/>
              </w:rPr>
              <w:t>1.</w:t>
            </w:r>
          </w:p>
        </w:tc>
        <w:tc>
          <w:tcPr>
            <w:tcW w:w="2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ELECTION OF DIRECTORS</w:t>
            </w:r>
          </w:p>
        </w:tc>
        <w:tc>
          <w:tcPr>
            <w:tcW w:w="2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    FOR nominees listed below</w:t>
            </w:r>
          </w:p>
        </w:tc>
        <w:tc>
          <w:tcPr>
            <w:tcW w:w="26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    WITHHOLD authority to vote for all</w:t>
            </w:r>
          </w:p>
        </w:tc>
      </w:tr>
      <w:tr>
        <w:trPr>
          <w:trHeight w:val="164"/>
        </w:trPr>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7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(except as indicated)</w:t>
            </w:r>
          </w:p>
        </w:tc>
        <w:tc>
          <w:tcPr>
            <w:tcW w:w="26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nominees listed below</w:t>
            </w:r>
          </w:p>
        </w:tc>
      </w:tr>
    </w:tbl>
    <w:p>
      <w:pPr>
        <w:spacing w:after="0" w:line="235" w:lineRule="auto"/>
        <w:rPr>
          <w:sz w:val="20"/>
          <w:szCs w:val="20"/>
          <w:color w:val="auto"/>
        </w:rPr>
      </w:pPr>
      <w:r>
        <w:rPr>
          <w:rFonts w:ascii="Times New Roman" w:cs="Times New Roman" w:eastAsia="Times New Roman" w:hAnsi="Times New Roman"/>
          <w:sz w:val="13"/>
          <w:szCs w:val="13"/>
          <w:b w:val="1"/>
          <w:bCs w:val="1"/>
          <w:color w:val="auto"/>
        </w:rPr>
        <w:t>If you wish to withhold authority to vote for any individual nominee, strike a line through that nominee’s name in the list below:</w:t>
      </w:r>
    </w:p>
    <w:p>
      <w:pPr>
        <w:spacing w:after="0"/>
        <w:rPr>
          <w:sz w:val="20"/>
          <w:szCs w:val="20"/>
          <w:color w:val="auto"/>
        </w:rPr>
      </w:pPr>
      <w:r>
        <w:rPr>
          <w:rFonts w:ascii="Times New Roman" w:cs="Times New Roman" w:eastAsia="Times New Roman" w:hAnsi="Times New Roman"/>
          <w:sz w:val="13"/>
          <w:szCs w:val="13"/>
          <w:color w:val="auto"/>
        </w:rPr>
        <w:t>Steven R. Appleton; Teruaki Aoki; James W. Bagley; Mercedes Johnson; Lawrence N. Mondry; Gordon C. Smith; Robert E. Switz.</w:t>
      </w:r>
    </w:p>
    <w:p>
      <w:pPr>
        <w:spacing w:after="0" w:line="39" w:lineRule="exact"/>
        <w:rPr>
          <w:sz w:val="20"/>
          <w:szCs w:val="20"/>
          <w:color w:val="auto"/>
        </w:rPr>
      </w:pPr>
    </w:p>
    <w:p>
      <w:pPr>
        <w:ind w:left="360" w:right="280" w:hanging="352"/>
        <w:spacing w:after="0"/>
        <w:tabs>
          <w:tab w:leader="none" w:pos="40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BY THE COMPANY TO APPROVE AN AMENDMENT TO THE COMPANY’S 2004 EQUITY INCENTIVE PLAN INCREASING THE NUMBER OF SHARES RESERVED FOR ISSUANCE THEREUNDER BY 30,000,000</w:t>
      </w:r>
    </w:p>
    <w:p>
      <w:pPr>
        <w:spacing w:after="0" w:line="25" w:lineRule="exact"/>
        <w:rPr>
          <w:sz w:val="20"/>
          <w:szCs w:val="20"/>
          <w:color w:val="auto"/>
        </w:rPr>
      </w:pPr>
    </w:p>
    <w:p>
      <w:pPr>
        <w:ind w:left="3040"/>
        <w:spacing w:after="0"/>
        <w:tabs>
          <w:tab w:leader="none" w:pos="5360" w:val="left"/>
          <w:tab w:leader="none" w:pos="7260" w:val="left"/>
        </w:tabs>
        <w:rPr>
          <w:sz w:val="20"/>
          <w:szCs w:val="20"/>
          <w:color w:val="auto"/>
        </w:rPr>
      </w:pPr>
      <w:r>
        <w:rPr>
          <w:rFonts w:ascii="Times New Roman" w:cs="Times New Roman" w:eastAsia="Times New Roman" w:hAnsi="Times New Roman"/>
          <w:sz w:val="13"/>
          <w:szCs w:val="13"/>
          <w:color w:val="auto"/>
        </w:rPr>
        <w:t>o FOR</w:t>
      </w:r>
      <w:r>
        <w:rPr>
          <w:sz w:val="20"/>
          <w:szCs w:val="20"/>
          <w:color w:val="auto"/>
        </w:rPr>
        <w:tab/>
      </w:r>
      <w:r>
        <w:rPr>
          <w:rFonts w:ascii="Times New Roman" w:cs="Times New Roman" w:eastAsia="Times New Roman" w:hAnsi="Times New Roman"/>
          <w:sz w:val="13"/>
          <w:szCs w:val="13"/>
          <w:color w:val="auto"/>
        </w:rPr>
        <w:t>o AGAINST</w:t>
      </w:r>
      <w:r>
        <w:rPr>
          <w:sz w:val="20"/>
          <w:szCs w:val="20"/>
          <w:color w:val="auto"/>
        </w:rPr>
        <w:tab/>
      </w:r>
      <w:r>
        <w:rPr>
          <w:rFonts w:ascii="Times New Roman" w:cs="Times New Roman" w:eastAsia="Times New Roman" w:hAnsi="Times New Roman"/>
          <w:sz w:val="12"/>
          <w:szCs w:val="12"/>
          <w:color w:val="auto"/>
        </w:rPr>
        <w:t>o ABSTAIN</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(continued from other side)</w:t>
      </w:r>
    </w:p>
    <w:p>
      <w:pPr>
        <w:spacing w:after="0" w:line="28" w:lineRule="exact"/>
        <w:rPr>
          <w:sz w:val="20"/>
          <w:szCs w:val="20"/>
          <w:color w:val="auto"/>
        </w:rPr>
      </w:pPr>
    </w:p>
    <w:p>
      <w:pPr>
        <w:ind w:left="360" w:right="160" w:hanging="352"/>
        <w:spacing w:after="0" w:line="229" w:lineRule="auto"/>
        <w:tabs>
          <w:tab w:leader="none" w:pos="40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PROPOSAL BY THE COMPANY TO RATIFY THE APPOINTMENT OF PRICEWATERHOUSECOOPERS LLP AS THE COMPANY’S INDEPENDENT REGISTERED PUBLIC ACCOUNTING FIRM FOR THE FISCAL YEAR ENDING AUGUST 30, 2007</w:t>
      </w:r>
    </w:p>
    <w:p>
      <w:pPr>
        <w:spacing w:after="0" w:line="25" w:lineRule="exact"/>
        <w:rPr>
          <w:sz w:val="20"/>
          <w:szCs w:val="20"/>
          <w:color w:val="auto"/>
        </w:rPr>
      </w:pPr>
    </w:p>
    <w:p>
      <w:pPr>
        <w:ind w:left="3040"/>
        <w:spacing w:after="0"/>
        <w:tabs>
          <w:tab w:leader="none" w:pos="5360" w:val="left"/>
          <w:tab w:leader="none" w:pos="7260" w:val="left"/>
        </w:tabs>
        <w:rPr>
          <w:sz w:val="20"/>
          <w:szCs w:val="20"/>
          <w:color w:val="auto"/>
        </w:rPr>
      </w:pPr>
      <w:r>
        <w:rPr>
          <w:rFonts w:ascii="Times New Roman" w:cs="Times New Roman" w:eastAsia="Times New Roman" w:hAnsi="Times New Roman"/>
          <w:sz w:val="13"/>
          <w:szCs w:val="13"/>
          <w:color w:val="auto"/>
        </w:rPr>
        <w:t>o FOR</w:t>
      </w:r>
      <w:r>
        <w:rPr>
          <w:sz w:val="20"/>
          <w:szCs w:val="20"/>
          <w:color w:val="auto"/>
        </w:rPr>
        <w:tab/>
      </w:r>
      <w:r>
        <w:rPr>
          <w:rFonts w:ascii="Times New Roman" w:cs="Times New Roman" w:eastAsia="Times New Roman" w:hAnsi="Times New Roman"/>
          <w:sz w:val="13"/>
          <w:szCs w:val="13"/>
          <w:color w:val="auto"/>
        </w:rPr>
        <w:t>o AGAINST</w:t>
      </w:r>
      <w:r>
        <w:rPr>
          <w:sz w:val="20"/>
          <w:szCs w:val="20"/>
          <w:color w:val="auto"/>
        </w:rPr>
        <w:tab/>
      </w:r>
      <w:r>
        <w:rPr>
          <w:rFonts w:ascii="Times New Roman" w:cs="Times New Roman" w:eastAsia="Times New Roman" w:hAnsi="Times New Roman"/>
          <w:sz w:val="12"/>
          <w:szCs w:val="12"/>
          <w:color w:val="auto"/>
        </w:rPr>
        <w:t>o ABSTAIN</w:t>
      </w:r>
    </w:p>
    <w:p>
      <w:pPr>
        <w:spacing w:after="0" w:line="94"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ACT UPON A SHAREHOLDER PROPOSAL, IF PROPERLY PRESENTED AT THE MEETING</w:t>
      </w:r>
    </w:p>
    <w:p>
      <w:pPr>
        <w:spacing w:after="0" w:line="40" w:lineRule="exact"/>
        <w:rPr>
          <w:sz w:val="20"/>
          <w:szCs w:val="20"/>
          <w:color w:val="auto"/>
        </w:rPr>
      </w:pPr>
    </w:p>
    <w:p>
      <w:pPr>
        <w:ind w:left="3040"/>
        <w:spacing w:after="0"/>
        <w:tabs>
          <w:tab w:leader="none" w:pos="5360" w:val="left"/>
          <w:tab w:leader="none" w:pos="7260" w:val="left"/>
        </w:tabs>
        <w:rPr>
          <w:sz w:val="20"/>
          <w:szCs w:val="20"/>
          <w:color w:val="auto"/>
        </w:rPr>
      </w:pPr>
      <w:r>
        <w:rPr>
          <w:rFonts w:ascii="Times New Roman" w:cs="Times New Roman" w:eastAsia="Times New Roman" w:hAnsi="Times New Roman"/>
          <w:sz w:val="13"/>
          <w:szCs w:val="13"/>
          <w:color w:val="auto"/>
        </w:rPr>
        <w:t>o FOR</w:t>
      </w:r>
      <w:r>
        <w:rPr>
          <w:sz w:val="20"/>
          <w:szCs w:val="20"/>
          <w:color w:val="auto"/>
        </w:rPr>
        <w:tab/>
      </w:r>
      <w:r>
        <w:rPr>
          <w:rFonts w:ascii="Times New Roman" w:cs="Times New Roman" w:eastAsia="Times New Roman" w:hAnsi="Times New Roman"/>
          <w:sz w:val="13"/>
          <w:szCs w:val="13"/>
          <w:color w:val="auto"/>
        </w:rPr>
        <w:t>o AGAINST</w:t>
      </w:r>
      <w:r>
        <w:rPr>
          <w:sz w:val="20"/>
          <w:szCs w:val="20"/>
          <w:color w:val="auto"/>
        </w:rPr>
        <w:tab/>
      </w:r>
      <w:r>
        <w:rPr>
          <w:rFonts w:ascii="Times New Roman" w:cs="Times New Roman" w:eastAsia="Times New Roman" w:hAnsi="Times New Roman"/>
          <w:sz w:val="12"/>
          <w:szCs w:val="12"/>
          <w:color w:val="auto"/>
        </w:rPr>
        <w:t>o ABSTAIN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in their discretion, upon such other matter or matters which may properly come before the meeting or any adjournment or adjournments thereof.</w:t>
      </w:r>
    </w:p>
    <w:p>
      <w:pPr>
        <w:spacing w:after="0" w:line="3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 xml:space="preserve">The shares represented by this proxy when properly executed will be voted in the manner directed herein by the undersigned shareholder(s). </w:t>
      </w:r>
      <w:r>
        <w:rPr>
          <w:rFonts w:ascii="Times New Roman" w:cs="Times New Roman" w:eastAsia="Times New Roman" w:hAnsi="Times New Roman"/>
          <w:sz w:val="13"/>
          <w:szCs w:val="13"/>
          <w:b w:val="1"/>
          <w:bCs w:val="1"/>
          <w:color w:val="auto"/>
        </w:rPr>
        <w:t>If no direction is made, this proxy will be voted FOR Proposals 1, 2, and 3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AGAINST 4. </w:t>
      </w:r>
      <w:r>
        <w:rPr>
          <w:rFonts w:ascii="Times New Roman" w:cs="Times New Roman" w:eastAsia="Times New Roman" w:hAnsi="Times New Roman"/>
          <w:sz w:val="13"/>
          <w:szCs w:val="13"/>
          <w:color w:val="auto"/>
        </w:rPr>
        <w:t>If any other matters properly come before the meeting, or if cumulative voting is required, the persons named in this proxy will vote, in their discretion, provided that they will not vote in the election of directors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persons for whom authority to vote has been withheld.</w:t>
      </w:r>
    </w:p>
    <w:p>
      <w:pPr>
        <w:spacing w:after="0" w:line="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250825</wp:posOffset>
            </wp:positionV>
            <wp:extent cx="27787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10795</wp:posOffset>
            </wp:positionV>
            <wp:extent cx="2487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8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147955</wp:posOffset>
            </wp:positionV>
            <wp:extent cx="27787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2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3"/>
          <w:szCs w:val="13"/>
          <w:color w:val="auto"/>
        </w:rPr>
        <w:t>Signature</w:t>
      </w:r>
    </w:p>
    <w:p>
      <w:pPr>
        <w:spacing w:after="0" w:line="53"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3"/>
          <w:szCs w:val="13"/>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ectPr>
          <w:pgSz w:w="11900" w:h="16838" w:orient="portrait"/>
          <w:cols w:equalWidth="0" w:num="1">
            <w:col w:w="11360"/>
          </w:cols>
          <w:pgMar w:left="240" w:top="1440" w:right="299" w:bottom="0" w:gutter="0" w:footer="0" w:header="0"/>
        </w:sectPr>
      </w:pPr>
    </w:p>
    <w:bookmarkStart w:id="34" w:name="page35"/>
    <w:bookmarkEnd w:id="34"/>
    <w:p>
      <w:pPr>
        <w:spacing w:after="0" w:line="2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0"/>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1)"/>
      <w:numFmt w:val="decimal"/>
      <w:start w:val="9"/>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2"/>
    </w:lvl>
  </w:abstractNum>
  <w:abstractNum w:abstractNumId="14">
    <w:nsid w:val="3006C83E"/>
    <w:multiLevelType w:val="hybridMultilevel"/>
    <w:lvl w:ilvl="0">
      <w:lvlJc w:val="left"/>
      <w:lvlText w:val="(%1)"/>
      <w:numFmt w:val="decimal"/>
      <w:start w:val="4"/>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4"/>
    </w:lvl>
  </w:abstractNum>
  <w:abstractNum w:abstractNumId="22">
    <w:nsid w:val="7724C67E"/>
    <w:multiLevelType w:val="hybridMultilevel"/>
    <w:lvl w:ilvl="0">
      <w:lvlJc w:val="left"/>
      <w:lvlText w:val="(%1)"/>
      <w:numFmt w:val="lowerLetter"/>
      <w:start w:val="1"/>
    </w:lvl>
    <w:lvl w:ilvl="1">
      <w:lvlJc w:val="left"/>
      <w:lvlText w:val="(%2)"/>
      <w:numFmt w:val="lowerLetter"/>
      <w:start w:val="9"/>
    </w:lvl>
  </w:abstractNum>
  <w:abstractNum w:abstractNumId="23">
    <w:nsid w:val="5C482A97"/>
    <w:multiLevelType w:val="hybridMultilevel"/>
    <w:lvl w:ilvl="0">
      <w:lvlJc w:val="left"/>
      <w:lvlText w:val="%1"/>
      <w:numFmt w:val="upperLetter"/>
      <w:start w:val="1"/>
    </w:lvl>
    <w:lvl w:ilvl="1">
      <w:lvlJc w:val="left"/>
      <w:lvlText w:val="(%2)"/>
      <w:numFmt w:val="lowerRoman"/>
      <w:start w:val="2"/>
    </w:lvl>
  </w:abstractNum>
  <w:abstractNum w:abstractNumId="24">
    <w:nsid w:val="2463B9EA"/>
    <w:multiLevelType w:val="hybridMultilevel"/>
    <w:lvl w:ilvl="0">
      <w:lvlJc w:val="left"/>
      <w:lvlText w:val="(%1)"/>
      <w:numFmt w:val="upperLetter"/>
      <w:start w:val="1"/>
    </w:lvl>
    <w:lvl w:ilvl="1">
      <w:lvlJc w:val="left"/>
      <w:lvlText w:val="(%2)"/>
      <w:numFmt w:val="lowerRoman"/>
      <w:start w:val="3"/>
    </w:lvl>
  </w:abstractNum>
  <w:abstractNum w:abstractNumId="25">
    <w:nsid w:val="5E884ADC"/>
    <w:multiLevelType w:val="hybridMultilevel"/>
    <w:lvl w:ilvl="0">
      <w:lvlJc w:val="left"/>
      <w:lvlText w:val="%1"/>
      <w:numFmt w:val="lowerLetter"/>
      <w:start w:val="1"/>
    </w:lvl>
    <w:lvl w:ilvl="1">
      <w:lvlJc w:val="left"/>
      <w:lvlText w:val="(%2)"/>
      <w:numFmt w:val="lowerRoman"/>
      <w:start w:val="4"/>
    </w:lvl>
  </w:abstractNum>
  <w:abstractNum w:abstractNumId="26">
    <w:nsid w:val="51EAD36B"/>
    <w:multiLevelType w:val="hybridMultilevel"/>
    <w:lvl w:ilvl="0">
      <w:lvlJc w:val="left"/>
      <w:lvlText w:val="(%1)"/>
      <w:numFmt w:val="lowerLetter"/>
      <w:start w:val="6"/>
    </w:lvl>
    <w:lvl w:ilvl="1">
      <w:lvlJc w:val="left"/>
      <w:lvlText w:val="%2"/>
      <w:numFmt w:val="lowerRoman"/>
      <w:start w:val="1"/>
    </w:lvl>
  </w:abstractNum>
  <w:abstractNum w:abstractNumId="27">
    <w:nsid w:val="2D517796"/>
    <w:multiLevelType w:val="hybridMultilevel"/>
    <w:lvl w:ilvl="0">
      <w:lvlJc w:val="left"/>
      <w:lvlText w:val="%1"/>
      <w:numFmt w:val="lowerLetter"/>
      <w:start w:val="1"/>
    </w:lvl>
    <w:lvl w:ilvl="1">
      <w:lvlJc w:val="left"/>
      <w:lvlText w:val="(%2)"/>
      <w:numFmt w:val="lowerLetter"/>
      <w:start w:val="10"/>
    </w:lvl>
  </w:abstractNum>
  <w:abstractNum w:abstractNumId="28">
    <w:nsid w:val="580BD78F"/>
    <w:multiLevelType w:val="hybridMultilevel"/>
    <w:lvl w:ilvl="0">
      <w:lvlJc w:val="left"/>
      <w:lvlText w:val="(%1)"/>
      <w:numFmt w:val="lowerLetter"/>
      <w:start w:val="35"/>
    </w:lvl>
    <w:lvl w:ilvl="1">
      <w:lvlJc w:val="left"/>
      <w:lvlText w:val="(%2)"/>
      <w:numFmt w:val="lowerLetter"/>
      <w:start w:val="18"/>
    </w:lvl>
  </w:abstractNum>
  <w:abstractNum w:abstractNumId="29">
    <w:nsid w:val="153EA438"/>
    <w:multiLevelType w:val="hybridMultilevel"/>
    <w:lvl w:ilvl="0">
      <w:lvlJc w:val="left"/>
      <w:lvlText w:val="(%1)"/>
      <w:numFmt w:val="lowerLetter"/>
      <w:start w:val="20"/>
    </w:lvl>
  </w:abstractNum>
  <w:abstractNum w:abstractNumId="30">
    <w:nsid w:val="3855585C"/>
    <w:multiLevelType w:val="hybridMultilevel"/>
    <w:lvl w:ilvl="0">
      <w:lvlJc w:val="left"/>
      <w:lvlText w:val="(%1)"/>
      <w:numFmt w:val="lowerLetter"/>
      <w:start w:val="21"/>
    </w:lvl>
  </w:abstractNum>
  <w:abstractNum w:abstractNumId="31">
    <w:nsid w:val="70A64E2A"/>
    <w:multiLevelType w:val="hybridMultilevel"/>
    <w:lvl w:ilvl="0">
      <w:lvlJc w:val="left"/>
      <w:lvlText w:val="(%1)"/>
      <w:numFmt w:val="lowerLetter"/>
      <w:start w:val="27"/>
    </w:lvl>
  </w:abstractNum>
  <w:abstractNum w:abstractNumId="32">
    <w:nsid w:val="6A2342EC"/>
    <w:multiLevelType w:val="hybridMultilevel"/>
    <w:lvl w:ilvl="0">
      <w:lvlJc w:val="left"/>
      <w:lvlText w:val="(%1)"/>
      <w:numFmt w:val="lowerLetter"/>
      <w:start w:val="35"/>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lvl w:ilvl="1">
      <w:lvlJc w:val="left"/>
      <w:lvlText w:val="(%2)"/>
      <w:numFmt w:val="decimal"/>
      <w:start w:val="1"/>
    </w:lvl>
  </w:abstractNum>
  <w:abstractNum w:abstractNumId="37">
    <w:nsid w:val="57E4CCAF"/>
    <w:multiLevelType w:val="hybridMultilevel"/>
    <w:lvl w:ilvl="0">
      <w:lvlJc w:val="left"/>
      <w:lvlText w:val="(%1)"/>
      <w:numFmt w:val="decimal"/>
      <w:start w:val="5"/>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1)"/>
      <w:numFmt w:val="lowerLetter"/>
      <w:start w:val="1"/>
    </w:lvl>
    <w:lvl w:ilvl="1">
      <w:lvlJc w:val="left"/>
      <w:lvlText w:val="(%2)"/>
      <w:numFmt w:val="decimal"/>
      <w:start w:val="1"/>
    </w:lvl>
  </w:abstractNum>
  <w:abstractNum w:abstractNumId="40">
    <w:nsid w:val="542289EC"/>
    <w:multiLevelType w:val="hybridMultilevel"/>
    <w:lvl w:ilvl="0">
      <w:lvlJc w:val="left"/>
      <w:lvlText w:val="(%1)"/>
      <w:numFmt w:val="lowerRoman"/>
      <w:start w:val="2"/>
    </w:lvl>
  </w:abstractNum>
  <w:abstractNum w:abstractNumId="41">
    <w:nsid w:val="6DE91B18"/>
    <w:multiLevelType w:val="hybridMultilevel"/>
    <w:lvl w:ilvl="0">
      <w:lvlJc w:val="left"/>
      <w:lvlText w:val="(%1)"/>
      <w:numFmt w:val="lowerRoman"/>
      <w:start w:val="3"/>
    </w:lvl>
  </w:abstractNum>
  <w:abstractNum w:abstractNumId="42">
    <w:nsid w:val="38437FDB"/>
    <w:multiLevelType w:val="hybridMultilevel"/>
    <w:lvl w:ilvl="0">
      <w:lvlJc w:val="left"/>
      <w:lvlText w:val="(%1)"/>
      <w:numFmt w:val="lowerLetter"/>
      <w:start w:val="1"/>
    </w:lvl>
    <w:lvl w:ilvl="1">
      <w:lvlJc w:val="left"/>
      <w:lvlText w:val="·"/>
      <w:numFmt w:val="bullet"/>
      <w:start w:val="1"/>
    </w:lvl>
  </w:abstractNum>
  <w:abstractNum w:abstractNumId="43">
    <w:nsid w:val="7644A45C"/>
    <w:multiLevelType w:val="hybridMultilevel"/>
    <w:lvl w:ilvl="0">
      <w:lvlJc w:val="left"/>
      <w:lvlText w:val="(%1)"/>
      <w:numFmt w:val="lowerLetter"/>
      <w:start w:val="3"/>
    </w:lvl>
  </w:abstractNum>
  <w:abstractNum w:abstractNumId="44">
    <w:nsid w:val="32FFF902"/>
    <w:multiLevelType w:val="hybridMultilevel"/>
    <w:lvl w:ilvl="0">
      <w:lvlJc w:val="left"/>
      <w:lvlText w:val="(%1)"/>
      <w:numFmt w:val="lowerLetter"/>
      <w:start w:val="6"/>
    </w:lvl>
  </w:abstractNum>
  <w:abstractNum w:abstractNumId="45">
    <w:nsid w:val="684A481A"/>
    <w:multiLevelType w:val="hybridMultilevel"/>
    <w:lvl w:ilvl="0">
      <w:lvlJc w:val="left"/>
      <w:lvlText w:val="(%1)"/>
      <w:numFmt w:val="lowerRoman"/>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3"/>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3"/>
    </w:lvl>
  </w:abstractNum>
  <w:abstractNum w:abstractNumId="51">
    <w:nsid w:val="75C6C33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2019-12-13T13:14:19Z</dcterms:created>
  <dcterms:modified xsi:type="dcterms:W3CDTF">2019-12-13T13:14:19Z</dcterms:modified>
</cp:coreProperties>
</file>