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595112103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64,731,679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64,749,634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64,749,634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5.9%</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right="734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Micron Technology, Inc.</w:t>
      </w:r>
    </w:p>
    <w:p>
      <w:pPr>
        <w:spacing w:after="0" w:line="12" w:lineRule="exact"/>
        <w:rPr>
          <w:rFonts w:ascii="Arial" w:cs="Arial" w:eastAsia="Arial" w:hAnsi="Arial"/>
          <w:sz w:val="19"/>
          <w:szCs w:val="19"/>
          <w:b w:val="1"/>
          <w:bCs w:val="1"/>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8000 South Federal Way, PO BOX 6, Boise, ID 83716-9632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580" w:right="406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580" w:right="842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80" w:right="706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80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595112103</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40"/>
          </w:cols>
          <w:pgMar w:left="400" w:top="423" w:right="45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40"/>
            <w:col w:w="8720"/>
          </w:cols>
          <w:pgMar w:left="400" w:top="423" w:right="459" w:bottom="0" w:gutter="0" w:footer="0" w:header="0"/>
          <w:type w:val="continuous"/>
        </w:sect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23" w:right="45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64,749,634 **</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5.9%</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20" w:hanging="745"/>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2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20" w:right="780" w:hanging="745"/>
        <w:spacing w:after="0" w:line="183" w:lineRule="auto"/>
        <w:tabs>
          <w:tab w:leader="none" w:pos="232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64,731,679</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64,749,634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80"/>
            <w:col w:w="4260"/>
          </w:cols>
          <w:pgMar w:left="400" w:top="423" w:right="459" w:bottom="0" w:gutter="0" w:footer="0" w:header="0"/>
          <w:type w:val="continuous"/>
        </w:sectPr>
      </w:pPr>
    </w:p>
    <w:p>
      <w:pPr>
        <w:spacing w:after="0" w:line="282"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23" w:right="459" w:bottom="0" w:gutter="0" w:footer="0" w:header="0"/>
          <w:type w:val="continuous"/>
        </w:sectPr>
      </w:pPr>
    </w:p>
    <w:bookmarkStart w:id="3" w:name="page4"/>
    <w:bookmarkEnd w:id="3"/>
    <w:p>
      <w:pPr>
        <w:ind w:right="20"/>
        <w:spacing w:after="0" w:line="251" w:lineRule="auto"/>
        <w:rPr>
          <w:sz w:val="20"/>
          <w:szCs w:val="20"/>
          <w:color w:val="auto"/>
        </w:rPr>
      </w:pPr>
      <w:r>
        <w:rPr>
          <w:rFonts w:ascii="Arial" w:cs="Arial" w:eastAsia="Arial" w:hAnsi="Arial"/>
          <w:sz w:val="22"/>
          <w:szCs w:val="22"/>
          <w:color w:val="auto"/>
        </w:rPr>
        <w:t>the name "Capital Research Global Investors." CRGI is deemed to be the beneficial owner of 64,749,634 shares or 5.9% of the 1,091,176,552 shares believed to be outstanding.</w:t>
      </w:r>
    </w:p>
    <w:p>
      <w:pPr>
        <w:spacing w:after="0" w:line="86"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2023-02-13T14:40:50Z</dcterms:created>
  <dcterms:modified xsi:type="dcterms:W3CDTF">2023-02-13T14:40:50Z</dcterms:modified>
</cp:coreProperties>
</file>