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28, 2023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160655</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36830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0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4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900" w:type="dxa"/>
            <w:vAlign w:val="bottom"/>
          </w:tcPr>
          <w:p>
            <w:pPr>
              <w:jc w:val="center"/>
              <w:ind w:right="30"/>
              <w:spacing w:after="0"/>
              <w:rPr>
                <w:sz w:val="20"/>
                <w:szCs w:val="20"/>
                <w:color w:val="auto"/>
              </w:rPr>
            </w:pPr>
            <w:r>
              <w:rPr>
                <w:rFonts w:ascii="Arial" w:cs="Arial" w:eastAsia="Arial" w:hAnsi="Arial"/>
                <w:sz w:val="18"/>
                <w:szCs w:val="18"/>
                <w:color w:val="auto"/>
                <w:w w:val="99"/>
              </w:rPr>
              <w:t>(IRS Employer Identification No.)</w:t>
            </w:r>
          </w:p>
        </w:tc>
      </w:tr>
    </w:tbl>
    <w:p>
      <w:pPr>
        <w:spacing w:after="0" w:line="112"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4"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3257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8"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34"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1951355</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7"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Pr>
          <w:p>
            <w:pPr>
              <w:jc w:val="cente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25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00" w:type="dxa"/>
            <w:vAlign w:val="bottom"/>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2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580" w:type="dxa"/>
            <w:vAlign w:val="bottom"/>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MU</w:t>
            </w:r>
          </w:p>
        </w:tc>
        <w:tc>
          <w:tcPr>
            <w:tcW w:w="12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82"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348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34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00" w:lineRule="exact"/>
        <w:rPr>
          <w:sz w:val="20"/>
          <w:szCs w:val="20"/>
          <w:color w:val="auto"/>
        </w:rPr>
      </w:pPr>
    </w:p>
    <w:p>
      <w:pPr>
        <w:spacing w:after="0" w:line="25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On June 28, 2023, we announced the financial results for our third quarter of fiscal 2023 ended June 1, 2023. The full text of the press release issued in connection with the announcement is attached as Exhibit 99.1 to this Current Report on Form 8-K.</w:t>
      </w:r>
    </w:p>
    <w:p>
      <w:pPr>
        <w:spacing w:after="0" w:line="28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10060" w:type="dxa"/>
            <w:vAlign w:val="bottom"/>
            <w:gridSpan w:val="5"/>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4"/>
        </w:trPr>
        <w:tc>
          <w:tcPr>
            <w:tcW w:w="1180" w:type="dxa"/>
            <w:vAlign w:val="bottom"/>
          </w:tcPr>
          <w:p>
            <w:pPr>
              <w:spacing w:after="0"/>
              <w:rPr>
                <w:sz w:val="24"/>
                <w:szCs w:val="24"/>
                <w:color w:val="auto"/>
              </w:rPr>
            </w:pPr>
          </w:p>
        </w:tc>
        <w:tc>
          <w:tcPr>
            <w:tcW w:w="10060" w:type="dxa"/>
            <w:vAlign w:val="bottom"/>
            <w:gridSpan w:val="5"/>
          </w:tcPr>
          <w:p>
            <w:pPr>
              <w:ind w:left="200"/>
              <w:spacing w:after="0"/>
              <w:rPr>
                <w:sz w:val="20"/>
                <w:szCs w:val="20"/>
                <w:color w:val="auto"/>
              </w:rPr>
            </w:pPr>
            <w:r>
              <w:rPr>
                <w:rFonts w:ascii="Arial" w:cs="Arial" w:eastAsia="Arial" w:hAnsi="Arial"/>
                <w:sz w:val="18"/>
                <w:szCs w:val="18"/>
                <w:color w:val="auto"/>
              </w:rPr>
              <w:t>(d) Exhibits.</w:t>
            </w:r>
          </w:p>
        </w:tc>
      </w:tr>
      <w:tr>
        <w:trPr>
          <w:trHeight w:val="688"/>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Pr>
          <w:p>
            <w:pPr>
              <w:spacing w:after="0"/>
              <w:rPr>
                <w:sz w:val="24"/>
                <w:szCs w:val="24"/>
                <w:color w:val="auto"/>
              </w:rPr>
            </w:pPr>
          </w:p>
        </w:tc>
      </w:tr>
      <w:tr>
        <w:trPr>
          <w:trHeight w:val="183"/>
        </w:trPr>
        <w:tc>
          <w:tcPr>
            <w:tcW w:w="118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3"/>
          </w:tcPr>
          <w:p>
            <w:pPr>
              <w:spacing w:after="0" w:line="182" w:lineRule="exact"/>
              <w:rPr>
                <w:sz w:val="20"/>
                <w:szCs w:val="20"/>
                <w:color w:val="auto"/>
              </w:rPr>
            </w:pPr>
            <w:r>
              <w:rPr>
                <w:rFonts w:ascii="Arial" w:cs="Arial" w:eastAsia="Arial" w:hAnsi="Arial"/>
                <w:sz w:val="18"/>
                <w:szCs w:val="18"/>
                <w:color w:val="0000FF"/>
              </w:rPr>
              <w:t>Press Release issued on June 28, 2023</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r>
      <w:tr>
        <w:trPr>
          <w:trHeight w:val="263"/>
        </w:trPr>
        <w:tc>
          <w:tcPr>
            <w:tcW w:w="1180" w:type="dxa"/>
            <w:vAlign w:val="bottom"/>
          </w:tcPr>
          <w:p>
            <w:pPr>
              <w:jc w:val="right"/>
              <w:ind w:right="35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5"/>
        </w:trPr>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6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680" w:type="dxa"/>
            <w:vAlign w:val="bottom"/>
          </w:tcPr>
          <w:p>
            <w:pPr>
              <w:spacing w:after="0"/>
              <w:rPr>
                <w:sz w:val="21"/>
                <w:szCs w:val="21"/>
                <w:color w:val="auto"/>
              </w:rPr>
            </w:pPr>
          </w:p>
        </w:tc>
        <w:tc>
          <w:tcPr>
            <w:tcW w:w="7540" w:type="dxa"/>
            <w:vAlign w:val="bottom"/>
            <w:gridSpan w:val="2"/>
          </w:tcPr>
          <w:p>
            <w:pPr>
              <w:ind w:left="178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680" w:type="dxa"/>
            <w:vAlign w:val="bottom"/>
          </w:tcPr>
          <w:p>
            <w:pPr>
              <w:spacing w:after="0"/>
              <w:rPr>
                <w:sz w:val="20"/>
                <w:szCs w:val="20"/>
                <w:color w:val="auto"/>
              </w:rPr>
            </w:pPr>
            <w:r>
              <w:rPr>
                <w:rFonts w:ascii="Arial" w:cs="Arial" w:eastAsia="Arial" w:hAnsi="Arial"/>
                <w:sz w:val="18"/>
                <w:szCs w:val="18"/>
                <w:color w:val="auto"/>
              </w:rPr>
              <w:t>Date:    June 28, 2023</w:t>
            </w:r>
          </w:p>
        </w:tc>
        <w:tc>
          <w:tcPr>
            <w:tcW w:w="2700" w:type="dxa"/>
            <w:vAlign w:val="bottom"/>
          </w:tcPr>
          <w:p>
            <w:pPr>
              <w:ind w:left="178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23"/>
        </w:trPr>
        <w:tc>
          <w:tcPr>
            <w:tcW w:w="3680" w:type="dxa"/>
            <w:vAlign w:val="bottom"/>
          </w:tcPr>
          <w:p>
            <w:pPr>
              <w:spacing w:after="0"/>
              <w:rPr>
                <w:sz w:val="19"/>
                <w:szCs w:val="19"/>
                <w:color w:val="auto"/>
              </w:rPr>
            </w:pPr>
          </w:p>
        </w:tc>
        <w:tc>
          <w:tcPr>
            <w:tcW w:w="2700" w:type="dxa"/>
            <w:vAlign w:val="bottom"/>
          </w:tcPr>
          <w:p>
            <w:pPr>
              <w:ind w:left="1780"/>
              <w:spacing w:after="0"/>
              <w:rPr>
                <w:sz w:val="20"/>
                <w:szCs w:val="20"/>
                <w:color w:val="auto"/>
              </w:rPr>
            </w:pPr>
            <w:r>
              <w:rPr>
                <w:rFonts w:ascii="Arial" w:cs="Arial" w:eastAsia="Arial" w:hAnsi="Arial"/>
                <w:sz w:val="18"/>
                <w:szCs w:val="18"/>
                <w:color w:val="auto"/>
              </w:rPr>
              <w:t>Name:</w:t>
            </w:r>
          </w:p>
        </w:tc>
        <w:tc>
          <w:tcPr>
            <w:tcW w:w="484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43"/>
        </w:trPr>
        <w:tc>
          <w:tcPr>
            <w:tcW w:w="3680" w:type="dxa"/>
            <w:vAlign w:val="bottom"/>
          </w:tcPr>
          <w:p>
            <w:pPr>
              <w:spacing w:after="0"/>
              <w:rPr>
                <w:sz w:val="21"/>
                <w:szCs w:val="21"/>
                <w:color w:val="auto"/>
              </w:rPr>
            </w:pPr>
          </w:p>
        </w:tc>
        <w:tc>
          <w:tcPr>
            <w:tcW w:w="2700" w:type="dxa"/>
            <w:vAlign w:val="bottom"/>
          </w:tcPr>
          <w:p>
            <w:pPr>
              <w:ind w:left="1780"/>
              <w:spacing w:after="0"/>
              <w:rPr>
                <w:sz w:val="20"/>
                <w:szCs w:val="20"/>
                <w:color w:val="auto"/>
              </w:rPr>
            </w:pPr>
            <w:r>
              <w:rPr>
                <w:rFonts w:ascii="Arial" w:cs="Arial" w:eastAsia="Arial" w:hAnsi="Arial"/>
                <w:sz w:val="18"/>
                <w:szCs w:val="18"/>
                <w:color w:val="auto"/>
              </w:rPr>
              <w:t>Title:</w:t>
            </w:r>
          </w:p>
        </w:tc>
        <w:tc>
          <w:tcPr>
            <w:tcW w:w="48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2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4" w:lineRule="exact"/>
        <w:rPr>
          <w:sz w:val="20"/>
          <w:szCs w:val="20"/>
          <w:color w:val="auto"/>
        </w:rPr>
      </w:pPr>
    </w:p>
    <w:tbl>
      <w:tblPr>
        <w:tblLayout w:type="fixed"/>
        <w:tblInd w:w="260" w:type="dxa"/>
        <w:tblCellMar>
          <w:top w:w="0" w:type="dxa"/>
          <w:left w:w="0" w:type="dxa"/>
          <w:bottom w:w="0" w:type="dxa"/>
          <w:right w:w="0" w:type="dxa"/>
        </w:tblCellMar>
      </w:tblP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2180" w:type="dxa"/>
            <w:vAlign w:val="bottom"/>
          </w:tcPr>
          <w:p>
            <w:pPr>
              <w:spacing w:after="0"/>
              <w:rPr>
                <w:sz w:val="20"/>
                <w:szCs w:val="20"/>
                <w:color w:val="auto"/>
              </w:rPr>
            </w:pPr>
            <w:r>
              <w:rPr>
                <w:rFonts w:ascii="Arial" w:cs="Arial" w:eastAsia="Arial" w:hAnsi="Arial"/>
                <w:sz w:val="18"/>
                <w:szCs w:val="18"/>
                <w:color w:val="auto"/>
              </w:rPr>
              <w:t>Farhan Ahmad</w:t>
            </w:r>
          </w:p>
        </w:tc>
        <w:tc>
          <w:tcPr>
            <w:tcW w:w="2920" w:type="dxa"/>
            <w:vAlign w:val="bottom"/>
            <w:gridSpan w:val="3"/>
          </w:tcPr>
          <w:p>
            <w:pPr>
              <w:ind w:left="920"/>
              <w:spacing w:after="0"/>
              <w:rPr>
                <w:sz w:val="20"/>
                <w:szCs w:val="20"/>
                <w:color w:val="auto"/>
              </w:rPr>
            </w:pPr>
            <w:r>
              <w:rPr>
                <w:rFonts w:ascii="Arial" w:cs="Arial" w:eastAsia="Arial" w:hAnsi="Arial"/>
                <w:sz w:val="18"/>
                <w:szCs w:val="18"/>
                <w:color w:val="auto"/>
                <w:w w:val="98"/>
              </w:rPr>
              <w:t>Erica Rodriguez Pompen</w:t>
            </w:r>
          </w:p>
        </w:tc>
      </w:tr>
      <w:tr>
        <w:trPr>
          <w:trHeight w:val="243"/>
        </w:trPr>
        <w:tc>
          <w:tcPr>
            <w:tcW w:w="150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Investor Relations</w:t>
            </w:r>
          </w:p>
        </w:tc>
        <w:tc>
          <w:tcPr>
            <w:tcW w:w="2920" w:type="dxa"/>
            <w:vAlign w:val="bottom"/>
            <w:gridSpan w:val="3"/>
          </w:tcPr>
          <w:p>
            <w:pPr>
              <w:ind w:left="920"/>
              <w:spacing w:after="0"/>
              <w:rPr>
                <w:sz w:val="20"/>
                <w:szCs w:val="20"/>
                <w:color w:val="auto"/>
              </w:rPr>
            </w:pPr>
            <w:r>
              <w:rPr>
                <w:rFonts w:ascii="Arial" w:cs="Arial" w:eastAsia="Arial" w:hAnsi="Arial"/>
                <w:sz w:val="18"/>
                <w:szCs w:val="18"/>
                <w:color w:val="auto"/>
              </w:rPr>
              <w:t>Media Relations</w:t>
            </w:r>
          </w:p>
        </w:tc>
      </w:tr>
      <w:tr>
        <w:trPr>
          <w:trHeight w:val="189"/>
        </w:trPr>
        <w:tc>
          <w:tcPr>
            <w:tcW w:w="1500" w:type="dxa"/>
            <w:vAlign w:val="bottom"/>
          </w:tcPr>
          <w:p>
            <w:pPr>
              <w:spacing w:after="0"/>
              <w:rPr>
                <w:sz w:val="16"/>
                <w:szCs w:val="16"/>
                <w:color w:val="auto"/>
              </w:rPr>
            </w:pPr>
          </w:p>
        </w:tc>
        <w:tc>
          <w:tcPr>
            <w:tcW w:w="2180" w:type="dxa"/>
            <w:vAlign w:val="bottom"/>
            <w:tcBorders>
              <w:bottom w:val="single" w:sz="8" w:color="0090DA"/>
            </w:tcBorders>
          </w:tcPr>
          <w:p>
            <w:pPr>
              <w:spacing w:after="0" w:line="189" w:lineRule="exact"/>
              <w:rPr>
                <w:sz w:val="20"/>
                <w:szCs w:val="20"/>
                <w:color w:val="auto"/>
              </w:rPr>
            </w:pPr>
            <w:r>
              <w:rPr>
                <w:rFonts w:ascii="Arial" w:cs="Arial" w:eastAsia="Arial" w:hAnsi="Arial"/>
                <w:sz w:val="18"/>
                <w:szCs w:val="18"/>
                <w:color w:val="0090DA"/>
                <w:w w:val="99"/>
              </w:rPr>
              <w:t>farhanahmad@micron.com</w:t>
            </w:r>
          </w:p>
        </w:tc>
        <w:tc>
          <w:tcPr>
            <w:tcW w:w="920" w:type="dxa"/>
            <w:vAlign w:val="bottom"/>
          </w:tcPr>
          <w:p>
            <w:pPr>
              <w:spacing w:after="0"/>
              <w:rPr>
                <w:sz w:val="16"/>
                <w:szCs w:val="16"/>
                <w:color w:val="auto"/>
              </w:rPr>
            </w:pPr>
          </w:p>
        </w:tc>
        <w:tc>
          <w:tcPr>
            <w:tcW w:w="1880" w:type="dxa"/>
            <w:vAlign w:val="bottom"/>
            <w:tcBorders>
              <w:bottom w:val="single" w:sz="8" w:color="0090DA"/>
            </w:tcBorders>
          </w:tcPr>
          <w:p>
            <w:pPr>
              <w:spacing w:after="0" w:line="189" w:lineRule="exact"/>
              <w:rPr>
                <w:sz w:val="20"/>
                <w:szCs w:val="20"/>
                <w:color w:val="auto"/>
              </w:rPr>
            </w:pPr>
            <w:r>
              <w:rPr>
                <w:rFonts w:ascii="Arial" w:cs="Arial" w:eastAsia="Arial" w:hAnsi="Arial"/>
                <w:sz w:val="18"/>
                <w:szCs w:val="18"/>
                <w:color w:val="0090DA"/>
                <w:w w:val="99"/>
              </w:rPr>
              <w:t>epompen@micron.com</w:t>
            </w:r>
          </w:p>
        </w:tc>
        <w:tc>
          <w:tcPr>
            <w:tcW w:w="120" w:type="dxa"/>
            <w:vAlign w:val="bottom"/>
          </w:tcPr>
          <w:p>
            <w:pPr>
              <w:spacing w:after="0"/>
              <w:rPr>
                <w:sz w:val="16"/>
                <w:szCs w:val="16"/>
                <w:color w:val="auto"/>
              </w:rPr>
            </w:pPr>
          </w:p>
        </w:tc>
      </w:tr>
      <w:tr>
        <w:trPr>
          <w:trHeight w:val="250"/>
        </w:trPr>
        <w:tc>
          <w:tcPr>
            <w:tcW w:w="150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(408) 834-1927</w:t>
            </w:r>
          </w:p>
        </w:tc>
        <w:tc>
          <w:tcPr>
            <w:tcW w:w="2800" w:type="dxa"/>
            <w:vAlign w:val="bottom"/>
            <w:gridSpan w:val="2"/>
          </w:tcPr>
          <w:p>
            <w:pPr>
              <w:ind w:left="920"/>
              <w:spacing w:after="0"/>
              <w:rPr>
                <w:sz w:val="20"/>
                <w:szCs w:val="20"/>
                <w:color w:val="auto"/>
              </w:rPr>
            </w:pPr>
            <w:r>
              <w:rPr>
                <w:rFonts w:ascii="Arial" w:cs="Arial" w:eastAsia="Arial" w:hAnsi="Arial"/>
                <w:sz w:val="18"/>
                <w:szCs w:val="18"/>
                <w:color w:val="auto"/>
              </w:rPr>
              <w:t>(408) 834-1873</w:t>
            </w:r>
          </w:p>
        </w:tc>
        <w:tc>
          <w:tcPr>
            <w:tcW w:w="1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OF FISCAL 2023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Further reducing wafer starts to approach 30% in both DRAM and NAND</w:t>
      </w:r>
    </w:p>
    <w:p>
      <w:pPr>
        <w:spacing w:after="0" w:line="24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June 28, 2023 – Micron Technology, Inc. (Nasdaq: MU) today announced results for its third quarter of fiscal 2023,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1, 2023.</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Q3 2023 highlights</w:t>
      </w:r>
    </w:p>
    <w:p>
      <w:pPr>
        <w:spacing w:after="0" w:line="3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$3.75 billion versus $3.69 billion for the prior quarter and $8.64 billion for the same period last year</w:t>
      </w:r>
    </w:p>
    <w:p>
      <w:pPr>
        <w:spacing w:after="0" w:line="9" w:lineRule="exact"/>
        <w:rPr>
          <w:rFonts w:ascii="Arial" w:cs="Arial" w:eastAsia="Arial" w:hAnsi="Arial"/>
          <w:sz w:val="18"/>
          <w:szCs w:val="18"/>
          <w:color w:val="auto"/>
        </w:rPr>
      </w:pPr>
    </w:p>
    <w:p>
      <w:pPr>
        <w:ind w:left="1300" w:hanging="320"/>
        <w:spacing w:after="0" w:line="23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loss of $1.90 billion, or $1.73 per diluted share</w:t>
      </w: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loss of $1.57 billion, or $1.43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$24 million versus $343 million for the prior quarter and $3.84 billion for the same period last year</w:t>
      </w:r>
    </w:p>
    <w:p>
      <w:pPr>
        <w:spacing w:after="0" w:line="2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“Micron delivered fiscal third quarter revenue, gross margin, and EPS all above the midpoint of the guidance range,” said Micron Technology President and CEO Sanjay Mehrotra. “We believe that the memory industry has passed its trough in revenue, and we expect margins to improve as industry supply-demand balance is gradually restored. The recent Cyberspace Administration of China (“CAC”) decision is a significant headwind that is impacting our outlook and slowing our recovery. Longer-term, Micron’s technology leadership, product portfolio, and operational excellence continues to strengthen our competitive positioning across diverse growth markets, including AI and memory-centric computing.”</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6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80" w:type="dxa"/>
            <w:vAlign w:val="bottom"/>
            <w:tcBorders>
              <w:bottom w:val="single" w:sz="8" w:color="0090DA"/>
            </w:tcBorders>
          </w:tcPr>
          <w:p>
            <w:pPr>
              <w:spacing w:after="0"/>
              <w:rPr>
                <w:sz w:val="23"/>
                <w:szCs w:val="23"/>
                <w:color w:val="auto"/>
              </w:rPr>
            </w:pPr>
          </w:p>
        </w:tc>
        <w:tc>
          <w:tcPr>
            <w:tcW w:w="180" w:type="dxa"/>
            <w:vAlign w:val="bottom"/>
            <w:tcBorders>
              <w:bottom w:val="single" w:sz="8" w:color="0090DA"/>
            </w:tcBorders>
          </w:tcPr>
          <w:p>
            <w:pPr>
              <w:spacing w:after="0"/>
              <w:rPr>
                <w:sz w:val="23"/>
                <w:szCs w:val="23"/>
                <w:color w:val="auto"/>
              </w:rPr>
            </w:pPr>
          </w:p>
        </w:tc>
        <w:tc>
          <w:tcPr>
            <w:tcW w:w="1000" w:type="dxa"/>
            <w:vAlign w:val="bottom"/>
            <w:tcBorders>
              <w:bottom w:val="single" w:sz="8" w:color="0090DA"/>
            </w:tcBorders>
          </w:tcPr>
          <w:p>
            <w:pPr>
              <w:jc w:val="right"/>
              <w:ind w:right="190"/>
              <w:spacing w:after="0"/>
              <w:rPr>
                <w:sz w:val="20"/>
                <w:szCs w:val="20"/>
                <w:color w:val="auto"/>
              </w:rPr>
            </w:pPr>
            <w:r>
              <w:rPr>
                <w:rFonts w:ascii="Arial" w:cs="Arial" w:eastAsia="Arial" w:hAnsi="Arial"/>
                <w:sz w:val="18"/>
                <w:szCs w:val="18"/>
                <w:b w:val="1"/>
                <w:bCs w:val="1"/>
                <w:color w:val="auto"/>
                <w:w w:val="98"/>
              </w:rPr>
              <w:t>GAAP</w:t>
            </w:r>
            <w:r>
              <w:rPr>
                <w:rFonts w:ascii="Arial" w:cs="Arial" w:eastAsia="Arial" w:hAnsi="Arial"/>
                <w:sz w:val="23"/>
                <w:szCs w:val="23"/>
                <w:b w:val="1"/>
                <w:bCs w:val="1"/>
                <w:color w:val="auto"/>
                <w:w w:val="98"/>
                <w:vertAlign w:val="superscript"/>
              </w:rPr>
              <w:t>(1)</w:t>
            </w:r>
          </w:p>
        </w:tc>
        <w:tc>
          <w:tcPr>
            <w:tcW w:w="200" w:type="dxa"/>
            <w:vAlign w:val="bottom"/>
            <w:tcBorders>
              <w:bottom w:val="single" w:sz="8" w:color="0090DA"/>
            </w:tcBorders>
          </w:tcPr>
          <w:p>
            <w:pPr>
              <w:spacing w:after="0"/>
              <w:rPr>
                <w:sz w:val="23"/>
                <w:szCs w:val="23"/>
                <w:color w:val="auto"/>
              </w:rPr>
            </w:pPr>
          </w:p>
        </w:tc>
        <w:tc>
          <w:tcPr>
            <w:tcW w:w="920" w:type="dxa"/>
            <w:vAlign w:val="bottom"/>
            <w:tcBorders>
              <w:bottom w:val="single" w:sz="8" w:color="0090DA"/>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80" w:type="dxa"/>
            <w:vAlign w:val="bottom"/>
            <w:tcBorders>
              <w:bottom w:val="single" w:sz="8" w:color="0090DA"/>
            </w:tcBorders>
          </w:tcPr>
          <w:p>
            <w:pPr>
              <w:spacing w:after="0"/>
              <w:rPr>
                <w:sz w:val="23"/>
                <w:szCs w:val="23"/>
                <w:color w:val="auto"/>
              </w:rPr>
            </w:pPr>
          </w:p>
        </w:tc>
        <w:tc>
          <w:tcPr>
            <w:tcW w:w="1200" w:type="dxa"/>
            <w:vAlign w:val="bottom"/>
            <w:tcBorders>
              <w:bottom w:val="single" w:sz="8" w:color="0090DA"/>
            </w:tcBorders>
            <w:gridSpan w:val="2"/>
          </w:tcPr>
          <w:p>
            <w:pPr>
              <w:ind w:left="40"/>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c>
          <w:tcPr>
            <w:tcW w:w="18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r>
      <w:tr>
        <w:trPr>
          <w:trHeight w:val="250"/>
        </w:trPr>
        <w:tc>
          <w:tcPr>
            <w:tcW w:w="4160" w:type="dxa"/>
            <w:vAlign w:val="bottom"/>
            <w:tcBorders>
              <w:bottom w:val="single" w:sz="8" w:color="0090DA"/>
            </w:tcBorders>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tcPr>
          <w:p>
            <w:pPr>
              <w:jc w:val="right"/>
              <w:ind w:right="190"/>
              <w:spacing w:after="0"/>
              <w:rPr>
                <w:sz w:val="20"/>
                <w:szCs w:val="20"/>
                <w:color w:val="auto"/>
              </w:rPr>
            </w:pPr>
            <w:r>
              <w:rPr>
                <w:rFonts w:ascii="Arial" w:cs="Arial" w:eastAsia="Arial" w:hAnsi="Arial"/>
                <w:sz w:val="18"/>
                <w:szCs w:val="18"/>
                <w:b w:val="1"/>
                <w:bCs w:val="1"/>
                <w:color w:val="auto"/>
              </w:rPr>
              <w:t>FQ3-23</w:t>
            </w:r>
          </w:p>
        </w:tc>
        <w:tc>
          <w:tcPr>
            <w:tcW w:w="18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tcPr>
          <w:p>
            <w:pPr>
              <w:jc w:val="right"/>
              <w:ind w:right="190"/>
              <w:spacing w:after="0"/>
              <w:rPr>
                <w:sz w:val="20"/>
                <w:szCs w:val="20"/>
                <w:color w:val="auto"/>
              </w:rPr>
            </w:pPr>
            <w:r>
              <w:rPr>
                <w:rFonts w:ascii="Arial" w:cs="Arial" w:eastAsia="Arial" w:hAnsi="Arial"/>
                <w:sz w:val="18"/>
                <w:szCs w:val="18"/>
                <w:b w:val="1"/>
                <w:bCs w:val="1"/>
                <w:color w:val="auto"/>
              </w:rPr>
              <w:t>FQ2-23</w:t>
            </w:r>
          </w:p>
        </w:tc>
        <w:tc>
          <w:tcPr>
            <w:tcW w:w="200" w:type="dxa"/>
            <w:vAlign w:val="bottom"/>
            <w:tcBorders>
              <w:bottom w:val="single" w:sz="8" w:color="0090DA"/>
            </w:tcBorders>
          </w:tcPr>
          <w:p>
            <w:pPr>
              <w:spacing w:after="0"/>
              <w:rPr>
                <w:sz w:val="21"/>
                <w:szCs w:val="21"/>
                <w:color w:val="auto"/>
              </w:rPr>
            </w:pPr>
          </w:p>
        </w:tc>
        <w:tc>
          <w:tcPr>
            <w:tcW w:w="920" w:type="dxa"/>
            <w:vAlign w:val="bottom"/>
            <w:tcBorders>
              <w:bottom w:val="single" w:sz="8" w:color="0090DA"/>
            </w:tcBorders>
          </w:tcPr>
          <w:p>
            <w:pPr>
              <w:jc w:val="right"/>
              <w:ind w:right="150"/>
              <w:spacing w:after="0"/>
              <w:rPr>
                <w:sz w:val="20"/>
                <w:szCs w:val="20"/>
                <w:color w:val="auto"/>
              </w:rPr>
            </w:pPr>
            <w:r>
              <w:rPr>
                <w:rFonts w:ascii="Arial" w:cs="Arial" w:eastAsia="Arial" w:hAnsi="Arial"/>
                <w:sz w:val="18"/>
                <w:szCs w:val="18"/>
                <w:b w:val="1"/>
                <w:bCs w:val="1"/>
                <w:color w:val="auto"/>
              </w:rPr>
              <w:t>FQ3-22</w:t>
            </w:r>
          </w:p>
        </w:tc>
        <w:tc>
          <w:tcPr>
            <w:tcW w:w="100" w:type="dxa"/>
            <w:vAlign w:val="bottom"/>
          </w:tcPr>
          <w:p>
            <w:pPr>
              <w:spacing w:after="0"/>
              <w:rPr>
                <w:sz w:val="21"/>
                <w:szCs w:val="21"/>
                <w:color w:val="auto"/>
              </w:rPr>
            </w:pPr>
          </w:p>
        </w:tc>
        <w:tc>
          <w:tcPr>
            <w:tcW w:w="20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tcPr>
          <w:p>
            <w:pPr>
              <w:jc w:val="right"/>
              <w:ind w:right="190"/>
              <w:spacing w:after="0"/>
              <w:rPr>
                <w:sz w:val="20"/>
                <w:szCs w:val="20"/>
                <w:color w:val="auto"/>
              </w:rPr>
            </w:pPr>
            <w:r>
              <w:rPr>
                <w:rFonts w:ascii="Arial" w:cs="Arial" w:eastAsia="Arial" w:hAnsi="Arial"/>
                <w:sz w:val="18"/>
                <w:szCs w:val="18"/>
                <w:b w:val="1"/>
                <w:bCs w:val="1"/>
                <w:color w:val="auto"/>
              </w:rPr>
              <w:t>FQ3-23</w:t>
            </w:r>
          </w:p>
        </w:tc>
        <w:tc>
          <w:tcPr>
            <w:tcW w:w="22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tcPr>
          <w:p>
            <w:pPr>
              <w:jc w:val="right"/>
              <w:ind w:right="210"/>
              <w:spacing w:after="0"/>
              <w:rPr>
                <w:sz w:val="20"/>
                <w:szCs w:val="20"/>
                <w:color w:val="auto"/>
              </w:rPr>
            </w:pPr>
            <w:r>
              <w:rPr>
                <w:rFonts w:ascii="Arial" w:cs="Arial" w:eastAsia="Arial" w:hAnsi="Arial"/>
                <w:sz w:val="18"/>
                <w:szCs w:val="18"/>
                <w:b w:val="1"/>
                <w:bCs w:val="1"/>
                <w:color w:val="auto"/>
              </w:rPr>
              <w:t>FQ2-23</w:t>
            </w:r>
          </w:p>
        </w:tc>
        <w:tc>
          <w:tcPr>
            <w:tcW w:w="180" w:type="dxa"/>
            <w:vAlign w:val="bottom"/>
            <w:tcBorders>
              <w:bottom w:val="single" w:sz="8" w:color="0090DA"/>
            </w:tcBorders>
          </w:tcPr>
          <w:p>
            <w:pPr>
              <w:spacing w:after="0"/>
              <w:rPr>
                <w:sz w:val="21"/>
                <w:szCs w:val="21"/>
                <w:color w:val="auto"/>
              </w:rPr>
            </w:pPr>
          </w:p>
        </w:tc>
        <w:tc>
          <w:tcPr>
            <w:tcW w:w="940" w:type="dxa"/>
            <w:vAlign w:val="bottom"/>
            <w:tcBorders>
              <w:bottom w:val="single" w:sz="8" w:color="0090DA"/>
            </w:tcBorders>
          </w:tcPr>
          <w:p>
            <w:pPr>
              <w:jc w:val="right"/>
              <w:ind w:right="170"/>
              <w:spacing w:after="0"/>
              <w:rPr>
                <w:sz w:val="20"/>
                <w:szCs w:val="20"/>
                <w:color w:val="auto"/>
              </w:rPr>
            </w:pPr>
            <w:r>
              <w:rPr>
                <w:rFonts w:ascii="Arial" w:cs="Arial" w:eastAsia="Arial" w:hAnsi="Arial"/>
                <w:sz w:val="18"/>
                <w:szCs w:val="18"/>
                <w:b w:val="1"/>
                <w:bCs w:val="1"/>
                <w:color w:val="auto"/>
              </w:rPr>
              <w:t>FQ3-22</w:t>
            </w:r>
          </w:p>
        </w:tc>
      </w:tr>
      <w:tr>
        <w:trPr>
          <w:trHeight w:val="48"/>
        </w:trPr>
        <w:tc>
          <w:tcPr>
            <w:tcW w:w="4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29"/>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3,752</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3,693</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8,642</w:t>
            </w:r>
          </w:p>
        </w:tc>
        <w:tc>
          <w:tcPr>
            <w:tcW w:w="300" w:type="dxa"/>
            <w:vAlign w:val="bottom"/>
            <w:gridSpan w:val="2"/>
            <w:shd w:val="clear" w:color="auto" w:fill="DDDDDD"/>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3,752</w:t>
            </w:r>
          </w:p>
        </w:tc>
        <w:tc>
          <w:tcPr>
            <w:tcW w:w="22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3,693</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8,642</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(668)</w:t>
            </w:r>
          </w:p>
        </w:tc>
        <w:tc>
          <w:tcPr>
            <w:tcW w:w="18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(1,206)</w:t>
            </w:r>
          </w:p>
        </w:tc>
        <w:tc>
          <w:tcPr>
            <w:tcW w:w="20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4,035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(603)</w:t>
            </w:r>
          </w:p>
        </w:tc>
        <w:tc>
          <w:tcPr>
            <w:tcW w:w="22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(1,161)</w:t>
            </w:r>
          </w:p>
        </w:tc>
        <w:tc>
          <w:tcPr>
            <w:tcW w:w="18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4,097</w:t>
            </w:r>
          </w:p>
        </w:tc>
      </w:tr>
      <w:tr>
        <w:trPr>
          <w:trHeight w:val="243"/>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shd w:val="clear" w:color="auto" w:fill="DDDDDD"/>
          </w:tcPr>
          <w:p>
            <w:pPr>
              <w:spacing w:after="0"/>
              <w:rPr>
                <w:sz w:val="21"/>
                <w:szCs w:val="21"/>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(17.8 %)</w:t>
            </w:r>
          </w:p>
        </w:tc>
        <w:tc>
          <w:tcPr>
            <w:tcW w:w="180" w:type="dxa"/>
            <w:vAlign w:val="bottom"/>
            <w:shd w:val="clear" w:color="auto" w:fill="DDDDDD"/>
          </w:tcPr>
          <w:p>
            <w:pPr>
              <w:spacing w:after="0"/>
              <w:rPr>
                <w:sz w:val="21"/>
                <w:szCs w:val="21"/>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(32.7 %)</w:t>
            </w:r>
          </w:p>
        </w:tc>
        <w:tc>
          <w:tcPr>
            <w:tcW w:w="200" w:type="dxa"/>
            <w:vAlign w:val="bottom"/>
            <w:shd w:val="clear" w:color="auto" w:fill="DDDDDD"/>
          </w:tcPr>
          <w:p>
            <w:pPr>
              <w:spacing w:after="0"/>
              <w:rPr>
                <w:sz w:val="21"/>
                <w:szCs w:val="21"/>
                <w:color w:val="auto"/>
              </w:rPr>
            </w:pPr>
          </w:p>
        </w:tc>
        <w:tc>
          <w:tcPr>
            <w:tcW w:w="92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46.7 %</w:t>
            </w:r>
          </w:p>
        </w:tc>
        <w:tc>
          <w:tcPr>
            <w:tcW w:w="10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(16.1 %)</w:t>
            </w:r>
          </w:p>
        </w:tc>
        <w:tc>
          <w:tcPr>
            <w:tcW w:w="220" w:type="dxa"/>
            <w:vAlign w:val="bottom"/>
            <w:shd w:val="clear" w:color="auto" w:fill="DDDDDD"/>
          </w:tcPr>
          <w:p>
            <w:pPr>
              <w:spacing w:after="0"/>
              <w:rPr>
                <w:sz w:val="21"/>
                <w:szCs w:val="21"/>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(31.4 %)</w:t>
            </w:r>
          </w:p>
        </w:tc>
        <w:tc>
          <w:tcPr>
            <w:tcW w:w="18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47.4 %</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1,093</w:t>
            </w:r>
          </w:p>
        </w:tc>
        <w:tc>
          <w:tcPr>
            <w:tcW w:w="18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1,097</w:t>
            </w:r>
          </w:p>
        </w:tc>
        <w:tc>
          <w:tcPr>
            <w:tcW w:w="20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953</w:t>
            </w:r>
          </w:p>
        </w:tc>
      </w:tr>
      <w:tr>
        <w:trPr>
          <w:trHeight w:val="230"/>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(1,761)</w:t>
            </w:r>
          </w:p>
        </w:tc>
        <w:tc>
          <w:tcPr>
            <w:tcW w:w="18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(2,303)</w:t>
            </w:r>
          </w:p>
        </w:tc>
        <w:tc>
          <w:tcPr>
            <w:tcW w:w="200" w:type="dxa"/>
            <w:vAlign w:val="bottom"/>
            <w:shd w:val="clear" w:color="auto" w:fill="DDDDDD"/>
          </w:tcPr>
          <w:p>
            <w:pPr>
              <w:spacing w:after="0"/>
              <w:rPr>
                <w:sz w:val="19"/>
                <w:szCs w:val="19"/>
                <w:color w:val="auto"/>
              </w:rPr>
            </w:pPr>
          </w:p>
        </w:tc>
        <w:tc>
          <w:tcPr>
            <w:tcW w:w="92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3,004</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(1,469)</w:t>
            </w:r>
          </w:p>
        </w:tc>
        <w:tc>
          <w:tcPr>
            <w:tcW w:w="22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(2,077)</w:t>
            </w:r>
          </w:p>
        </w:tc>
        <w:tc>
          <w:tcPr>
            <w:tcW w:w="18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3,144</w:t>
            </w:r>
          </w:p>
        </w:tc>
      </w:tr>
      <w:tr>
        <w:trPr>
          <w:trHeight w:val="239"/>
        </w:trPr>
        <w:tc>
          <w:tcPr>
            <w:tcW w:w="41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(46.9 %)</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(62.4 %)</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34.8 %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(39.2 %)</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(56.2 %)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36.4 %</w:t>
            </w:r>
          </w:p>
        </w:tc>
      </w:tr>
      <w:tr>
        <w:trPr>
          <w:trHeight w:val="234"/>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DDDDDD"/>
          </w:tcPr>
          <w:p>
            <w:pPr>
              <w:spacing w:after="0"/>
              <w:rPr>
                <w:sz w:val="20"/>
                <w:szCs w:val="20"/>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(1,896)</w:t>
            </w:r>
          </w:p>
        </w:tc>
        <w:tc>
          <w:tcPr>
            <w:tcW w:w="180" w:type="dxa"/>
            <w:vAlign w:val="bottom"/>
            <w:shd w:val="clear" w:color="auto" w:fill="DDDDDD"/>
          </w:tcPr>
          <w:p>
            <w:pPr>
              <w:spacing w:after="0"/>
              <w:rPr>
                <w:sz w:val="20"/>
                <w:szCs w:val="20"/>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(2,312)</w:t>
            </w:r>
          </w:p>
        </w:tc>
        <w:tc>
          <w:tcPr>
            <w:tcW w:w="200" w:type="dxa"/>
            <w:vAlign w:val="bottom"/>
            <w:shd w:val="clear" w:color="auto" w:fill="DDDDDD"/>
          </w:tcPr>
          <w:p>
            <w:pPr>
              <w:spacing w:after="0"/>
              <w:rPr>
                <w:sz w:val="20"/>
                <w:szCs w:val="20"/>
                <w:color w:val="auto"/>
              </w:rPr>
            </w:pPr>
          </w:p>
        </w:tc>
        <w:tc>
          <w:tcPr>
            <w:tcW w:w="92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98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(1,565)</w:t>
            </w:r>
          </w:p>
        </w:tc>
        <w:tc>
          <w:tcPr>
            <w:tcW w:w="220" w:type="dxa"/>
            <w:vAlign w:val="bottom"/>
            <w:shd w:val="clear" w:color="auto" w:fill="DDDDDD"/>
          </w:tcPr>
          <w:p>
            <w:pPr>
              <w:spacing w:after="0"/>
              <w:rPr>
                <w:sz w:val="20"/>
                <w:szCs w:val="20"/>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(2,081)</w:t>
            </w:r>
          </w:p>
        </w:tc>
        <w:tc>
          <w:tcPr>
            <w:tcW w:w="180" w:type="dxa"/>
            <w:vAlign w:val="bottom"/>
            <w:shd w:val="clear" w:color="auto" w:fill="DDDDDD"/>
          </w:tcPr>
          <w:p>
            <w:pPr>
              <w:spacing w:after="0"/>
              <w:rPr>
                <w:sz w:val="20"/>
                <w:szCs w:val="20"/>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2,939</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2.59</w:t>
            </w:r>
          </w:p>
        </w:tc>
      </w:tr>
    </w:tbl>
    <w:p>
      <w:pPr>
        <w:spacing w:after="0" w:line="318"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$1.38 billion for the third quarter of 2023,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negative $1.36 billion. Micron ended the third quarter of 2023 with cash, marketable investments, and restricted cash of $11.40 billion. Micron’s Board of Directors has declared a quarterly dividend of $0.115 per share, payable in cash on July 25, 2023, to shareholders of record as of the close of business on July 10, 2023.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89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1"/>
        </w:trPr>
        <w:tc>
          <w:tcPr>
            <w:tcW w:w="636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6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34"/>
        </w:trPr>
        <w:tc>
          <w:tcPr>
            <w:tcW w:w="6360" w:type="dxa"/>
            <w:vAlign w:val="bottom"/>
          </w:tcPr>
          <w:p>
            <w:pPr>
              <w:spacing w:after="0"/>
              <w:rPr>
                <w:sz w:val="20"/>
                <w:szCs w:val="20"/>
                <w:color w:val="auto"/>
              </w:rPr>
            </w:pPr>
            <w:r>
              <w:rPr>
                <w:rFonts w:ascii="Arial" w:cs="Arial" w:eastAsia="Arial" w:hAnsi="Arial"/>
                <w:sz w:val="18"/>
                <w:szCs w:val="18"/>
                <w:color w:val="auto"/>
              </w:rPr>
              <w:t>The table below presents Micron’s guidance for the fourth quarter of 2023:</w:t>
            </w:r>
          </w:p>
        </w:tc>
        <w:tc>
          <w:tcPr>
            <w:tcW w:w="26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6"/>
        </w:trPr>
        <w:tc>
          <w:tcPr>
            <w:tcW w:w="6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FQ4-23</w:t>
            </w:r>
          </w:p>
        </w:tc>
        <w:tc>
          <w:tcPr>
            <w:tcW w:w="2640" w:type="dxa"/>
            <w:vAlign w:val="bottom"/>
            <w:tcBorders>
              <w:bottom w:val="single" w:sz="8" w:color="0090DA"/>
            </w:tcBorders>
          </w:tcPr>
          <w:p>
            <w:pPr>
              <w:jc w:val="right"/>
              <w:spacing w:after="0" w:line="256"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40" w:type="dxa"/>
            <w:vAlign w:val="bottom"/>
            <w:tcBorders>
              <w:bottom w:val="single" w:sz="8" w:color="0090DA"/>
            </w:tcBorders>
          </w:tcPr>
          <w:p>
            <w:pPr>
              <w:jc w:val="right"/>
              <w:spacing w:after="0" w:line="256"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48"/>
        </w:trPr>
        <w:tc>
          <w:tcPr>
            <w:tcW w:w="63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240" w:type="dxa"/>
            <w:vAlign w:val="bottom"/>
          </w:tcPr>
          <w:p>
            <w:pPr>
              <w:spacing w:after="0"/>
              <w:rPr>
                <w:sz w:val="4"/>
                <w:szCs w:val="4"/>
                <w:color w:val="auto"/>
              </w:rPr>
            </w:pPr>
          </w:p>
        </w:tc>
      </w:tr>
      <w:tr>
        <w:trPr>
          <w:trHeight w:val="230"/>
        </w:trPr>
        <w:tc>
          <w:tcPr>
            <w:tcW w:w="63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6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$3.90 billion ± $200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$3.90 billion ± $200 million</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40" w:type="dxa"/>
            <w:vAlign w:val="bottom"/>
          </w:tcPr>
          <w:p>
            <w:pPr>
              <w:jc w:val="right"/>
              <w:spacing w:after="0"/>
              <w:rPr>
                <w:sz w:val="20"/>
                <w:szCs w:val="20"/>
                <w:color w:val="auto"/>
              </w:rPr>
            </w:pPr>
            <w:r>
              <w:rPr>
                <w:rFonts w:ascii="Arial" w:cs="Arial" w:eastAsia="Arial" w:hAnsi="Arial"/>
                <w:sz w:val="18"/>
                <w:szCs w:val="18"/>
                <w:color w:val="auto"/>
              </w:rPr>
              <w:t>(12.5%) ± 2.5%</w:t>
            </w:r>
          </w:p>
        </w:tc>
        <w:tc>
          <w:tcPr>
            <w:tcW w:w="2240" w:type="dxa"/>
            <w:vAlign w:val="bottom"/>
          </w:tcPr>
          <w:p>
            <w:pPr>
              <w:jc w:val="right"/>
              <w:spacing w:after="0"/>
              <w:rPr>
                <w:sz w:val="20"/>
                <w:szCs w:val="20"/>
                <w:color w:val="auto"/>
              </w:rPr>
            </w:pPr>
            <w:r>
              <w:rPr>
                <w:rFonts w:ascii="Arial" w:cs="Arial" w:eastAsia="Arial" w:hAnsi="Arial"/>
                <w:sz w:val="18"/>
                <w:szCs w:val="18"/>
                <w:color w:val="auto"/>
              </w:rPr>
              <w:t>(10.5%) ± 2.5%</w:t>
            </w:r>
          </w:p>
        </w:tc>
      </w:tr>
      <w:tr>
        <w:trPr>
          <w:trHeight w:val="243"/>
        </w:trPr>
        <w:tc>
          <w:tcPr>
            <w:tcW w:w="63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6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$946 million ± $15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$845 million ± $15 million</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640" w:type="dxa"/>
            <w:vAlign w:val="bottom"/>
          </w:tcPr>
          <w:p>
            <w:pPr>
              <w:jc w:val="right"/>
              <w:spacing w:after="0"/>
              <w:rPr>
                <w:sz w:val="20"/>
                <w:szCs w:val="20"/>
                <w:color w:val="auto"/>
              </w:rPr>
            </w:pPr>
            <w:r>
              <w:rPr>
                <w:rFonts w:ascii="Arial" w:cs="Arial" w:eastAsia="Arial" w:hAnsi="Arial"/>
                <w:sz w:val="18"/>
                <w:szCs w:val="18"/>
                <w:color w:val="auto"/>
              </w:rPr>
              <w:t>($1.34) ± $0.07</w:t>
            </w:r>
          </w:p>
        </w:tc>
        <w:tc>
          <w:tcPr>
            <w:tcW w:w="2240" w:type="dxa"/>
            <w:vAlign w:val="bottom"/>
          </w:tcPr>
          <w:p>
            <w:pPr>
              <w:jc w:val="right"/>
              <w:spacing w:after="0"/>
              <w:rPr>
                <w:sz w:val="20"/>
                <w:szCs w:val="20"/>
                <w:color w:val="auto"/>
              </w:rPr>
            </w:pPr>
            <w:r>
              <w:rPr>
                <w:rFonts w:ascii="Arial" w:cs="Arial" w:eastAsia="Arial" w:hAnsi="Arial"/>
                <w:sz w:val="18"/>
                <w:szCs w:val="18"/>
                <w:color w:val="auto"/>
              </w:rPr>
              <w:t>($1.19) ± $0.07</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regarding Micron’s business outlook is included in the prepared remarks and slides, which have been posted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62"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color w:val="auto"/>
        </w:rPr>
        <w:t xml:space="preserve">Micron will host a conference call on Wednesday, June 28, 2023 at 2:30 p.m. Mountain Time to discuss its third quarter financial results and provide forward-looking guidance for its fourth quarter. A live webcast of the call will be available online at </w:t>
      </w:r>
      <w:r>
        <w:rPr>
          <w:rFonts w:ascii="Arial" w:cs="Arial" w:eastAsia="Arial" w:hAnsi="Arial"/>
          <w:sz w:val="17"/>
          <w:szCs w:val="17"/>
          <w:u w:val="single" w:color="auto"/>
          <w:color w:val="0090DA"/>
        </w:rPr>
        <w:t>investors.micron.com</w:t>
      </w:r>
      <w:r>
        <w:rPr>
          <w:rFonts w:ascii="Arial" w:cs="Arial" w:eastAsia="Arial" w:hAnsi="Arial"/>
          <w:sz w:val="17"/>
          <w:szCs w:val="17"/>
          <w:color w:val="auto"/>
        </w:rPr>
        <w:t>. A webcast replay will be available for one year after the call. For Investor Relations and other company updates, follow @MicronTech on Twitter at</w:t>
      </w:r>
    </w:p>
    <w:p>
      <w:pPr>
        <w:spacing w:after="0"/>
        <w:rPr>
          <w:sz w:val="20"/>
          <w:szCs w:val="20"/>
          <w:color w:val="auto"/>
        </w:rPr>
      </w:pPr>
      <w:r>
        <w:rPr>
          <w:rFonts w:ascii="Arial" w:cs="Arial" w:eastAsia="Arial" w:hAnsi="Arial"/>
          <w:sz w:val="18"/>
          <w:szCs w:val="18"/>
          <w:u w:val="single" w:color="auto"/>
          <w:color w:val="0090DA"/>
        </w:rPr>
        <w:t>twitter.com/MicronTech</w:t>
      </w:r>
      <w:r>
        <w:rPr>
          <w:rFonts w:ascii="Arial" w:cs="Arial" w:eastAsia="Arial" w:hAnsi="Arial"/>
          <w:sz w:val="18"/>
          <w:szCs w:val="18"/>
          <w:color w:val="00000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22" w:lineRule="exact"/>
        <w:rPr>
          <w:sz w:val="20"/>
          <w:szCs w:val="20"/>
          <w:color w:val="auto"/>
        </w:rPr>
      </w:pPr>
    </w:p>
    <w:p>
      <w:pPr>
        <w:ind w:right="520" w:firstLine="8"/>
        <w:spacing w:after="0" w:line="267"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2023 Micron Technology, Inc. All rights reserved. Micron, the Micron logo, and all other Micron trademarks are the property of Micron Technology, Inc. All other trademarks are the property of their respective owners.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This press release contains forward-looking statements regarding our industry, our strategic position, and our financial and operating results.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7"/>
          <w:szCs w:val="17"/>
          <w:u w:val="single" w:color="auto"/>
          <w:color w:val="0090DA"/>
        </w:rPr>
        <w:t>micron.com/certainfactors</w:t>
      </w:r>
      <w:r>
        <w:rPr>
          <w:rFonts w:ascii="Arial" w:cs="Arial" w:eastAsia="Arial" w:hAnsi="Arial"/>
          <w:sz w:val="17"/>
          <w:szCs w:val="17"/>
          <w:color w:val="auto"/>
        </w:rPr>
        <w:t>.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jc w:val="both"/>
        <w:ind w:left="340" w:right="220" w:hanging="332"/>
        <w:spacing w:after="0" w:line="229" w:lineRule="auto"/>
        <w:tabs>
          <w:tab w:leader="none" w:pos="3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and business outlook. Further information regarding Micron’s use of non-GAAP measures and reconciliations between GAAP and non-GAAP measures are included within this press release.</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886"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19"/>
                <w:szCs w:val="19"/>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Pr>
          <w:p>
            <w:pPr>
              <w:spacing w:after="0"/>
              <w:rPr>
                <w:sz w:val="19"/>
                <w:szCs w:val="19"/>
                <w:color w:val="auto"/>
              </w:rPr>
            </w:pPr>
          </w:p>
        </w:tc>
        <w:tc>
          <w:tcPr>
            <w:tcW w:w="242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189"/>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9"/>
              </w:rPr>
              <w:t>June 1,</w:t>
            </w:r>
          </w:p>
        </w:tc>
        <w:tc>
          <w:tcPr>
            <w:tcW w:w="220" w:type="dxa"/>
            <w:vAlign w:val="bottom"/>
          </w:tcPr>
          <w:p>
            <w:pPr>
              <w:spacing w:after="0"/>
              <w:rPr>
                <w:sz w:val="16"/>
                <w:szCs w:val="16"/>
                <w:color w:val="auto"/>
              </w:rPr>
            </w:pPr>
          </w:p>
        </w:tc>
        <w:tc>
          <w:tcPr>
            <w:tcW w:w="1100" w:type="dxa"/>
            <w:vAlign w:val="bottom"/>
          </w:tcPr>
          <w:p>
            <w:pPr>
              <w:jc w:val="center"/>
              <w:ind w:right="110"/>
              <w:spacing w:after="0" w:line="189" w:lineRule="exact"/>
              <w:rPr>
                <w:sz w:val="20"/>
                <w:szCs w:val="20"/>
                <w:color w:val="auto"/>
              </w:rPr>
            </w:pPr>
            <w:r>
              <w:rPr>
                <w:rFonts w:ascii="Arial" w:cs="Arial" w:eastAsia="Arial" w:hAnsi="Arial"/>
                <w:sz w:val="18"/>
                <w:szCs w:val="18"/>
                <w:b w:val="1"/>
                <w:bCs w:val="1"/>
                <w:color w:val="auto"/>
              </w:rPr>
              <w:t>March 2,</w:t>
            </w:r>
          </w:p>
        </w:tc>
        <w:tc>
          <w:tcPr>
            <w:tcW w:w="240" w:type="dxa"/>
            <w:vAlign w:val="bottom"/>
          </w:tcPr>
          <w:p>
            <w:pPr>
              <w:spacing w:after="0"/>
              <w:rPr>
                <w:sz w:val="16"/>
                <w:szCs w:val="16"/>
                <w:color w:val="auto"/>
              </w:rPr>
            </w:pPr>
          </w:p>
        </w:tc>
        <w:tc>
          <w:tcPr>
            <w:tcW w:w="108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9"/>
              </w:rPr>
              <w:t>June 2,</w:t>
            </w:r>
          </w:p>
        </w:tc>
        <w:tc>
          <w:tcPr>
            <w:tcW w:w="240" w:type="dxa"/>
            <w:vAlign w:val="bottom"/>
          </w:tcPr>
          <w:p>
            <w:pPr>
              <w:spacing w:after="0"/>
              <w:rPr>
                <w:sz w:val="16"/>
                <w:szCs w:val="16"/>
                <w:color w:val="auto"/>
              </w:rPr>
            </w:pPr>
          </w:p>
        </w:tc>
        <w:tc>
          <w:tcPr>
            <w:tcW w:w="110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rPr>
              <w:t>June 1,</w:t>
            </w:r>
          </w:p>
        </w:tc>
        <w:tc>
          <w:tcPr>
            <w:tcW w:w="240" w:type="dxa"/>
            <w:vAlign w:val="bottom"/>
          </w:tcPr>
          <w:p>
            <w:pPr>
              <w:spacing w:after="0"/>
              <w:rPr>
                <w:sz w:val="16"/>
                <w:szCs w:val="16"/>
                <w:color w:val="auto"/>
              </w:rPr>
            </w:pPr>
          </w:p>
        </w:tc>
        <w:tc>
          <w:tcPr>
            <w:tcW w:w="108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rPr>
              <w:t>June 2,</w:t>
            </w:r>
          </w:p>
        </w:tc>
      </w:tr>
      <w:tr>
        <w:trPr>
          <w:trHeight w:val="239"/>
        </w:trPr>
        <w:tc>
          <w:tcPr>
            <w:tcW w:w="4620" w:type="dxa"/>
            <w:vAlign w:val="bottom"/>
            <w:tcBorders>
              <w:bottom w:val="single" w:sz="8" w:color="0090DA"/>
            </w:tcBorders>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2023</w:t>
            </w:r>
          </w:p>
        </w:tc>
        <w:tc>
          <w:tcPr>
            <w:tcW w:w="22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c>
          <w:tcPr>
            <w:tcW w:w="24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34"/>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3,752</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3,693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8,642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11,530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24,115</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12,839</w:t>
            </w:r>
          </w:p>
        </w:tc>
      </w:tr>
      <w:tr>
        <w:trPr>
          <w:trHeight w:val="223"/>
        </w:trPr>
        <w:tc>
          <w:tcPr>
            <w:tcW w:w="46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(1,206)</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(981)</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11,276</w:t>
            </w:r>
          </w:p>
        </w:tc>
      </w:tr>
      <w:tr>
        <w:trPr>
          <w:trHeight w:val="256"/>
        </w:trPr>
        <w:tc>
          <w:tcPr>
            <w:tcW w:w="4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758</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788</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2,395</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2,277</w:t>
            </w: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701</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36"/>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D1D2D4"/>
          </w:tcPr>
          <w:p>
            <w:pPr>
              <w:spacing w:after="0"/>
              <w:rPr>
                <w:sz w:val="20"/>
                <w:szCs w:val="20"/>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D1D2D4"/>
          </w:tcPr>
          <w:p>
            <w:pPr>
              <w:spacing w:after="0"/>
              <w:rPr>
                <w:sz w:val="20"/>
                <w:szCs w:val="20"/>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D1D2D4"/>
          </w:tcPr>
          <w:p>
            <w:pPr>
              <w:spacing w:after="0"/>
              <w:rPr>
                <w:sz w:val="20"/>
                <w:szCs w:val="20"/>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20"/>
                <w:szCs w:val="20"/>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D1D2D4"/>
          </w:tcPr>
          <w:p>
            <w:pPr>
              <w:spacing w:after="0"/>
              <w:rPr>
                <w:sz w:val="20"/>
                <w:szCs w:val="20"/>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46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D1D2D4"/>
          </w:tcPr>
          <w:p>
            <w:pPr>
              <w:spacing w:after="0"/>
              <w:rPr>
                <w:sz w:val="20"/>
                <w:szCs w:val="20"/>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(1,761)</w:t>
            </w:r>
          </w:p>
        </w:tc>
        <w:tc>
          <w:tcPr>
            <w:tcW w:w="220" w:type="dxa"/>
            <w:vAlign w:val="bottom"/>
            <w:shd w:val="clear" w:color="auto" w:fill="D1D2D4"/>
          </w:tcPr>
          <w:p>
            <w:pPr>
              <w:spacing w:after="0"/>
              <w:rPr>
                <w:sz w:val="20"/>
                <w:szCs w:val="20"/>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(2,303)</w:t>
            </w:r>
          </w:p>
        </w:tc>
        <w:tc>
          <w:tcPr>
            <w:tcW w:w="240" w:type="dxa"/>
            <w:vAlign w:val="bottom"/>
            <w:shd w:val="clear" w:color="auto" w:fill="D1D2D4"/>
          </w:tcPr>
          <w:p>
            <w:pPr>
              <w:spacing w:after="0"/>
              <w:rPr>
                <w:sz w:val="20"/>
                <w:szCs w:val="20"/>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3,004</w:t>
            </w:r>
          </w:p>
        </w:tc>
        <w:tc>
          <w:tcPr>
            <w:tcW w:w="240" w:type="dxa"/>
            <w:vAlign w:val="bottom"/>
            <w:shd w:val="clear" w:color="auto" w:fill="D1D2D4"/>
          </w:tcPr>
          <w:p>
            <w:pPr>
              <w:spacing w:after="0"/>
              <w:rPr>
                <w:sz w:val="20"/>
                <w:szCs w:val="20"/>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(4,273)</w:t>
            </w:r>
          </w:p>
        </w:tc>
        <w:tc>
          <w:tcPr>
            <w:tcW w:w="240" w:type="dxa"/>
            <w:vAlign w:val="bottom"/>
            <w:shd w:val="clear" w:color="auto" w:fill="D1D2D4"/>
          </w:tcPr>
          <w:p>
            <w:pPr>
              <w:spacing w:after="0"/>
              <w:rPr>
                <w:sz w:val="20"/>
                <w:szCs w:val="20"/>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8,181</w:t>
            </w:r>
          </w:p>
        </w:tc>
      </w:tr>
      <w:tr>
        <w:trPr>
          <w:trHeight w:val="243"/>
        </w:trPr>
        <w:tc>
          <w:tcPr>
            <w:tcW w:w="4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D1D2D4"/>
          </w:tcPr>
          <w:p>
            <w:pPr>
              <w:spacing w:after="0"/>
              <w:rPr>
                <w:sz w:val="21"/>
                <w:szCs w:val="21"/>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D1D2D4"/>
          </w:tcPr>
          <w:p>
            <w:pPr>
              <w:spacing w:after="0"/>
              <w:rPr>
                <w:sz w:val="21"/>
                <w:szCs w:val="21"/>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D1D2D4"/>
          </w:tcPr>
          <w:p>
            <w:pPr>
              <w:spacing w:after="0"/>
              <w:rPr>
                <w:sz w:val="21"/>
                <w:szCs w:val="21"/>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D1D2D4"/>
          </w:tcPr>
          <w:p>
            <w:pPr>
              <w:spacing w:after="0"/>
              <w:rPr>
                <w:sz w:val="21"/>
                <w:szCs w:val="21"/>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D1D2D4"/>
          </w:tcPr>
          <w:p>
            <w:pPr>
              <w:spacing w:after="0"/>
              <w:rPr>
                <w:sz w:val="21"/>
                <w:szCs w:val="21"/>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46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8,018</w:t>
            </w:r>
          </w:p>
        </w:tc>
      </w:tr>
      <w:tr>
        <w:trPr>
          <w:trHeight w:val="250"/>
        </w:trPr>
        <w:tc>
          <w:tcPr>
            <w:tcW w:w="4620" w:type="dxa"/>
            <w:vAlign w:val="bottom"/>
            <w:shd w:val="clear" w:color="auto" w:fill="D1D2D4"/>
          </w:tcPr>
          <w:p>
            <w:pPr>
              <w:spacing w:after="0"/>
              <w:rPr>
                <w:sz w:val="21"/>
                <w:szCs w:val="21"/>
                <w:color w:val="auto"/>
              </w:rPr>
            </w:pPr>
          </w:p>
        </w:tc>
        <w:tc>
          <w:tcPr>
            <w:tcW w:w="240" w:type="dxa"/>
            <w:vAlign w:val="bottom"/>
            <w:shd w:val="clear" w:color="auto" w:fill="D1D2D4"/>
          </w:tcPr>
          <w:p>
            <w:pPr>
              <w:spacing w:after="0"/>
              <w:rPr>
                <w:sz w:val="21"/>
                <w:szCs w:val="21"/>
                <w:color w:val="auto"/>
              </w:rPr>
            </w:pPr>
          </w:p>
        </w:tc>
        <w:tc>
          <w:tcPr>
            <w:tcW w:w="108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1100" w:type="dxa"/>
            <w:vAlign w:val="bottom"/>
            <w:shd w:val="clear" w:color="auto" w:fill="D1D2D4"/>
          </w:tcPr>
          <w:p>
            <w:pPr>
              <w:spacing w:after="0"/>
              <w:rPr>
                <w:sz w:val="21"/>
                <w:szCs w:val="21"/>
                <w:color w:val="auto"/>
              </w:rPr>
            </w:pPr>
          </w:p>
        </w:tc>
        <w:tc>
          <w:tcPr>
            <w:tcW w:w="240" w:type="dxa"/>
            <w:vAlign w:val="bottom"/>
            <w:shd w:val="clear" w:color="auto" w:fill="D1D2D4"/>
          </w:tcPr>
          <w:p>
            <w:pPr>
              <w:spacing w:after="0"/>
              <w:rPr>
                <w:sz w:val="21"/>
                <w:szCs w:val="21"/>
                <w:color w:val="auto"/>
              </w:rPr>
            </w:pPr>
          </w:p>
        </w:tc>
        <w:tc>
          <w:tcPr>
            <w:tcW w:w="1080" w:type="dxa"/>
            <w:vAlign w:val="bottom"/>
            <w:shd w:val="clear" w:color="auto" w:fill="D1D2D4"/>
          </w:tcPr>
          <w:p>
            <w:pPr>
              <w:spacing w:after="0"/>
              <w:rPr>
                <w:sz w:val="21"/>
                <w:szCs w:val="21"/>
                <w:color w:val="auto"/>
              </w:rPr>
            </w:pPr>
          </w:p>
        </w:tc>
        <w:tc>
          <w:tcPr>
            <w:tcW w:w="240" w:type="dxa"/>
            <w:vAlign w:val="bottom"/>
            <w:shd w:val="clear" w:color="auto" w:fill="D1D2D4"/>
          </w:tcPr>
          <w:p>
            <w:pPr>
              <w:spacing w:after="0"/>
              <w:rPr>
                <w:sz w:val="21"/>
                <w:szCs w:val="21"/>
                <w:color w:val="auto"/>
              </w:rPr>
            </w:pPr>
          </w:p>
        </w:tc>
        <w:tc>
          <w:tcPr>
            <w:tcW w:w="1100" w:type="dxa"/>
            <w:vAlign w:val="bottom"/>
            <w:shd w:val="clear" w:color="auto" w:fill="D1D2D4"/>
          </w:tcPr>
          <w:p>
            <w:pPr>
              <w:spacing w:after="0"/>
              <w:rPr>
                <w:sz w:val="21"/>
                <w:szCs w:val="21"/>
                <w:color w:val="auto"/>
              </w:rPr>
            </w:pPr>
          </w:p>
        </w:tc>
        <w:tc>
          <w:tcPr>
            <w:tcW w:w="240" w:type="dxa"/>
            <w:vAlign w:val="bottom"/>
            <w:shd w:val="clear" w:color="auto" w:fill="D1D2D4"/>
          </w:tcPr>
          <w:p>
            <w:pPr>
              <w:spacing w:after="0"/>
              <w:rPr>
                <w:sz w:val="21"/>
                <w:szCs w:val="21"/>
                <w:color w:val="auto"/>
              </w:rPr>
            </w:pPr>
          </w:p>
        </w:tc>
        <w:tc>
          <w:tcPr>
            <w:tcW w:w="1080" w:type="dxa"/>
            <w:vAlign w:val="bottom"/>
            <w:shd w:val="clear" w:color="auto" w:fill="D1D2D4"/>
          </w:tcPr>
          <w:p>
            <w:pPr>
              <w:spacing w:after="0"/>
              <w:rPr>
                <w:sz w:val="21"/>
                <w:szCs w:val="21"/>
                <w:color w:val="auto"/>
              </w:rPr>
            </w:pP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36"/>
        </w:trPr>
        <w:tc>
          <w:tcPr>
            <w:tcW w:w="46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40" w:type="dxa"/>
            <w:vAlign w:val="bottom"/>
            <w:tcBorders>
              <w:bottom w:val="single" w:sz="8" w:color="auto"/>
            </w:tcBorders>
            <w:shd w:val="clear" w:color="auto" w:fill="D1D2D4"/>
          </w:tcPr>
          <w:p>
            <w:pPr>
              <w:spacing w:after="0"/>
              <w:rPr>
                <w:sz w:val="20"/>
                <w:szCs w:val="20"/>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shd w:val="clear" w:color="auto" w:fill="D1D2D4"/>
          </w:tcPr>
          <w:p>
            <w:pPr>
              <w:spacing w:after="0"/>
              <w:rPr>
                <w:sz w:val="20"/>
                <w:szCs w:val="20"/>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shd w:val="clear" w:color="auto" w:fill="D1D2D4"/>
          </w:tcPr>
          <w:p>
            <w:pPr>
              <w:spacing w:after="0"/>
              <w:rPr>
                <w:sz w:val="20"/>
                <w:szCs w:val="20"/>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D1D2D4"/>
          </w:tcPr>
          <w:p>
            <w:pPr>
              <w:spacing w:after="0"/>
              <w:rPr>
                <w:sz w:val="20"/>
                <w:szCs w:val="20"/>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D1D2D4"/>
          </w:tcPr>
          <w:p>
            <w:pPr>
              <w:spacing w:after="0"/>
              <w:rPr>
                <w:sz w:val="20"/>
                <w:szCs w:val="20"/>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6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7,195</w:t>
            </w:r>
          </w:p>
        </w:tc>
      </w:tr>
      <w:tr>
        <w:trPr>
          <w:trHeight w:val="20"/>
        </w:trPr>
        <w:tc>
          <w:tcPr>
            <w:tcW w:w="462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46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46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6.44</w:t>
            </w: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56"/>
        </w:trPr>
        <w:tc>
          <w:tcPr>
            <w:tcW w:w="46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6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1,094</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1,091</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1,112</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1,117</w:t>
            </w: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88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17"/>
                <w:szCs w:val="17"/>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1,</w:t>
            </w:r>
          </w:p>
        </w:tc>
        <w:tc>
          <w:tcPr>
            <w:tcW w:w="200" w:type="dxa"/>
            <w:vAlign w:val="bottom"/>
          </w:tcPr>
          <w:p>
            <w:pPr>
              <w:spacing w:after="0"/>
              <w:rPr>
                <w:sz w:val="17"/>
                <w:szCs w:val="17"/>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2,</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September 1,</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0090DA"/>
            </w:tcBorders>
            <w:vMerge w:val="continue"/>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9,298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9,798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36"/>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D1D2D4"/>
          </w:tcPr>
          <w:p>
            <w:pPr>
              <w:spacing w:after="0"/>
              <w:rPr>
                <w:sz w:val="20"/>
                <w:szCs w:val="20"/>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1,054</w:t>
            </w:r>
          </w:p>
        </w:tc>
        <w:tc>
          <w:tcPr>
            <w:tcW w:w="200" w:type="dxa"/>
            <w:vAlign w:val="bottom"/>
            <w:shd w:val="clear" w:color="auto" w:fill="D1D2D4"/>
          </w:tcPr>
          <w:p>
            <w:pPr>
              <w:spacing w:after="0"/>
              <w:rPr>
                <w:sz w:val="20"/>
                <w:szCs w:val="20"/>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1,020</w:t>
            </w:r>
          </w:p>
        </w:tc>
        <w:tc>
          <w:tcPr>
            <w:tcW w:w="300" w:type="dxa"/>
            <w:vAlign w:val="bottom"/>
            <w:shd w:val="clear" w:color="auto" w:fill="D1D2D4"/>
          </w:tcPr>
          <w:p>
            <w:pPr>
              <w:spacing w:after="0"/>
              <w:rPr>
                <w:sz w:val="20"/>
                <w:szCs w:val="20"/>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2,429</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2,278</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43"/>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D1D2D4"/>
          </w:tcPr>
          <w:p>
            <w:pPr>
              <w:spacing w:after="0"/>
              <w:rPr>
                <w:sz w:val="21"/>
                <w:szCs w:val="21"/>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8,238</w:t>
            </w:r>
          </w:p>
        </w:tc>
        <w:tc>
          <w:tcPr>
            <w:tcW w:w="200" w:type="dxa"/>
            <w:vAlign w:val="bottom"/>
            <w:shd w:val="clear" w:color="auto" w:fill="D1D2D4"/>
          </w:tcPr>
          <w:p>
            <w:pPr>
              <w:spacing w:after="0"/>
              <w:rPr>
                <w:sz w:val="21"/>
                <w:szCs w:val="21"/>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8,129</w:t>
            </w:r>
          </w:p>
        </w:tc>
        <w:tc>
          <w:tcPr>
            <w:tcW w:w="300" w:type="dxa"/>
            <w:vAlign w:val="bottom"/>
            <w:shd w:val="clear" w:color="auto" w:fill="D1D2D4"/>
          </w:tcPr>
          <w:p>
            <w:pPr>
              <w:spacing w:after="0"/>
              <w:rPr>
                <w:sz w:val="21"/>
                <w:szCs w:val="21"/>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21,734</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21,898</w:t>
            </w:r>
          </w:p>
        </w:tc>
        <w:tc>
          <w:tcPr>
            <w:tcW w:w="30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21,781</w:t>
            </w:r>
          </w:p>
        </w:tc>
        <w:tc>
          <w:tcPr>
            <w:tcW w:w="0" w:type="dxa"/>
            <w:vAlign w:val="bottom"/>
          </w:tcPr>
          <w:p>
            <w:pPr>
              <w:spacing w:after="0"/>
              <w:rPr>
                <w:sz w:val="1"/>
                <w:szCs w:val="1"/>
                <w:color w:val="auto"/>
              </w:rPr>
            </w:pPr>
          </w:p>
        </w:tc>
      </w:tr>
      <w:tr>
        <w:trPr>
          <w:trHeight w:val="236"/>
        </w:trPr>
        <w:tc>
          <w:tcPr>
            <w:tcW w:w="72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1,212</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36"/>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D1D2D4"/>
          </w:tcPr>
          <w:p>
            <w:pPr>
              <w:spacing w:after="0"/>
              <w:rPr>
                <w:sz w:val="20"/>
                <w:szCs w:val="20"/>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38,727</w:t>
            </w:r>
          </w:p>
        </w:tc>
        <w:tc>
          <w:tcPr>
            <w:tcW w:w="200" w:type="dxa"/>
            <w:vAlign w:val="bottom"/>
            <w:shd w:val="clear" w:color="auto" w:fill="D1D2D4"/>
          </w:tcPr>
          <w:p>
            <w:pPr>
              <w:spacing w:after="0"/>
              <w:rPr>
                <w:sz w:val="20"/>
                <w:szCs w:val="20"/>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39,085</w:t>
            </w:r>
          </w:p>
        </w:tc>
        <w:tc>
          <w:tcPr>
            <w:tcW w:w="300" w:type="dxa"/>
            <w:vAlign w:val="bottom"/>
            <w:shd w:val="clear" w:color="auto" w:fill="D1D2D4"/>
          </w:tcPr>
          <w:p>
            <w:pPr>
              <w:spacing w:after="0"/>
              <w:rPr>
                <w:sz w:val="20"/>
                <w:szCs w:val="20"/>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38,549</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673</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43"/>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D1D2D4"/>
          </w:tcPr>
          <w:p>
            <w:pPr>
              <w:spacing w:after="0"/>
              <w:rPr>
                <w:sz w:val="21"/>
                <w:szCs w:val="21"/>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D1D2D4"/>
          </w:tcPr>
          <w:p>
            <w:pPr>
              <w:spacing w:after="0"/>
              <w:rPr>
                <w:sz w:val="21"/>
                <w:szCs w:val="21"/>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410</w:t>
            </w:r>
          </w:p>
        </w:tc>
        <w:tc>
          <w:tcPr>
            <w:tcW w:w="300" w:type="dxa"/>
            <w:vAlign w:val="bottom"/>
            <w:shd w:val="clear" w:color="auto" w:fill="D1D2D4"/>
          </w:tcPr>
          <w:p>
            <w:pPr>
              <w:spacing w:after="0"/>
              <w:rPr>
                <w:sz w:val="21"/>
                <w:szCs w:val="21"/>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65,680</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66,520</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4,310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36"/>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240" w:type="dxa"/>
            <w:vAlign w:val="bottom"/>
            <w:shd w:val="clear" w:color="auto" w:fill="D1D2D4"/>
          </w:tcPr>
          <w:p>
            <w:pPr>
              <w:spacing w:after="0"/>
              <w:rPr>
                <w:sz w:val="20"/>
                <w:szCs w:val="20"/>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D1D2D4"/>
          </w:tcPr>
          <w:p>
            <w:pPr>
              <w:spacing w:after="0"/>
              <w:rPr>
                <w:sz w:val="20"/>
                <w:szCs w:val="20"/>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D1D2D4"/>
          </w:tcPr>
          <w:p>
            <w:pPr>
              <w:spacing w:after="0"/>
              <w:rPr>
                <w:sz w:val="20"/>
                <w:szCs w:val="20"/>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37"/>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D1D2D4"/>
          </w:tcPr>
          <w:p>
            <w:pPr>
              <w:spacing w:after="0"/>
              <w:rPr>
                <w:sz w:val="20"/>
                <w:szCs w:val="20"/>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5,104</w:t>
            </w:r>
          </w:p>
        </w:tc>
        <w:tc>
          <w:tcPr>
            <w:tcW w:w="200" w:type="dxa"/>
            <w:vAlign w:val="bottom"/>
            <w:shd w:val="clear" w:color="auto" w:fill="D1D2D4"/>
          </w:tcPr>
          <w:p>
            <w:pPr>
              <w:spacing w:after="0"/>
              <w:rPr>
                <w:sz w:val="20"/>
                <w:szCs w:val="20"/>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5,255</w:t>
            </w:r>
          </w:p>
        </w:tc>
        <w:tc>
          <w:tcPr>
            <w:tcW w:w="300" w:type="dxa"/>
            <w:vAlign w:val="bottom"/>
            <w:shd w:val="clear" w:color="auto" w:fill="D1D2D4"/>
          </w:tcPr>
          <w:p>
            <w:pPr>
              <w:spacing w:after="0"/>
              <w:rPr>
                <w:sz w:val="20"/>
                <w:szCs w:val="20"/>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12,986</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12,037</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30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6"/>
        </w:trPr>
        <w:tc>
          <w:tcPr>
            <w:tcW w:w="72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6"/>
        </w:trPr>
        <w:tc>
          <w:tcPr>
            <w:tcW w:w="72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D1D2D4"/>
          </w:tcPr>
          <w:p>
            <w:pPr>
              <w:spacing w:after="0"/>
              <w:rPr>
                <w:sz w:val="20"/>
                <w:szCs w:val="20"/>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Borders>
              <w:bottom w:val="single" w:sz="8" w:color="auto"/>
            </w:tcBorders>
            <w:shd w:val="clear" w:color="auto" w:fill="D1D2D4"/>
          </w:tcPr>
          <w:p>
            <w:pPr>
              <w:spacing w:after="0"/>
              <w:rPr>
                <w:sz w:val="20"/>
                <w:szCs w:val="20"/>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832</w:t>
            </w:r>
          </w:p>
        </w:tc>
        <w:tc>
          <w:tcPr>
            <w:tcW w:w="300" w:type="dxa"/>
            <w:vAlign w:val="bottom"/>
            <w:tcBorders>
              <w:bottom w:val="single" w:sz="8" w:color="auto"/>
            </w:tcBorders>
            <w:shd w:val="clear" w:color="auto" w:fill="D1D2D4"/>
          </w:tcPr>
          <w:p>
            <w:pPr>
              <w:spacing w:after="0"/>
              <w:rPr>
                <w:sz w:val="20"/>
                <w:szCs w:val="20"/>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3"/>
        </w:trPr>
        <w:tc>
          <w:tcPr>
            <w:tcW w:w="724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19,263</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16,376</w:t>
            </w:r>
          </w:p>
        </w:tc>
        <w:tc>
          <w:tcPr>
            <w:tcW w:w="0" w:type="dxa"/>
            <w:vAlign w:val="bottom"/>
          </w:tcPr>
          <w:p>
            <w:pPr>
              <w:spacing w:after="0"/>
              <w:rPr>
                <w:sz w:val="1"/>
                <w:szCs w:val="1"/>
                <w:color w:val="auto"/>
              </w:rPr>
            </w:pPr>
          </w:p>
        </w:tc>
      </w:tr>
      <w:tr>
        <w:trPr>
          <w:trHeight w:val="209"/>
        </w:trPr>
        <w:tc>
          <w:tcPr>
            <w:tcW w:w="724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10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10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D1D2D4"/>
          </w:tcPr>
          <w:p>
            <w:pPr>
              <w:spacing w:after="0"/>
              <w:rPr>
                <w:sz w:val="20"/>
                <w:szCs w:val="20"/>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D1D2D4"/>
          </w:tcPr>
          <w:p>
            <w:pPr>
              <w:spacing w:after="0"/>
              <w:rPr>
                <w:sz w:val="20"/>
                <w:szCs w:val="20"/>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D1D2D4"/>
          </w:tcPr>
          <w:p>
            <w:pPr>
              <w:spacing w:after="0"/>
              <w:rPr>
                <w:sz w:val="20"/>
                <w:szCs w:val="20"/>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Additional capital</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10,782</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10,633</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10,197</w:t>
            </w:r>
          </w:p>
        </w:tc>
        <w:tc>
          <w:tcPr>
            <w:tcW w:w="0" w:type="dxa"/>
            <w:vAlign w:val="bottom"/>
          </w:tcPr>
          <w:p>
            <w:pPr>
              <w:spacing w:after="0"/>
              <w:rPr>
                <w:sz w:val="1"/>
                <w:szCs w:val="1"/>
                <w:color w:val="auto"/>
              </w:rPr>
            </w:pPr>
          </w:p>
        </w:tc>
      </w:tr>
      <w:tr>
        <w:trPr>
          <w:trHeight w:val="243"/>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D1D2D4"/>
          </w:tcPr>
          <w:p>
            <w:pPr>
              <w:spacing w:after="0"/>
              <w:rPr>
                <w:sz w:val="21"/>
                <w:szCs w:val="21"/>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42,391</w:t>
            </w:r>
          </w:p>
        </w:tc>
        <w:tc>
          <w:tcPr>
            <w:tcW w:w="200" w:type="dxa"/>
            <w:vAlign w:val="bottom"/>
            <w:shd w:val="clear" w:color="auto" w:fill="D1D2D4"/>
          </w:tcPr>
          <w:p>
            <w:pPr>
              <w:spacing w:after="0"/>
              <w:rPr>
                <w:sz w:val="21"/>
                <w:szCs w:val="21"/>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44,426</w:t>
            </w:r>
          </w:p>
        </w:tc>
        <w:tc>
          <w:tcPr>
            <w:tcW w:w="300" w:type="dxa"/>
            <w:vAlign w:val="bottom"/>
            <w:shd w:val="clear" w:color="auto" w:fill="D1D2D4"/>
          </w:tcPr>
          <w:p>
            <w:pPr>
              <w:spacing w:after="0"/>
              <w:rPr>
                <w:sz w:val="21"/>
                <w:szCs w:val="21"/>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(7,552)</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shd w:val="clear" w:color="auto" w:fill="D1D2D4"/>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(373)</w:t>
            </w:r>
          </w:p>
        </w:tc>
        <w:tc>
          <w:tcPr>
            <w:tcW w:w="30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3"/>
        </w:trPr>
        <w:tc>
          <w:tcPr>
            <w:tcW w:w="7240" w:type="dxa"/>
            <w:vAlign w:val="bottom"/>
          </w:tcPr>
          <w:p>
            <w:pPr>
              <w:ind w:left="48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47,257</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49,907</w:t>
            </w:r>
          </w:p>
        </w:tc>
        <w:tc>
          <w:tcPr>
            <w:tcW w:w="0" w:type="dxa"/>
            <w:vAlign w:val="bottom"/>
          </w:tcPr>
          <w:p>
            <w:pPr>
              <w:spacing w:after="0"/>
              <w:rPr>
                <w:sz w:val="1"/>
                <w:szCs w:val="1"/>
                <w:color w:val="auto"/>
              </w:rPr>
            </w:pPr>
          </w:p>
        </w:tc>
      </w:tr>
      <w:tr>
        <w:trPr>
          <w:trHeight w:val="262"/>
        </w:trPr>
        <w:tc>
          <w:tcPr>
            <w:tcW w:w="724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65,680</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66,520</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88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7"/>
                <w:szCs w:val="17"/>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1,</w:t>
            </w:r>
          </w:p>
        </w:tc>
        <w:tc>
          <w:tcPr>
            <w:tcW w:w="260" w:type="dxa"/>
            <w:vAlign w:val="bottom"/>
          </w:tcPr>
          <w:p>
            <w:pPr>
              <w:spacing w:after="0"/>
              <w:rPr>
                <w:sz w:val="17"/>
                <w:szCs w:val="17"/>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2,</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0090DA"/>
            </w:tcBorders>
            <w:vMerge w:val="continue"/>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(4,403)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5,819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4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Provision to write down inventories to net realizable value</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1,831</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(Gain) loss on debt repurchases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6"/>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2,728</w:t>
            </w: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43"/>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(1,764)</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1,310</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11,404</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(6,215)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43"/>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6"/>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 of Lehi, Utah fab</w:t>
            </w: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6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(5,361)</w:t>
            </w:r>
          </w:p>
        </w:tc>
        <w:tc>
          <w:tcPr>
            <w:tcW w:w="26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(7,761)</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6,716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(706)</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(378)</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6"/>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36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0"/>
        </w:trPr>
        <w:tc>
          <w:tcPr>
            <w:tcW w:w="8360" w:type="dxa"/>
            <w:vAlign w:val="bottom"/>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3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1,031</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36"/>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8,339</w:t>
            </w:r>
          </w:p>
        </w:tc>
        <w:tc>
          <w:tcPr>
            <w:tcW w:w="26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88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Inventories</w:t>
      </w:r>
    </w:p>
    <w:p>
      <w:pPr>
        <w:spacing w:after="0" w:line="24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the third and second quarters of 2023, we recorded charges to cost of goods sold to write down the carrying value of work in process and finished goods inventories to their estimated net realizable values (“NRV”). The impact of inventory NRV write-downs for each period reflects</w:t>
      </w:r>
    </w:p>
    <w:p>
      <w:pPr>
        <w:spacing w:after="0" w:line="1" w:lineRule="exact"/>
        <w:rPr>
          <w:sz w:val="20"/>
          <w:szCs w:val="20"/>
          <w:color w:val="auto"/>
        </w:rPr>
      </w:pPr>
    </w:p>
    <w:p>
      <w:pPr>
        <w:ind w:right="420" w:firstLine="8"/>
        <w:spacing w:after="0" w:line="261"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write-downs in that period, offset by (2) lower costs in that period on the sale of inventory written down in prior periods. The impacts of inventory NRV write-downs are summarized below:</w:t>
      </w:r>
    </w:p>
    <w:tbl>
      <w:tblPr>
        <w:tblLayout w:type="fixed"/>
        <w:tblInd w:w="0" w:type="dxa"/>
        <w:tblCellMar>
          <w:top w:w="0" w:type="dxa"/>
          <w:left w:w="0" w:type="dxa"/>
          <w:bottom w:w="0" w:type="dxa"/>
          <w:right w:w="0" w:type="dxa"/>
        </w:tblCellMar>
      </w:tblPr>
      <w:tr>
        <w:trPr>
          <w:trHeight w:val="243"/>
        </w:trPr>
        <w:tc>
          <w:tcPr>
            <w:tcW w:w="5920" w:type="dxa"/>
            <w:vAlign w:val="bottom"/>
          </w:tcPr>
          <w:p>
            <w:pPr>
              <w:jc w:val="center"/>
              <w:ind w:left="4550"/>
              <w:spacing w:after="0"/>
              <w:rPr>
                <w:sz w:val="20"/>
                <w:szCs w:val="20"/>
                <w:color w:val="auto"/>
              </w:rPr>
            </w:pPr>
            <w:r>
              <w:rPr>
                <w:rFonts w:ascii="Arial" w:cs="Arial" w:eastAsia="Arial" w:hAnsi="Arial"/>
                <w:sz w:val="18"/>
                <w:szCs w:val="18"/>
                <w:b w:val="1"/>
                <w:bCs w:val="1"/>
                <w:color w:val="auto"/>
                <w:w w:val="98"/>
              </w:rPr>
              <w:t>3rd Qtr.</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8"/>
              </w:rPr>
              <w:t>2nd Qtr.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8"/>
              </w:rPr>
              <w:t>3rd Qtr.</w:t>
            </w:r>
          </w:p>
        </w:tc>
        <w:tc>
          <w:tcPr>
            <w:tcW w:w="2640" w:type="dxa"/>
            <w:vAlign w:val="bottom"/>
            <w:gridSpan w:val="2"/>
          </w:tcPr>
          <w:p>
            <w:pPr>
              <w:ind w:left="480"/>
              <w:spacing w:after="0"/>
              <w:rPr>
                <w:sz w:val="20"/>
                <w:szCs w:val="20"/>
                <w:color w:val="auto"/>
              </w:rPr>
            </w:pPr>
            <w:r>
              <w:rPr>
                <w:rFonts w:ascii="Arial" w:cs="Arial" w:eastAsia="Arial" w:hAnsi="Arial"/>
                <w:sz w:val="18"/>
                <w:szCs w:val="18"/>
                <w:b w:val="1"/>
                <w:bCs w:val="1"/>
                <w:color w:val="auto"/>
              </w:rPr>
              <w:t>Nine months ended</w:t>
            </w:r>
          </w:p>
        </w:tc>
      </w:tr>
      <w:tr>
        <w:trPr>
          <w:trHeight w:val="185"/>
        </w:trPr>
        <w:tc>
          <w:tcPr>
            <w:tcW w:w="5920" w:type="dxa"/>
            <w:vAlign w:val="bottom"/>
          </w:tcPr>
          <w:p>
            <w:pPr>
              <w:jc w:val="center"/>
              <w:ind w:left="4530"/>
              <w:spacing w:after="0" w:line="185" w:lineRule="exact"/>
              <w:rPr>
                <w:sz w:val="20"/>
                <w:szCs w:val="20"/>
                <w:color w:val="auto"/>
              </w:rPr>
            </w:pPr>
            <w:r>
              <w:rPr>
                <w:rFonts w:ascii="Arial" w:cs="Arial" w:eastAsia="Arial" w:hAnsi="Arial"/>
                <w:sz w:val="18"/>
                <w:szCs w:val="18"/>
                <w:b w:val="1"/>
                <w:bCs w:val="1"/>
                <w:color w:val="auto"/>
                <w:w w:val="99"/>
              </w:rPr>
              <w:t>June 1,</w:t>
            </w:r>
          </w:p>
        </w:tc>
        <w:tc>
          <w:tcPr>
            <w:tcW w:w="136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8"/>
              </w:rPr>
              <w:t>March 2,</w:t>
            </w:r>
          </w:p>
        </w:tc>
        <w:tc>
          <w:tcPr>
            <w:tcW w:w="132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9"/>
              </w:rPr>
              <w:t>June 2,</w:t>
            </w:r>
          </w:p>
        </w:tc>
        <w:tc>
          <w:tcPr>
            <w:tcW w:w="132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9"/>
              </w:rPr>
              <w:t>June 1,</w:t>
            </w:r>
          </w:p>
        </w:tc>
        <w:tc>
          <w:tcPr>
            <w:tcW w:w="132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9"/>
              </w:rPr>
              <w:t>June 2,</w:t>
            </w:r>
          </w:p>
        </w:tc>
      </w:tr>
      <w:tr>
        <w:trPr>
          <w:trHeight w:val="229"/>
        </w:trPr>
        <w:tc>
          <w:tcPr>
            <w:tcW w:w="5920" w:type="dxa"/>
            <w:vAlign w:val="bottom"/>
            <w:tcBorders>
              <w:bottom w:val="single" w:sz="8" w:color="0090DA"/>
            </w:tcBorders>
          </w:tcPr>
          <w:p>
            <w:pPr>
              <w:jc w:val="center"/>
              <w:ind w:left="4550"/>
              <w:spacing w:after="0"/>
              <w:rPr>
                <w:sz w:val="20"/>
                <w:szCs w:val="20"/>
                <w:color w:val="auto"/>
              </w:rPr>
            </w:pPr>
            <w:r>
              <w:rPr>
                <w:rFonts w:ascii="Arial" w:cs="Arial" w:eastAsia="Arial" w:hAnsi="Arial"/>
                <w:sz w:val="18"/>
                <w:szCs w:val="18"/>
                <w:b w:val="1"/>
                <w:bCs w:val="1"/>
                <w:color w:val="auto"/>
                <w:w w:val="99"/>
              </w:rPr>
              <w:t>2023</w:t>
            </w:r>
          </w:p>
        </w:tc>
        <w:tc>
          <w:tcPr>
            <w:tcW w:w="136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2023</w:t>
            </w:r>
          </w:p>
        </w:tc>
        <w:tc>
          <w:tcPr>
            <w:tcW w:w="13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2022</w:t>
            </w:r>
          </w:p>
        </w:tc>
        <w:tc>
          <w:tcPr>
            <w:tcW w:w="13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to write down inventory to net realizable value</w:t>
      </w:r>
    </w:p>
    <w:p>
      <w:pPr>
        <w:spacing w:after="0" w:line="23" w:lineRule="exact"/>
        <w:rPr>
          <w:sz w:val="20"/>
          <w:szCs w:val="20"/>
          <w:color w:val="auto"/>
        </w:rPr>
      </w:pPr>
    </w:p>
    <w:p>
      <w:pPr>
        <w:ind w:left="20" w:right="40"/>
        <w:spacing w:after="0" w:line="234" w:lineRule="auto"/>
        <w:rPr>
          <w:sz w:val="20"/>
          <w:szCs w:val="20"/>
          <w:color w:val="auto"/>
        </w:rPr>
      </w:pPr>
      <w:r>
        <w:rPr>
          <w:rFonts w:ascii="Arial" w:cs="Arial" w:eastAsia="Arial" w:hAnsi="Arial"/>
          <w:sz w:val="18"/>
          <w:szCs w:val="18"/>
          <w:color w:val="auto"/>
        </w:rPr>
        <w:t>Lower costs from sale of inventory written down in prior periods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center"/>
              <w:ind w:left="270"/>
              <w:spacing w:after="0"/>
              <w:rPr>
                <w:sz w:val="20"/>
                <w:szCs w:val="20"/>
                <w:color w:val="auto"/>
              </w:rPr>
            </w:pPr>
            <w:r>
              <w:rPr>
                <w:rFonts w:ascii="Arial" w:cs="Arial" w:eastAsia="Arial" w:hAnsi="Arial"/>
                <w:sz w:val="18"/>
                <w:szCs w:val="18"/>
                <w:color w:val="auto"/>
                <w:w w:val="99"/>
              </w:rPr>
              <w:t>(401)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(1,430)</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(1,831)</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405"/>
        </w:trPr>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281</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(120)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r>
      <w:tr>
        <w:trPr>
          <w:trHeight w:val="27"/>
        </w:trPr>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-187960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160"/>
            <w:col w:w="6620"/>
          </w:cols>
          <w:pgMar w:left="320" w:top="886" w:right="339" w:bottom="1440" w:gutter="0" w:footer="0" w:header="0"/>
          <w:type w:val="continuous"/>
        </w:sectPr>
      </w:pP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Activity</w:t>
      </w:r>
    </w:p>
    <w:p>
      <w:pPr>
        <w:spacing w:after="0" w:line="26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On April 11, 2023, we issued $600 million principal amount of 5.375% senior unsecured notes due April 15, 2028 and received proceeds of $596 million. Additionally, we issued $ 900 million principal amount of 5.875% senior unsecured notes due September 15, 2033 and received proceeds of $890 million. On April 13, 2023, we used a portion of the proceeds from the debt issuance to prepay $600 million principal amount of our senior term loan A due October 2024.</w:t>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6" w:right="339" w:bottom="1440" w:gutter="0" w:footer="0" w:header="0"/>
          <w:type w:val="continuous"/>
        </w:sectPr>
      </w:pPr>
    </w:p>
    <w:bookmarkStart w:id="9" w:name="page10"/>
    <w:bookmarkEnd w:id="9"/>
    <w:p>
      <w:pPr>
        <w:ind w:left="4360"/>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(In millions,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00" w:type="dxa"/>
            <w:vAlign w:val="bottom"/>
          </w:tcPr>
          <w:p>
            <w:pPr>
              <w:spacing w:after="0"/>
              <w:rPr>
                <w:sz w:val="19"/>
                <w:szCs w:val="19"/>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19"/>
                <w:szCs w:val="19"/>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r>
      <w:tr>
        <w:trPr>
          <w:trHeight w:val="189"/>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9"/>
              </w:rPr>
              <w:t>June 1,</w:t>
            </w:r>
          </w:p>
        </w:tc>
        <w:tc>
          <w:tcPr>
            <w:tcW w:w="200" w:type="dxa"/>
            <w:vAlign w:val="bottom"/>
          </w:tcPr>
          <w:p>
            <w:pPr>
              <w:spacing w:after="0"/>
              <w:rPr>
                <w:sz w:val="16"/>
                <w:szCs w:val="16"/>
                <w:color w:val="auto"/>
              </w:rPr>
            </w:pPr>
          </w:p>
        </w:tc>
        <w:tc>
          <w:tcPr>
            <w:tcW w:w="1100" w:type="dxa"/>
            <w:vAlign w:val="bottom"/>
          </w:tcPr>
          <w:p>
            <w:pPr>
              <w:jc w:val="center"/>
              <w:ind w:right="110"/>
              <w:spacing w:after="0" w:line="189" w:lineRule="exact"/>
              <w:rPr>
                <w:sz w:val="20"/>
                <w:szCs w:val="20"/>
                <w:color w:val="auto"/>
              </w:rPr>
            </w:pPr>
            <w:r>
              <w:rPr>
                <w:rFonts w:ascii="Arial" w:cs="Arial" w:eastAsia="Arial" w:hAnsi="Arial"/>
                <w:sz w:val="18"/>
                <w:szCs w:val="18"/>
                <w:b w:val="1"/>
                <w:bCs w:val="1"/>
                <w:color w:val="auto"/>
              </w:rPr>
              <w:t>March 2,</w:t>
            </w:r>
          </w:p>
        </w:tc>
        <w:tc>
          <w:tcPr>
            <w:tcW w:w="240" w:type="dxa"/>
            <w:vAlign w:val="bottom"/>
          </w:tcPr>
          <w:p>
            <w:pPr>
              <w:spacing w:after="0"/>
              <w:rPr>
                <w:sz w:val="16"/>
                <w:szCs w:val="16"/>
                <w:color w:val="auto"/>
              </w:rPr>
            </w:pPr>
          </w:p>
        </w:tc>
        <w:tc>
          <w:tcPr>
            <w:tcW w:w="106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99"/>
              </w:rPr>
              <w:t>June 2,</w:t>
            </w:r>
          </w:p>
        </w:tc>
      </w:tr>
      <w:tr>
        <w:trPr>
          <w:trHeight w:val="239"/>
        </w:trPr>
        <w:tc>
          <w:tcPr>
            <w:tcW w:w="730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2023</w:t>
            </w:r>
          </w:p>
        </w:tc>
        <w:tc>
          <w:tcPr>
            <w:tcW w:w="20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c>
          <w:tcPr>
            <w:tcW w:w="240" w:type="dxa"/>
            <w:vAlign w:val="bottom"/>
            <w:tcBorders>
              <w:bottom w:val="single" w:sz="8" w:color="0090DA"/>
            </w:tcBorders>
          </w:tcPr>
          <w:p>
            <w:pPr>
              <w:spacing w:after="0"/>
              <w:rPr>
                <w:sz w:val="20"/>
                <w:szCs w:val="20"/>
                <w:color w:val="auto"/>
              </w:rPr>
            </w:pPr>
          </w:p>
        </w:tc>
        <w:tc>
          <w:tcPr>
            <w:tcW w:w="106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r>
      <w:tr>
        <w:trPr>
          <w:trHeight w:val="34"/>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3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(668)</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(1,206)</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4,035</w:t>
            </w: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7300" w:type="dxa"/>
            <w:vAlign w:val="bottom"/>
            <w:tcBorders>
              <w:bottom w:val="single" w:sz="8" w:color="D1D2D4"/>
            </w:tcBorders>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36"/>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w:t>
            </w:r>
          </w:p>
        </w:tc>
      </w:tr>
      <w:tr>
        <w:trPr>
          <w:trHeight w:val="20"/>
        </w:trPr>
        <w:tc>
          <w:tcPr>
            <w:tcW w:w="730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7300" w:type="dxa"/>
            <w:vAlign w:val="bottom"/>
            <w:shd w:val="clear" w:color="auto" w:fill="D1D2D4"/>
          </w:tcPr>
          <w:p>
            <w:pPr>
              <w:spacing w:after="0"/>
              <w:rPr>
                <w:sz w:val="18"/>
                <w:szCs w:val="18"/>
                <w:color w:val="auto"/>
              </w:rPr>
            </w:pPr>
          </w:p>
        </w:tc>
        <w:tc>
          <w:tcPr>
            <w:tcW w:w="22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110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060" w:type="dxa"/>
            <w:vAlign w:val="bottom"/>
            <w:shd w:val="clear" w:color="auto" w:fill="D1D2D4"/>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20"/>
          </w:cols>
          <w:pgMar w:left="340" w:top="886"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1517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Restructure and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1517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Litigation contingency accrual</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151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GAAP 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151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Restructure and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1517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Litigation contingency accrual</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15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operating income (loss)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Restructure and asset impairments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Litigation contingency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 of debt discount and other costs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Impact of Idaho income tax reform</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Estimated tax effects of above and other tax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1517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net income (loss)</w:t>
      </w:r>
    </w:p>
    <w:p>
      <w:pPr>
        <w:spacing w:after="0" w:line="279" w:lineRule="exact"/>
        <w:rPr>
          <w:sz w:val="20"/>
          <w:szCs w:val="20"/>
          <w:color w:val="auto"/>
        </w:rPr>
      </w:pPr>
    </w:p>
    <w:p>
      <w:pPr>
        <w:ind w:left="140" w:right="1200" w:hanging="120"/>
        <w:spacing w:after="0" w:line="297" w:lineRule="auto"/>
        <w:rPr>
          <w:sz w:val="20"/>
          <w:szCs w:val="20"/>
          <w:color w:val="auto"/>
        </w:rPr>
      </w:pPr>
      <w:r>
        <w:rPr>
          <w:rFonts w:ascii="Arial" w:cs="Arial" w:eastAsia="Arial" w:hAnsi="Arial"/>
          <w:sz w:val="18"/>
          <w:szCs w:val="18"/>
          <w:b w:val="1"/>
          <w:bCs w:val="1"/>
          <w:color w:val="auto"/>
        </w:rPr>
        <w:t xml:space="preserve">GAAP weighted-average common shares outstanding - Diluted </w:t>
      </w:r>
      <w:r>
        <w:rPr>
          <w:rFonts w:ascii="Arial" w:cs="Arial" w:eastAsia="Arial" w:hAnsi="Arial"/>
          <w:sz w:val="18"/>
          <w:szCs w:val="18"/>
          <w:color w:val="auto"/>
        </w:rPr>
        <w:t>Adjustment for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-318770</wp:posOffset>
            </wp:positionV>
            <wp:extent cx="71151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-18415</wp:posOffset>
            </wp:positionV>
            <wp:extent cx="71151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b w:val="1"/>
          <w:bCs w:val="1"/>
          <w:color w:val="auto"/>
        </w:rPr>
        <w:t>Non-GAAP weighted-average common shares outstanding - Diluted</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GAAP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711517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Effects of the above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1151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diluted earnings (loss)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1,093</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1,097</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43"/>
        </w:trPr>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53"/>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(2,303)</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3,004</w:t>
            </w:r>
          </w:p>
        </w:tc>
      </w:tr>
      <w:tr>
        <w:trPr>
          <w:trHeight w:val="229"/>
        </w:trPr>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r>
      <w:tr>
        <w:trPr>
          <w:trHeight w:val="27"/>
        </w:trPr>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439"/>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(1,896)</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(2,312)</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2,626</w:t>
            </w:r>
          </w:p>
        </w:tc>
      </w:tr>
      <w:tr>
        <w:trPr>
          <w:trHeight w:val="243"/>
        </w:trPr>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53"/>
        </w:trPr>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1,094</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1,091</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1,121</w:t>
            </w:r>
          </w:p>
        </w:tc>
      </w:tr>
      <w:tr>
        <w:trPr>
          <w:trHeight w:val="236"/>
        </w:trPr>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53"/>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580" w:space="720"/>
            <w:col w:w="3920"/>
          </w:cols>
          <w:pgMar w:left="340" w:top="886" w:right="3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340" w:top="886" w:right="339" w:bottom="1440" w:gutter="0" w:footer="0" w:header="0"/>
          <w:type w:val="continuous"/>
        </w:sectPr>
      </w:pPr>
    </w:p>
    <w:bookmarkStart w:id="10" w:name="page11"/>
    <w:bookmarkEnd w:id="10"/>
    <w:tbl>
      <w:tblPr>
        <w:tblLayout w:type="fixed"/>
        <w:tblInd w:w="20" w:type="dxa"/>
        <w:tblCellMar>
          <w:top w:w="0" w:type="dxa"/>
          <w:left w:w="0" w:type="dxa"/>
          <w:bottom w:w="0" w:type="dxa"/>
          <w:right w:w="0" w:type="dxa"/>
        </w:tblCellMar>
      </w:tblPr>
      <w:tr>
        <w:trPr>
          <w:trHeight w:val="251"/>
        </w:trPr>
        <w:tc>
          <w:tcPr>
            <w:tcW w:w="8800" w:type="dxa"/>
            <w:vAlign w:val="bottom"/>
            <w:gridSpan w:val="4"/>
          </w:tcPr>
          <w:p>
            <w:pPr>
              <w:ind w:left="2880"/>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478"/>
        </w:trPr>
        <w:tc>
          <w:tcPr>
            <w:tcW w:w="7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00" w:type="dxa"/>
            <w:vAlign w:val="bottom"/>
          </w:tcPr>
          <w:p>
            <w:pPr>
              <w:spacing w:after="0"/>
              <w:rPr>
                <w:sz w:val="24"/>
                <w:szCs w:val="24"/>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r>
      <w:tr>
        <w:trPr>
          <w:trHeight w:val="189"/>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9"/>
              </w:rPr>
              <w:t>June 1,</w:t>
            </w:r>
          </w:p>
        </w:tc>
        <w:tc>
          <w:tcPr>
            <w:tcW w:w="200" w:type="dxa"/>
            <w:vAlign w:val="bottom"/>
          </w:tcPr>
          <w:p>
            <w:pPr>
              <w:spacing w:after="0"/>
              <w:rPr>
                <w:sz w:val="16"/>
                <w:szCs w:val="16"/>
                <w:color w:val="auto"/>
              </w:rPr>
            </w:pPr>
          </w:p>
        </w:tc>
        <w:tc>
          <w:tcPr>
            <w:tcW w:w="1100" w:type="dxa"/>
            <w:vAlign w:val="bottom"/>
          </w:tcPr>
          <w:p>
            <w:pPr>
              <w:jc w:val="center"/>
              <w:ind w:right="110"/>
              <w:spacing w:after="0" w:line="189" w:lineRule="exact"/>
              <w:rPr>
                <w:sz w:val="20"/>
                <w:szCs w:val="20"/>
                <w:color w:val="auto"/>
              </w:rPr>
            </w:pPr>
            <w:r>
              <w:rPr>
                <w:rFonts w:ascii="Arial" w:cs="Arial" w:eastAsia="Arial" w:hAnsi="Arial"/>
                <w:sz w:val="18"/>
                <w:szCs w:val="18"/>
                <w:b w:val="1"/>
                <w:bCs w:val="1"/>
                <w:color w:val="auto"/>
              </w:rPr>
              <w:t>March 2,</w:t>
            </w:r>
          </w:p>
        </w:tc>
        <w:tc>
          <w:tcPr>
            <w:tcW w:w="240" w:type="dxa"/>
            <w:vAlign w:val="bottom"/>
          </w:tcPr>
          <w:p>
            <w:pPr>
              <w:spacing w:after="0"/>
              <w:rPr>
                <w:sz w:val="16"/>
                <w:szCs w:val="16"/>
                <w:color w:val="auto"/>
              </w:rPr>
            </w:pPr>
          </w:p>
        </w:tc>
        <w:tc>
          <w:tcPr>
            <w:tcW w:w="106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99"/>
              </w:rPr>
              <w:t>June 2,</w:t>
            </w:r>
          </w:p>
        </w:tc>
      </w:tr>
      <w:tr>
        <w:trPr>
          <w:trHeight w:val="239"/>
        </w:trPr>
        <w:tc>
          <w:tcPr>
            <w:tcW w:w="730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2023</w:t>
            </w:r>
          </w:p>
        </w:tc>
        <w:tc>
          <w:tcPr>
            <w:tcW w:w="20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c>
          <w:tcPr>
            <w:tcW w:w="240" w:type="dxa"/>
            <w:vAlign w:val="bottom"/>
            <w:tcBorders>
              <w:bottom w:val="single" w:sz="8" w:color="0090DA"/>
            </w:tcBorders>
          </w:tcPr>
          <w:p>
            <w:pPr>
              <w:spacing w:after="0"/>
              <w:rPr>
                <w:sz w:val="20"/>
                <w:szCs w:val="20"/>
                <w:color w:val="auto"/>
              </w:rPr>
            </w:pPr>
          </w:p>
        </w:tc>
        <w:tc>
          <w:tcPr>
            <w:tcW w:w="106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r>
      <w:tr>
        <w:trPr>
          <w:trHeight w:val="34"/>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3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3,838</w:t>
            </w:r>
          </w:p>
        </w:tc>
      </w:tr>
      <w:tr>
        <w:trPr>
          <w:trHeight w:val="243"/>
        </w:trPr>
        <w:tc>
          <w:tcPr>
            <w:tcW w:w="7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7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(1,561)</w:t>
            </w:r>
          </w:p>
        </w:tc>
        <w:tc>
          <w:tcPr>
            <w:tcW w:w="20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(2,205)</w:t>
            </w:r>
          </w:p>
        </w:tc>
        <w:tc>
          <w:tcPr>
            <w:tcW w:w="24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(2,578)</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7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3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Amounts funded by partners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Investments in capital expenditures, net</w:t>
            </w:r>
          </w:p>
        </w:tc>
        <w:tc>
          <w:tcPr>
            <w:tcW w:w="2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(1,379)</w:t>
            </w:r>
          </w:p>
        </w:tc>
        <w:tc>
          <w:tcPr>
            <w:tcW w:w="20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(2,155)</w:t>
            </w:r>
          </w:p>
        </w:tc>
        <w:tc>
          <w:tcPr>
            <w:tcW w:w="24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(2,528)</w:t>
            </w:r>
          </w:p>
        </w:tc>
      </w:tr>
      <w:tr>
        <w:trPr>
          <w:trHeight w:val="223"/>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r>
      <w:tr>
        <w:trPr>
          <w:trHeight w:val="20"/>
        </w:trPr>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(loss), net income (loss), diluted shares, diluted earnings (loss)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routinely excludes the following items in analyzing our operating results and understanding trends in our earnings:</w:t>
      </w:r>
    </w:p>
    <w:p>
      <w:pPr>
        <w:spacing w:after="0" w:line="22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debt discount and other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 and</w:t>
      </w:r>
    </w:p>
    <w:p>
      <w:pPr>
        <w:spacing w:after="0" w:line="9" w:lineRule="exact"/>
        <w:rPr>
          <w:rFonts w:ascii="Arial" w:cs="Arial" w:eastAsia="Arial" w:hAnsi="Arial"/>
          <w:sz w:val="18"/>
          <w:szCs w:val="18"/>
          <w:color w:val="auto"/>
        </w:rPr>
      </w:pPr>
    </w:p>
    <w:p>
      <w:pPr>
        <w:ind w:left="660" w:right="50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w:t>
      </w:r>
    </w:p>
    <w:p>
      <w:pPr>
        <w:spacing w:after="0" w:line="21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28"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34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FQ4-23</w:t>
            </w:r>
          </w:p>
        </w:tc>
        <w:tc>
          <w:tcPr>
            <w:tcW w:w="284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GAAP Outlook</w:t>
            </w:r>
          </w:p>
        </w:tc>
        <w:tc>
          <w:tcPr>
            <w:tcW w:w="120" w:type="dxa"/>
            <w:vAlign w:val="bottom"/>
          </w:tcPr>
          <w:p>
            <w:pPr>
              <w:spacing w:after="0"/>
              <w:rPr>
                <w:sz w:val="20"/>
                <w:szCs w:val="20"/>
                <w:color w:val="auto"/>
              </w:rPr>
            </w:pPr>
          </w:p>
        </w:tc>
        <w:tc>
          <w:tcPr>
            <w:tcW w:w="226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20"/>
                <w:szCs w:val="20"/>
                <w:color w:val="auto"/>
              </w:rPr>
            </w:pPr>
          </w:p>
        </w:tc>
        <w:tc>
          <w:tcPr>
            <w:tcW w:w="2240" w:type="dxa"/>
            <w:vAlign w:val="bottom"/>
            <w:tcBorders>
              <w:bottom w:val="single" w:sz="8" w:color="0090DA"/>
            </w:tcBorders>
          </w:tcPr>
          <w:p>
            <w:pPr>
              <w:jc w:val="right"/>
              <w:ind w:right="210"/>
              <w:spacing w:after="0"/>
              <w:rPr>
                <w:sz w:val="20"/>
                <w:szCs w:val="20"/>
                <w:color w:val="auto"/>
              </w:rPr>
            </w:pPr>
            <w:r>
              <w:rPr>
                <w:rFonts w:ascii="Arial" w:cs="Arial" w:eastAsia="Arial" w:hAnsi="Arial"/>
                <w:sz w:val="18"/>
                <w:szCs w:val="18"/>
                <w:b w:val="1"/>
                <w:bCs w:val="1"/>
                <w:color w:val="auto"/>
              </w:rPr>
              <w:t>Non-GAAP Outlook</w:t>
            </w:r>
          </w:p>
        </w:tc>
      </w:tr>
      <w:tr>
        <w:trPr>
          <w:trHeight w:val="48"/>
        </w:trPr>
        <w:tc>
          <w:tcPr>
            <w:tcW w:w="34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40" w:type="dxa"/>
            <w:vAlign w:val="bottom"/>
          </w:tcPr>
          <w:p>
            <w:pPr>
              <w:spacing w:after="0"/>
              <w:rPr>
                <w:sz w:val="4"/>
                <w:szCs w:val="4"/>
                <w:color w:val="auto"/>
              </w:rPr>
            </w:pPr>
          </w:p>
        </w:tc>
      </w:tr>
      <w:tr>
        <w:trPr>
          <w:trHeight w:val="229"/>
        </w:trPr>
        <w:tc>
          <w:tcPr>
            <w:tcW w:w="3460" w:type="dxa"/>
            <w:vAlign w:val="bottom"/>
            <w:shd w:val="clear" w:color="auto" w:fill="CBCBCB"/>
          </w:tcPr>
          <w:p>
            <w:pPr>
              <w:ind w:left="20"/>
              <w:spacing w:after="0"/>
              <w:rPr>
                <w:sz w:val="20"/>
                <w:szCs w:val="20"/>
                <w:color w:val="auto"/>
              </w:rPr>
            </w:pPr>
            <w:r>
              <w:rPr>
                <w:rFonts w:ascii="Arial" w:cs="Arial" w:eastAsia="Arial" w:hAnsi="Arial"/>
                <w:sz w:val="18"/>
                <w:szCs w:val="18"/>
                <w:color w:val="auto"/>
              </w:rPr>
              <w:t>Revenue</w:t>
            </w:r>
          </w:p>
        </w:tc>
        <w:tc>
          <w:tcPr>
            <w:tcW w:w="28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$3.90 billion ± $200 million</w:t>
            </w:r>
          </w:p>
        </w:tc>
        <w:tc>
          <w:tcPr>
            <w:tcW w:w="120" w:type="dxa"/>
            <w:vAlign w:val="bottom"/>
            <w:shd w:val="clear" w:color="auto" w:fill="CBCBCB"/>
          </w:tcPr>
          <w:p>
            <w:pPr>
              <w:spacing w:after="0"/>
              <w:rPr>
                <w:sz w:val="19"/>
                <w:szCs w:val="19"/>
                <w:color w:val="auto"/>
              </w:rPr>
            </w:pPr>
          </w:p>
        </w:tc>
        <w:tc>
          <w:tcPr>
            <w:tcW w:w="226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BCBCB"/>
          </w:tcPr>
          <w:p>
            <w:pPr>
              <w:spacing w:after="0"/>
              <w:rPr>
                <w:sz w:val="19"/>
                <w:szCs w:val="19"/>
                <w:color w:val="auto"/>
              </w:rPr>
            </w:pPr>
          </w:p>
        </w:tc>
        <w:tc>
          <w:tcPr>
            <w:tcW w:w="22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$3.90 billion ± $200 million</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840" w:type="dxa"/>
            <w:vAlign w:val="bottom"/>
          </w:tcPr>
          <w:p>
            <w:pPr>
              <w:jc w:val="right"/>
              <w:spacing w:after="0"/>
              <w:rPr>
                <w:sz w:val="20"/>
                <w:szCs w:val="20"/>
                <w:color w:val="auto"/>
              </w:rPr>
            </w:pPr>
            <w:r>
              <w:rPr>
                <w:rFonts w:ascii="Arial" w:cs="Arial" w:eastAsia="Arial" w:hAnsi="Arial"/>
                <w:sz w:val="18"/>
                <w:szCs w:val="18"/>
                <w:color w:val="auto"/>
              </w:rPr>
              <w:t>(12.5%) ± 2.5%</w:t>
            </w:r>
          </w:p>
        </w:tc>
        <w:tc>
          <w:tcPr>
            <w:tcW w:w="1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2.0% A</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(10.5%) ± 2.5%</w:t>
            </w:r>
          </w:p>
        </w:tc>
      </w:tr>
      <w:tr>
        <w:trPr>
          <w:trHeight w:val="243"/>
        </w:trPr>
        <w:tc>
          <w:tcPr>
            <w:tcW w:w="3460" w:type="dxa"/>
            <w:vAlign w:val="bottom"/>
            <w:shd w:val="clear" w:color="auto" w:fill="CBCBCB"/>
          </w:tcPr>
          <w:p>
            <w:pPr>
              <w:ind w:left="20"/>
              <w:spacing w:after="0"/>
              <w:rPr>
                <w:sz w:val="20"/>
                <w:szCs w:val="20"/>
                <w:color w:val="auto"/>
              </w:rPr>
            </w:pPr>
            <w:r>
              <w:rPr>
                <w:rFonts w:ascii="Arial" w:cs="Arial" w:eastAsia="Arial" w:hAnsi="Arial"/>
                <w:sz w:val="18"/>
                <w:szCs w:val="18"/>
                <w:color w:val="auto"/>
              </w:rPr>
              <w:t>Operating expenses</w:t>
            </w:r>
          </w:p>
        </w:tc>
        <w:tc>
          <w:tcPr>
            <w:tcW w:w="28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$946 million ± $15 million</w:t>
            </w:r>
          </w:p>
        </w:tc>
        <w:tc>
          <w:tcPr>
            <w:tcW w:w="120" w:type="dxa"/>
            <w:vAlign w:val="bottom"/>
            <w:shd w:val="clear" w:color="auto" w:fill="CBCBCB"/>
          </w:tcPr>
          <w:p>
            <w:pPr>
              <w:spacing w:after="0"/>
              <w:rPr>
                <w:sz w:val="21"/>
                <w:szCs w:val="21"/>
                <w:color w:val="auto"/>
              </w:rPr>
            </w:pPr>
          </w:p>
        </w:tc>
        <w:tc>
          <w:tcPr>
            <w:tcW w:w="2260" w:type="dxa"/>
            <w:vAlign w:val="bottom"/>
            <w:shd w:val="clear" w:color="auto" w:fill="CBCBCB"/>
          </w:tcPr>
          <w:p>
            <w:pPr>
              <w:ind w:left="320"/>
              <w:spacing w:after="0"/>
              <w:rPr>
                <w:sz w:val="20"/>
                <w:szCs w:val="20"/>
                <w:color w:val="auto"/>
              </w:rPr>
            </w:pPr>
            <w:r>
              <w:rPr>
                <w:rFonts w:ascii="Arial" w:cs="Arial" w:eastAsia="Arial" w:hAnsi="Arial"/>
                <w:sz w:val="18"/>
                <w:szCs w:val="18"/>
                <w:color w:val="auto"/>
              </w:rPr>
              <w:t>$101 million B</w:t>
            </w:r>
          </w:p>
        </w:tc>
        <w:tc>
          <w:tcPr>
            <w:tcW w:w="120" w:type="dxa"/>
            <w:vAlign w:val="bottom"/>
            <w:shd w:val="clear" w:color="auto" w:fill="CBCBCB"/>
          </w:tcPr>
          <w:p>
            <w:pPr>
              <w:spacing w:after="0"/>
              <w:rPr>
                <w:sz w:val="21"/>
                <w:szCs w:val="21"/>
                <w:color w:val="auto"/>
              </w:rPr>
            </w:pPr>
          </w:p>
        </w:tc>
        <w:tc>
          <w:tcPr>
            <w:tcW w:w="22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$845 million ± $15 million</w:t>
            </w:r>
          </w:p>
        </w:tc>
      </w:tr>
      <w:tr>
        <w:trPr>
          <w:trHeight w:val="307"/>
        </w:trPr>
        <w:tc>
          <w:tcPr>
            <w:tcW w:w="3460" w:type="dxa"/>
            <w:vAlign w:val="bottom"/>
          </w:tcPr>
          <w:p>
            <w:pPr>
              <w:ind w:left="20"/>
              <w:spacing w:after="0"/>
              <w:rPr>
                <w:sz w:val="20"/>
                <w:szCs w:val="20"/>
                <w:color w:val="auto"/>
              </w:rPr>
            </w:pPr>
            <w:r>
              <w:rPr>
                <w:rFonts w:ascii="Arial" w:cs="Arial" w:eastAsia="Arial" w:hAnsi="Arial"/>
                <w:sz w:val="18"/>
                <w:szCs w:val="18"/>
                <w:color w:val="auto"/>
              </w:rPr>
              <w:t>Diluted earnings (loss) per share</w:t>
            </w:r>
            <w:r>
              <w:rPr>
                <w:rFonts w:ascii="Arial" w:cs="Arial" w:eastAsia="Arial" w:hAnsi="Arial"/>
                <w:sz w:val="23"/>
                <w:szCs w:val="23"/>
                <w:color w:val="auto"/>
                <w:vertAlign w:val="superscript"/>
              </w:rPr>
              <w:t>(1)</w:t>
            </w:r>
          </w:p>
        </w:tc>
        <w:tc>
          <w:tcPr>
            <w:tcW w:w="2840" w:type="dxa"/>
            <w:vAlign w:val="bottom"/>
          </w:tcPr>
          <w:p>
            <w:pPr>
              <w:jc w:val="right"/>
              <w:spacing w:after="0"/>
              <w:rPr>
                <w:sz w:val="20"/>
                <w:szCs w:val="20"/>
                <w:color w:val="auto"/>
              </w:rPr>
            </w:pPr>
            <w:r>
              <w:rPr>
                <w:rFonts w:ascii="Arial" w:cs="Arial" w:eastAsia="Arial" w:hAnsi="Arial"/>
                <w:sz w:val="18"/>
                <w:szCs w:val="18"/>
                <w:color w:val="auto"/>
              </w:rPr>
              <w:t>($1.34) ± $0.07</w:t>
            </w:r>
          </w:p>
        </w:tc>
        <w:tc>
          <w:tcPr>
            <w:tcW w:w="120" w:type="dxa"/>
            <w:vAlign w:val="bottom"/>
          </w:tcPr>
          <w:p>
            <w:pPr>
              <w:spacing w:after="0"/>
              <w:rPr>
                <w:sz w:val="24"/>
                <w:szCs w:val="24"/>
                <w:color w:val="auto"/>
              </w:rPr>
            </w:pPr>
          </w:p>
        </w:tc>
        <w:tc>
          <w:tcPr>
            <w:tcW w:w="2260" w:type="dxa"/>
            <w:vAlign w:val="bottom"/>
          </w:tcPr>
          <w:p>
            <w:pPr>
              <w:ind w:left="820"/>
              <w:spacing w:after="0"/>
              <w:rPr>
                <w:sz w:val="20"/>
                <w:szCs w:val="20"/>
                <w:color w:val="auto"/>
              </w:rPr>
            </w:pPr>
            <w:r>
              <w:rPr>
                <w:rFonts w:ascii="Arial" w:cs="Arial" w:eastAsia="Arial" w:hAnsi="Arial"/>
                <w:sz w:val="18"/>
                <w:szCs w:val="18"/>
                <w:color w:val="auto"/>
              </w:rPr>
              <w:t>$0.15 A, B, C</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($1.19) ± $0.07</w:t>
            </w:r>
          </w:p>
        </w:tc>
      </w:tr>
    </w:tbl>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Adjustments</w:t>
      </w:r>
    </w:p>
    <w:p>
      <w:pPr>
        <w:ind w:left="120"/>
        <w:spacing w:after="0"/>
        <w:rPr>
          <w:sz w:val="20"/>
          <w:szCs w:val="20"/>
          <w:color w:val="auto"/>
        </w:rPr>
      </w:pP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6350</wp:posOffset>
            </wp:positionV>
            <wp:extent cx="70123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   Stock-based compensation – cost of goods sold</w:t>
            </w:r>
          </w:p>
        </w:tc>
        <w:tc>
          <w:tcPr>
            <w:tcW w:w="980" w:type="dxa"/>
            <w:vAlign w:val="bottom"/>
            <w:shd w:val="clear" w:color="auto" w:fill="D1D2D4"/>
          </w:tcPr>
          <w:p>
            <w:pPr>
              <w:jc w:val="right"/>
              <w:ind w:right="7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r>
      <w:tr>
        <w:trPr>
          <w:trHeight w:val="236"/>
        </w:trPr>
        <w:tc>
          <w:tcPr>
            <w:tcW w:w="8800" w:type="dxa"/>
            <w:vAlign w:val="bottom"/>
          </w:tcPr>
          <w:p>
            <w:pPr>
              <w:ind w:left="20"/>
              <w:spacing w:after="0"/>
              <w:rPr>
                <w:sz w:val="20"/>
                <w:szCs w:val="20"/>
                <w:color w:val="auto"/>
              </w:rPr>
            </w:pPr>
            <w:r>
              <w:rPr>
                <w:rFonts w:ascii="Arial" w:cs="Arial" w:eastAsia="Arial" w:hAnsi="Arial"/>
                <w:sz w:val="18"/>
                <w:szCs w:val="18"/>
                <w:color w:val="auto"/>
              </w:rPr>
              <w:t>A   Other – cost of goods sold</w:t>
            </w:r>
          </w:p>
        </w:tc>
        <w:tc>
          <w:tcPr>
            <w:tcW w:w="9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6"/>
        </w:trPr>
        <w:tc>
          <w:tcPr>
            <w:tcW w:w="8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B   Stock-based compensation – research and development</w:t>
            </w:r>
          </w:p>
        </w:tc>
        <w:tc>
          <w:tcPr>
            <w:tcW w:w="980" w:type="dxa"/>
            <w:vAlign w:val="bottom"/>
            <w:shd w:val="clear" w:color="auto" w:fill="D1D2D4"/>
          </w:tcPr>
          <w:p>
            <w:pPr>
              <w:spacing w:after="0"/>
              <w:rPr>
                <w:sz w:val="20"/>
                <w:szCs w:val="20"/>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B   Stock-based compensation – selling, general, and administrative</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8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  Tax effects of the above items and other tax adjustments</w:t>
            </w:r>
          </w:p>
        </w:tc>
        <w:tc>
          <w:tcPr>
            <w:tcW w:w="980" w:type="dxa"/>
            <w:vAlign w:val="bottom"/>
            <w:tcBorders>
              <w:bottom w:val="single" w:sz="8" w:color="auto"/>
            </w:tcBorders>
            <w:shd w:val="clear" w:color="auto" w:fill="D1D2D4"/>
          </w:tcPr>
          <w:p>
            <w:pPr>
              <w:spacing w:after="0"/>
              <w:rPr>
                <w:sz w:val="21"/>
                <w:szCs w:val="21"/>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80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1"/>
        </w:trPr>
        <w:tc>
          <w:tcPr>
            <w:tcW w:w="8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GAAP and non-GAAP earnings (loss) per share based on approximately 1.10 billion diluted shares.</w:t>
      </w:r>
    </w:p>
    <w:p>
      <w:pPr>
        <w:spacing w:after="0" w:line="23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2023-06-28T15:04:47Z</dcterms:created>
  <dcterms:modified xsi:type="dcterms:W3CDTF">2023-06-28T15:04:47Z</dcterms:modified>
</cp:coreProperties>
</file>